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737" w:rsidRPr="00A313DB" w:rsidRDefault="00D55737" w:rsidP="008D3E70">
      <w:pPr>
        <w:tabs>
          <w:tab w:val="left" w:pos="5060"/>
        </w:tabs>
        <w:ind w:left="660"/>
        <w:rPr>
          <w:rFonts w:ascii="Verdana" w:hAnsi="Verdana" w:cs="Times New Roman"/>
          <w:b/>
          <w:bCs/>
          <w:sz w:val="32"/>
          <w:szCs w:val="32"/>
        </w:rPr>
      </w:pPr>
      <w:r w:rsidRPr="00A313DB">
        <w:rPr>
          <w:rFonts w:ascii="Verdana" w:hAnsi="Verdana" w:cs="Times New Roman"/>
          <w:b/>
          <w:bCs/>
          <w:sz w:val="32"/>
          <w:szCs w:val="32"/>
        </w:rPr>
        <w:tab/>
      </w:r>
      <w:r w:rsidRPr="00A313DB">
        <w:rPr>
          <w:rFonts w:ascii="Verdana" w:hAnsi="Verdana" w:cs="Times New Roman"/>
          <w:b/>
          <w:bCs/>
          <w:sz w:val="32"/>
          <w:szCs w:val="32"/>
        </w:rPr>
        <w:tab/>
      </w:r>
      <w:r w:rsidRPr="00A313DB">
        <w:rPr>
          <w:rFonts w:ascii="Verdana" w:hAnsi="Verdana" w:cs="Times New Roman"/>
          <w:b/>
          <w:bCs/>
          <w:sz w:val="32"/>
          <w:szCs w:val="32"/>
        </w:rPr>
        <w:tab/>
      </w:r>
    </w:p>
    <w:tbl>
      <w:tblPr>
        <w:tblW w:w="9180" w:type="dxa"/>
        <w:tblLook w:val="01E0" w:firstRow="1" w:lastRow="1" w:firstColumn="1" w:lastColumn="1" w:noHBand="0" w:noVBand="0"/>
      </w:tblPr>
      <w:tblGrid>
        <w:gridCol w:w="6480"/>
        <w:gridCol w:w="2700"/>
      </w:tblGrid>
      <w:tr w:rsidR="005974BE" w:rsidRPr="00A313DB" w:rsidTr="00F740E9">
        <w:tc>
          <w:tcPr>
            <w:tcW w:w="6480" w:type="dxa"/>
          </w:tcPr>
          <w:p w:rsidR="005974BE" w:rsidRPr="00A313DB" w:rsidRDefault="005974BE" w:rsidP="005974BE">
            <w:pPr>
              <w:spacing w:before="120" w:after="120"/>
              <w:ind w:right="34"/>
              <w:rPr>
                <w:rFonts w:ascii="Verdana" w:hAnsi="Verdana"/>
              </w:rPr>
            </w:pPr>
          </w:p>
        </w:tc>
        <w:tc>
          <w:tcPr>
            <w:tcW w:w="2700" w:type="dxa"/>
          </w:tcPr>
          <w:p w:rsidR="005974BE" w:rsidRPr="00A313DB" w:rsidRDefault="005974BE" w:rsidP="00AE345F">
            <w:pPr>
              <w:spacing w:before="120" w:after="120"/>
              <w:jc w:val="right"/>
              <w:rPr>
                <w:rFonts w:ascii="Verdana" w:hAnsi="Verdana"/>
              </w:rPr>
            </w:pPr>
          </w:p>
        </w:tc>
      </w:tr>
      <w:tr w:rsidR="005974BE" w:rsidRPr="00A313DB" w:rsidTr="00F740E9">
        <w:tc>
          <w:tcPr>
            <w:tcW w:w="6480" w:type="dxa"/>
          </w:tcPr>
          <w:p w:rsidR="004C7965" w:rsidRDefault="000D7C40" w:rsidP="00762BA5">
            <w:pPr>
              <w:jc w:val="both"/>
              <w:rPr>
                <w:rFonts w:ascii="Verdana" w:hAnsi="Verdana"/>
                <w:b/>
                <w:i/>
                <w:color w:val="7F7F7F" w:themeColor="text1" w:themeTint="80"/>
                <w:sz w:val="24"/>
              </w:rPr>
            </w:pPr>
            <w:bookmarkStart w:id="0" w:name="OLE_LINK1"/>
            <w:bookmarkStart w:id="1" w:name="OLE_LINK2"/>
            <w:r>
              <w:rPr>
                <w:rFonts w:ascii="Verdana" w:hAnsi="Verdana"/>
                <w:b/>
                <w:i/>
                <w:color w:val="7F7F7F" w:themeColor="text1" w:themeTint="80"/>
                <w:sz w:val="24"/>
              </w:rPr>
              <w:t xml:space="preserve">DPM / </w:t>
            </w:r>
            <w:r w:rsidR="004B7DAC">
              <w:rPr>
                <w:rFonts w:ascii="Verdana" w:hAnsi="Verdana"/>
                <w:b/>
                <w:i/>
                <w:color w:val="7F7F7F" w:themeColor="text1" w:themeTint="80"/>
                <w:sz w:val="24"/>
              </w:rPr>
              <w:t>XBRL</w:t>
            </w:r>
            <w:r w:rsidR="002E5450">
              <w:rPr>
                <w:rFonts w:ascii="Verdana" w:hAnsi="Verdana"/>
                <w:b/>
                <w:i/>
                <w:color w:val="7F7F7F" w:themeColor="text1" w:themeTint="80"/>
                <w:sz w:val="24"/>
              </w:rPr>
              <w:t xml:space="preserve"> Taxonomy</w:t>
            </w:r>
          </w:p>
          <w:p w:rsidR="00762BA5" w:rsidRPr="00F740E9" w:rsidRDefault="004C7965" w:rsidP="00762BA5">
            <w:pPr>
              <w:jc w:val="both"/>
              <w:rPr>
                <w:rFonts w:ascii="Verdana" w:hAnsi="Verdana"/>
                <w:b/>
                <w:i/>
                <w:color w:val="7F7F7F" w:themeColor="text1" w:themeTint="80"/>
                <w:sz w:val="24"/>
              </w:rPr>
            </w:pPr>
            <w:r>
              <w:rPr>
                <w:rFonts w:ascii="Verdana" w:hAnsi="Verdana"/>
                <w:b/>
                <w:i/>
                <w:color w:val="7F7F7F" w:themeColor="text1" w:themeTint="80"/>
                <w:sz w:val="24"/>
              </w:rPr>
              <w:t>R</w:t>
            </w:r>
            <w:r w:rsidR="004B7DAC">
              <w:rPr>
                <w:rFonts w:ascii="Verdana" w:hAnsi="Verdana"/>
                <w:b/>
                <w:i/>
                <w:color w:val="7F7F7F" w:themeColor="text1" w:themeTint="80"/>
                <w:sz w:val="24"/>
              </w:rPr>
              <w:t>evision</w:t>
            </w:r>
            <w:r w:rsidR="00EF1BBA">
              <w:rPr>
                <w:rFonts w:ascii="Verdana" w:hAnsi="Verdana"/>
                <w:b/>
                <w:i/>
                <w:color w:val="7F7F7F" w:themeColor="text1" w:themeTint="80"/>
                <w:sz w:val="24"/>
              </w:rPr>
              <w:t xml:space="preserve"> note</w:t>
            </w:r>
            <w:r w:rsidR="004B7DAC">
              <w:rPr>
                <w:rFonts w:ascii="Verdana" w:hAnsi="Verdana"/>
                <w:b/>
                <w:i/>
                <w:color w:val="7F7F7F" w:themeColor="text1" w:themeTint="80"/>
                <w:sz w:val="24"/>
              </w:rPr>
              <w:t>s</w:t>
            </w:r>
            <w:r w:rsidR="00837850" w:rsidRPr="00837850">
              <w:rPr>
                <w:rFonts w:ascii="Verdana" w:hAnsi="Verdana"/>
                <w:b/>
                <w:i/>
                <w:color w:val="7F7F7F" w:themeColor="text1" w:themeTint="80"/>
                <w:sz w:val="24"/>
              </w:rPr>
              <w:t xml:space="preserve"> </w:t>
            </w:r>
          </w:p>
          <w:bookmarkEnd w:id="0"/>
          <w:bookmarkEnd w:id="1"/>
          <w:p w:rsidR="00F776BD" w:rsidRPr="00F740E9" w:rsidRDefault="00F776BD" w:rsidP="00762BA5">
            <w:pPr>
              <w:jc w:val="both"/>
              <w:rPr>
                <w:rFonts w:ascii="Verdana" w:hAnsi="Verdana"/>
                <w:b/>
                <w:sz w:val="24"/>
              </w:rPr>
            </w:pPr>
          </w:p>
          <w:p w:rsidR="005974BE" w:rsidRPr="00F776BD" w:rsidRDefault="005974BE" w:rsidP="00837850">
            <w:pPr>
              <w:rPr>
                <w:rFonts w:ascii="Verdana" w:hAnsi="Verdana"/>
                <w:b/>
                <w:spacing w:val="24"/>
              </w:rPr>
            </w:pPr>
          </w:p>
        </w:tc>
        <w:tc>
          <w:tcPr>
            <w:tcW w:w="2700" w:type="dxa"/>
          </w:tcPr>
          <w:p w:rsidR="00762BA5" w:rsidRDefault="00762BA5" w:rsidP="00762BA5">
            <w:pPr>
              <w:jc w:val="right"/>
              <w:rPr>
                <w:rFonts w:ascii="Verdana" w:hAnsi="Verdana"/>
              </w:rPr>
            </w:pPr>
          </w:p>
          <w:p w:rsidR="00F776BD" w:rsidRDefault="00F776BD" w:rsidP="00762BA5">
            <w:pPr>
              <w:jc w:val="right"/>
              <w:rPr>
                <w:rFonts w:ascii="Verdana" w:hAnsi="Verdana"/>
              </w:rPr>
            </w:pPr>
          </w:p>
          <w:p w:rsidR="005974BE" w:rsidRPr="00A313DB" w:rsidRDefault="0000150A" w:rsidP="0000150A">
            <w:pPr>
              <w:spacing w:before="120"/>
              <w:jc w:val="right"/>
              <w:rPr>
                <w:rFonts w:ascii="Verdana" w:hAnsi="Verdana"/>
              </w:rPr>
            </w:pPr>
            <w:r>
              <w:rPr>
                <w:rFonts w:ascii="Verdana" w:hAnsi="Verdana"/>
              </w:rPr>
              <w:t>02</w:t>
            </w:r>
            <w:r w:rsidR="00E47786">
              <w:rPr>
                <w:rFonts w:ascii="Verdana" w:hAnsi="Verdana"/>
              </w:rPr>
              <w:t xml:space="preserve"> </w:t>
            </w:r>
            <w:r>
              <w:rPr>
                <w:rFonts w:ascii="Verdana" w:hAnsi="Verdana"/>
              </w:rPr>
              <w:t>September</w:t>
            </w:r>
            <w:r w:rsidR="00E47786">
              <w:rPr>
                <w:rFonts w:ascii="Verdana" w:hAnsi="Verdana"/>
              </w:rPr>
              <w:t xml:space="preserve"> 2015</w:t>
            </w:r>
          </w:p>
        </w:tc>
      </w:tr>
    </w:tbl>
    <w:p w:rsidR="00DC113D" w:rsidRDefault="00DC113D" w:rsidP="00B000E3">
      <w:pPr>
        <w:pStyle w:val="Heading1"/>
      </w:pPr>
    </w:p>
    <w:p w:rsidR="00DC113D" w:rsidRDefault="00DC113D" w:rsidP="00DC113D">
      <w:pPr>
        <w:pStyle w:val="Titlelevel1"/>
        <w:rPr>
          <w:i/>
        </w:rPr>
      </w:pPr>
      <w:r>
        <w:rPr>
          <w:i/>
        </w:rPr>
        <w:t>v2.4</w:t>
      </w:r>
      <w:r w:rsidRPr="00E47786">
        <w:rPr>
          <w:i/>
        </w:rPr>
        <w:t>.</w:t>
      </w:r>
      <w:r w:rsidR="00351662">
        <w:rPr>
          <w:i/>
        </w:rPr>
        <w:t>0</w:t>
      </w:r>
      <w:r w:rsidRPr="00E47786">
        <w:rPr>
          <w:i/>
        </w:rPr>
        <w:t xml:space="preserve"> (“2015-</w:t>
      </w:r>
      <w:r>
        <w:rPr>
          <w:i/>
        </w:rPr>
        <w:t>B”</w:t>
      </w:r>
      <w:r w:rsidRPr="00E47786">
        <w:rPr>
          <w:i/>
        </w:rPr>
        <w:t>)</w:t>
      </w:r>
      <w:r w:rsidRPr="00E47786">
        <w:rPr>
          <w:rFonts w:ascii="Arial" w:hAnsi="Arial" w:cs="Arial"/>
          <w:i/>
          <w:color w:val="696969"/>
          <w:sz w:val="18"/>
          <w:szCs w:val="18"/>
          <w:shd w:val="clear" w:color="auto" w:fill="FFFFFF"/>
        </w:rPr>
        <w:t xml:space="preserve"> </w:t>
      </w:r>
      <w:r>
        <w:rPr>
          <w:rFonts w:ascii="Arial" w:hAnsi="Arial" w:cs="Arial"/>
          <w:i/>
          <w:color w:val="696969"/>
          <w:sz w:val="18"/>
          <w:szCs w:val="18"/>
          <w:shd w:val="clear" w:color="auto" w:fill="FFFFFF"/>
        </w:rPr>
        <w:t>(</w:t>
      </w:r>
      <w:r w:rsidR="0000150A">
        <w:rPr>
          <w:rFonts w:ascii="Arial" w:hAnsi="Arial" w:cs="Arial"/>
          <w:i/>
          <w:color w:val="696969"/>
          <w:sz w:val="18"/>
          <w:szCs w:val="18"/>
          <w:shd w:val="clear" w:color="auto" w:fill="FFFFFF"/>
        </w:rPr>
        <w:t>02/09</w:t>
      </w:r>
      <w:bookmarkStart w:id="2" w:name="_GoBack"/>
      <w:bookmarkEnd w:id="2"/>
      <w:r w:rsidRPr="00E47786">
        <w:rPr>
          <w:rFonts w:ascii="Arial" w:hAnsi="Arial" w:cs="Arial"/>
          <w:i/>
          <w:color w:val="696969"/>
          <w:sz w:val="18"/>
          <w:szCs w:val="18"/>
          <w:shd w:val="clear" w:color="auto" w:fill="FFFFFF"/>
        </w:rPr>
        <w:t>/2015)</w:t>
      </w:r>
    </w:p>
    <w:p w:rsidR="00D77280" w:rsidRDefault="00D77280" w:rsidP="00D77280">
      <w:pPr>
        <w:pStyle w:val="Titlelevel2"/>
      </w:pPr>
      <w:r w:rsidRPr="00AF5AA3">
        <w:t>Purpose</w:t>
      </w:r>
    </w:p>
    <w:p w:rsidR="00D77280" w:rsidRDefault="00D77280" w:rsidP="00D77280">
      <w:pPr>
        <w:pStyle w:val="ListParagraph"/>
        <w:numPr>
          <w:ilvl w:val="0"/>
          <w:numId w:val="48"/>
        </w:numPr>
      </w:pPr>
      <w:r>
        <w:t>Alignment of LR and LCR reporting with respective Commission delegated acts.</w:t>
      </w:r>
    </w:p>
    <w:p w:rsidR="00D77280" w:rsidRDefault="00D77280" w:rsidP="00D77280">
      <w:pPr>
        <w:pStyle w:val="ListParagraph"/>
        <w:numPr>
          <w:ilvl w:val="0"/>
          <w:numId w:val="48"/>
        </w:numPr>
      </w:pPr>
      <w:r>
        <w:t xml:space="preserve">Introduction of true Multicurrency reporting to COREP and ALM per QA 1042.  </w:t>
      </w:r>
    </w:p>
    <w:p w:rsidR="00D77280" w:rsidRDefault="00D77280" w:rsidP="00D77280"/>
    <w:p w:rsidR="00D77280" w:rsidRPr="002C21E9" w:rsidRDefault="00D77280" w:rsidP="00D77280">
      <w:pPr>
        <w:pStyle w:val="Titlelevel2"/>
      </w:pPr>
      <w:r w:rsidRPr="002C21E9">
        <w:t>DPM Changes</w:t>
      </w:r>
    </w:p>
    <w:p w:rsidR="00D77280" w:rsidRPr="00360446" w:rsidRDefault="00D77280" w:rsidP="00D77280">
      <w:pPr>
        <w:pStyle w:val="Titlelevel3"/>
      </w:pPr>
      <w:r w:rsidRPr="00360446">
        <w:t>Leverage Ratio</w:t>
      </w:r>
    </w:p>
    <w:p w:rsidR="00D77280" w:rsidRDefault="00D77280" w:rsidP="00D77280">
      <w:r>
        <w:t>In accordance with the Commission Delegated Regulation 2015/62, and Implementing Technical Standards EBA/ITS/2015/03, the leverage ratio templates (C 40-46) have been updated. Templates C 40-44 have been adapted, C 45-46 deleted and C 47 added (effectively replacing C 45). As usual, these templates should be reported as part of the main COREP module.</w:t>
      </w:r>
    </w:p>
    <w:p w:rsidR="00D77280" w:rsidRDefault="00D77280" w:rsidP="00D77280"/>
    <w:p w:rsidR="00D77280" w:rsidRPr="002D2F3D" w:rsidRDefault="00D77280" w:rsidP="00D77280">
      <w:pPr>
        <w:pStyle w:val="Titlelevel3"/>
      </w:pPr>
      <w:r w:rsidRPr="002D2F3D">
        <w:t>Liquidity Coverage Ratio</w:t>
      </w:r>
    </w:p>
    <w:p w:rsidR="00D77280" w:rsidRDefault="00D77280" w:rsidP="00D77280">
      <w:r>
        <w:t>In accordance with Commission Delegated Regulation 2015/61, and Implementing Technical Standards EBA/ITS/2015/04, an additional conceptual module (LCR_DA in Individual and Consolidated variants) has been introduced containing revised versions of the Liquidity Coverage Ratio templates. These are included in an additional module, rather than altering the existing templates, as the delegated act applies to only one section (broadly credit institutions) of the potential reporters of LCR templates, others of which (broadly investment firms) may continue to be required to report the pre-delegated act LCR templates.</w:t>
      </w:r>
    </w:p>
    <w:p w:rsidR="00D77280" w:rsidRPr="002D2F3D" w:rsidRDefault="00D77280" w:rsidP="00D77280">
      <w:pPr>
        <w:pStyle w:val="Titlelevel3"/>
      </w:pPr>
      <w:r w:rsidRPr="002D2F3D">
        <w:t>QA 1042</w:t>
      </w:r>
      <w:r>
        <w:t xml:space="preserve"> - Multicurrency</w:t>
      </w:r>
    </w:p>
    <w:p w:rsidR="00D77280" w:rsidRDefault="00D77280" w:rsidP="00D77280">
      <w:r>
        <w:t>Significant implementation changes have been made to the data model and XBRL reporting mechanics regarding the reporting of currency breakdowns (and other non-reporting currency figures).</w:t>
      </w:r>
    </w:p>
    <w:p w:rsidR="00D77280" w:rsidRDefault="00D77280" w:rsidP="00D77280"/>
    <w:p w:rsidR="00D77280" w:rsidRDefault="00D77280" w:rsidP="00D77280">
      <w:proofErr w:type="gramStart"/>
      <w:r>
        <w:lastRenderedPageBreak/>
        <w:t xml:space="preserve">On </w:t>
      </w:r>
      <w:r w:rsidRPr="002D2F3D">
        <w:t>29/05/2015</w:t>
      </w:r>
      <w:r>
        <w:t xml:space="preserve"> the question #1042 on the EBA Single Rulebook Q&amp;A</w:t>
      </w:r>
      <w:r w:rsidRPr="003F60D3">
        <w:rPr>
          <w:vertAlign w:val="superscript"/>
        </w:rPr>
        <w:footnoteReference w:id="1"/>
      </w:r>
      <w:r w:rsidRPr="003F60D3">
        <w:rPr>
          <w:vertAlign w:val="superscript"/>
        </w:rPr>
        <w:t xml:space="preserve"> </w:t>
      </w:r>
      <w:r>
        <w:t>(“</w:t>
      </w:r>
      <w:r w:rsidRPr="003F60D3">
        <w:rPr>
          <w:rFonts w:ascii="Arial" w:hAnsi="Arial" w:cs="Arial"/>
          <w:color w:val="303A40"/>
          <w:sz w:val="18"/>
          <w:szCs w:val="18"/>
          <w:shd w:val="clear" w:color="auto" w:fill="FFFFFF"/>
        </w:rPr>
        <w:t>Currency in which the information that the institutions report to the competent authorities of the home member State must be submitted, according to art.</w:t>
      </w:r>
      <w:proofErr w:type="gramEnd"/>
      <w:r w:rsidRPr="003F60D3">
        <w:rPr>
          <w:rFonts w:ascii="Arial" w:hAnsi="Arial" w:cs="Arial"/>
          <w:color w:val="303A40"/>
          <w:sz w:val="18"/>
          <w:szCs w:val="18"/>
          <w:shd w:val="clear" w:color="auto" w:fill="FFFFFF"/>
        </w:rPr>
        <w:t xml:space="preserve"> 415 (2) [LCR and NSFR templates]</w:t>
      </w:r>
      <w:r>
        <w:t>”) was answered thus:</w:t>
      </w:r>
    </w:p>
    <w:p w:rsidR="00D77280" w:rsidRDefault="00D77280" w:rsidP="00D77280"/>
    <w:p w:rsidR="00D77280" w:rsidRDefault="00D77280" w:rsidP="00D77280">
      <w:r>
        <w:t>“</w:t>
      </w:r>
      <w:r w:rsidRPr="003F60D3">
        <w:rPr>
          <w:rFonts w:ascii="Arial" w:hAnsi="Arial" w:cs="Arial"/>
          <w:color w:val="303A40"/>
          <w:sz w:val="18"/>
          <w:szCs w:val="18"/>
          <w:shd w:val="clear" w:color="auto" w:fill="FFFFFF"/>
        </w:rPr>
        <w:t xml:space="preserve">The reporting of data in each significant currency shall, according to Article 415(2) a, be done using the significant currency itself. As the IT solutions of Article 17 of Regulation (EU) No 680/2014 - ITS on Supervisory Reporting currently do not allow for a reporting in each significant currency, the reporting currency should be used. Therefore significant currencies have to be converted into the reporting currency, </w:t>
      </w:r>
      <w:r w:rsidRPr="003F60D3">
        <w:rPr>
          <w:rFonts w:ascii="Arial" w:hAnsi="Arial" w:cs="Arial"/>
          <w:b/>
          <w:color w:val="303A40"/>
          <w:sz w:val="18"/>
          <w:szCs w:val="18"/>
          <w:shd w:val="clear" w:color="auto" w:fill="FFFFFF"/>
        </w:rPr>
        <w:t>until the IT solutions have been amended accordingly, to allow for reporting in significant currencies. This change will be made with the next possible release</w:t>
      </w:r>
      <w:r w:rsidRPr="003F60D3">
        <w:rPr>
          <w:rFonts w:ascii="Arial" w:hAnsi="Arial" w:cs="Arial"/>
          <w:color w:val="303A40"/>
          <w:sz w:val="18"/>
          <w:szCs w:val="18"/>
          <w:shd w:val="clear" w:color="auto" w:fill="FFFFFF"/>
        </w:rPr>
        <w:t>. Until then the conversion should be made according to the spot ECB foreign exchange reference rates as at the reporting reference date</w:t>
      </w:r>
      <w:r>
        <w:t>”</w:t>
      </w:r>
    </w:p>
    <w:p w:rsidR="00D77280" w:rsidRDefault="00D77280" w:rsidP="00D77280"/>
    <w:p w:rsidR="00D77280" w:rsidRDefault="00D77280" w:rsidP="00D77280">
      <w:r>
        <w:t>This release gives effect to this response (being the next feasible release after the QA response publication) and adjusts the operation of the requirement for a single reporting currency. The EBA filing rules have been modified to provide for reporting in other than the main reporting currency of an instance where indicated as appropriate by the Data Point Model.</w:t>
      </w:r>
    </w:p>
    <w:p w:rsidR="00D77280" w:rsidRDefault="00D77280" w:rsidP="00D77280">
      <w:pPr>
        <w:pStyle w:val="Titlelevel4"/>
      </w:pPr>
      <w:r>
        <w:t>Currency breakdown sheets in LCR and NSFR</w:t>
      </w:r>
    </w:p>
    <w:p w:rsidR="00D77280" w:rsidRDefault="00D77280" w:rsidP="00D77280">
      <w:r>
        <w:t xml:space="preserve">The existing tables </w:t>
      </w:r>
      <w:r w:rsidRPr="00A14D23">
        <w:t>C.51.00.w, C.51.00.x, C.52.00.w, C.52.00.x, C.52.00.y, C.52.00.z, C.53.00.w, C.53.00.x, C.53.00.y, C.54.00.a, C54.00.w</w:t>
      </w:r>
      <w:r>
        <w:t xml:space="preserve">, C 60.00.w, C 60.00.x, C 61.00.w, </w:t>
      </w:r>
      <w:proofErr w:type="gramStart"/>
      <w:r>
        <w:t>C</w:t>
      </w:r>
      <w:proofErr w:type="gramEnd"/>
      <w:r>
        <w:t xml:space="preserve"> 61.00.x (LCR and NSFR) have been altered.</w:t>
      </w:r>
    </w:p>
    <w:p w:rsidR="00D77280" w:rsidRDefault="00D77280" w:rsidP="00D77280"/>
    <w:p w:rsidR="00D77280" w:rsidRDefault="00D77280" w:rsidP="00D77280">
      <w:r>
        <w:t xml:space="preserve">Each of the monetary data items on these tables has had the member </w:t>
      </w:r>
      <w:r w:rsidRPr="007C4AD7">
        <w:rPr>
          <w:b/>
        </w:rPr>
        <w:t>eba_CA</w:t>
      </w:r>
      <w:proofErr w:type="gramStart"/>
      <w:r w:rsidRPr="007C4AD7">
        <w:rPr>
          <w:b/>
        </w:rPr>
        <w:t>:x1</w:t>
      </w:r>
      <w:proofErr w:type="gramEnd"/>
      <w:r w:rsidRPr="007C4AD7">
        <w:rPr>
          <w:rFonts w:ascii="Courier New" w:hAnsi="Courier New" w:cs="Courier New"/>
          <w:b/>
        </w:rPr>
        <w:t xml:space="preserve"> </w:t>
      </w:r>
      <w:r w:rsidRPr="002C21E9">
        <w:rPr>
          <w:i/>
        </w:rPr>
        <w:t>(“Expressed in currency of denomination (not converted to reporting currency)”</w:t>
      </w:r>
      <w:r>
        <w:rPr>
          <w:i/>
        </w:rPr>
        <w:t xml:space="preserve"> </w:t>
      </w:r>
      <w:r>
        <w:t xml:space="preserve">for the new dimension </w:t>
      </w:r>
      <w:r w:rsidRPr="007C4AD7">
        <w:rPr>
          <w:b/>
        </w:rPr>
        <w:t>CCA</w:t>
      </w:r>
      <w:r>
        <w:t xml:space="preserve"> </w:t>
      </w:r>
      <w:r w:rsidRPr="002C21E9">
        <w:rPr>
          <w:i/>
        </w:rPr>
        <w:t>(“Currency Conversion Approach”)</w:t>
      </w:r>
      <w:r>
        <w:t xml:space="preserve"> added to its modelling.  As noted above the EBA filing rules (v4.1) now allow such data items to be reported in currencies other than the “reporting currency” of the instance (whereas other monetary data items not so marked must still be reported in a single reporting currency per instance).</w:t>
      </w:r>
    </w:p>
    <w:p w:rsidR="00D77280" w:rsidRDefault="00D77280" w:rsidP="00D77280"/>
    <w:p w:rsidR="00D77280" w:rsidRPr="002C21E9" w:rsidRDefault="00D77280" w:rsidP="00D77280">
      <w:r>
        <w:t xml:space="preserve">Furthermore the filing rules state that for such facts where they have a value for </w:t>
      </w:r>
      <w:r w:rsidRPr="007C4AD7">
        <w:rPr>
          <w:b/>
        </w:rPr>
        <w:t>CUS</w:t>
      </w:r>
      <w:r>
        <w:t xml:space="preserve"> (</w:t>
      </w:r>
      <w:r w:rsidRPr="002C21E9">
        <w:rPr>
          <w:i/>
        </w:rPr>
        <w:t>“Currency with significant liabilities”)</w:t>
      </w:r>
      <w:r>
        <w:rPr>
          <w:i/>
        </w:rPr>
        <w:t xml:space="preserve"> </w:t>
      </w:r>
      <w:r>
        <w:t>the currency unit of the reported value must be consistent</w:t>
      </w:r>
      <w:r>
        <w:rPr>
          <w:rStyle w:val="FootnoteReference"/>
        </w:rPr>
        <w:footnoteReference w:id="2"/>
      </w:r>
      <w:r>
        <w:t xml:space="preserve"> with the value given for this dimension. This is the dimension used on the open z axis to identify to which sheet of the currency breakdown tables each fact relates.</w:t>
      </w:r>
    </w:p>
    <w:p w:rsidR="00D77280" w:rsidRDefault="00D77280" w:rsidP="00D77280"/>
    <w:p w:rsidR="00D77280" w:rsidRDefault="00D77280" w:rsidP="00D77280">
      <w:r>
        <w:t>The new LCR delegated act tables are also modelled in this way.</w:t>
      </w:r>
    </w:p>
    <w:p w:rsidR="00D77280" w:rsidRDefault="00D77280" w:rsidP="00D77280"/>
    <w:p w:rsidR="00D77280" w:rsidRDefault="00D77280" w:rsidP="00D77280">
      <w:r>
        <w:t>Note that table F 34.00.c in Asset Encumbrance and P 02.06 from Funding Plans, although sharing the same structure as the above mentioned tables in LCR and NSFR have NOT been altered. This is because the scope of the QA 1042 was specifically LCR and NSFR, and so does not automatically apply to these tables. F 34.00.c and P 02.06 should for now continue to be reported with all figures converted to the reporting currency (they are not marked with the member indicating otherwise).</w:t>
      </w:r>
    </w:p>
    <w:p w:rsidR="00D77280" w:rsidRDefault="00D77280" w:rsidP="00D77280">
      <w:pPr>
        <w:pStyle w:val="Titlelevel4"/>
      </w:pPr>
      <w:r>
        <w:lastRenderedPageBreak/>
        <w:t>Benchmarking</w:t>
      </w:r>
    </w:p>
    <w:p w:rsidR="00D77280" w:rsidRDefault="00D77280" w:rsidP="00D77280">
      <w:r>
        <w:t>The tables in benchmarking that previously used “decimal” primary items to report figures in various currencies without mentioning the currency have been remodelled to instead use normal monetary primary items.</w:t>
      </w:r>
    </w:p>
    <w:p w:rsidR="00D77280" w:rsidRDefault="00D77280" w:rsidP="00D77280"/>
    <w:p w:rsidR="00D77280" w:rsidRDefault="00D77280" w:rsidP="00D77280">
      <w:r>
        <w:t xml:space="preserve">The dimensional attributes of these data items in the DPM again contain the </w:t>
      </w:r>
      <w:r w:rsidRPr="007C4AD7">
        <w:rPr>
          <w:b/>
        </w:rPr>
        <w:t>eba_CA</w:t>
      </w:r>
      <w:proofErr w:type="gramStart"/>
      <w:r w:rsidRPr="007C4AD7">
        <w:rPr>
          <w:b/>
        </w:rPr>
        <w:t>:x1</w:t>
      </w:r>
      <w:proofErr w:type="gramEnd"/>
      <w:r>
        <w:t xml:space="preserve"> member of the </w:t>
      </w:r>
      <w:r w:rsidRPr="007C4AD7">
        <w:rPr>
          <w:b/>
        </w:rPr>
        <w:t>C</w:t>
      </w:r>
      <w:r>
        <w:rPr>
          <w:b/>
        </w:rPr>
        <w:t>CA</w:t>
      </w:r>
      <w:r>
        <w:t xml:space="preserve"> dimension to indicate they can (must) be reported with currencies other than the reporting currency where relevant.</w:t>
      </w:r>
    </w:p>
    <w:p w:rsidR="00D77280" w:rsidRDefault="00D77280" w:rsidP="00D77280"/>
    <w:p w:rsidR="00D77280" w:rsidRDefault="00D77280" w:rsidP="00D77280">
      <w:r>
        <w:t>The data items (unlike those in LCR and NSFR) do not however have any predetermined currency dimension associated. This is because the appropriate currency varies for each item (each row/sheet associated to a portfolio ID) in the open tables, driven by the details specified for the notional supervisory benchmarking portfolios in the lists published by the EBA in preparation for each specific benchmarking exercise</w:t>
      </w:r>
      <w:r>
        <w:rPr>
          <w:rStyle w:val="FootnoteReference"/>
        </w:rPr>
        <w:footnoteReference w:id="3"/>
      </w:r>
      <w:r>
        <w:t>. These open data items are therefore not a priori restricted by the data model to being reported in a specific currency, but of course should be reported in the appropriate currency of denomination on a reported fact by fact basis.</w:t>
      </w:r>
    </w:p>
    <w:p w:rsidR="00D77280" w:rsidRDefault="00D77280" w:rsidP="00D77280"/>
    <w:p w:rsidR="00AE7465" w:rsidRDefault="00AE7465" w:rsidP="00AE7465">
      <w:pPr>
        <w:pStyle w:val="Titlelevel3"/>
      </w:pPr>
      <w:proofErr w:type="spellStart"/>
      <w:r>
        <w:t>Finrep</w:t>
      </w:r>
      <w:proofErr w:type="spellEnd"/>
      <w:r>
        <w:t xml:space="preserve"> Individual</w:t>
      </w:r>
    </w:p>
    <w:p w:rsidR="00AE7465" w:rsidRPr="002D2F3D" w:rsidRDefault="00AE7465" w:rsidP="00AE7465">
      <w:r>
        <w:t xml:space="preserve">Please note that in order to facilitate implementation the </w:t>
      </w:r>
      <w:proofErr w:type="spellStart"/>
      <w:r>
        <w:t>Finrep</w:t>
      </w:r>
      <w:proofErr w:type="spellEnd"/>
      <w:r>
        <w:t xml:space="preserve"> Individual entry points form a separate reporting taxonomy (i.e. are separated into their own subdirectory at the XBRL level), the definitions of the tables (and hence the table layouts) are identical between the Consolidated and Individual versions.</w:t>
      </w:r>
    </w:p>
    <w:p w:rsidR="00D77280" w:rsidRDefault="00D77280" w:rsidP="00D77280">
      <w:pPr>
        <w:pStyle w:val="Titlelevel3"/>
      </w:pPr>
      <w:r>
        <w:t>Validation rules</w:t>
      </w:r>
    </w:p>
    <w:p w:rsidR="00D77280" w:rsidRDefault="00D77280" w:rsidP="00D77280">
      <w:r>
        <w:t xml:space="preserve">The “severity” attribute of validation rules is no longer populated in the DPM database (since it is essentially out of date as soon as the taxonomy is </w:t>
      </w:r>
      <w:proofErr w:type="gramStart"/>
      <w:r>
        <w:t>published,</w:t>
      </w:r>
      <w:proofErr w:type="gramEnd"/>
      <w:r>
        <w:t xml:space="preserve"> and hence just a potential source of confusion). All validation rules entries for 2.4 have this field as null. The activation / deactivation and blocking / non-blocking status of rules should be determined from the validation rule spreadsheets published from time to time by the EBA.</w:t>
      </w:r>
    </w:p>
    <w:p w:rsidR="00D77280" w:rsidRDefault="00D77280" w:rsidP="00D77280"/>
    <w:p w:rsidR="00D77280" w:rsidRDefault="00D77280" w:rsidP="00D77280">
      <w:r>
        <w:t xml:space="preserve">The accompanying validation spreadsheet includes additional rules for Asset Encumbrance, which </w:t>
      </w:r>
      <w:proofErr w:type="gramStart"/>
      <w:r>
        <w:t>are</w:t>
      </w:r>
      <w:proofErr w:type="gramEnd"/>
      <w:r>
        <w:t xml:space="preserve"> not represented in the XBRL taxonomy, being marked as “Not implemented in XBRL”. There is no new Asset Encumbrance taxonomy version in this release.</w:t>
      </w:r>
    </w:p>
    <w:p w:rsidR="00D77280" w:rsidRDefault="00D77280" w:rsidP="00D77280"/>
    <w:p w:rsidR="00D77280" w:rsidRDefault="00D77280" w:rsidP="00D77280">
      <w:r>
        <w:t>The function “min” is used for the first time in validation rules in this release.</w:t>
      </w:r>
    </w:p>
    <w:p w:rsidR="00D77280" w:rsidRPr="000818EE" w:rsidRDefault="00D77280" w:rsidP="00D77280">
      <w:pPr>
        <w:pStyle w:val="Titlelevel4"/>
        <w:ind w:left="720" w:right="711"/>
      </w:pPr>
      <w:proofErr w:type="gramStart"/>
      <w:r w:rsidRPr="000818EE">
        <w:t>A quick clarification regarding the “</w:t>
      </w:r>
      <w:proofErr w:type="spellStart"/>
      <w:r w:rsidRPr="000818EE">
        <w:t>xsum</w:t>
      </w:r>
      <w:proofErr w:type="spellEnd"/>
      <w:r w:rsidRPr="000818EE">
        <w:t>” function.</w:t>
      </w:r>
      <w:proofErr w:type="gramEnd"/>
    </w:p>
    <w:p w:rsidR="00D77280" w:rsidRPr="00055C2E" w:rsidRDefault="00D77280" w:rsidP="00D77280">
      <w:pPr>
        <w:ind w:left="720" w:right="711"/>
        <w:jc w:val="both"/>
      </w:pPr>
      <w:r>
        <w:t xml:space="preserve">Used in the EBA validation rule formulae, </w:t>
      </w:r>
      <w:r w:rsidRPr="00055C2E">
        <w:t>“</w:t>
      </w:r>
      <w:proofErr w:type="spellStart"/>
      <w:r w:rsidRPr="00055C2E">
        <w:t>xsum</w:t>
      </w:r>
      <w:proofErr w:type="spellEnd"/>
      <w:r w:rsidRPr="00055C2E">
        <w:t>” indicates that the value of all the cells at intersections of the listed co-ordinates should be summed. I.e. if a formula stated “</w:t>
      </w:r>
      <w:proofErr w:type="spellStart"/>
      <w:proofErr w:type="gramStart"/>
      <w:r w:rsidRPr="00055C2E">
        <w:t>xsum</w:t>
      </w:r>
      <w:proofErr w:type="spellEnd"/>
      <w:r w:rsidRPr="00055C2E">
        <w:t>(</w:t>
      </w:r>
      <w:proofErr w:type="gramEnd"/>
      <w:r w:rsidRPr="00055C2E">
        <w:t>{TABLECODE, (r010, r030, c010, 030, 040)})”, then it would indicate the sum of the six cells labelled A-F in the illustration below</w:t>
      </w:r>
    </w:p>
    <w:p w:rsidR="00D77280" w:rsidRDefault="00D77280" w:rsidP="00D77280">
      <w:pPr>
        <w:ind w:left="720"/>
        <w:rPr>
          <w:rFonts w:ascii="Calibri" w:hAnsi="Calibri"/>
          <w:color w:val="44546A"/>
          <w:szCs w:val="22"/>
        </w:rPr>
      </w:pPr>
    </w:p>
    <w:tbl>
      <w:tblPr>
        <w:tblW w:w="4633" w:type="dxa"/>
        <w:tblInd w:w="1440" w:type="dxa"/>
        <w:tblCellMar>
          <w:left w:w="0" w:type="dxa"/>
          <w:right w:w="0" w:type="dxa"/>
        </w:tblCellMar>
        <w:tblLook w:val="04A0" w:firstRow="1" w:lastRow="0" w:firstColumn="1" w:lastColumn="0" w:noHBand="0" w:noVBand="1"/>
      </w:tblPr>
      <w:tblGrid>
        <w:gridCol w:w="664"/>
        <w:gridCol w:w="709"/>
        <w:gridCol w:w="850"/>
        <w:gridCol w:w="851"/>
        <w:gridCol w:w="850"/>
        <w:gridCol w:w="709"/>
      </w:tblGrid>
      <w:tr w:rsidR="00D77280" w:rsidTr="00907FEC">
        <w:tc>
          <w:tcPr>
            <w:tcW w:w="664" w:type="dxa"/>
            <w:tcBorders>
              <w:top w:val="single" w:sz="8" w:space="0" w:color="auto"/>
              <w:left w:val="single" w:sz="8" w:space="0" w:color="auto"/>
              <w:bottom w:val="single" w:sz="18" w:space="0" w:color="FFFF00"/>
              <w:right w:val="single" w:sz="18" w:space="0" w:color="D44D2A" w:themeColor="accent3"/>
            </w:tcBorders>
            <w:shd w:val="clear" w:color="auto" w:fill="auto"/>
            <w:tcMar>
              <w:top w:w="0" w:type="dxa"/>
              <w:left w:w="108" w:type="dxa"/>
              <w:bottom w:w="0" w:type="dxa"/>
              <w:right w:w="108" w:type="dxa"/>
            </w:tcMar>
          </w:tcPr>
          <w:p w:rsidR="00D77280" w:rsidRDefault="00D77280" w:rsidP="00907FEC">
            <w:pPr>
              <w:rPr>
                <w:rFonts w:ascii="Calibri" w:eastAsiaTheme="minorHAnsi" w:hAnsi="Calibri"/>
                <w:b/>
                <w:bCs/>
                <w:color w:val="44546A"/>
                <w:szCs w:val="22"/>
              </w:rPr>
            </w:pPr>
          </w:p>
        </w:tc>
        <w:tc>
          <w:tcPr>
            <w:tcW w:w="709" w:type="dxa"/>
            <w:tcBorders>
              <w:top w:val="single" w:sz="18" w:space="0" w:color="D44D2A" w:themeColor="accent3"/>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hideMark/>
          </w:tcPr>
          <w:p w:rsidR="00D77280" w:rsidRDefault="00D77280" w:rsidP="00907FEC">
            <w:pPr>
              <w:rPr>
                <w:rFonts w:ascii="Calibri" w:eastAsiaTheme="minorHAnsi" w:hAnsi="Calibri"/>
                <w:b/>
                <w:bCs/>
                <w:color w:val="44546A"/>
                <w:szCs w:val="22"/>
              </w:rPr>
            </w:pPr>
            <w:r>
              <w:rPr>
                <w:rFonts w:ascii="Calibri" w:hAnsi="Calibri"/>
                <w:b/>
                <w:bCs/>
                <w:color w:val="44546A"/>
                <w:szCs w:val="22"/>
              </w:rPr>
              <w:t>010</w:t>
            </w:r>
          </w:p>
        </w:tc>
        <w:tc>
          <w:tcPr>
            <w:tcW w:w="850" w:type="dxa"/>
            <w:tcBorders>
              <w:top w:val="single" w:sz="8" w:space="0" w:color="auto"/>
              <w:left w:val="single" w:sz="18" w:space="0" w:color="D44D2A" w:themeColor="accent3"/>
              <w:bottom w:val="single" w:sz="18" w:space="0" w:color="FFFF00"/>
              <w:right w:val="single" w:sz="18" w:space="0" w:color="D44D2A" w:themeColor="accent3"/>
            </w:tcBorders>
            <w:shd w:val="clear" w:color="auto" w:fill="auto"/>
            <w:tcMar>
              <w:top w:w="0" w:type="dxa"/>
              <w:left w:w="108" w:type="dxa"/>
              <w:bottom w:w="0" w:type="dxa"/>
              <w:right w:w="108" w:type="dxa"/>
            </w:tcMar>
            <w:hideMark/>
          </w:tcPr>
          <w:p w:rsidR="00D77280" w:rsidRDefault="00D77280" w:rsidP="00907FEC">
            <w:pPr>
              <w:rPr>
                <w:rFonts w:ascii="Calibri" w:eastAsiaTheme="minorHAnsi" w:hAnsi="Calibri"/>
                <w:b/>
                <w:bCs/>
                <w:color w:val="44546A"/>
                <w:szCs w:val="22"/>
              </w:rPr>
            </w:pPr>
            <w:r>
              <w:rPr>
                <w:rFonts w:ascii="Calibri" w:hAnsi="Calibri"/>
                <w:b/>
                <w:bCs/>
                <w:color w:val="44546A"/>
                <w:szCs w:val="22"/>
              </w:rPr>
              <w:t>020</w:t>
            </w:r>
          </w:p>
        </w:tc>
        <w:tc>
          <w:tcPr>
            <w:tcW w:w="851" w:type="dxa"/>
            <w:tcBorders>
              <w:top w:val="single" w:sz="18" w:space="0" w:color="D44D2A" w:themeColor="accent3"/>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hideMark/>
          </w:tcPr>
          <w:p w:rsidR="00D77280" w:rsidRDefault="00D77280" w:rsidP="00907FEC">
            <w:pPr>
              <w:rPr>
                <w:rFonts w:ascii="Calibri" w:eastAsiaTheme="minorHAnsi" w:hAnsi="Calibri"/>
                <w:b/>
                <w:bCs/>
                <w:color w:val="44546A"/>
                <w:szCs w:val="22"/>
              </w:rPr>
            </w:pPr>
            <w:r>
              <w:rPr>
                <w:rFonts w:ascii="Calibri" w:hAnsi="Calibri"/>
                <w:b/>
                <w:bCs/>
                <w:color w:val="44546A"/>
                <w:szCs w:val="22"/>
              </w:rPr>
              <w:t>030</w:t>
            </w:r>
          </w:p>
        </w:tc>
        <w:tc>
          <w:tcPr>
            <w:tcW w:w="850" w:type="dxa"/>
            <w:tcBorders>
              <w:top w:val="single" w:sz="18" w:space="0" w:color="D44D2A" w:themeColor="accent3"/>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hideMark/>
          </w:tcPr>
          <w:p w:rsidR="00D77280" w:rsidRDefault="00D77280" w:rsidP="00907FEC">
            <w:pPr>
              <w:rPr>
                <w:rFonts w:ascii="Calibri" w:eastAsiaTheme="minorHAnsi" w:hAnsi="Calibri"/>
                <w:b/>
                <w:bCs/>
                <w:color w:val="44546A"/>
                <w:szCs w:val="22"/>
              </w:rPr>
            </w:pPr>
            <w:r>
              <w:rPr>
                <w:rFonts w:ascii="Calibri" w:hAnsi="Calibri"/>
                <w:b/>
                <w:bCs/>
                <w:color w:val="44546A"/>
                <w:szCs w:val="22"/>
              </w:rPr>
              <w:t>040</w:t>
            </w:r>
          </w:p>
        </w:tc>
        <w:tc>
          <w:tcPr>
            <w:tcW w:w="709" w:type="dxa"/>
            <w:tcBorders>
              <w:top w:val="single" w:sz="8" w:space="0" w:color="auto"/>
              <w:left w:val="nil"/>
              <w:bottom w:val="single" w:sz="18" w:space="0" w:color="FFFF00"/>
              <w:right w:val="single" w:sz="8" w:space="0" w:color="auto"/>
            </w:tcBorders>
          </w:tcPr>
          <w:p w:rsidR="00D77280" w:rsidRDefault="00D77280" w:rsidP="00907FEC">
            <w:pPr>
              <w:rPr>
                <w:rFonts w:ascii="Calibri" w:hAnsi="Calibri"/>
                <w:b/>
                <w:bCs/>
                <w:color w:val="44546A"/>
                <w:szCs w:val="22"/>
              </w:rPr>
            </w:pPr>
            <w:r>
              <w:rPr>
                <w:rFonts w:ascii="Calibri" w:hAnsi="Calibri"/>
                <w:b/>
                <w:bCs/>
                <w:color w:val="44546A"/>
                <w:szCs w:val="22"/>
              </w:rPr>
              <w:t>050</w:t>
            </w:r>
          </w:p>
        </w:tc>
      </w:tr>
      <w:tr w:rsidR="00D77280" w:rsidTr="00907FEC">
        <w:tc>
          <w:tcPr>
            <w:tcW w:w="664" w:type="dxa"/>
            <w:tcBorders>
              <w:top w:val="single" w:sz="18" w:space="0" w:color="FFFF00"/>
              <w:left w:val="single" w:sz="18" w:space="0" w:color="FFFF00"/>
              <w:bottom w:val="single" w:sz="18" w:space="0" w:color="FFFF00"/>
              <w:right w:val="single" w:sz="18" w:space="0" w:color="D44D2A" w:themeColor="accent3"/>
            </w:tcBorders>
            <w:shd w:val="clear" w:color="auto" w:fill="FFFFCC"/>
            <w:tcMar>
              <w:top w:w="0" w:type="dxa"/>
              <w:left w:w="108" w:type="dxa"/>
              <w:bottom w:w="0" w:type="dxa"/>
              <w:right w:w="108" w:type="dxa"/>
            </w:tcMar>
            <w:hideMark/>
          </w:tcPr>
          <w:p w:rsidR="00D77280" w:rsidRDefault="00D77280" w:rsidP="00907FEC">
            <w:pPr>
              <w:rPr>
                <w:rFonts w:ascii="Calibri" w:eastAsiaTheme="minorHAnsi" w:hAnsi="Calibri"/>
                <w:b/>
                <w:bCs/>
                <w:color w:val="44546A"/>
                <w:szCs w:val="22"/>
              </w:rPr>
            </w:pPr>
            <w:r>
              <w:rPr>
                <w:rFonts w:ascii="Calibri" w:hAnsi="Calibri"/>
                <w:b/>
                <w:bCs/>
                <w:color w:val="44546A"/>
                <w:szCs w:val="22"/>
              </w:rPr>
              <w:t>010</w:t>
            </w:r>
          </w:p>
        </w:tc>
        <w:tc>
          <w:tcPr>
            <w:tcW w:w="709"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rsidR="00D77280" w:rsidRDefault="00D77280" w:rsidP="00907FEC">
            <w:pPr>
              <w:rPr>
                <w:rFonts w:ascii="Calibri" w:eastAsiaTheme="minorHAnsi" w:hAnsi="Calibri"/>
                <w:color w:val="44546A"/>
                <w:szCs w:val="22"/>
              </w:rPr>
            </w:pPr>
            <w:r>
              <w:rPr>
                <w:rFonts w:ascii="Calibri" w:hAnsi="Calibri"/>
                <w:color w:val="44546A"/>
                <w:szCs w:val="22"/>
              </w:rPr>
              <w:t>A</w:t>
            </w: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FFFFCC"/>
            <w:tcMar>
              <w:top w:w="0" w:type="dxa"/>
              <w:left w:w="108" w:type="dxa"/>
              <w:bottom w:w="0" w:type="dxa"/>
              <w:right w:w="108" w:type="dxa"/>
            </w:tcMar>
          </w:tcPr>
          <w:p w:rsidR="00D77280" w:rsidRDefault="00D77280" w:rsidP="00907FEC">
            <w:pPr>
              <w:rPr>
                <w:rFonts w:ascii="Calibri" w:eastAsiaTheme="minorHAnsi" w:hAnsi="Calibri"/>
                <w:color w:val="44546A"/>
                <w:szCs w:val="22"/>
              </w:rPr>
            </w:pPr>
          </w:p>
        </w:tc>
        <w:tc>
          <w:tcPr>
            <w:tcW w:w="851"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rsidR="00D77280" w:rsidRPr="00055C2E" w:rsidRDefault="00D77280" w:rsidP="00907FEC">
            <w:pPr>
              <w:rPr>
                <w:rFonts w:ascii="Calibri" w:hAnsi="Calibri"/>
                <w:color w:val="44546A"/>
                <w:szCs w:val="22"/>
              </w:rPr>
            </w:pPr>
            <w:r>
              <w:rPr>
                <w:rFonts w:ascii="Calibri" w:hAnsi="Calibri"/>
                <w:color w:val="44546A"/>
                <w:szCs w:val="22"/>
              </w:rPr>
              <w:t>B</w:t>
            </w: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rsidR="00D77280" w:rsidRDefault="00D77280" w:rsidP="00907FEC">
            <w:pPr>
              <w:rPr>
                <w:rFonts w:ascii="Calibri" w:eastAsiaTheme="minorHAnsi" w:hAnsi="Calibri"/>
                <w:color w:val="44546A"/>
                <w:szCs w:val="22"/>
              </w:rPr>
            </w:pPr>
            <w:r>
              <w:rPr>
                <w:rFonts w:ascii="Calibri" w:hAnsi="Calibri"/>
                <w:color w:val="44546A"/>
                <w:szCs w:val="22"/>
              </w:rPr>
              <w:t>C</w:t>
            </w:r>
          </w:p>
        </w:tc>
        <w:tc>
          <w:tcPr>
            <w:tcW w:w="709" w:type="dxa"/>
            <w:tcBorders>
              <w:top w:val="single" w:sz="18" w:space="0" w:color="FFFF00"/>
              <w:left w:val="nil"/>
              <w:bottom w:val="single" w:sz="18" w:space="0" w:color="FFFF00"/>
              <w:right w:val="single" w:sz="18" w:space="0" w:color="FFFF00"/>
            </w:tcBorders>
            <w:shd w:val="clear" w:color="auto" w:fill="FFFFCC"/>
          </w:tcPr>
          <w:p w:rsidR="00D77280" w:rsidRDefault="00D77280" w:rsidP="00907FEC">
            <w:pPr>
              <w:rPr>
                <w:rFonts w:ascii="Calibri" w:hAnsi="Calibri"/>
                <w:color w:val="44546A"/>
                <w:szCs w:val="22"/>
              </w:rPr>
            </w:pPr>
          </w:p>
        </w:tc>
      </w:tr>
      <w:tr w:rsidR="00D77280" w:rsidTr="00907FEC">
        <w:tc>
          <w:tcPr>
            <w:tcW w:w="664" w:type="dxa"/>
            <w:tcBorders>
              <w:top w:val="single" w:sz="18" w:space="0" w:color="FFFF00"/>
              <w:left w:val="single" w:sz="8" w:space="0" w:color="auto"/>
              <w:bottom w:val="single" w:sz="18" w:space="0" w:color="FFFF00"/>
              <w:right w:val="single" w:sz="18" w:space="0" w:color="D44D2A" w:themeColor="accent3"/>
            </w:tcBorders>
            <w:shd w:val="clear" w:color="auto" w:fill="auto"/>
            <w:tcMar>
              <w:top w:w="0" w:type="dxa"/>
              <w:left w:w="108" w:type="dxa"/>
              <w:bottom w:w="0" w:type="dxa"/>
              <w:right w:w="108" w:type="dxa"/>
            </w:tcMar>
            <w:hideMark/>
          </w:tcPr>
          <w:p w:rsidR="00D77280" w:rsidRDefault="00D77280" w:rsidP="00907FEC">
            <w:pPr>
              <w:rPr>
                <w:rFonts w:ascii="Calibri" w:eastAsiaTheme="minorHAnsi" w:hAnsi="Calibri"/>
                <w:b/>
                <w:bCs/>
                <w:color w:val="44546A"/>
                <w:szCs w:val="22"/>
              </w:rPr>
            </w:pPr>
            <w:r>
              <w:rPr>
                <w:rFonts w:ascii="Calibri" w:hAnsi="Calibri"/>
                <w:b/>
                <w:bCs/>
                <w:color w:val="44546A"/>
                <w:szCs w:val="22"/>
              </w:rPr>
              <w:t>020</w:t>
            </w:r>
          </w:p>
        </w:tc>
        <w:tc>
          <w:tcPr>
            <w:tcW w:w="709" w:type="dxa"/>
            <w:tcBorders>
              <w:top w:val="single" w:sz="18" w:space="0" w:color="FFFF00"/>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tcPr>
          <w:p w:rsidR="00D77280" w:rsidRDefault="00D77280" w:rsidP="00907FEC">
            <w:pPr>
              <w:rPr>
                <w:rFonts w:ascii="Calibri" w:eastAsiaTheme="minorHAnsi" w:hAnsi="Calibri"/>
                <w:color w:val="44546A"/>
                <w:szCs w:val="22"/>
              </w:rPr>
            </w:pP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auto"/>
            <w:tcMar>
              <w:top w:w="0" w:type="dxa"/>
              <w:left w:w="108" w:type="dxa"/>
              <w:bottom w:w="0" w:type="dxa"/>
              <w:right w:w="108" w:type="dxa"/>
            </w:tcMar>
          </w:tcPr>
          <w:p w:rsidR="00D77280" w:rsidRDefault="00D77280" w:rsidP="00907FEC">
            <w:pPr>
              <w:rPr>
                <w:rFonts w:ascii="Calibri" w:eastAsiaTheme="minorHAnsi" w:hAnsi="Calibri"/>
                <w:color w:val="44546A"/>
                <w:szCs w:val="22"/>
              </w:rPr>
            </w:pPr>
          </w:p>
        </w:tc>
        <w:tc>
          <w:tcPr>
            <w:tcW w:w="851" w:type="dxa"/>
            <w:tcBorders>
              <w:top w:val="single" w:sz="18" w:space="0" w:color="FFFF00"/>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tcPr>
          <w:p w:rsidR="00D77280" w:rsidRDefault="00D77280" w:rsidP="00907FEC">
            <w:pPr>
              <w:rPr>
                <w:rFonts w:ascii="Calibri" w:eastAsiaTheme="minorHAnsi" w:hAnsi="Calibri"/>
                <w:color w:val="44546A"/>
                <w:szCs w:val="22"/>
              </w:rPr>
            </w:pP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tcPr>
          <w:p w:rsidR="00D77280" w:rsidRDefault="00D77280" w:rsidP="00907FEC">
            <w:pPr>
              <w:rPr>
                <w:rFonts w:ascii="Calibri" w:eastAsiaTheme="minorHAnsi" w:hAnsi="Calibri"/>
                <w:color w:val="44546A"/>
                <w:szCs w:val="22"/>
              </w:rPr>
            </w:pPr>
          </w:p>
        </w:tc>
        <w:tc>
          <w:tcPr>
            <w:tcW w:w="709" w:type="dxa"/>
            <w:tcBorders>
              <w:top w:val="single" w:sz="18" w:space="0" w:color="FFFF00"/>
              <w:left w:val="nil"/>
              <w:bottom w:val="single" w:sz="18" w:space="0" w:color="FFFF00"/>
              <w:right w:val="single" w:sz="8" w:space="0" w:color="auto"/>
            </w:tcBorders>
          </w:tcPr>
          <w:p w:rsidR="00D77280" w:rsidRDefault="00D77280" w:rsidP="00907FEC">
            <w:pPr>
              <w:rPr>
                <w:rFonts w:ascii="Calibri" w:eastAsiaTheme="minorHAnsi" w:hAnsi="Calibri"/>
                <w:color w:val="44546A"/>
                <w:szCs w:val="22"/>
              </w:rPr>
            </w:pPr>
          </w:p>
        </w:tc>
      </w:tr>
      <w:tr w:rsidR="00D77280" w:rsidTr="00907FEC">
        <w:tc>
          <w:tcPr>
            <w:tcW w:w="664" w:type="dxa"/>
            <w:tcBorders>
              <w:top w:val="single" w:sz="18" w:space="0" w:color="FFFF00"/>
              <w:left w:val="single" w:sz="18" w:space="0" w:color="FFFF00"/>
              <w:bottom w:val="single" w:sz="18" w:space="0" w:color="FFFF00"/>
              <w:right w:val="single" w:sz="18" w:space="0" w:color="D44D2A" w:themeColor="accent3"/>
            </w:tcBorders>
            <w:shd w:val="clear" w:color="auto" w:fill="FFFFCC"/>
            <w:tcMar>
              <w:top w:w="0" w:type="dxa"/>
              <w:left w:w="108" w:type="dxa"/>
              <w:bottom w:w="0" w:type="dxa"/>
              <w:right w:w="108" w:type="dxa"/>
            </w:tcMar>
            <w:hideMark/>
          </w:tcPr>
          <w:p w:rsidR="00D77280" w:rsidRDefault="00D77280" w:rsidP="00907FEC">
            <w:pPr>
              <w:rPr>
                <w:rFonts w:ascii="Calibri" w:eastAsiaTheme="minorHAnsi" w:hAnsi="Calibri"/>
                <w:b/>
                <w:bCs/>
                <w:color w:val="44546A"/>
                <w:szCs w:val="22"/>
              </w:rPr>
            </w:pPr>
            <w:r>
              <w:rPr>
                <w:rFonts w:ascii="Calibri" w:hAnsi="Calibri"/>
                <w:b/>
                <w:bCs/>
                <w:color w:val="44546A"/>
                <w:szCs w:val="22"/>
              </w:rPr>
              <w:t>030</w:t>
            </w:r>
          </w:p>
        </w:tc>
        <w:tc>
          <w:tcPr>
            <w:tcW w:w="709"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rsidR="00D77280" w:rsidRDefault="00D77280" w:rsidP="00907FEC">
            <w:pPr>
              <w:rPr>
                <w:rFonts w:ascii="Calibri" w:eastAsiaTheme="minorHAnsi" w:hAnsi="Calibri"/>
                <w:color w:val="44546A"/>
                <w:szCs w:val="22"/>
              </w:rPr>
            </w:pPr>
            <w:r>
              <w:rPr>
                <w:rFonts w:ascii="Calibri" w:hAnsi="Calibri"/>
                <w:color w:val="44546A"/>
                <w:szCs w:val="22"/>
              </w:rPr>
              <w:t>D</w:t>
            </w: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FFFFCC"/>
            <w:tcMar>
              <w:top w:w="0" w:type="dxa"/>
              <w:left w:w="108" w:type="dxa"/>
              <w:bottom w:w="0" w:type="dxa"/>
              <w:right w:w="108" w:type="dxa"/>
            </w:tcMar>
          </w:tcPr>
          <w:p w:rsidR="00D77280" w:rsidRDefault="00D77280" w:rsidP="00907FEC">
            <w:pPr>
              <w:rPr>
                <w:rFonts w:ascii="Calibri" w:eastAsiaTheme="minorHAnsi" w:hAnsi="Calibri"/>
                <w:color w:val="44546A"/>
                <w:szCs w:val="22"/>
              </w:rPr>
            </w:pPr>
          </w:p>
        </w:tc>
        <w:tc>
          <w:tcPr>
            <w:tcW w:w="851"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rsidR="00D77280" w:rsidRDefault="00D77280" w:rsidP="00907FEC">
            <w:pPr>
              <w:rPr>
                <w:rFonts w:ascii="Calibri" w:eastAsiaTheme="minorHAnsi" w:hAnsi="Calibri"/>
                <w:color w:val="44546A"/>
                <w:szCs w:val="22"/>
              </w:rPr>
            </w:pPr>
            <w:r>
              <w:rPr>
                <w:rFonts w:ascii="Calibri" w:hAnsi="Calibri"/>
                <w:color w:val="44546A"/>
                <w:szCs w:val="22"/>
              </w:rPr>
              <w:t>E</w:t>
            </w: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rsidR="00D77280" w:rsidRDefault="00D77280" w:rsidP="00907FEC">
            <w:pPr>
              <w:rPr>
                <w:rFonts w:ascii="Calibri" w:eastAsiaTheme="minorHAnsi" w:hAnsi="Calibri"/>
                <w:color w:val="44546A"/>
                <w:szCs w:val="22"/>
              </w:rPr>
            </w:pPr>
            <w:r>
              <w:rPr>
                <w:rFonts w:ascii="Calibri" w:hAnsi="Calibri"/>
                <w:color w:val="44546A"/>
                <w:szCs w:val="22"/>
              </w:rPr>
              <w:t>F</w:t>
            </w:r>
          </w:p>
        </w:tc>
        <w:tc>
          <w:tcPr>
            <w:tcW w:w="709" w:type="dxa"/>
            <w:tcBorders>
              <w:top w:val="single" w:sz="18" w:space="0" w:color="FFFF00"/>
              <w:bottom w:val="single" w:sz="18" w:space="0" w:color="FFFF00"/>
              <w:right w:val="single" w:sz="18" w:space="0" w:color="FFFF00"/>
            </w:tcBorders>
            <w:shd w:val="clear" w:color="auto" w:fill="FFFFCC"/>
          </w:tcPr>
          <w:p w:rsidR="00D77280" w:rsidRDefault="00D77280" w:rsidP="00907FEC">
            <w:pPr>
              <w:rPr>
                <w:rFonts w:ascii="Calibri" w:hAnsi="Calibri"/>
                <w:color w:val="44546A"/>
                <w:szCs w:val="22"/>
              </w:rPr>
            </w:pPr>
          </w:p>
        </w:tc>
      </w:tr>
      <w:tr w:rsidR="00D77280" w:rsidTr="00907FEC">
        <w:tc>
          <w:tcPr>
            <w:tcW w:w="664" w:type="dxa"/>
            <w:tcBorders>
              <w:top w:val="single" w:sz="18" w:space="0" w:color="FFFF00"/>
              <w:left w:val="single" w:sz="8" w:space="0" w:color="auto"/>
              <w:bottom w:val="single" w:sz="8" w:space="0" w:color="auto"/>
              <w:right w:val="single" w:sz="18" w:space="0" w:color="D44D2A" w:themeColor="accent3"/>
            </w:tcBorders>
            <w:shd w:val="clear" w:color="auto" w:fill="auto"/>
            <w:tcMar>
              <w:top w:w="0" w:type="dxa"/>
              <w:left w:w="108" w:type="dxa"/>
              <w:bottom w:w="0" w:type="dxa"/>
              <w:right w:w="108" w:type="dxa"/>
            </w:tcMar>
          </w:tcPr>
          <w:p w:rsidR="00D77280" w:rsidRDefault="00D77280" w:rsidP="00907FEC">
            <w:pPr>
              <w:rPr>
                <w:rFonts w:ascii="Calibri" w:hAnsi="Calibri"/>
                <w:b/>
                <w:bCs/>
                <w:color w:val="44546A"/>
                <w:szCs w:val="22"/>
              </w:rPr>
            </w:pPr>
            <w:r>
              <w:rPr>
                <w:rFonts w:ascii="Calibri" w:hAnsi="Calibri"/>
                <w:b/>
                <w:bCs/>
                <w:color w:val="44546A"/>
                <w:szCs w:val="22"/>
              </w:rPr>
              <w:t>040</w:t>
            </w:r>
          </w:p>
        </w:tc>
        <w:tc>
          <w:tcPr>
            <w:tcW w:w="709" w:type="dxa"/>
            <w:tcBorders>
              <w:top w:val="single" w:sz="18" w:space="0" w:color="FFFF00"/>
              <w:left w:val="single" w:sz="18" w:space="0" w:color="D44D2A" w:themeColor="accent3"/>
              <w:bottom w:val="single" w:sz="18" w:space="0" w:color="D44D2A" w:themeColor="accent3"/>
              <w:right w:val="single" w:sz="18" w:space="0" w:color="D44D2A" w:themeColor="accent3"/>
            </w:tcBorders>
            <w:shd w:val="clear" w:color="auto" w:fill="F6DBD4" w:themeFill="accent3" w:themeFillTint="33"/>
            <w:tcMar>
              <w:top w:w="0" w:type="dxa"/>
              <w:left w:w="108" w:type="dxa"/>
              <w:bottom w:w="0" w:type="dxa"/>
              <w:right w:w="108" w:type="dxa"/>
            </w:tcMar>
          </w:tcPr>
          <w:p w:rsidR="00D77280" w:rsidRPr="00055C2E" w:rsidRDefault="00D77280" w:rsidP="00907FEC">
            <w:pPr>
              <w:rPr>
                <w:rFonts w:ascii="Calibri" w:hAnsi="Calibri"/>
                <w:b/>
                <w:bCs/>
                <w:color w:val="44546A"/>
                <w:szCs w:val="22"/>
              </w:rPr>
            </w:pPr>
          </w:p>
        </w:tc>
        <w:tc>
          <w:tcPr>
            <w:tcW w:w="850" w:type="dxa"/>
            <w:tcBorders>
              <w:top w:val="single" w:sz="18" w:space="0" w:color="FFFF00"/>
              <w:left w:val="single" w:sz="18" w:space="0" w:color="D44D2A" w:themeColor="accent3"/>
              <w:bottom w:val="single" w:sz="8" w:space="0" w:color="auto"/>
              <w:right w:val="single" w:sz="18" w:space="0" w:color="D44D2A" w:themeColor="accent3"/>
            </w:tcBorders>
            <w:shd w:val="clear" w:color="auto" w:fill="auto"/>
            <w:tcMar>
              <w:top w:w="0" w:type="dxa"/>
              <w:left w:w="108" w:type="dxa"/>
              <w:bottom w:w="0" w:type="dxa"/>
              <w:right w:w="108" w:type="dxa"/>
            </w:tcMar>
          </w:tcPr>
          <w:p w:rsidR="00D77280" w:rsidRPr="00055C2E" w:rsidRDefault="00D77280" w:rsidP="00907FEC">
            <w:pPr>
              <w:rPr>
                <w:rFonts w:ascii="Calibri" w:hAnsi="Calibri"/>
                <w:b/>
                <w:bCs/>
                <w:color w:val="44546A"/>
                <w:szCs w:val="22"/>
              </w:rPr>
            </w:pPr>
          </w:p>
        </w:tc>
        <w:tc>
          <w:tcPr>
            <w:tcW w:w="851" w:type="dxa"/>
            <w:tcBorders>
              <w:top w:val="single" w:sz="18" w:space="0" w:color="FFFF00"/>
              <w:left w:val="single" w:sz="18" w:space="0" w:color="D44D2A" w:themeColor="accent3"/>
              <w:bottom w:val="single" w:sz="18" w:space="0" w:color="D44D2A" w:themeColor="accent3"/>
              <w:right w:val="single" w:sz="18" w:space="0" w:color="D44D2A" w:themeColor="accent3"/>
            </w:tcBorders>
            <w:shd w:val="clear" w:color="auto" w:fill="F6DBD4" w:themeFill="accent3" w:themeFillTint="33"/>
            <w:tcMar>
              <w:top w:w="0" w:type="dxa"/>
              <w:left w:w="108" w:type="dxa"/>
              <w:bottom w:w="0" w:type="dxa"/>
              <w:right w:w="108" w:type="dxa"/>
            </w:tcMar>
          </w:tcPr>
          <w:p w:rsidR="00D77280" w:rsidRPr="00055C2E" w:rsidRDefault="00D77280" w:rsidP="00907FEC">
            <w:pPr>
              <w:rPr>
                <w:rFonts w:ascii="Calibri" w:hAnsi="Calibri"/>
                <w:b/>
                <w:bCs/>
                <w:color w:val="44546A"/>
                <w:szCs w:val="22"/>
              </w:rPr>
            </w:pPr>
          </w:p>
        </w:tc>
        <w:tc>
          <w:tcPr>
            <w:tcW w:w="850" w:type="dxa"/>
            <w:tcBorders>
              <w:top w:val="single" w:sz="18" w:space="0" w:color="FFFF00"/>
              <w:left w:val="single" w:sz="18" w:space="0" w:color="D44D2A" w:themeColor="accent3"/>
              <w:bottom w:val="single" w:sz="18" w:space="0" w:color="D44D2A" w:themeColor="accent3"/>
              <w:right w:val="single" w:sz="18" w:space="0" w:color="D44D2A" w:themeColor="accent3"/>
            </w:tcBorders>
            <w:shd w:val="clear" w:color="auto" w:fill="F6DBD4" w:themeFill="accent3" w:themeFillTint="33"/>
            <w:tcMar>
              <w:top w:w="0" w:type="dxa"/>
              <w:left w:w="108" w:type="dxa"/>
              <w:bottom w:w="0" w:type="dxa"/>
              <w:right w:w="108" w:type="dxa"/>
            </w:tcMar>
          </w:tcPr>
          <w:p w:rsidR="00D77280" w:rsidRPr="00055C2E" w:rsidRDefault="00D77280" w:rsidP="00907FEC">
            <w:pPr>
              <w:rPr>
                <w:rFonts w:ascii="Calibri" w:hAnsi="Calibri"/>
                <w:b/>
                <w:bCs/>
                <w:color w:val="44546A"/>
                <w:szCs w:val="22"/>
              </w:rPr>
            </w:pPr>
          </w:p>
        </w:tc>
        <w:tc>
          <w:tcPr>
            <w:tcW w:w="709" w:type="dxa"/>
            <w:tcBorders>
              <w:top w:val="single" w:sz="18" w:space="0" w:color="FFFF00"/>
              <w:left w:val="single" w:sz="18" w:space="0" w:color="D44D2A" w:themeColor="accent3"/>
              <w:bottom w:val="single" w:sz="8" w:space="0" w:color="auto"/>
              <w:right w:val="single" w:sz="8" w:space="0" w:color="auto"/>
            </w:tcBorders>
          </w:tcPr>
          <w:p w:rsidR="00D77280" w:rsidRPr="00055C2E" w:rsidRDefault="00D77280" w:rsidP="00907FEC">
            <w:pPr>
              <w:rPr>
                <w:rFonts w:ascii="Calibri" w:hAnsi="Calibri"/>
                <w:b/>
                <w:bCs/>
                <w:color w:val="44546A"/>
                <w:szCs w:val="22"/>
              </w:rPr>
            </w:pPr>
          </w:p>
        </w:tc>
      </w:tr>
    </w:tbl>
    <w:p w:rsidR="00D77280" w:rsidRDefault="00D77280" w:rsidP="00D77280"/>
    <w:p w:rsidR="00D77280" w:rsidRPr="00AF5AA3" w:rsidRDefault="00D77280" w:rsidP="00D77280">
      <w:pPr>
        <w:pStyle w:val="Titlelevel2"/>
        <w:keepNext/>
      </w:pPr>
      <w:r>
        <w:t>XBRL c</w:t>
      </w:r>
      <w:r w:rsidRPr="00AF5AA3">
        <w:t>hanges</w:t>
      </w:r>
    </w:p>
    <w:p w:rsidR="00D77280" w:rsidRDefault="00D77280" w:rsidP="00D77280">
      <w:pPr>
        <w:pStyle w:val="Titlelevel3"/>
      </w:pPr>
      <w:r>
        <w:t>Validation rules</w:t>
      </w:r>
    </w:p>
    <w:p w:rsidR="00D77280" w:rsidRDefault="00D77280" w:rsidP="00D77280">
      <w:r>
        <w:t>All validation rules which are not marked as “not implemented in XBRL” or “deleted” are now mapped to XBRL formulae. This includes formulae that are currently marked as “deactivated” (not all of which have been mapped to XBRL in prior releases).</w:t>
      </w:r>
    </w:p>
    <w:p w:rsidR="00D77280" w:rsidRDefault="00D77280" w:rsidP="00D77280"/>
    <w:p w:rsidR="00D77280" w:rsidRPr="002D2F3D" w:rsidRDefault="00D77280" w:rsidP="00D77280">
      <w:pPr>
        <w:pStyle w:val="Titlelevel3"/>
      </w:pPr>
      <w:r w:rsidRPr="002D2F3D">
        <w:t>QA 1042</w:t>
      </w:r>
      <w:r>
        <w:t xml:space="preserve"> - Multicurrency</w:t>
      </w:r>
    </w:p>
    <w:p w:rsidR="00D77280" w:rsidRDefault="00D77280" w:rsidP="00D77280">
      <w:r>
        <w:t xml:space="preserve">Note that at present there is no XBRL level enforcement of the modified EBA filing rule 3.1 which specifies the new rules around multicurrency reporting, i.e. the relationship between value of the </w:t>
      </w:r>
      <w:r w:rsidRPr="00CA7B1F">
        <w:rPr>
          <w:b/>
        </w:rPr>
        <w:t xml:space="preserve">CUS </w:t>
      </w:r>
      <w:r>
        <w:t xml:space="preserve">dimension and the unit currency, and the restriction that non-reporting currency units may only be used on facts with the </w:t>
      </w:r>
      <w:r w:rsidRPr="007C4AD7">
        <w:rPr>
          <w:b/>
        </w:rPr>
        <w:t>eba_CA</w:t>
      </w:r>
      <w:proofErr w:type="gramStart"/>
      <w:r w:rsidRPr="007C4AD7">
        <w:rPr>
          <w:b/>
        </w:rPr>
        <w:t>:x1</w:t>
      </w:r>
      <w:proofErr w:type="gramEnd"/>
      <w:r>
        <w:rPr>
          <w:b/>
        </w:rPr>
        <w:t xml:space="preserve"> </w:t>
      </w:r>
      <w:r w:rsidRPr="00CA7B1F">
        <w:t>member for the</w:t>
      </w:r>
      <w:r>
        <w:rPr>
          <w:b/>
        </w:rPr>
        <w:t xml:space="preserve"> CCA </w:t>
      </w:r>
      <w:r w:rsidRPr="00CA7B1F">
        <w:t>dimension</w:t>
      </w:r>
      <w:r>
        <w:t xml:space="preserve">. As with the previous “one reporting currency per instance” version of the rule this is currently primarily expected to be enforced by recipient data collection platforms. </w:t>
      </w:r>
    </w:p>
    <w:p w:rsidR="00A2385B" w:rsidRDefault="00A2385B" w:rsidP="00D77280"/>
    <w:p w:rsidR="00A2385B" w:rsidRDefault="00A2385B" w:rsidP="00A2385B">
      <w:pPr>
        <w:pStyle w:val="Titlelevel3"/>
      </w:pPr>
      <w:r>
        <w:t>LEI Scheme URI</w:t>
      </w:r>
    </w:p>
    <w:p w:rsidR="00A2385B" w:rsidRDefault="00A2385B" w:rsidP="00A2385B">
      <w:r>
        <w:t>Previous editions of the EBA filing rules have sadly erroneously specified a scheme URI of “http://standard.iso.org/</w:t>
      </w:r>
      <w:proofErr w:type="spellStart"/>
      <w:r>
        <w:t>iso</w:t>
      </w:r>
      <w:proofErr w:type="spellEnd"/>
      <w:r>
        <w:t xml:space="preserve">/17442” for (pre)LEI codes (note the missing </w:t>
      </w:r>
      <w:proofErr w:type="spellStart"/>
      <w:r>
        <w:t>final s</w:t>
      </w:r>
      <w:proofErr w:type="spellEnd"/>
      <w:r>
        <w:t xml:space="preserve"> of “standards”). RFC5141 however specifies the plural form.</w:t>
      </w:r>
    </w:p>
    <w:p w:rsidR="00A2385B" w:rsidRDefault="00A2385B" w:rsidP="00A2385B"/>
    <w:p w:rsidR="00A2385B" w:rsidRDefault="00A2385B" w:rsidP="00A2385B">
      <w:r>
        <w:t>Producers of instance documents are encouraged to switch as quickly as possible to producing the correct form “http://standards.iso.org/</w:t>
      </w:r>
      <w:proofErr w:type="spellStart"/>
      <w:r>
        <w:t>iso</w:t>
      </w:r>
      <w:proofErr w:type="spellEnd"/>
      <w:r>
        <w:t>/17442”. The EBA will (and consumers of instance documents are strongly encouraged also to) in practice accept either form from submitters.</w:t>
      </w:r>
    </w:p>
    <w:p w:rsidR="00D77280" w:rsidRPr="000818EE" w:rsidRDefault="00D77280" w:rsidP="00D77280">
      <w:pPr>
        <w:pStyle w:val="Titlelevel2"/>
        <w:keepNext/>
      </w:pPr>
      <w:r w:rsidRPr="000818EE">
        <w:t>Correction of Outstanding Known Issues</w:t>
      </w:r>
    </w:p>
    <w:p w:rsidR="00D77280" w:rsidRPr="00AF5AA3" w:rsidRDefault="00D77280" w:rsidP="00D77280">
      <w:r>
        <w:t>The issue noted for 2.3.x regarding the incorrectly assigned metrics for COREP C 06.02 column 040, and FINREP F 40.01 column 150 has been resolved. Reporters should now use the appropriate members for these columns, in alignment with the ITS instructions.</w:t>
      </w:r>
    </w:p>
    <w:p w:rsidR="00360446" w:rsidRPr="00AF5AA3" w:rsidRDefault="00360446" w:rsidP="00060ADA"/>
    <w:p w:rsidR="00360446" w:rsidRDefault="00360446" w:rsidP="00360446"/>
    <w:p w:rsidR="00360446" w:rsidRDefault="00360446">
      <w:pPr>
        <w:rPr>
          <w:rFonts w:asciiTheme="majorHAnsi" w:eastAsiaTheme="majorEastAsia" w:hAnsiTheme="majorHAnsi" w:cstheme="majorBidi"/>
          <w:i/>
          <w:color w:val="2F5773" w:themeColor="text2"/>
          <w:spacing w:val="5"/>
          <w:kern w:val="28"/>
          <w:sz w:val="52"/>
          <w:szCs w:val="52"/>
        </w:rPr>
      </w:pPr>
      <w:r>
        <w:rPr>
          <w:i/>
        </w:rPr>
        <w:br w:type="page"/>
      </w:r>
    </w:p>
    <w:p w:rsidR="00E47786" w:rsidRPr="00E47786" w:rsidRDefault="00E47786" w:rsidP="00E47786">
      <w:pPr>
        <w:pStyle w:val="Titlelevel1"/>
        <w:rPr>
          <w:i/>
        </w:rPr>
      </w:pPr>
      <w:r w:rsidRPr="00E47786">
        <w:rPr>
          <w:i/>
        </w:rPr>
        <w:lastRenderedPageBreak/>
        <w:t>v2.3.</w:t>
      </w:r>
      <w:r>
        <w:rPr>
          <w:i/>
        </w:rPr>
        <w:t>2</w:t>
      </w:r>
      <w:r w:rsidRPr="00E47786">
        <w:rPr>
          <w:i/>
        </w:rPr>
        <w:t xml:space="preserve"> (“2015-A</w:t>
      </w:r>
      <w:r>
        <w:rPr>
          <w:i/>
        </w:rPr>
        <w:t>-2</w:t>
      </w:r>
      <w:r w:rsidRPr="00E47786">
        <w:rPr>
          <w:i/>
        </w:rPr>
        <w:t>”</w:t>
      </w:r>
      <w:r w:rsidR="005A683A">
        <w:rPr>
          <w:i/>
        </w:rPr>
        <w:t xml:space="preserve"> Addition</w:t>
      </w:r>
      <w:r w:rsidRPr="00E47786">
        <w:rPr>
          <w:i/>
        </w:rPr>
        <w:t>)</w:t>
      </w:r>
      <w:r w:rsidRPr="00E47786">
        <w:rPr>
          <w:rFonts w:ascii="Arial" w:hAnsi="Arial" w:cs="Arial"/>
          <w:i/>
          <w:color w:val="696969"/>
          <w:sz w:val="18"/>
          <w:szCs w:val="18"/>
          <w:shd w:val="clear" w:color="auto" w:fill="FFFFFF"/>
        </w:rPr>
        <w:t xml:space="preserve"> </w:t>
      </w:r>
      <w:r w:rsidR="005A683A">
        <w:rPr>
          <w:rFonts w:ascii="Arial" w:hAnsi="Arial" w:cs="Arial"/>
          <w:i/>
          <w:color w:val="696969"/>
          <w:sz w:val="18"/>
          <w:szCs w:val="18"/>
          <w:shd w:val="clear" w:color="auto" w:fill="FFFFFF"/>
        </w:rPr>
        <w:t>(03</w:t>
      </w:r>
      <w:r>
        <w:rPr>
          <w:rFonts w:ascii="Arial" w:hAnsi="Arial" w:cs="Arial"/>
          <w:i/>
          <w:color w:val="696969"/>
          <w:sz w:val="18"/>
          <w:szCs w:val="18"/>
          <w:shd w:val="clear" w:color="auto" w:fill="FFFFFF"/>
        </w:rPr>
        <w:t>/07</w:t>
      </w:r>
      <w:r w:rsidRPr="00E47786">
        <w:rPr>
          <w:rFonts w:ascii="Arial" w:hAnsi="Arial" w:cs="Arial"/>
          <w:i/>
          <w:color w:val="696969"/>
          <w:sz w:val="18"/>
          <w:szCs w:val="18"/>
          <w:shd w:val="clear" w:color="auto" w:fill="FFFFFF"/>
        </w:rPr>
        <w:t>/2015)</w:t>
      </w:r>
    </w:p>
    <w:p w:rsidR="00E47786" w:rsidRPr="00AF5AA3" w:rsidRDefault="00E47786" w:rsidP="00E47786">
      <w:pPr>
        <w:pStyle w:val="Titlelevel2"/>
      </w:pPr>
      <w:r w:rsidRPr="00AF5AA3">
        <w:t>Purpose</w:t>
      </w:r>
    </w:p>
    <w:p w:rsidR="00587A42" w:rsidRPr="00AF5AA3" w:rsidRDefault="00CB1E6B" w:rsidP="00587A42">
      <w:proofErr w:type="gramStart"/>
      <w:r>
        <w:t>T</w:t>
      </w:r>
      <w:r w:rsidR="00587A42" w:rsidRPr="00AF5AA3">
        <w:t>axonomy release for FINREP Individual reporting.</w:t>
      </w:r>
      <w:proofErr w:type="gramEnd"/>
      <w:r w:rsidR="00587A42" w:rsidRPr="00AF5AA3">
        <w:t xml:space="preserve">  </w:t>
      </w:r>
    </w:p>
    <w:p w:rsidR="00587A42" w:rsidRPr="00AF5AA3" w:rsidRDefault="00587A42" w:rsidP="00587A42"/>
    <w:p w:rsidR="005A683A" w:rsidRDefault="005A683A" w:rsidP="005A683A">
      <w:r>
        <w:t xml:space="preserve">This v2.3.2 </w:t>
      </w:r>
      <w:r w:rsidR="0022111D">
        <w:t xml:space="preserve">additive </w:t>
      </w:r>
      <w:r>
        <w:t>release simply adds two additional entry points (reports) which may be used for individual (</w:t>
      </w:r>
      <w:r w:rsidR="0022111D">
        <w:t>i.e. “S</w:t>
      </w:r>
      <w:r w:rsidR="0022111D" w:rsidRPr="00AF5AA3">
        <w:t>olo</w:t>
      </w:r>
      <w:r w:rsidR="0022111D">
        <w:t>”/unconsolidated</w:t>
      </w:r>
      <w:r>
        <w:t>) FINREP data. Note that the structure of the tables in these Individual entry points is identical to the equivalent Consolidated FINREP reports in v2.3/2.3.1. The validation rules are also functionally equivalent, with the exception of two minor changes to rules applying to table F 00.01 required in order to allow proper indication of the “Individual” reporting scope of these reports.</w:t>
      </w:r>
    </w:p>
    <w:p w:rsidR="005A683A" w:rsidRDefault="005A683A" w:rsidP="005A683A"/>
    <w:p w:rsidR="005A683A" w:rsidRPr="005A683A" w:rsidRDefault="005A683A" w:rsidP="005A683A">
      <w:pPr>
        <w:rPr>
          <w:b/>
        </w:rPr>
      </w:pPr>
      <w:r w:rsidRPr="005A683A">
        <w:rPr>
          <w:b/>
        </w:rPr>
        <w:t>PLEASE NOTE – Entities who do NOT intend to use FINREP Individual reports have no need to use or install 2.3.2.</w:t>
      </w:r>
      <w:r>
        <w:rPr>
          <w:b/>
        </w:rPr>
        <w:t xml:space="preserve"> Remittance of Consolidated FINREP should continue using the existing 2.3 entry points.</w:t>
      </w:r>
    </w:p>
    <w:p w:rsidR="00DA19C1" w:rsidRDefault="00DA19C1" w:rsidP="00587A42"/>
    <w:p w:rsidR="00587A42" w:rsidRPr="00AF5AA3" w:rsidRDefault="007D121B" w:rsidP="00587A42">
      <w:r>
        <w:t>Although the EBA does not currently expect to receive FINREP individual data from Competent Authorities, these reporting structures are being provided at the EB</w:t>
      </w:r>
      <w:r w:rsidR="005A683A">
        <w:t>A level to facilitate greater European h</w:t>
      </w:r>
      <w:r>
        <w:t>armonisation. They are</w:t>
      </w:r>
      <w:r w:rsidR="003E109D">
        <w:t>,</w:t>
      </w:r>
      <w:r>
        <w:t xml:space="preserve"> </w:t>
      </w:r>
      <w:r w:rsidR="003E109D">
        <w:t xml:space="preserve">for example, </w:t>
      </w:r>
      <w:r>
        <w:t xml:space="preserve">likely to be used in the forthcoming SSM </w:t>
      </w:r>
      <w:r w:rsidR="00DA19C1">
        <w:t>reporting of Individual level FINREP.</w:t>
      </w:r>
      <w:r>
        <w:t xml:space="preserve"> </w:t>
      </w:r>
    </w:p>
    <w:p w:rsidR="00413725" w:rsidRDefault="00413725" w:rsidP="00587A42"/>
    <w:p w:rsidR="00E47786" w:rsidRPr="00AF5AA3" w:rsidRDefault="00E47786" w:rsidP="00E47786">
      <w:pPr>
        <w:pStyle w:val="Titlelevel2"/>
      </w:pPr>
      <w:r w:rsidRPr="00AF5AA3">
        <w:t>DPM Changes</w:t>
      </w:r>
    </w:p>
    <w:p w:rsidR="00E47786" w:rsidRPr="00AF5AA3" w:rsidRDefault="00587A42" w:rsidP="00E47786">
      <w:pPr>
        <w:pStyle w:val="ListParagraph"/>
        <w:numPr>
          <w:ilvl w:val="0"/>
          <w:numId w:val="15"/>
        </w:numPr>
      </w:pPr>
      <w:r w:rsidRPr="00AF5AA3">
        <w:t xml:space="preserve">Two additional </w:t>
      </w:r>
      <w:r w:rsidR="00E47786" w:rsidRPr="00AF5AA3">
        <w:t xml:space="preserve">entry points </w:t>
      </w:r>
      <w:r w:rsidRPr="00AF5AA3">
        <w:t xml:space="preserve">have been added </w:t>
      </w:r>
      <w:r w:rsidR="00E47786" w:rsidRPr="00AF5AA3">
        <w:t xml:space="preserve">for </w:t>
      </w:r>
      <w:r w:rsidRPr="00AF5AA3">
        <w:t xml:space="preserve">Individual (i.e. solo) </w:t>
      </w:r>
      <w:r w:rsidR="00E47786" w:rsidRPr="00AF5AA3">
        <w:t>F</w:t>
      </w:r>
      <w:r w:rsidRPr="00AF5AA3">
        <w:t>INREP</w:t>
      </w:r>
      <w:r w:rsidR="00AF5AA3" w:rsidRPr="00AF5AA3">
        <w:t xml:space="preserve"> alongside the existing consolidated entry points from </w:t>
      </w:r>
      <w:r w:rsidR="005A683A">
        <w:t>v</w:t>
      </w:r>
      <w:r w:rsidR="00AF5AA3" w:rsidRPr="00AF5AA3">
        <w:t>2.3</w:t>
      </w:r>
      <w:r w:rsidR="00E47786" w:rsidRPr="00AF5AA3">
        <w:t>:</w:t>
      </w:r>
    </w:p>
    <w:tbl>
      <w:tblPr>
        <w:tblStyle w:val="EBAtable"/>
        <w:tblW w:w="0" w:type="auto"/>
        <w:tblInd w:w="51" w:type="dxa"/>
        <w:tblLayout w:type="fixed"/>
        <w:tblLook w:val="04A0" w:firstRow="1" w:lastRow="0" w:firstColumn="1" w:lastColumn="0" w:noHBand="0" w:noVBand="1"/>
      </w:tblPr>
      <w:tblGrid>
        <w:gridCol w:w="1475"/>
        <w:gridCol w:w="3402"/>
        <w:gridCol w:w="4312"/>
      </w:tblGrid>
      <w:tr w:rsidR="00AF5AA3" w:rsidRPr="00AF5AA3" w:rsidTr="00AF5AA3">
        <w:trPr>
          <w:cnfStyle w:val="100000000000" w:firstRow="1" w:lastRow="0" w:firstColumn="0" w:lastColumn="0" w:oddVBand="0" w:evenVBand="0" w:oddHBand="0" w:evenHBand="0" w:firstRowFirstColumn="0" w:firstRowLastColumn="0" w:lastRowFirstColumn="0" w:lastRowLastColumn="0"/>
          <w:cantSplit/>
        </w:trPr>
        <w:tc>
          <w:tcPr>
            <w:tcW w:w="1475" w:type="dxa"/>
          </w:tcPr>
          <w:p w:rsidR="00AF5AA3" w:rsidRPr="00AF5AA3" w:rsidRDefault="00AF5AA3" w:rsidP="00587A42">
            <w:pPr>
              <w:keepNext/>
              <w:keepLines/>
              <w:rPr>
                <w:b/>
              </w:rPr>
            </w:pPr>
            <w:r w:rsidRPr="00AF5AA3">
              <w:rPr>
                <w:b/>
              </w:rPr>
              <w:t>Introduced In</w:t>
            </w:r>
          </w:p>
        </w:tc>
        <w:tc>
          <w:tcPr>
            <w:tcW w:w="3402" w:type="dxa"/>
            <w:tcMar>
              <w:left w:w="57" w:type="dxa"/>
              <w:right w:w="57" w:type="dxa"/>
            </w:tcMar>
          </w:tcPr>
          <w:p w:rsidR="00AF5AA3" w:rsidRPr="00AF5AA3" w:rsidRDefault="00AF5AA3" w:rsidP="00587A42">
            <w:pPr>
              <w:keepNext/>
              <w:keepLines/>
              <w:rPr>
                <w:b/>
              </w:rPr>
            </w:pPr>
            <w:r w:rsidRPr="00AF5AA3">
              <w:rPr>
                <w:b/>
              </w:rPr>
              <w:t>Report</w:t>
            </w:r>
          </w:p>
        </w:tc>
        <w:tc>
          <w:tcPr>
            <w:tcW w:w="4312" w:type="dxa"/>
            <w:tcMar>
              <w:left w:w="57" w:type="dxa"/>
              <w:right w:w="57" w:type="dxa"/>
            </w:tcMar>
          </w:tcPr>
          <w:p w:rsidR="00AF5AA3" w:rsidRPr="00AF5AA3" w:rsidRDefault="00AF5AA3" w:rsidP="00587A42">
            <w:pPr>
              <w:keepNext/>
              <w:keepLines/>
              <w:rPr>
                <w:b/>
              </w:rPr>
            </w:pPr>
            <w:proofErr w:type="spellStart"/>
            <w:r w:rsidRPr="00AF5AA3">
              <w:rPr>
                <w:b/>
              </w:rPr>
              <w:t>SchemaRef</w:t>
            </w:r>
            <w:proofErr w:type="spellEnd"/>
          </w:p>
        </w:tc>
      </w:tr>
      <w:tr w:rsidR="00AF5AA3" w:rsidRPr="00AF5AA3" w:rsidTr="00AF5AA3">
        <w:trPr>
          <w:cantSplit/>
          <w:trHeight w:val="195"/>
        </w:trPr>
        <w:tc>
          <w:tcPr>
            <w:tcW w:w="1475" w:type="dxa"/>
          </w:tcPr>
          <w:p w:rsidR="00AF5AA3" w:rsidRPr="00AF5AA3" w:rsidRDefault="00AF5AA3" w:rsidP="00587A42">
            <w:pPr>
              <w:keepNext/>
              <w:keepLines/>
              <w:rPr>
                <w:sz w:val="16"/>
              </w:rPr>
            </w:pPr>
            <w:r w:rsidRPr="00AF5AA3">
              <w:rPr>
                <w:sz w:val="16"/>
              </w:rPr>
              <w:t>2.3</w:t>
            </w:r>
          </w:p>
        </w:tc>
        <w:tc>
          <w:tcPr>
            <w:tcW w:w="3402" w:type="dxa"/>
            <w:tcMar>
              <w:left w:w="57" w:type="dxa"/>
              <w:right w:w="57" w:type="dxa"/>
            </w:tcMar>
          </w:tcPr>
          <w:p w:rsidR="00AF5AA3" w:rsidRPr="00AF5AA3" w:rsidRDefault="00AF5AA3" w:rsidP="00587A42">
            <w:pPr>
              <w:keepNext/>
              <w:keepLines/>
              <w:rPr>
                <w:sz w:val="16"/>
              </w:rPr>
            </w:pPr>
            <w:r w:rsidRPr="00AF5AA3">
              <w:rPr>
                <w:sz w:val="16"/>
              </w:rPr>
              <w:t>Financial Reporting, Consolidated (Prudential scope) National GAAP</w:t>
            </w:r>
          </w:p>
        </w:tc>
        <w:tc>
          <w:tcPr>
            <w:tcW w:w="4312" w:type="dxa"/>
            <w:tcMar>
              <w:left w:w="57" w:type="dxa"/>
              <w:right w:w="57" w:type="dxa"/>
            </w:tcMar>
          </w:tcPr>
          <w:p w:rsidR="00AF5AA3" w:rsidRPr="00AF5AA3" w:rsidRDefault="00AF5AA3" w:rsidP="00587A42">
            <w:pPr>
              <w:keepNext/>
              <w:keepLines/>
              <w:rPr>
                <w:rFonts w:ascii="Arial Narrow" w:hAnsi="Arial Narrow"/>
                <w:sz w:val="18"/>
              </w:rPr>
            </w:pPr>
            <w:r w:rsidRPr="00AF5AA3">
              <w:rPr>
                <w:rFonts w:ascii="Arial Narrow" w:hAnsi="Arial Narrow"/>
                <w:sz w:val="18"/>
              </w:rPr>
              <w:t>http://www.eba.europa.eu/eu/fr/xbrl/crr/fws/finrep/its-2014-05/2015-02-16/mod/</w:t>
            </w:r>
            <w:r w:rsidRPr="005A683A">
              <w:rPr>
                <w:rFonts w:ascii="Arial Narrow" w:hAnsi="Arial Narrow"/>
                <w:sz w:val="18"/>
              </w:rPr>
              <w:t>finrep_con_gaap</w:t>
            </w:r>
            <w:r w:rsidRPr="00AF5AA3">
              <w:rPr>
                <w:rFonts w:ascii="Arial Narrow" w:hAnsi="Arial Narrow"/>
                <w:sz w:val="18"/>
              </w:rPr>
              <w:t>.xsd</w:t>
            </w:r>
          </w:p>
        </w:tc>
      </w:tr>
      <w:tr w:rsidR="00AF5AA3" w:rsidRPr="00AF5AA3" w:rsidTr="00AF5AA3">
        <w:trPr>
          <w:cantSplit/>
          <w:trHeight w:val="195"/>
        </w:trPr>
        <w:tc>
          <w:tcPr>
            <w:tcW w:w="1475" w:type="dxa"/>
          </w:tcPr>
          <w:p w:rsidR="00AF5AA3" w:rsidRPr="00AF5AA3" w:rsidRDefault="00AF5AA3" w:rsidP="00587A42">
            <w:pPr>
              <w:keepNext/>
              <w:keepLines/>
              <w:rPr>
                <w:sz w:val="16"/>
              </w:rPr>
            </w:pPr>
            <w:r w:rsidRPr="00AF5AA3">
              <w:rPr>
                <w:sz w:val="16"/>
              </w:rPr>
              <w:t>2.3</w:t>
            </w:r>
          </w:p>
        </w:tc>
        <w:tc>
          <w:tcPr>
            <w:tcW w:w="3402" w:type="dxa"/>
            <w:tcMar>
              <w:left w:w="57" w:type="dxa"/>
              <w:right w:w="57" w:type="dxa"/>
            </w:tcMar>
          </w:tcPr>
          <w:p w:rsidR="00AF5AA3" w:rsidRPr="00AF5AA3" w:rsidRDefault="00AF5AA3" w:rsidP="00587A42">
            <w:pPr>
              <w:keepNext/>
              <w:keepLines/>
              <w:rPr>
                <w:sz w:val="16"/>
              </w:rPr>
            </w:pPr>
            <w:r w:rsidRPr="00AF5AA3">
              <w:rPr>
                <w:sz w:val="16"/>
              </w:rPr>
              <w:t>Financial Reporting, Consolidated (Prudential scope) IFRS</w:t>
            </w:r>
          </w:p>
        </w:tc>
        <w:tc>
          <w:tcPr>
            <w:tcW w:w="4312" w:type="dxa"/>
            <w:tcMar>
              <w:left w:w="57" w:type="dxa"/>
              <w:right w:w="57" w:type="dxa"/>
            </w:tcMar>
          </w:tcPr>
          <w:p w:rsidR="00AF5AA3" w:rsidRPr="00AF5AA3" w:rsidRDefault="00AF5AA3" w:rsidP="00587A42">
            <w:pPr>
              <w:keepNext/>
              <w:keepLines/>
              <w:rPr>
                <w:rFonts w:ascii="Arial Narrow" w:hAnsi="Arial Narrow"/>
                <w:sz w:val="18"/>
              </w:rPr>
            </w:pPr>
            <w:r w:rsidRPr="00AF5AA3">
              <w:rPr>
                <w:rFonts w:ascii="Arial Narrow" w:hAnsi="Arial Narrow"/>
                <w:sz w:val="18"/>
              </w:rPr>
              <w:t>http://www.eba.europa.eu/eu/fr/xbrl/crr/fws/finrep/its-2014-05/2015-02-16/mod/</w:t>
            </w:r>
            <w:r w:rsidRPr="005A683A">
              <w:rPr>
                <w:rFonts w:ascii="Arial Narrow" w:hAnsi="Arial Narrow"/>
                <w:sz w:val="18"/>
              </w:rPr>
              <w:t>finrep_con_ifrs</w:t>
            </w:r>
            <w:r w:rsidRPr="00AF5AA3">
              <w:rPr>
                <w:rFonts w:ascii="Arial Narrow" w:hAnsi="Arial Narrow"/>
                <w:sz w:val="18"/>
              </w:rPr>
              <w:t>.xsd</w:t>
            </w:r>
          </w:p>
        </w:tc>
      </w:tr>
      <w:tr w:rsidR="00AF5AA3" w:rsidRPr="00AF5AA3" w:rsidTr="00AF5AA3">
        <w:trPr>
          <w:cantSplit/>
          <w:trHeight w:val="195"/>
        </w:trPr>
        <w:tc>
          <w:tcPr>
            <w:tcW w:w="1475" w:type="dxa"/>
          </w:tcPr>
          <w:p w:rsidR="00AF5AA3" w:rsidRPr="00AF5AA3" w:rsidRDefault="00AF5AA3" w:rsidP="00587A42">
            <w:pPr>
              <w:keepNext/>
              <w:keepLines/>
              <w:rPr>
                <w:b/>
                <w:sz w:val="16"/>
              </w:rPr>
            </w:pPr>
            <w:r w:rsidRPr="00AF5AA3">
              <w:rPr>
                <w:b/>
                <w:sz w:val="16"/>
              </w:rPr>
              <w:t>2.3.2</w:t>
            </w:r>
          </w:p>
        </w:tc>
        <w:tc>
          <w:tcPr>
            <w:tcW w:w="3402" w:type="dxa"/>
            <w:tcMar>
              <w:left w:w="57" w:type="dxa"/>
              <w:right w:w="57" w:type="dxa"/>
            </w:tcMar>
          </w:tcPr>
          <w:p w:rsidR="00AF5AA3" w:rsidRPr="00AF5AA3" w:rsidRDefault="00AF5AA3" w:rsidP="00587A42">
            <w:pPr>
              <w:keepNext/>
              <w:keepLines/>
              <w:rPr>
                <w:b/>
                <w:sz w:val="16"/>
              </w:rPr>
            </w:pPr>
            <w:r w:rsidRPr="00AF5AA3">
              <w:rPr>
                <w:b/>
                <w:sz w:val="16"/>
              </w:rPr>
              <w:t>Financial Reporting, Individual National GAAP</w:t>
            </w:r>
          </w:p>
        </w:tc>
        <w:tc>
          <w:tcPr>
            <w:tcW w:w="4312" w:type="dxa"/>
            <w:tcMar>
              <w:left w:w="57" w:type="dxa"/>
              <w:right w:w="57" w:type="dxa"/>
            </w:tcMar>
          </w:tcPr>
          <w:p w:rsidR="00AF5AA3" w:rsidRPr="00AF5AA3" w:rsidRDefault="00AF5AA3" w:rsidP="005A683A">
            <w:pPr>
              <w:keepNext/>
              <w:keepLines/>
              <w:rPr>
                <w:rFonts w:ascii="Arial Narrow" w:hAnsi="Arial Narrow"/>
                <w:sz w:val="18"/>
              </w:rPr>
            </w:pPr>
            <w:r w:rsidRPr="00AF5AA3">
              <w:rPr>
                <w:rFonts w:ascii="Arial Narrow" w:hAnsi="Arial Narrow"/>
                <w:sz w:val="18"/>
              </w:rPr>
              <w:t>http://www.eba.europa.eu/eu/fr/xbrl/crr/fws/finrep/its-2014-05/2015-</w:t>
            </w:r>
            <w:r w:rsidRPr="005A683A">
              <w:rPr>
                <w:rFonts w:ascii="Arial Narrow" w:hAnsi="Arial Narrow"/>
                <w:b/>
                <w:sz w:val="18"/>
              </w:rPr>
              <w:t>0</w:t>
            </w:r>
            <w:r w:rsidR="005A683A" w:rsidRPr="005A683A">
              <w:rPr>
                <w:rFonts w:ascii="Arial Narrow" w:hAnsi="Arial Narrow"/>
                <w:b/>
                <w:sz w:val="18"/>
              </w:rPr>
              <w:t>7-03</w:t>
            </w:r>
            <w:r w:rsidRPr="00AF5AA3">
              <w:rPr>
                <w:rFonts w:ascii="Arial Narrow" w:hAnsi="Arial Narrow"/>
                <w:sz w:val="18"/>
              </w:rPr>
              <w:t>/mod/</w:t>
            </w:r>
            <w:r w:rsidRPr="005A683A">
              <w:rPr>
                <w:rFonts w:ascii="Arial Narrow" w:hAnsi="Arial Narrow"/>
                <w:sz w:val="18"/>
              </w:rPr>
              <w:t>finrep_</w:t>
            </w:r>
            <w:r w:rsidRPr="005A683A">
              <w:rPr>
                <w:rFonts w:ascii="Arial Narrow" w:hAnsi="Arial Narrow"/>
                <w:b/>
                <w:sz w:val="18"/>
              </w:rPr>
              <w:t>ind</w:t>
            </w:r>
            <w:r w:rsidRPr="005A683A">
              <w:rPr>
                <w:rFonts w:ascii="Arial Narrow" w:hAnsi="Arial Narrow"/>
                <w:sz w:val="18"/>
              </w:rPr>
              <w:t>_gaap</w:t>
            </w:r>
            <w:r w:rsidRPr="00AF5AA3">
              <w:rPr>
                <w:rFonts w:ascii="Arial Narrow" w:hAnsi="Arial Narrow"/>
                <w:sz w:val="18"/>
              </w:rPr>
              <w:t>.xsd</w:t>
            </w:r>
          </w:p>
        </w:tc>
      </w:tr>
      <w:tr w:rsidR="00AF5AA3" w:rsidRPr="00AF5AA3" w:rsidTr="00AF5AA3">
        <w:trPr>
          <w:trHeight w:val="195"/>
        </w:trPr>
        <w:tc>
          <w:tcPr>
            <w:tcW w:w="1475" w:type="dxa"/>
          </w:tcPr>
          <w:p w:rsidR="00AF5AA3" w:rsidRPr="00AF5AA3" w:rsidRDefault="00AF5AA3" w:rsidP="00587A42">
            <w:pPr>
              <w:keepLines/>
              <w:rPr>
                <w:b/>
                <w:sz w:val="16"/>
              </w:rPr>
            </w:pPr>
            <w:r w:rsidRPr="00AF5AA3">
              <w:rPr>
                <w:b/>
                <w:sz w:val="16"/>
              </w:rPr>
              <w:t>2.3.2</w:t>
            </w:r>
          </w:p>
        </w:tc>
        <w:tc>
          <w:tcPr>
            <w:tcW w:w="3402" w:type="dxa"/>
            <w:tcMar>
              <w:left w:w="57" w:type="dxa"/>
              <w:right w:w="57" w:type="dxa"/>
            </w:tcMar>
          </w:tcPr>
          <w:p w:rsidR="00AF5AA3" w:rsidRPr="00AF5AA3" w:rsidRDefault="00AF5AA3" w:rsidP="00587A42">
            <w:pPr>
              <w:keepLines/>
              <w:rPr>
                <w:b/>
                <w:sz w:val="16"/>
              </w:rPr>
            </w:pPr>
            <w:r w:rsidRPr="00AF5AA3">
              <w:rPr>
                <w:b/>
                <w:sz w:val="16"/>
              </w:rPr>
              <w:t>Financial Reporting, Individual IFRS</w:t>
            </w:r>
          </w:p>
        </w:tc>
        <w:tc>
          <w:tcPr>
            <w:tcW w:w="4312" w:type="dxa"/>
            <w:tcMar>
              <w:left w:w="57" w:type="dxa"/>
              <w:right w:w="57" w:type="dxa"/>
            </w:tcMar>
          </w:tcPr>
          <w:p w:rsidR="00AF5AA3" w:rsidRPr="00AF5AA3" w:rsidRDefault="00AF5AA3" w:rsidP="005A683A">
            <w:pPr>
              <w:keepNext/>
              <w:keepLines/>
              <w:rPr>
                <w:sz w:val="16"/>
              </w:rPr>
            </w:pPr>
            <w:r w:rsidRPr="005A683A">
              <w:rPr>
                <w:rFonts w:ascii="Arial Narrow" w:hAnsi="Arial Narrow"/>
                <w:sz w:val="18"/>
              </w:rPr>
              <w:t>http://www.eba.europa.eu/eu/fr/xbrl/cr</w:t>
            </w:r>
            <w:r w:rsidR="005A683A">
              <w:rPr>
                <w:rFonts w:ascii="Arial Narrow" w:hAnsi="Arial Narrow"/>
                <w:sz w:val="18"/>
              </w:rPr>
              <w:t>r/fws/finrep/its-2014-05/2015-</w:t>
            </w:r>
            <w:r w:rsidR="005A683A" w:rsidRPr="005A683A">
              <w:rPr>
                <w:rFonts w:ascii="Arial Narrow" w:hAnsi="Arial Narrow"/>
                <w:b/>
                <w:sz w:val="18"/>
              </w:rPr>
              <w:t>07-03</w:t>
            </w:r>
            <w:r w:rsidRPr="005A683A">
              <w:rPr>
                <w:rFonts w:ascii="Arial Narrow" w:hAnsi="Arial Narrow"/>
                <w:sz w:val="18"/>
              </w:rPr>
              <w:t>/mod/finrep_</w:t>
            </w:r>
            <w:r w:rsidRPr="005A683A">
              <w:rPr>
                <w:rFonts w:ascii="Arial Narrow" w:hAnsi="Arial Narrow"/>
                <w:b/>
                <w:sz w:val="18"/>
              </w:rPr>
              <w:t>ind</w:t>
            </w:r>
            <w:r w:rsidRPr="005A683A">
              <w:rPr>
                <w:rFonts w:ascii="Arial Narrow" w:hAnsi="Arial Narrow"/>
                <w:sz w:val="18"/>
              </w:rPr>
              <w:t>_ifrs.xsd</w:t>
            </w:r>
          </w:p>
        </w:tc>
      </w:tr>
    </w:tbl>
    <w:p w:rsidR="00E47786" w:rsidRPr="00AF5AA3" w:rsidRDefault="00E47786" w:rsidP="00E47786">
      <w:pPr>
        <w:pStyle w:val="Titlelevel3"/>
      </w:pPr>
      <w:r w:rsidRPr="00AF5AA3">
        <w:t>Validation Rule Changes</w:t>
      </w:r>
    </w:p>
    <w:p w:rsidR="00AF5AA3" w:rsidRDefault="00AF5AA3" w:rsidP="00C92C09">
      <w:pPr>
        <w:pStyle w:val="ListParagraph"/>
        <w:numPr>
          <w:ilvl w:val="0"/>
          <w:numId w:val="15"/>
        </w:numPr>
      </w:pPr>
      <w:r>
        <w:t xml:space="preserve">The validation rule </w:t>
      </w:r>
      <w:r w:rsidR="00C92C09" w:rsidRPr="00C92C09">
        <w:t>v4006_c</w:t>
      </w:r>
      <w:r w:rsidR="00C05123">
        <w:t>,</w:t>
      </w:r>
      <w:r>
        <w:t xml:space="preserve"> which in v2.3.1 and before enforced that the consolidation level reported in table F 00.01 for a FINREP report had to be “Consolidated”</w:t>
      </w:r>
      <w:r w:rsidR="00C05123">
        <w:t>,</w:t>
      </w:r>
      <w:r>
        <w:t xml:space="preserve"> has been changed to require this only for consolidated FINREP entry points</w:t>
      </w:r>
      <w:r w:rsidR="00C05123">
        <w:t xml:space="preserve"> </w:t>
      </w:r>
      <w:r>
        <w:t>as per the equivalent rules for other frameworks.</w:t>
      </w:r>
    </w:p>
    <w:p w:rsidR="00AF5AA3" w:rsidRDefault="00AF5AA3" w:rsidP="00AF5AA3">
      <w:pPr>
        <w:pStyle w:val="ListParagraph"/>
        <w:numPr>
          <w:ilvl w:val="0"/>
          <w:numId w:val="15"/>
        </w:numPr>
      </w:pPr>
      <w:r>
        <w:t xml:space="preserve">An additional rule </w:t>
      </w:r>
      <w:r w:rsidR="00C92C09" w:rsidRPr="00C92C09">
        <w:t>v4442_c</w:t>
      </w:r>
      <w:r w:rsidR="00C92C09">
        <w:t xml:space="preserve"> </w:t>
      </w:r>
      <w:r>
        <w:t>has been added to FINREP to enforce the complementary check that the consolidation reported in F 00.01 should be “Individual” for the individual entry points.</w:t>
      </w:r>
    </w:p>
    <w:p w:rsidR="00AF5AA3" w:rsidRPr="00AF5AA3" w:rsidRDefault="00AF5AA3" w:rsidP="007D121B">
      <w:pPr>
        <w:pStyle w:val="Titlelevel3"/>
      </w:pPr>
      <w:r>
        <w:lastRenderedPageBreak/>
        <w:t>DPM DB</w:t>
      </w:r>
      <w:r w:rsidRPr="00AF5AA3">
        <w:t xml:space="preserve"> Changes</w:t>
      </w:r>
    </w:p>
    <w:p w:rsidR="00772008" w:rsidRDefault="00772008" w:rsidP="0022111D">
      <w:pPr>
        <w:pStyle w:val="ListParagraph"/>
        <w:numPr>
          <w:ilvl w:val="0"/>
          <w:numId w:val="46"/>
        </w:numPr>
      </w:pPr>
      <w:r w:rsidRPr="00C92C09">
        <w:rPr>
          <w:b/>
        </w:rPr>
        <w:t>Taxonomy</w:t>
      </w:r>
      <w:r w:rsidR="00C92C09">
        <w:t xml:space="preserve">: </w:t>
      </w:r>
      <w:proofErr w:type="spellStart"/>
      <w:r w:rsidR="00C92C09">
        <w:t>TaxonomyID</w:t>
      </w:r>
      <w:proofErr w:type="spellEnd"/>
      <w:r w:rsidR="00C92C09">
        <w:t xml:space="preserve"> 1</w:t>
      </w:r>
      <w:r w:rsidR="0022111D">
        <w:t>6</w:t>
      </w:r>
      <w:r w:rsidR="00C92C09">
        <w:t xml:space="preserve"> </w:t>
      </w:r>
      <w:r w:rsidR="0022111D">
        <w:t xml:space="preserve">added as </w:t>
      </w:r>
      <w:r w:rsidR="00C92C09">
        <w:t>updated to Version=’2.1.3</w:t>
      </w:r>
      <w:r w:rsidR="0022111D">
        <w:t xml:space="preserve">’, </w:t>
      </w:r>
      <w:proofErr w:type="spellStart"/>
      <w:r w:rsidR="0022111D">
        <w:t>TaxonomyCode</w:t>
      </w:r>
      <w:proofErr w:type="spellEnd"/>
      <w:r w:rsidR="0022111D">
        <w:t>='FINREP 2015-A-Ind</w:t>
      </w:r>
      <w:r w:rsidR="00C92C09">
        <w:t xml:space="preserve">', </w:t>
      </w:r>
      <w:proofErr w:type="spellStart"/>
      <w:r w:rsidR="00C92C09">
        <w:t>TaxonomyLabel</w:t>
      </w:r>
      <w:proofErr w:type="spellEnd"/>
      <w:r w:rsidR="00C92C09">
        <w:t xml:space="preserve"> = </w:t>
      </w:r>
      <w:r w:rsidR="0022111D">
        <w:t>‘</w:t>
      </w:r>
      <w:proofErr w:type="spellStart"/>
      <w:r w:rsidR="0022111D" w:rsidRPr="0022111D">
        <w:t>FINancial</w:t>
      </w:r>
      <w:proofErr w:type="spellEnd"/>
      <w:r w:rsidR="0022111D" w:rsidRPr="0022111D">
        <w:t xml:space="preserve"> </w:t>
      </w:r>
      <w:proofErr w:type="spellStart"/>
      <w:r w:rsidR="0022111D" w:rsidRPr="0022111D">
        <w:t>REPorting</w:t>
      </w:r>
      <w:proofErr w:type="spellEnd"/>
      <w:r w:rsidR="0022111D" w:rsidRPr="0022111D">
        <w:t xml:space="preserve"> 2015-A Individual (2.1.3)</w:t>
      </w:r>
      <w:r w:rsidR="0022111D">
        <w:t>’</w:t>
      </w:r>
      <w:r w:rsidR="00C92C09">
        <w:t xml:space="preserve">. Matching </w:t>
      </w:r>
      <w:r w:rsidR="00C92C09" w:rsidRPr="00C92C09">
        <w:rPr>
          <w:b/>
        </w:rPr>
        <w:t>Concept</w:t>
      </w:r>
      <w:r w:rsidR="00C92C09">
        <w:t xml:space="preserve">s entry with </w:t>
      </w:r>
      <w:proofErr w:type="spellStart"/>
      <w:r w:rsidR="00C92C09">
        <w:t>ModificationDate</w:t>
      </w:r>
      <w:proofErr w:type="spellEnd"/>
      <w:r w:rsidR="00C92C09">
        <w:t xml:space="preserve"> added.</w:t>
      </w:r>
    </w:p>
    <w:p w:rsidR="0022111D" w:rsidRDefault="0022111D" w:rsidP="0022111D">
      <w:pPr>
        <w:pStyle w:val="ListParagraph"/>
        <w:numPr>
          <w:ilvl w:val="0"/>
          <w:numId w:val="46"/>
        </w:numPr>
      </w:pPr>
      <w:proofErr w:type="spellStart"/>
      <w:r>
        <w:rPr>
          <w:b/>
        </w:rPr>
        <w:t>TableGroup</w:t>
      </w:r>
      <w:proofErr w:type="spellEnd"/>
      <w:r>
        <w:rPr>
          <w:b/>
        </w:rPr>
        <w:t xml:space="preserve"> </w:t>
      </w:r>
      <w:r w:rsidRPr="0022111D">
        <w:t>(with associated Concepts),</w:t>
      </w:r>
      <w:r>
        <w:rPr>
          <w:b/>
        </w:rPr>
        <w:t xml:space="preserve"> </w:t>
      </w:r>
      <w:proofErr w:type="spellStart"/>
      <w:r>
        <w:rPr>
          <w:b/>
        </w:rPr>
        <w:t>TableGroupTemplate</w:t>
      </w:r>
      <w:proofErr w:type="spellEnd"/>
      <w:r>
        <w:rPr>
          <w:b/>
        </w:rPr>
        <w:t xml:space="preserve"> </w:t>
      </w:r>
      <w:r w:rsidRPr="0022111D">
        <w:t>and</w:t>
      </w:r>
      <w:r>
        <w:rPr>
          <w:b/>
        </w:rPr>
        <w:t xml:space="preserve"> </w:t>
      </w:r>
      <w:proofErr w:type="spellStart"/>
      <w:r>
        <w:rPr>
          <w:b/>
        </w:rPr>
        <w:t>TaxonomyTableVersion</w:t>
      </w:r>
      <w:proofErr w:type="spellEnd"/>
      <w:r>
        <w:rPr>
          <w:b/>
        </w:rPr>
        <w:t xml:space="preserve"> </w:t>
      </w:r>
      <w:r w:rsidRPr="0022111D">
        <w:t>entries added</w:t>
      </w:r>
      <w:r>
        <w:t xml:space="preserve"> duplicating those related to the FINREP 2.3 taxonomy</w:t>
      </w:r>
      <w:r w:rsidRPr="0022111D">
        <w:t>.</w:t>
      </w:r>
    </w:p>
    <w:p w:rsidR="00C92C09" w:rsidRDefault="00C92C09" w:rsidP="00C92C09">
      <w:pPr>
        <w:pStyle w:val="ListParagraph"/>
        <w:numPr>
          <w:ilvl w:val="0"/>
          <w:numId w:val="46"/>
        </w:numPr>
      </w:pPr>
      <w:r>
        <w:t xml:space="preserve">New </w:t>
      </w:r>
      <w:r w:rsidRPr="00C92C09">
        <w:rPr>
          <w:b/>
        </w:rPr>
        <w:t>Module</w:t>
      </w:r>
      <w:r w:rsidRPr="00C92C09">
        <w:t>s</w:t>
      </w:r>
      <w:r>
        <w:t xml:space="preserve"> (with associated </w:t>
      </w:r>
      <w:r w:rsidRPr="00C92C09">
        <w:rPr>
          <w:b/>
        </w:rPr>
        <w:t>Concept</w:t>
      </w:r>
      <w:r>
        <w:t>s) 59 (</w:t>
      </w:r>
      <w:proofErr w:type="spellStart"/>
      <w:r>
        <w:t>FINREP_Ind_GAAP</w:t>
      </w:r>
      <w:proofErr w:type="spellEnd"/>
      <w:r>
        <w:t>) and 60 (</w:t>
      </w:r>
      <w:proofErr w:type="spellStart"/>
      <w:r>
        <w:t>FINREP_Ind_IFRS</w:t>
      </w:r>
      <w:proofErr w:type="spellEnd"/>
      <w:r>
        <w:t>) added.</w:t>
      </w:r>
    </w:p>
    <w:p w:rsidR="00C92C09" w:rsidRDefault="00C92C09" w:rsidP="00C92C09">
      <w:pPr>
        <w:pStyle w:val="ListParagraph"/>
        <w:numPr>
          <w:ilvl w:val="0"/>
          <w:numId w:val="46"/>
        </w:numPr>
      </w:pPr>
      <w:proofErr w:type="spellStart"/>
      <w:r w:rsidRPr="00C92C09">
        <w:rPr>
          <w:b/>
        </w:rPr>
        <w:t>ModuleTableOrGroup</w:t>
      </w:r>
      <w:proofErr w:type="spellEnd"/>
      <w:r>
        <w:t xml:space="preserve"> and </w:t>
      </w:r>
      <w:proofErr w:type="spellStart"/>
      <w:r w:rsidRPr="00C92C09">
        <w:rPr>
          <w:b/>
        </w:rPr>
        <w:t>ModuleTableVersion</w:t>
      </w:r>
      <w:proofErr w:type="spellEnd"/>
      <w:r>
        <w:t xml:space="preserve"> records added for </w:t>
      </w:r>
      <w:r w:rsidRPr="00C92C09">
        <w:rPr>
          <w:b/>
        </w:rPr>
        <w:t>Module</w:t>
      </w:r>
      <w:r>
        <w:t xml:space="preserve"> 59 and 60 as per </w:t>
      </w:r>
      <w:r w:rsidRPr="00C92C09">
        <w:rPr>
          <w:b/>
        </w:rPr>
        <w:t>Module</w:t>
      </w:r>
      <w:r>
        <w:t>s 44 (</w:t>
      </w:r>
      <w:proofErr w:type="spellStart"/>
      <w:r>
        <w:t>FINREP_Ind_GAAP</w:t>
      </w:r>
      <w:proofErr w:type="spellEnd"/>
      <w:r>
        <w:t>) and 45 (</w:t>
      </w:r>
      <w:proofErr w:type="spellStart"/>
      <w:r>
        <w:t>FINREP_Ind_IFRS</w:t>
      </w:r>
      <w:proofErr w:type="spellEnd"/>
      <w:r>
        <w:t>)</w:t>
      </w:r>
    </w:p>
    <w:p w:rsidR="00C92C09" w:rsidRDefault="00C92C09" w:rsidP="00C92C09">
      <w:pPr>
        <w:pStyle w:val="ListParagraph"/>
        <w:numPr>
          <w:ilvl w:val="0"/>
          <w:numId w:val="46"/>
        </w:numPr>
      </w:pPr>
      <w:r>
        <w:t xml:space="preserve">Appropriate </w:t>
      </w:r>
      <w:proofErr w:type="spellStart"/>
      <w:r w:rsidRPr="00C92C09">
        <w:rPr>
          <w:b/>
        </w:rPr>
        <w:t>ModuleDimensionImpliedValue</w:t>
      </w:r>
      <w:proofErr w:type="spellEnd"/>
      <w:r>
        <w:t xml:space="preserve">, </w:t>
      </w:r>
      <w:proofErr w:type="spellStart"/>
      <w:r w:rsidRPr="00C92C09">
        <w:rPr>
          <w:b/>
        </w:rPr>
        <w:t>ModuleDataPointRestriction</w:t>
      </w:r>
      <w:proofErr w:type="spellEnd"/>
      <w:r w:rsidR="0022111D">
        <w:rPr>
          <w:b/>
        </w:rPr>
        <w:t xml:space="preserve"> </w:t>
      </w:r>
      <w:r>
        <w:t>records added</w:t>
      </w:r>
    </w:p>
    <w:p w:rsidR="00C05123" w:rsidRPr="0022111D" w:rsidRDefault="00C92C09" w:rsidP="0022111D">
      <w:pPr>
        <w:pStyle w:val="ListParagraph"/>
        <w:numPr>
          <w:ilvl w:val="0"/>
          <w:numId w:val="46"/>
        </w:numPr>
      </w:pPr>
      <w:proofErr w:type="spellStart"/>
      <w:r w:rsidRPr="00C92C09">
        <w:rPr>
          <w:b/>
        </w:rPr>
        <w:t>ValidationRule</w:t>
      </w:r>
      <w:proofErr w:type="spellEnd"/>
      <w:r>
        <w:t xml:space="preserve"> and </w:t>
      </w:r>
      <w:r w:rsidR="0022111D" w:rsidRPr="0022111D">
        <w:t>related records</w:t>
      </w:r>
      <w:r w:rsidR="0022111D">
        <w:t xml:space="preserve"> added for the validation rules associated with the new taxonomy</w:t>
      </w:r>
    </w:p>
    <w:p w:rsidR="007D121B" w:rsidRPr="00AF5AA3" w:rsidRDefault="007D121B" w:rsidP="007C6692">
      <w:pPr>
        <w:pStyle w:val="Titlelevel2"/>
        <w:keepNext/>
      </w:pPr>
      <w:r>
        <w:t xml:space="preserve">XBRL </w:t>
      </w:r>
      <w:r w:rsidRPr="00AF5AA3">
        <w:t>Changes</w:t>
      </w:r>
    </w:p>
    <w:p w:rsidR="00600178" w:rsidRDefault="007D121B" w:rsidP="007D121B">
      <w:r>
        <w:t xml:space="preserve">The two additional entry points are added into </w:t>
      </w:r>
      <w:r w:rsidR="00600178">
        <w:t>a new</w:t>
      </w:r>
      <w:r>
        <w:t xml:space="preserve"> directory </w:t>
      </w:r>
      <w:r w:rsidR="00600178">
        <w:t>(</w:t>
      </w:r>
      <w:r w:rsidR="00600178" w:rsidRPr="00600178">
        <w:t>\its-2014-05</w:t>
      </w:r>
      <w:r w:rsidR="00600178">
        <w:t>\2015-07-03)within the FINREP folder, alongside the existing 2.3 FINREP folder (</w:t>
      </w:r>
      <w:r w:rsidR="00600178" w:rsidRPr="00600178">
        <w:t>\its-2014-05</w:t>
      </w:r>
      <w:r w:rsidR="00600178">
        <w:t>\2015-02-16).</w:t>
      </w:r>
      <w:r w:rsidR="00695825">
        <w:t xml:space="preserve"> </w:t>
      </w:r>
      <w:r w:rsidR="00600178">
        <w:t>N</w:t>
      </w:r>
      <w:r w:rsidR="00695825">
        <w:t>ote:</w:t>
      </w:r>
      <w:r w:rsidR="00600178">
        <w:t xml:space="preserve"> </w:t>
      </w:r>
      <w:r w:rsidR="00695825">
        <w:t>o</w:t>
      </w:r>
      <w:r w:rsidR="00600178">
        <w:t>nly the packages required for Individual FINREP reporting are included in this release.</w:t>
      </w:r>
    </w:p>
    <w:p w:rsidR="00E47786" w:rsidRPr="00E75446" w:rsidRDefault="00E47786" w:rsidP="00E75446">
      <w:pPr>
        <w:pStyle w:val="Titlelevel2"/>
        <w:keepNext/>
      </w:pPr>
      <w:r w:rsidRPr="00E75446">
        <w:t>Known Issues</w:t>
      </w:r>
    </w:p>
    <w:p w:rsidR="00E47786" w:rsidRPr="00AF5AA3" w:rsidRDefault="00AF5AA3" w:rsidP="00360446">
      <w:pPr>
        <w:keepNext/>
        <w:keepLines/>
        <w:rPr>
          <w:i/>
        </w:rPr>
      </w:pPr>
      <w:r w:rsidRPr="00AF5AA3">
        <w:t xml:space="preserve">The same known issue as noted for v2.3.1 remains in place, reporting </w:t>
      </w:r>
      <w:r w:rsidR="00695825">
        <w:t xml:space="preserve">of table F 40.01 </w:t>
      </w:r>
      <w:r w:rsidRPr="00AF5AA3">
        <w:t>should follow the guidance given under 2.3.1</w:t>
      </w:r>
      <w:r>
        <w:rPr>
          <w:i/>
        </w:rPr>
        <w:t xml:space="preserve"> </w:t>
      </w:r>
    </w:p>
    <w:p w:rsidR="00E75446" w:rsidRDefault="00E75446">
      <w:pPr>
        <w:rPr>
          <w:rFonts w:asciiTheme="majorHAnsi" w:eastAsiaTheme="majorEastAsia" w:hAnsiTheme="majorHAnsi" w:cstheme="majorBidi"/>
          <w:color w:val="2F5773" w:themeColor="text2"/>
          <w:spacing w:val="5"/>
          <w:kern w:val="28"/>
          <w:sz w:val="52"/>
          <w:szCs w:val="52"/>
        </w:rPr>
      </w:pPr>
      <w:r>
        <w:br w:type="page"/>
      </w:r>
    </w:p>
    <w:p w:rsidR="00B000E3" w:rsidRDefault="00D515AE" w:rsidP="00D515AE">
      <w:pPr>
        <w:pStyle w:val="Titlelevel1"/>
      </w:pPr>
      <w:r w:rsidRPr="00D515AE">
        <w:lastRenderedPageBreak/>
        <w:t>v2.3.</w:t>
      </w:r>
      <w:r>
        <w:t>1</w:t>
      </w:r>
      <w:r w:rsidRPr="00D515AE">
        <w:t xml:space="preserve"> (“2015-A</w:t>
      </w:r>
      <w:r>
        <w:t>-1” Patch</w:t>
      </w:r>
      <w:r w:rsidRPr="00D515AE">
        <w:t>)</w:t>
      </w:r>
      <w:r w:rsidR="001A4CAA" w:rsidRPr="001A4CAA">
        <w:rPr>
          <w:rFonts w:ascii="Arial" w:hAnsi="Arial" w:cs="Arial"/>
          <w:color w:val="696969"/>
          <w:sz w:val="18"/>
          <w:szCs w:val="18"/>
          <w:shd w:val="clear" w:color="auto" w:fill="FFFFFF"/>
        </w:rPr>
        <w:t xml:space="preserve"> </w:t>
      </w:r>
      <w:r w:rsidR="001A4CAA">
        <w:rPr>
          <w:rFonts w:ascii="Arial" w:hAnsi="Arial" w:cs="Arial"/>
          <w:color w:val="696969"/>
          <w:sz w:val="18"/>
          <w:szCs w:val="18"/>
          <w:shd w:val="clear" w:color="auto" w:fill="FFFFFF"/>
        </w:rPr>
        <w:t>(05/05/2015)</w:t>
      </w:r>
    </w:p>
    <w:p w:rsidR="00B000E3" w:rsidRDefault="00B000E3" w:rsidP="00D515AE">
      <w:pPr>
        <w:pStyle w:val="Titlelevel2"/>
      </w:pPr>
      <w:r>
        <w:t>Purpose</w:t>
      </w:r>
    </w:p>
    <w:p w:rsidR="00B000E3" w:rsidRDefault="00B000E3" w:rsidP="00B000E3">
      <w:r>
        <w:t>The 2.3.1 release is a “patch” release, modifying the FP (funding plans) and SBP (benchmarking) reporting taxonomies to be used for remittance to the EBA to provide distinct entry points (reports) for individual and consolidated data.</w:t>
      </w:r>
      <w:r w:rsidR="00534F52">
        <w:t xml:space="preserve"> This change has been identified to be vital for the proper functioning of a significant number of the European CA’s data collection systems (not least the EBAs own collection system).</w:t>
      </w:r>
    </w:p>
    <w:p w:rsidR="00B000E3" w:rsidRDefault="00B000E3" w:rsidP="00B000E3">
      <w:r>
        <w:t>PLEASE NOTE – reporters who have been directed by their relevant Competent Authority to use XBRL based on the EBA taxonomy to report to the CA, should confirm with their relevant Competent Authority which versions of FP and SBP their CA requires to be used. Reporters should not assume that the 2.3.1 versions will necessarily be utilised by every CA.</w:t>
      </w:r>
    </w:p>
    <w:p w:rsidR="00B000E3" w:rsidRDefault="00B000E3" w:rsidP="00B000E3">
      <w:r w:rsidRPr="00B000E3">
        <w:t xml:space="preserve">The original </w:t>
      </w:r>
      <w:r>
        <w:t>2.3 releases of FP and SBP must NOT be used by CAs for remittance of data to the EBA. The 2.3.1 releases replace the 2.3 versions for this purpose for all reporting reference dates.</w:t>
      </w:r>
    </w:p>
    <w:p w:rsidR="00B000E3" w:rsidRDefault="00B000E3" w:rsidP="00B000E3">
      <w:r>
        <w:t xml:space="preserve">The main data dictionary and the other reporting taxonomies (COREP, FINREP, </w:t>
      </w:r>
      <w:proofErr w:type="gramStart"/>
      <w:r>
        <w:t>AE</w:t>
      </w:r>
      <w:proofErr w:type="gramEnd"/>
      <w:r>
        <w:t>) are unchanged compared to the 2.3 release.</w:t>
      </w:r>
    </w:p>
    <w:p w:rsidR="00B000E3" w:rsidRDefault="006A5AC9" w:rsidP="00D515AE">
      <w:pPr>
        <w:pStyle w:val="Titlelevel2"/>
      </w:pPr>
      <w:r>
        <w:t xml:space="preserve">DPM </w:t>
      </w:r>
      <w:r w:rsidR="00B000E3">
        <w:t>Changes</w:t>
      </w:r>
    </w:p>
    <w:p w:rsidR="00B000E3" w:rsidRDefault="00534F52" w:rsidP="00B939D1">
      <w:pPr>
        <w:pStyle w:val="ListParagraph"/>
        <w:numPr>
          <w:ilvl w:val="0"/>
          <w:numId w:val="15"/>
        </w:numPr>
      </w:pPr>
      <w:r>
        <w:t>The 2.3 e</w:t>
      </w:r>
      <w:r w:rsidR="00B000E3">
        <w:t xml:space="preserve">ntry points for FP and SBP each replaced by two distinct </w:t>
      </w:r>
      <w:r>
        <w:t>entry points:</w:t>
      </w:r>
    </w:p>
    <w:tbl>
      <w:tblPr>
        <w:tblStyle w:val="EBAtable"/>
        <w:tblW w:w="0" w:type="auto"/>
        <w:tblLayout w:type="fixed"/>
        <w:tblLook w:val="04A0" w:firstRow="1" w:lastRow="0" w:firstColumn="1" w:lastColumn="0" w:noHBand="0" w:noVBand="1"/>
      </w:tblPr>
      <w:tblGrid>
        <w:gridCol w:w="1162"/>
        <w:gridCol w:w="3261"/>
        <w:gridCol w:w="1134"/>
        <w:gridCol w:w="3574"/>
      </w:tblGrid>
      <w:tr w:rsidR="00AA0EE8" w:rsidTr="00766D0C">
        <w:trPr>
          <w:cnfStyle w:val="100000000000" w:firstRow="1" w:lastRow="0" w:firstColumn="0" w:lastColumn="0" w:oddVBand="0" w:evenVBand="0" w:oddHBand="0" w:evenHBand="0" w:firstRowFirstColumn="0" w:firstRowLastColumn="0" w:lastRowFirstColumn="0" w:lastRowLastColumn="0"/>
        </w:trPr>
        <w:tc>
          <w:tcPr>
            <w:tcW w:w="1162" w:type="dxa"/>
            <w:tcMar>
              <w:left w:w="57" w:type="dxa"/>
              <w:right w:w="57" w:type="dxa"/>
            </w:tcMar>
          </w:tcPr>
          <w:p w:rsidR="00534F52" w:rsidRPr="00534F52" w:rsidRDefault="00534F52" w:rsidP="00B939D1">
            <w:pPr>
              <w:keepLines/>
              <w:rPr>
                <w:b/>
              </w:rPr>
            </w:pPr>
            <w:r w:rsidRPr="00534F52">
              <w:rPr>
                <w:b/>
              </w:rPr>
              <w:t>Was</w:t>
            </w:r>
          </w:p>
        </w:tc>
        <w:tc>
          <w:tcPr>
            <w:tcW w:w="3261" w:type="dxa"/>
            <w:tcMar>
              <w:left w:w="57" w:type="dxa"/>
              <w:right w:w="57" w:type="dxa"/>
            </w:tcMar>
          </w:tcPr>
          <w:p w:rsidR="00534F52" w:rsidRPr="00534F52" w:rsidRDefault="002E6BE9" w:rsidP="00B939D1">
            <w:pPr>
              <w:keepLines/>
              <w:rPr>
                <w:b/>
              </w:rPr>
            </w:pPr>
            <w:r>
              <w:rPr>
                <w:b/>
              </w:rPr>
              <w:t>Old SchemaRef</w:t>
            </w:r>
          </w:p>
        </w:tc>
        <w:tc>
          <w:tcPr>
            <w:tcW w:w="1134" w:type="dxa"/>
            <w:tcMar>
              <w:left w:w="57" w:type="dxa"/>
              <w:right w:w="57" w:type="dxa"/>
            </w:tcMar>
          </w:tcPr>
          <w:p w:rsidR="00534F52" w:rsidRPr="00534F52" w:rsidRDefault="00534F52" w:rsidP="00B939D1">
            <w:pPr>
              <w:keepLines/>
              <w:rPr>
                <w:b/>
              </w:rPr>
            </w:pPr>
            <w:r w:rsidRPr="00534F52">
              <w:rPr>
                <w:b/>
              </w:rPr>
              <w:t>Now</w:t>
            </w:r>
          </w:p>
        </w:tc>
        <w:tc>
          <w:tcPr>
            <w:tcW w:w="3574" w:type="dxa"/>
            <w:tcMar>
              <w:left w:w="57" w:type="dxa"/>
              <w:right w:w="57" w:type="dxa"/>
            </w:tcMar>
          </w:tcPr>
          <w:p w:rsidR="00534F52" w:rsidRPr="00534F52" w:rsidRDefault="002E6BE9" w:rsidP="00B939D1">
            <w:pPr>
              <w:keepLines/>
              <w:rPr>
                <w:b/>
              </w:rPr>
            </w:pPr>
            <w:r>
              <w:rPr>
                <w:b/>
              </w:rPr>
              <w:t>New SchemaRef</w:t>
            </w:r>
          </w:p>
        </w:tc>
      </w:tr>
      <w:tr w:rsidR="00AA0EE8" w:rsidTr="00766D0C">
        <w:tc>
          <w:tcPr>
            <w:tcW w:w="1162" w:type="dxa"/>
            <w:vMerge w:val="restart"/>
            <w:tcMar>
              <w:left w:w="57" w:type="dxa"/>
              <w:right w:w="57" w:type="dxa"/>
            </w:tcMar>
          </w:tcPr>
          <w:p w:rsidR="00AA0EE8" w:rsidRPr="00AA0EE8" w:rsidRDefault="00AA0EE8" w:rsidP="00B939D1">
            <w:pPr>
              <w:keepNext/>
              <w:keepLines/>
              <w:rPr>
                <w:sz w:val="16"/>
              </w:rPr>
            </w:pPr>
            <w:r w:rsidRPr="00AA0EE8">
              <w:rPr>
                <w:sz w:val="16"/>
              </w:rPr>
              <w:t>Funding Plans</w:t>
            </w:r>
          </w:p>
        </w:tc>
        <w:tc>
          <w:tcPr>
            <w:tcW w:w="3261" w:type="dxa"/>
            <w:vMerge w:val="restart"/>
            <w:tcMar>
              <w:left w:w="57" w:type="dxa"/>
              <w:right w:w="57" w:type="dxa"/>
            </w:tcMar>
          </w:tcPr>
          <w:p w:rsidR="00AA0EE8" w:rsidRPr="00B939D1" w:rsidRDefault="00AA0EE8" w:rsidP="00B939D1">
            <w:pPr>
              <w:keepNext/>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fp/gl-2014-04/</w:t>
            </w:r>
            <w:r w:rsidRPr="00B939D1">
              <w:rPr>
                <w:rFonts w:ascii="Arial Narrow" w:hAnsi="Arial Narrow"/>
                <w:b/>
                <w:sz w:val="18"/>
              </w:rPr>
              <w:t>2015-02-16/mod/fp.xsd</w:t>
            </w:r>
          </w:p>
        </w:tc>
        <w:tc>
          <w:tcPr>
            <w:tcW w:w="1134" w:type="dxa"/>
            <w:tcMar>
              <w:left w:w="57" w:type="dxa"/>
              <w:right w:w="57" w:type="dxa"/>
            </w:tcMar>
          </w:tcPr>
          <w:p w:rsidR="00AA0EE8" w:rsidRPr="00AA0EE8" w:rsidRDefault="00AA0EE8" w:rsidP="00B939D1">
            <w:pPr>
              <w:keepNext/>
              <w:keepLines/>
              <w:rPr>
                <w:sz w:val="16"/>
              </w:rPr>
            </w:pPr>
            <w:r w:rsidRPr="00AA0EE8">
              <w:rPr>
                <w:sz w:val="16"/>
              </w:rPr>
              <w:t>FP Individual</w:t>
            </w:r>
          </w:p>
        </w:tc>
        <w:tc>
          <w:tcPr>
            <w:tcW w:w="3574" w:type="dxa"/>
            <w:tcMar>
              <w:left w:w="57" w:type="dxa"/>
              <w:right w:w="57" w:type="dxa"/>
            </w:tcMar>
          </w:tcPr>
          <w:p w:rsidR="00AA0EE8" w:rsidRPr="00B939D1" w:rsidRDefault="00AA0EE8" w:rsidP="00B939D1">
            <w:pPr>
              <w:keepNext/>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002E6BE9" w:rsidRPr="00B939D1">
              <w:rPr>
                <w:rFonts w:ascii="Arial Narrow" w:hAnsi="Arial Narrow"/>
                <w:sz w:val="18"/>
              </w:rPr>
              <w:t>fp/gl</w:t>
            </w:r>
            <w:r w:rsidR="002E6BE9" w:rsidRPr="00B939D1">
              <w:rPr>
                <w:rFonts w:ascii="Arial Narrow" w:hAnsi="Arial Narrow"/>
                <w:sz w:val="18"/>
              </w:rPr>
              <w:noBreakHyphen/>
            </w:r>
            <w:r w:rsidRPr="00B939D1">
              <w:rPr>
                <w:rFonts w:ascii="Arial Narrow" w:hAnsi="Arial Narrow"/>
                <w:sz w:val="18"/>
              </w:rPr>
              <w:t>2014-04/</w:t>
            </w:r>
            <w:r w:rsidRPr="00B939D1">
              <w:rPr>
                <w:rFonts w:ascii="Arial Narrow" w:hAnsi="Arial Narrow"/>
                <w:b/>
                <w:sz w:val="18"/>
              </w:rPr>
              <w:t>2015-05-29/mod/fp_ind.xsd</w:t>
            </w:r>
          </w:p>
        </w:tc>
      </w:tr>
      <w:tr w:rsidR="00AA0EE8" w:rsidTr="00766D0C">
        <w:tc>
          <w:tcPr>
            <w:tcW w:w="1162" w:type="dxa"/>
            <w:vMerge/>
            <w:tcMar>
              <w:left w:w="57" w:type="dxa"/>
              <w:right w:w="57" w:type="dxa"/>
            </w:tcMar>
          </w:tcPr>
          <w:p w:rsidR="00AA0EE8" w:rsidRPr="00AA0EE8" w:rsidRDefault="00AA0EE8" w:rsidP="00B939D1">
            <w:pPr>
              <w:keepLines/>
              <w:rPr>
                <w:sz w:val="16"/>
              </w:rPr>
            </w:pPr>
          </w:p>
        </w:tc>
        <w:tc>
          <w:tcPr>
            <w:tcW w:w="3261" w:type="dxa"/>
            <w:vMerge/>
            <w:tcMar>
              <w:left w:w="57" w:type="dxa"/>
              <w:right w:w="57" w:type="dxa"/>
            </w:tcMar>
          </w:tcPr>
          <w:p w:rsidR="00AA0EE8" w:rsidRPr="00B939D1" w:rsidRDefault="00AA0EE8" w:rsidP="00B939D1">
            <w:pPr>
              <w:keepLines/>
              <w:rPr>
                <w:rFonts w:ascii="Arial Narrow" w:hAnsi="Arial Narrow"/>
                <w:sz w:val="18"/>
              </w:rPr>
            </w:pPr>
          </w:p>
        </w:tc>
        <w:tc>
          <w:tcPr>
            <w:tcW w:w="1134" w:type="dxa"/>
            <w:tcMar>
              <w:left w:w="57" w:type="dxa"/>
              <w:right w:w="57" w:type="dxa"/>
            </w:tcMar>
          </w:tcPr>
          <w:p w:rsidR="00AA0EE8" w:rsidRPr="00AA0EE8" w:rsidRDefault="00AA0EE8" w:rsidP="00B939D1">
            <w:pPr>
              <w:keepLines/>
              <w:rPr>
                <w:sz w:val="16"/>
              </w:rPr>
            </w:pPr>
            <w:r w:rsidRPr="00AA0EE8">
              <w:rPr>
                <w:sz w:val="16"/>
              </w:rPr>
              <w:t>FP Consolidated</w:t>
            </w:r>
          </w:p>
        </w:tc>
        <w:tc>
          <w:tcPr>
            <w:tcW w:w="3574" w:type="dxa"/>
            <w:tcMar>
              <w:left w:w="57" w:type="dxa"/>
              <w:right w:w="57" w:type="dxa"/>
            </w:tcMar>
          </w:tcPr>
          <w:p w:rsidR="00AA0EE8" w:rsidRPr="00B939D1" w:rsidRDefault="00AA0EE8" w:rsidP="00B939D1">
            <w:pPr>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fp/gl</w:t>
            </w:r>
            <w:r w:rsidR="002E6BE9" w:rsidRPr="00B939D1">
              <w:rPr>
                <w:rFonts w:ascii="Arial Narrow" w:hAnsi="Arial Narrow"/>
                <w:sz w:val="18"/>
              </w:rPr>
              <w:noBreakHyphen/>
            </w:r>
            <w:r w:rsidRPr="00B939D1">
              <w:rPr>
                <w:rFonts w:ascii="Arial Narrow" w:hAnsi="Arial Narrow"/>
                <w:sz w:val="18"/>
              </w:rPr>
              <w:t>2014-04/</w:t>
            </w:r>
            <w:r w:rsidRPr="00B939D1">
              <w:rPr>
                <w:rFonts w:ascii="Arial Narrow" w:hAnsi="Arial Narrow"/>
                <w:b/>
                <w:sz w:val="18"/>
              </w:rPr>
              <w:t>2015-05-29/mod/fp_con.xsd</w:t>
            </w:r>
          </w:p>
        </w:tc>
      </w:tr>
      <w:tr w:rsidR="00AA0EE8" w:rsidTr="00766D0C">
        <w:tc>
          <w:tcPr>
            <w:tcW w:w="1162" w:type="dxa"/>
            <w:vMerge w:val="restart"/>
            <w:tcMar>
              <w:left w:w="57" w:type="dxa"/>
              <w:right w:w="57" w:type="dxa"/>
            </w:tcMar>
          </w:tcPr>
          <w:p w:rsidR="00AA0EE8" w:rsidRPr="00AA0EE8" w:rsidRDefault="00AA0EE8" w:rsidP="00B939D1">
            <w:pPr>
              <w:keepNext/>
              <w:keepLines/>
              <w:rPr>
                <w:sz w:val="16"/>
              </w:rPr>
            </w:pPr>
            <w:r w:rsidRPr="00AA0EE8">
              <w:rPr>
                <w:sz w:val="16"/>
              </w:rPr>
              <w:t>SBP Benchmarking</w:t>
            </w:r>
          </w:p>
        </w:tc>
        <w:tc>
          <w:tcPr>
            <w:tcW w:w="3261" w:type="dxa"/>
            <w:vMerge w:val="restart"/>
            <w:tcMar>
              <w:left w:w="57" w:type="dxa"/>
              <w:right w:w="57" w:type="dxa"/>
            </w:tcMar>
          </w:tcPr>
          <w:p w:rsidR="00AA0EE8" w:rsidRPr="00B939D1" w:rsidRDefault="00AA0EE8" w:rsidP="00B939D1">
            <w:pPr>
              <w:keepNext/>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sbp/cp-2014-07/</w:t>
            </w:r>
            <w:r w:rsidRPr="00B939D1">
              <w:rPr>
                <w:rFonts w:ascii="Arial Narrow" w:hAnsi="Arial Narrow"/>
                <w:b/>
                <w:sz w:val="18"/>
              </w:rPr>
              <w:t>2015-02-16/mod/sbp.xsd</w:t>
            </w:r>
          </w:p>
        </w:tc>
        <w:tc>
          <w:tcPr>
            <w:tcW w:w="1134" w:type="dxa"/>
            <w:tcMar>
              <w:left w:w="57" w:type="dxa"/>
              <w:right w:w="57" w:type="dxa"/>
            </w:tcMar>
          </w:tcPr>
          <w:p w:rsidR="00AA0EE8" w:rsidRPr="00AA0EE8" w:rsidRDefault="00AA0EE8" w:rsidP="00B939D1">
            <w:pPr>
              <w:keepNext/>
              <w:keepLines/>
              <w:rPr>
                <w:sz w:val="16"/>
              </w:rPr>
            </w:pPr>
            <w:r w:rsidRPr="00AA0EE8">
              <w:rPr>
                <w:sz w:val="16"/>
              </w:rPr>
              <w:t>Benchmarking Individual</w:t>
            </w:r>
          </w:p>
        </w:tc>
        <w:tc>
          <w:tcPr>
            <w:tcW w:w="3574" w:type="dxa"/>
            <w:tcMar>
              <w:left w:w="57" w:type="dxa"/>
              <w:right w:w="57" w:type="dxa"/>
            </w:tcMar>
          </w:tcPr>
          <w:p w:rsidR="00AA0EE8" w:rsidRPr="00B939D1" w:rsidRDefault="00AA0EE8" w:rsidP="00B939D1">
            <w:pPr>
              <w:keepNext/>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sbp/cp</w:t>
            </w:r>
            <w:r w:rsidR="002E6BE9" w:rsidRPr="00B939D1">
              <w:rPr>
                <w:rFonts w:ascii="Arial Narrow" w:hAnsi="Arial Narrow"/>
                <w:sz w:val="18"/>
              </w:rPr>
              <w:noBreakHyphen/>
            </w:r>
            <w:r w:rsidRPr="00B939D1">
              <w:rPr>
                <w:rFonts w:ascii="Arial Narrow" w:hAnsi="Arial Narrow"/>
                <w:sz w:val="18"/>
              </w:rPr>
              <w:t>2014-07/</w:t>
            </w:r>
            <w:r w:rsidRPr="00B939D1">
              <w:rPr>
                <w:rFonts w:ascii="Arial Narrow" w:hAnsi="Arial Narrow"/>
                <w:b/>
                <w:sz w:val="18"/>
              </w:rPr>
              <w:t>2015-05-29/mod/sbp_ind.xsd</w:t>
            </w:r>
          </w:p>
        </w:tc>
      </w:tr>
      <w:tr w:rsidR="00AA0EE8" w:rsidTr="00766D0C">
        <w:tc>
          <w:tcPr>
            <w:tcW w:w="1162" w:type="dxa"/>
            <w:vMerge/>
            <w:tcMar>
              <w:left w:w="57" w:type="dxa"/>
              <w:right w:w="57" w:type="dxa"/>
            </w:tcMar>
          </w:tcPr>
          <w:p w:rsidR="00AA0EE8" w:rsidRPr="00AA0EE8" w:rsidRDefault="00AA0EE8" w:rsidP="00B939D1">
            <w:pPr>
              <w:keepLines/>
              <w:rPr>
                <w:sz w:val="16"/>
              </w:rPr>
            </w:pPr>
          </w:p>
        </w:tc>
        <w:tc>
          <w:tcPr>
            <w:tcW w:w="3261" w:type="dxa"/>
            <w:vMerge/>
            <w:tcMar>
              <w:left w:w="57" w:type="dxa"/>
              <w:right w:w="57" w:type="dxa"/>
            </w:tcMar>
          </w:tcPr>
          <w:p w:rsidR="00AA0EE8" w:rsidRPr="00B939D1" w:rsidRDefault="00AA0EE8" w:rsidP="00B939D1">
            <w:pPr>
              <w:keepLines/>
              <w:rPr>
                <w:rFonts w:ascii="Arial Narrow" w:hAnsi="Arial Narrow"/>
                <w:sz w:val="18"/>
              </w:rPr>
            </w:pPr>
          </w:p>
        </w:tc>
        <w:tc>
          <w:tcPr>
            <w:tcW w:w="1134" w:type="dxa"/>
            <w:tcMar>
              <w:left w:w="57" w:type="dxa"/>
              <w:right w:w="57" w:type="dxa"/>
            </w:tcMar>
          </w:tcPr>
          <w:p w:rsidR="00AA0EE8" w:rsidRPr="00AA0EE8" w:rsidRDefault="00AA0EE8" w:rsidP="00B939D1">
            <w:pPr>
              <w:keepLines/>
              <w:rPr>
                <w:sz w:val="16"/>
              </w:rPr>
            </w:pPr>
            <w:r w:rsidRPr="00AA0EE8">
              <w:rPr>
                <w:sz w:val="16"/>
              </w:rPr>
              <w:t>Benchmarking Consolidated</w:t>
            </w:r>
          </w:p>
        </w:tc>
        <w:tc>
          <w:tcPr>
            <w:tcW w:w="3574" w:type="dxa"/>
            <w:tcMar>
              <w:left w:w="57" w:type="dxa"/>
              <w:right w:w="57" w:type="dxa"/>
            </w:tcMar>
          </w:tcPr>
          <w:p w:rsidR="00AA0EE8" w:rsidRPr="00B939D1" w:rsidRDefault="00AA0EE8" w:rsidP="00766D0C">
            <w:pPr>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sbp/cp</w:t>
            </w:r>
            <w:r w:rsidR="00766D0C">
              <w:rPr>
                <w:rFonts w:ascii="Arial Narrow" w:hAnsi="Arial Narrow"/>
                <w:sz w:val="18"/>
              </w:rPr>
              <w:noBreakHyphen/>
            </w:r>
            <w:r w:rsidRPr="00B939D1">
              <w:rPr>
                <w:rFonts w:ascii="Arial Narrow" w:hAnsi="Arial Narrow"/>
                <w:sz w:val="18"/>
              </w:rPr>
              <w:t>2014-07/</w:t>
            </w:r>
            <w:r w:rsidRPr="00B939D1">
              <w:rPr>
                <w:rFonts w:ascii="Arial Narrow" w:hAnsi="Arial Narrow"/>
                <w:b/>
                <w:sz w:val="18"/>
              </w:rPr>
              <w:t>2015-05-29/mod/sbp_con.xsd</w:t>
            </w:r>
          </w:p>
        </w:tc>
      </w:tr>
      <w:tr w:rsidR="00AA0EE8" w:rsidTr="00766D0C">
        <w:tc>
          <w:tcPr>
            <w:tcW w:w="1162" w:type="dxa"/>
            <w:vMerge w:val="restart"/>
            <w:tcMar>
              <w:left w:w="57" w:type="dxa"/>
              <w:right w:w="57" w:type="dxa"/>
            </w:tcMar>
          </w:tcPr>
          <w:p w:rsidR="00AA0EE8" w:rsidRPr="00AA0EE8" w:rsidRDefault="00AA0EE8" w:rsidP="00B939D1">
            <w:pPr>
              <w:keepNext/>
              <w:keepLines/>
              <w:rPr>
                <w:sz w:val="16"/>
              </w:rPr>
            </w:pPr>
            <w:r w:rsidRPr="00AA0EE8">
              <w:rPr>
                <w:sz w:val="16"/>
              </w:rPr>
              <w:t>Benchmarking Initial Valuation</w:t>
            </w:r>
          </w:p>
        </w:tc>
        <w:tc>
          <w:tcPr>
            <w:tcW w:w="3261" w:type="dxa"/>
            <w:vMerge w:val="restart"/>
            <w:tcMar>
              <w:left w:w="57" w:type="dxa"/>
              <w:right w:w="57" w:type="dxa"/>
            </w:tcMar>
          </w:tcPr>
          <w:p w:rsidR="00AA0EE8" w:rsidRPr="00B939D1" w:rsidRDefault="00AA0EE8" w:rsidP="00B939D1">
            <w:pPr>
              <w:keepNext/>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sbp/cp</w:t>
            </w:r>
            <w:r w:rsidR="00B939D1" w:rsidRPr="00B939D1">
              <w:rPr>
                <w:rFonts w:ascii="Arial Narrow" w:hAnsi="Arial Narrow"/>
                <w:sz w:val="18"/>
              </w:rPr>
              <w:noBreakHyphen/>
            </w:r>
            <w:r w:rsidRPr="00B939D1">
              <w:rPr>
                <w:rFonts w:ascii="Arial Narrow" w:hAnsi="Arial Narrow"/>
                <w:sz w:val="18"/>
              </w:rPr>
              <w:t>2014</w:t>
            </w:r>
            <w:r w:rsidR="00B939D1" w:rsidRPr="00B939D1">
              <w:rPr>
                <w:rFonts w:ascii="Arial Narrow" w:hAnsi="Arial Narrow"/>
                <w:sz w:val="18"/>
              </w:rPr>
              <w:noBreakHyphen/>
            </w:r>
            <w:r w:rsidRPr="00B939D1">
              <w:rPr>
                <w:rFonts w:ascii="Arial Narrow" w:hAnsi="Arial Narrow"/>
                <w:sz w:val="18"/>
              </w:rPr>
              <w:t>07/</w:t>
            </w:r>
            <w:r w:rsidRPr="00B939D1">
              <w:rPr>
                <w:rFonts w:ascii="Arial Narrow" w:hAnsi="Arial Narrow"/>
                <w:b/>
                <w:sz w:val="18"/>
              </w:rPr>
              <w:t>2015</w:t>
            </w:r>
            <w:r w:rsidR="00B939D1" w:rsidRPr="00B939D1">
              <w:rPr>
                <w:rFonts w:ascii="Arial Narrow" w:hAnsi="Arial Narrow"/>
                <w:b/>
                <w:sz w:val="18"/>
              </w:rPr>
              <w:noBreakHyphen/>
            </w:r>
            <w:r w:rsidRPr="00B939D1">
              <w:rPr>
                <w:rFonts w:ascii="Arial Narrow" w:hAnsi="Arial Narrow"/>
                <w:b/>
                <w:sz w:val="18"/>
              </w:rPr>
              <w:t>02</w:t>
            </w:r>
            <w:r w:rsidR="00B939D1" w:rsidRPr="00B939D1">
              <w:rPr>
                <w:rFonts w:ascii="Arial Narrow" w:hAnsi="Arial Narrow"/>
                <w:b/>
                <w:sz w:val="18"/>
              </w:rPr>
              <w:noBreakHyphen/>
            </w:r>
            <w:r w:rsidRPr="00B939D1">
              <w:rPr>
                <w:rFonts w:ascii="Arial Narrow" w:hAnsi="Arial Narrow"/>
                <w:b/>
                <w:sz w:val="18"/>
              </w:rPr>
              <w:t>16/mod/sbpimv.xsd</w:t>
            </w:r>
          </w:p>
        </w:tc>
        <w:tc>
          <w:tcPr>
            <w:tcW w:w="1134" w:type="dxa"/>
            <w:tcMar>
              <w:left w:w="57" w:type="dxa"/>
              <w:right w:w="57" w:type="dxa"/>
            </w:tcMar>
          </w:tcPr>
          <w:p w:rsidR="00AA0EE8" w:rsidRPr="00AA0EE8" w:rsidRDefault="00AA0EE8" w:rsidP="00B939D1">
            <w:pPr>
              <w:keepLines/>
              <w:rPr>
                <w:sz w:val="16"/>
              </w:rPr>
            </w:pPr>
            <w:r w:rsidRPr="00AA0EE8">
              <w:rPr>
                <w:sz w:val="16"/>
              </w:rPr>
              <w:t>IMV Individual</w:t>
            </w:r>
          </w:p>
        </w:tc>
        <w:tc>
          <w:tcPr>
            <w:tcW w:w="3574" w:type="dxa"/>
            <w:tcMar>
              <w:left w:w="57" w:type="dxa"/>
              <w:right w:w="57" w:type="dxa"/>
            </w:tcMar>
          </w:tcPr>
          <w:p w:rsidR="00AA0EE8" w:rsidRPr="00B939D1" w:rsidRDefault="00AA0EE8" w:rsidP="00766D0C">
            <w:pPr>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sbp/cp</w:t>
            </w:r>
            <w:r w:rsidR="00766D0C">
              <w:rPr>
                <w:rFonts w:ascii="Arial Narrow" w:hAnsi="Arial Narrow"/>
                <w:sz w:val="18"/>
              </w:rPr>
              <w:noBreakHyphen/>
            </w:r>
            <w:r w:rsidRPr="00B939D1">
              <w:rPr>
                <w:rFonts w:ascii="Arial Narrow" w:hAnsi="Arial Narrow"/>
                <w:sz w:val="18"/>
              </w:rPr>
              <w:t>2014-07/</w:t>
            </w:r>
            <w:r w:rsidRPr="00B939D1">
              <w:rPr>
                <w:rFonts w:ascii="Arial Narrow" w:hAnsi="Arial Narrow"/>
                <w:b/>
                <w:sz w:val="18"/>
              </w:rPr>
              <w:t>2015-05-29/mod/sbpimv_ind.xsd</w:t>
            </w:r>
          </w:p>
        </w:tc>
      </w:tr>
      <w:tr w:rsidR="00AA0EE8" w:rsidTr="00766D0C">
        <w:tc>
          <w:tcPr>
            <w:tcW w:w="1162" w:type="dxa"/>
            <w:vMerge/>
            <w:tcMar>
              <w:left w:w="57" w:type="dxa"/>
              <w:right w:w="57" w:type="dxa"/>
            </w:tcMar>
          </w:tcPr>
          <w:p w:rsidR="00AA0EE8" w:rsidRPr="00AA0EE8" w:rsidRDefault="00AA0EE8" w:rsidP="00B939D1">
            <w:pPr>
              <w:keepLines/>
              <w:rPr>
                <w:sz w:val="16"/>
              </w:rPr>
            </w:pPr>
          </w:p>
        </w:tc>
        <w:tc>
          <w:tcPr>
            <w:tcW w:w="3261" w:type="dxa"/>
            <w:vMerge/>
            <w:tcMar>
              <w:left w:w="57" w:type="dxa"/>
              <w:right w:w="57" w:type="dxa"/>
            </w:tcMar>
          </w:tcPr>
          <w:p w:rsidR="00AA0EE8" w:rsidRPr="00AA0EE8" w:rsidRDefault="00AA0EE8" w:rsidP="00B939D1">
            <w:pPr>
              <w:keepLines/>
              <w:rPr>
                <w:sz w:val="16"/>
              </w:rPr>
            </w:pPr>
          </w:p>
        </w:tc>
        <w:tc>
          <w:tcPr>
            <w:tcW w:w="1134" w:type="dxa"/>
            <w:tcMar>
              <w:left w:w="57" w:type="dxa"/>
              <w:right w:w="57" w:type="dxa"/>
            </w:tcMar>
          </w:tcPr>
          <w:p w:rsidR="00AA0EE8" w:rsidRPr="00AA0EE8" w:rsidRDefault="00AA0EE8" w:rsidP="00B939D1">
            <w:pPr>
              <w:keepLines/>
              <w:rPr>
                <w:sz w:val="16"/>
              </w:rPr>
            </w:pPr>
            <w:r w:rsidRPr="00AA0EE8">
              <w:rPr>
                <w:sz w:val="16"/>
              </w:rPr>
              <w:t>IMV Consolidated</w:t>
            </w:r>
          </w:p>
        </w:tc>
        <w:tc>
          <w:tcPr>
            <w:tcW w:w="3574" w:type="dxa"/>
            <w:tcMar>
              <w:left w:w="57" w:type="dxa"/>
              <w:right w:w="57" w:type="dxa"/>
            </w:tcMar>
          </w:tcPr>
          <w:p w:rsidR="00AA0EE8" w:rsidRPr="00B939D1" w:rsidRDefault="00AA0EE8" w:rsidP="00766D0C">
            <w:pPr>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sbp/cp</w:t>
            </w:r>
            <w:r w:rsidR="00766D0C">
              <w:rPr>
                <w:rFonts w:ascii="Arial Narrow" w:hAnsi="Arial Narrow"/>
                <w:sz w:val="18"/>
              </w:rPr>
              <w:noBreakHyphen/>
            </w:r>
            <w:r w:rsidRPr="00B939D1">
              <w:rPr>
                <w:rFonts w:ascii="Arial Narrow" w:hAnsi="Arial Narrow"/>
                <w:sz w:val="18"/>
              </w:rPr>
              <w:t>2014-07/</w:t>
            </w:r>
            <w:r w:rsidRPr="00B939D1">
              <w:rPr>
                <w:rFonts w:ascii="Arial Narrow" w:hAnsi="Arial Narrow"/>
                <w:b/>
                <w:sz w:val="18"/>
              </w:rPr>
              <w:t>2015-05-29/mod/sbpimv_con.xsd</w:t>
            </w:r>
          </w:p>
        </w:tc>
      </w:tr>
    </w:tbl>
    <w:p w:rsidR="00534F52" w:rsidRDefault="00534F52" w:rsidP="00B000E3"/>
    <w:p w:rsidR="00534F52" w:rsidRDefault="00534F52" w:rsidP="00057CFC">
      <w:pPr>
        <w:keepNext/>
        <w:keepLines/>
        <w:pBdr>
          <w:top w:val="single" w:sz="4" w:space="1" w:color="auto"/>
          <w:left w:val="single" w:sz="4" w:space="4" w:color="auto"/>
          <w:bottom w:val="single" w:sz="4" w:space="1" w:color="auto"/>
          <w:right w:val="single" w:sz="4" w:space="4" w:color="auto"/>
        </w:pBdr>
        <w:ind w:left="720" w:right="425"/>
        <w:rPr>
          <w:b/>
        </w:rPr>
      </w:pPr>
      <w:r w:rsidRPr="00534F52">
        <w:rPr>
          <w:b/>
        </w:rPr>
        <w:lastRenderedPageBreak/>
        <w:t>Mapping 2.3 Instance files to 2.3.1</w:t>
      </w:r>
    </w:p>
    <w:p w:rsidR="00534F52" w:rsidRPr="00534F52" w:rsidRDefault="00534F52" w:rsidP="00057CFC">
      <w:pPr>
        <w:keepNext/>
        <w:keepLines/>
        <w:pBdr>
          <w:top w:val="single" w:sz="4" w:space="1" w:color="auto"/>
          <w:left w:val="single" w:sz="4" w:space="4" w:color="auto"/>
          <w:bottom w:val="single" w:sz="4" w:space="1" w:color="auto"/>
          <w:right w:val="single" w:sz="4" w:space="4" w:color="auto"/>
        </w:pBdr>
        <w:ind w:left="720" w:right="425"/>
      </w:pPr>
      <w:r w:rsidRPr="00534F52">
        <w:t>S</w:t>
      </w:r>
      <w:r>
        <w:t>i</w:t>
      </w:r>
      <w:r w:rsidRPr="00534F52">
        <w:t>nce</w:t>
      </w:r>
      <w:r>
        <w:t xml:space="preserve"> the data content of 2.3 and 2.3.1 FP and SBP reports are mostly identical (with one exception, see below), is it plausible to map 2.3 Instance Files to 2.3.1 compatible instance files.</w:t>
      </w:r>
    </w:p>
    <w:p w:rsidR="00534F52" w:rsidRDefault="00534F52" w:rsidP="00057CFC">
      <w:pPr>
        <w:keepNext/>
        <w:keepLines/>
        <w:pBdr>
          <w:top w:val="single" w:sz="4" w:space="1" w:color="auto"/>
          <w:left w:val="single" w:sz="4" w:space="4" w:color="auto"/>
          <w:bottom w:val="single" w:sz="4" w:space="1" w:color="auto"/>
          <w:right w:val="single" w:sz="4" w:space="4" w:color="auto"/>
        </w:pBdr>
        <w:ind w:left="720" w:right="425"/>
      </w:pPr>
      <w:r>
        <w:t>Both the 2.3.1 SBP and SBPIMV reports are identical structures to the 2.3 versions, with the only difference being the explicit differentiation</w:t>
      </w:r>
      <w:r w:rsidR="00AA0EE8">
        <w:t xml:space="preserve"> of individual and c</w:t>
      </w:r>
      <w:r>
        <w:t xml:space="preserve">onsolidated entry points, </w:t>
      </w:r>
      <w:r w:rsidR="00AA0EE8">
        <w:t>replacing the schemaR</w:t>
      </w:r>
      <w:r>
        <w:t xml:space="preserve">ef of a valid 2.3 instance file </w:t>
      </w:r>
      <w:r w:rsidR="00AA0EE8">
        <w:t>with the appropriate i</w:t>
      </w:r>
      <w:r>
        <w:t xml:space="preserve">ndividual or </w:t>
      </w:r>
      <w:r w:rsidR="00AA0EE8">
        <w:t>c</w:t>
      </w:r>
      <w:r>
        <w:t>onsolidated schemaRef for 2.3.1 would converted the file to a valid 2.3.1 Instance.</w:t>
      </w:r>
    </w:p>
    <w:p w:rsidR="00534F52" w:rsidRDefault="00534F52" w:rsidP="00057CFC">
      <w:pPr>
        <w:keepNext/>
        <w:keepLines/>
        <w:pBdr>
          <w:top w:val="single" w:sz="4" w:space="1" w:color="auto"/>
          <w:left w:val="single" w:sz="4" w:space="4" w:color="auto"/>
          <w:bottom w:val="single" w:sz="4" w:space="1" w:color="auto"/>
          <w:right w:val="single" w:sz="4" w:space="4" w:color="auto"/>
        </w:pBdr>
        <w:ind w:left="720" w:right="425"/>
      </w:pPr>
      <w:r>
        <w:t>FP table P</w:t>
      </w:r>
      <w:r w:rsidR="00B939D1">
        <w:t xml:space="preserve"> </w:t>
      </w:r>
      <w:r>
        <w:t>00.01 in version 2.3 did not contain a row 020 to indicate consolidation status. This is added in version 2.3.1. As such</w:t>
      </w:r>
      <w:r w:rsidR="00AA0EE8">
        <w:t>, as well as mapping the schemaR</w:t>
      </w:r>
      <w:r>
        <w:t>ef to the appropriate value based on the consolidation nature of the report</w:t>
      </w:r>
      <w:r w:rsidR="00AA0EE8">
        <w:t>, this data point should be added, i.e. either:</w:t>
      </w:r>
    </w:p>
    <w:p w:rsidR="00AA0EE8" w:rsidRDefault="00AA0EE8" w:rsidP="00057CFC">
      <w:pPr>
        <w:keepNext/>
        <w:keepLines/>
        <w:pBdr>
          <w:top w:val="single" w:sz="4" w:space="1" w:color="auto"/>
          <w:left w:val="single" w:sz="4" w:space="4" w:color="auto"/>
          <w:bottom w:val="single" w:sz="4" w:space="1" w:color="auto"/>
          <w:right w:val="single" w:sz="4" w:space="4" w:color="auto"/>
        </w:pBdr>
        <w:ind w:left="720" w:right="425"/>
        <w:rPr>
          <w:b/>
        </w:rPr>
      </w:pPr>
      <w:r w:rsidRPr="009037B2">
        <w:rPr>
          <w:b/>
        </w:rPr>
        <w:t xml:space="preserve">&lt;eba_met:ei207 </w:t>
      </w:r>
      <w:proofErr w:type="spellStart"/>
      <w:r w:rsidRPr="009037B2">
        <w:rPr>
          <w:b/>
        </w:rPr>
        <w:t>contextRef</w:t>
      </w:r>
      <w:proofErr w:type="spellEnd"/>
      <w:r w:rsidRPr="009037B2">
        <w:rPr>
          <w:b/>
        </w:rPr>
        <w:t>="c2"&gt;eba_SC</w:t>
      </w:r>
      <w:proofErr w:type="gramStart"/>
      <w:r w:rsidRPr="009037B2">
        <w:rPr>
          <w:b/>
        </w:rPr>
        <w:t>:x6</w:t>
      </w:r>
      <w:proofErr w:type="gramEnd"/>
      <w:r w:rsidRPr="009037B2">
        <w:rPr>
          <w:b/>
        </w:rPr>
        <w:t>&lt;/eba_met:ei207&gt;</w:t>
      </w:r>
    </w:p>
    <w:p w:rsidR="00AA0EE8" w:rsidRDefault="00AA0EE8" w:rsidP="00057CFC">
      <w:pPr>
        <w:keepNext/>
        <w:keepLines/>
        <w:pBdr>
          <w:top w:val="single" w:sz="4" w:space="1" w:color="auto"/>
          <w:left w:val="single" w:sz="4" w:space="4" w:color="auto"/>
          <w:bottom w:val="single" w:sz="4" w:space="1" w:color="auto"/>
          <w:right w:val="single" w:sz="4" w:space="4" w:color="auto"/>
        </w:pBdr>
        <w:ind w:left="720" w:right="425"/>
      </w:pPr>
      <w:proofErr w:type="gramStart"/>
      <w:r>
        <w:t>for</w:t>
      </w:r>
      <w:proofErr w:type="gramEnd"/>
      <w:r>
        <w:t xml:space="preserve"> individual, or for consolidated:</w:t>
      </w:r>
    </w:p>
    <w:p w:rsidR="00AA0EE8" w:rsidRDefault="00AA0EE8" w:rsidP="00057CFC">
      <w:pPr>
        <w:keepNext/>
        <w:keepLines/>
        <w:pBdr>
          <w:top w:val="single" w:sz="4" w:space="1" w:color="auto"/>
          <w:left w:val="single" w:sz="4" w:space="4" w:color="auto"/>
          <w:bottom w:val="single" w:sz="4" w:space="1" w:color="auto"/>
          <w:right w:val="single" w:sz="4" w:space="4" w:color="auto"/>
        </w:pBdr>
        <w:ind w:left="720" w:right="425"/>
        <w:rPr>
          <w:b/>
        </w:rPr>
      </w:pPr>
      <w:r w:rsidRPr="009037B2">
        <w:rPr>
          <w:b/>
        </w:rPr>
        <w:t xml:space="preserve">&lt;eba_met:ei207 </w:t>
      </w:r>
      <w:proofErr w:type="spellStart"/>
      <w:r w:rsidRPr="009037B2">
        <w:rPr>
          <w:b/>
        </w:rPr>
        <w:t>contextRef</w:t>
      </w:r>
      <w:proofErr w:type="spellEnd"/>
      <w:r w:rsidRPr="009037B2">
        <w:rPr>
          <w:b/>
        </w:rPr>
        <w:t>="c2"&gt;eba_SC</w:t>
      </w:r>
      <w:proofErr w:type="gramStart"/>
      <w:r w:rsidRPr="009037B2">
        <w:rPr>
          <w:b/>
        </w:rPr>
        <w:t>:x</w:t>
      </w:r>
      <w:r>
        <w:rPr>
          <w:b/>
        </w:rPr>
        <w:t>7</w:t>
      </w:r>
      <w:proofErr w:type="gramEnd"/>
      <w:r w:rsidRPr="009037B2">
        <w:rPr>
          <w:b/>
        </w:rPr>
        <w:t>&lt;/eba_met:ei207&gt;</w:t>
      </w:r>
    </w:p>
    <w:p w:rsidR="00AA0EE8" w:rsidRDefault="00AA0EE8" w:rsidP="00057CFC">
      <w:pPr>
        <w:keepLines/>
        <w:pBdr>
          <w:top w:val="single" w:sz="4" w:space="1" w:color="auto"/>
          <w:left w:val="single" w:sz="4" w:space="4" w:color="auto"/>
          <w:bottom w:val="single" w:sz="4" w:space="1" w:color="auto"/>
          <w:right w:val="single" w:sz="4" w:space="4" w:color="auto"/>
        </w:pBdr>
        <w:ind w:left="720" w:right="425"/>
      </w:pPr>
      <w:proofErr w:type="gramStart"/>
      <w:r>
        <w:t>would</w:t>
      </w:r>
      <w:proofErr w:type="gramEnd"/>
      <w:r>
        <w:t xml:space="preserve"> be added within the &lt;xbrl&gt; tag, </w:t>
      </w:r>
      <w:r w:rsidRPr="009037B2">
        <w:t>where context “c2” is the context already used for ei4 data i</w:t>
      </w:r>
      <w:r>
        <w:t>tem, and assuming the use in the instance of the canonical namespace prefixes (if this is not the case, “</w:t>
      </w:r>
      <w:proofErr w:type="spellStart"/>
      <w:r>
        <w:t>eba_met</w:t>
      </w:r>
      <w:proofErr w:type="spellEnd"/>
      <w:r>
        <w:t>” and “</w:t>
      </w:r>
      <w:proofErr w:type="spellStart"/>
      <w:r>
        <w:t>eba_SC</w:t>
      </w:r>
      <w:proofErr w:type="spellEnd"/>
      <w:r>
        <w:t>” would need to be changed appropriately).</w:t>
      </w:r>
    </w:p>
    <w:p w:rsidR="00D515AE" w:rsidRDefault="00D515AE" w:rsidP="00B000E3">
      <w:pPr>
        <w:rPr>
          <w:b/>
        </w:rPr>
      </w:pPr>
    </w:p>
    <w:p w:rsidR="00534F52" w:rsidRDefault="00B939D1" w:rsidP="00D515AE">
      <w:pPr>
        <w:pStyle w:val="Titlelevel3"/>
      </w:pPr>
      <w:r w:rsidRPr="00B939D1">
        <w:t>Table Changes</w:t>
      </w:r>
    </w:p>
    <w:p w:rsidR="00B939D1" w:rsidRPr="00B939D1" w:rsidRDefault="00B939D1" w:rsidP="001F0E7F">
      <w:pPr>
        <w:pStyle w:val="ListParagraph"/>
        <w:numPr>
          <w:ilvl w:val="0"/>
          <w:numId w:val="15"/>
        </w:numPr>
      </w:pPr>
      <w:r w:rsidRPr="00B939D1">
        <w:t>As noted above, row 020 “</w:t>
      </w:r>
      <w:r w:rsidR="001F0E7F" w:rsidRPr="001F0E7F">
        <w:t>Reporting Level</w:t>
      </w:r>
      <w:r w:rsidRPr="00B939D1">
        <w:t>” added to P 00.01.</w:t>
      </w:r>
    </w:p>
    <w:p w:rsidR="00B939D1" w:rsidRPr="00B939D1" w:rsidRDefault="00B939D1" w:rsidP="00B939D1">
      <w:pPr>
        <w:pStyle w:val="ListParagraph"/>
        <w:numPr>
          <w:ilvl w:val="0"/>
          <w:numId w:val="15"/>
        </w:numPr>
      </w:pPr>
      <w:r w:rsidRPr="00B939D1">
        <w:t xml:space="preserve">Label of Open Axis for C 105.02 </w:t>
      </w:r>
      <w:r>
        <w:t>“</w:t>
      </w:r>
      <w:r w:rsidRPr="00B939D1">
        <w:t>Mapping of internal models to portfolios</w:t>
      </w:r>
      <w:r>
        <w:t xml:space="preserve">” </w:t>
      </w:r>
      <w:r w:rsidRPr="00B939D1">
        <w:t>changed from “Portfolio” to “</w:t>
      </w:r>
      <w:r>
        <w:t>Row Number”</w:t>
      </w:r>
      <w:r w:rsidR="001A4CAA">
        <w:t xml:space="preserve"> (minor cosmetic change only, does not affect instance files)</w:t>
      </w:r>
      <w:r>
        <w:t>.</w:t>
      </w:r>
    </w:p>
    <w:p w:rsidR="00B939D1" w:rsidRDefault="00057CFC" w:rsidP="00D515AE">
      <w:pPr>
        <w:pStyle w:val="Titlelevel3"/>
      </w:pPr>
      <w:r>
        <w:t>Validation Rule Changes</w:t>
      </w:r>
    </w:p>
    <w:p w:rsidR="006A5AC9" w:rsidRDefault="006A5AC9" w:rsidP="006A5AC9">
      <w:pPr>
        <w:pStyle w:val="ListParagraph"/>
        <w:numPr>
          <w:ilvl w:val="0"/>
          <w:numId w:val="15"/>
        </w:numPr>
      </w:pPr>
      <w:r>
        <w:t>Added check on existence of value for P 00.01 row 020 (e4437_e), and checks that the values of P 00.01 and S 00.01 are agree with the Individual/Consolidated nature of the report (v4438_c - v4441_c).</w:t>
      </w:r>
    </w:p>
    <w:p w:rsidR="00766D0C" w:rsidRDefault="00766D0C" w:rsidP="00766D0C">
      <w:pPr>
        <w:pStyle w:val="Titlelevel3"/>
      </w:pPr>
      <w:r>
        <w:t>Documentation</w:t>
      </w:r>
      <w:r w:rsidR="00057CFC">
        <w:t xml:space="preserve"> Changes</w:t>
      </w:r>
    </w:p>
    <w:p w:rsidR="001F0E7F" w:rsidRDefault="001F0E7F" w:rsidP="006A5AC9">
      <w:pPr>
        <w:pStyle w:val="ListParagraph"/>
        <w:numPr>
          <w:ilvl w:val="0"/>
          <w:numId w:val="15"/>
        </w:numPr>
      </w:pPr>
      <w:r w:rsidRPr="001F0E7F">
        <w:t xml:space="preserve">“Not Included in XBRL” marker added to </w:t>
      </w:r>
      <w:r w:rsidR="00766D0C">
        <w:t>validation rules</w:t>
      </w:r>
      <w:r w:rsidR="00766D0C" w:rsidRPr="001F0E7F">
        <w:t xml:space="preserve"> v3330_i and v3331_i </w:t>
      </w:r>
      <w:r w:rsidR="00766D0C">
        <w:t xml:space="preserve">on </w:t>
      </w:r>
      <w:r w:rsidRPr="001F0E7F">
        <w:t xml:space="preserve">2.3 </w:t>
      </w:r>
      <w:proofErr w:type="gramStart"/>
      <w:r w:rsidR="00766D0C">
        <w:t>tab</w:t>
      </w:r>
      <w:proofErr w:type="gramEnd"/>
      <w:r w:rsidRPr="001F0E7F">
        <w:t xml:space="preserve"> </w:t>
      </w:r>
      <w:r w:rsidR="006A5AC9">
        <w:t xml:space="preserve">(was </w:t>
      </w:r>
      <w:r w:rsidR="00766D0C">
        <w:t xml:space="preserve">already </w:t>
      </w:r>
      <w:r w:rsidR="006A5AC9">
        <w:t>present on the other tabs).</w:t>
      </w:r>
    </w:p>
    <w:p w:rsidR="00057CFC" w:rsidRDefault="00057CFC" w:rsidP="00057CFC"/>
    <w:p w:rsidR="00057CFC" w:rsidRDefault="00057CFC" w:rsidP="00057CFC">
      <w:pPr>
        <w:pStyle w:val="Titlelevel3"/>
      </w:pPr>
      <w:r>
        <w:t>Unchanged</w:t>
      </w:r>
    </w:p>
    <w:p w:rsidR="00057CFC" w:rsidRDefault="00057CFC" w:rsidP="00057CFC">
      <w:pPr>
        <w:pStyle w:val="ListParagraph"/>
        <w:numPr>
          <w:ilvl w:val="0"/>
          <w:numId w:val="15"/>
        </w:numPr>
      </w:pPr>
      <w:r>
        <w:t>Asset Encumbrance remains unchanged from version 2.2 (i.e. v2.2 entry point/taxonomy should continue to be used)</w:t>
      </w:r>
    </w:p>
    <w:p w:rsidR="00057CFC" w:rsidRDefault="00057CFC" w:rsidP="00057CFC">
      <w:pPr>
        <w:pStyle w:val="ListParagraph"/>
        <w:numPr>
          <w:ilvl w:val="0"/>
          <w:numId w:val="15"/>
        </w:numPr>
      </w:pPr>
      <w:r>
        <w:t>FINREP remains unchanged from version 2.3</w:t>
      </w:r>
    </w:p>
    <w:p w:rsidR="00057CFC" w:rsidRDefault="00057CFC" w:rsidP="00057CFC">
      <w:pPr>
        <w:pStyle w:val="ListParagraph"/>
        <w:numPr>
          <w:ilvl w:val="0"/>
          <w:numId w:val="15"/>
        </w:numPr>
      </w:pPr>
      <w:r>
        <w:t>COREP remains unchanged from version 2.3 (however see Known Issues section below)</w:t>
      </w:r>
    </w:p>
    <w:p w:rsidR="00057CFC" w:rsidRPr="001F0E7F" w:rsidRDefault="00057CFC" w:rsidP="00057CFC">
      <w:pPr>
        <w:pStyle w:val="ListParagraph"/>
      </w:pPr>
    </w:p>
    <w:p w:rsidR="00057CFC" w:rsidRPr="00057CFC" w:rsidRDefault="00057CFC" w:rsidP="00057CFC">
      <w:pPr>
        <w:pStyle w:val="Titlelevel2"/>
        <w:keepNext/>
        <w:keepLines/>
        <w:rPr>
          <w:b/>
        </w:rPr>
      </w:pPr>
      <w:r w:rsidRPr="00057CFC">
        <w:rPr>
          <w:b/>
        </w:rPr>
        <w:lastRenderedPageBreak/>
        <w:t>Known Issues</w:t>
      </w:r>
    </w:p>
    <w:p w:rsidR="00057CFC" w:rsidRDefault="00057CFC" w:rsidP="00057CFC">
      <w:pPr>
        <w:pStyle w:val="ListParagraph"/>
        <w:keepNext/>
        <w:keepLines/>
        <w:numPr>
          <w:ilvl w:val="0"/>
          <w:numId w:val="15"/>
        </w:numPr>
      </w:pPr>
      <w:r>
        <w:t>The metrics assigned to COREP C 06.02 column 040, and FINREP F 40.01 column 150 are incorrect in v2.3 (and 2.3.1), have been mistakenly swapped over.</w:t>
      </w:r>
    </w:p>
    <w:p w:rsidR="00057CFC" w:rsidRDefault="00057CFC" w:rsidP="00057CFC">
      <w:pPr>
        <w:pStyle w:val="ListParagraph"/>
        <w:keepNext/>
        <w:keepLines/>
        <w:numPr>
          <w:ilvl w:val="1"/>
          <w:numId w:val="15"/>
        </w:numPr>
      </w:pPr>
      <w:r>
        <w:t xml:space="preserve">This error has </w:t>
      </w:r>
      <w:r w:rsidRPr="006A5AC9">
        <w:rPr>
          <w:b/>
        </w:rPr>
        <w:t>NOT</w:t>
      </w:r>
      <w:r>
        <w:t xml:space="preserve"> been corrected in v2.3.1, so as to avoid impacting the FINREP or COREP taxonomies</w:t>
      </w:r>
    </w:p>
    <w:p w:rsidR="00057CFC" w:rsidRDefault="00057CFC" w:rsidP="00057CFC">
      <w:pPr>
        <w:pStyle w:val="ListParagraph"/>
        <w:keepNext/>
        <w:keepLines/>
        <w:numPr>
          <w:ilvl w:val="1"/>
          <w:numId w:val="15"/>
        </w:numPr>
      </w:pPr>
      <w:r>
        <w:t>F 40.01 col 150 remains a string metric as it was in previous versions, reporters should continue to report this as they have done previously</w:t>
      </w:r>
    </w:p>
    <w:p w:rsidR="00057CFC" w:rsidRDefault="00057CFC" w:rsidP="00057CFC">
      <w:pPr>
        <w:pStyle w:val="ListParagraph"/>
        <w:keepNext/>
        <w:keepLines/>
        <w:numPr>
          <w:ilvl w:val="1"/>
          <w:numId w:val="15"/>
        </w:numPr>
      </w:pPr>
      <w:r w:rsidRPr="00766D0C">
        <w:rPr>
          <w:b/>
        </w:rPr>
        <w:t>For COREP, table C 06.02</w:t>
      </w:r>
      <w:r>
        <w:t xml:space="preserve"> the taxonomy allows for column 040 all four values below, but </w:t>
      </w:r>
      <w:r w:rsidRPr="00057CFC">
        <w:rPr>
          <w:b/>
        </w:rPr>
        <w:t>instance files should be reported respecting the supplementary instructions below</w:t>
      </w:r>
      <w:r>
        <w:t xml:space="preserve">: </w:t>
      </w:r>
    </w:p>
    <w:p w:rsidR="00057CFC" w:rsidRDefault="00057CFC" w:rsidP="00057CFC">
      <w:pPr>
        <w:ind w:left="1080"/>
      </w:pPr>
    </w:p>
    <w:tbl>
      <w:tblPr>
        <w:tblStyle w:val="EBAtable"/>
        <w:tblW w:w="0" w:type="auto"/>
        <w:tblLook w:val="04A0" w:firstRow="1" w:lastRow="0" w:firstColumn="1" w:lastColumn="0" w:noHBand="0" w:noVBand="1"/>
      </w:tblPr>
      <w:tblGrid>
        <w:gridCol w:w="1391"/>
        <w:gridCol w:w="3904"/>
        <w:gridCol w:w="3996"/>
      </w:tblGrid>
      <w:tr w:rsidR="00057CFC" w:rsidRPr="006A5AC9" w:rsidTr="00587A42">
        <w:trPr>
          <w:cnfStyle w:val="100000000000" w:firstRow="1" w:lastRow="0" w:firstColumn="0" w:lastColumn="0" w:oddVBand="0" w:evenVBand="0" w:oddHBand="0" w:evenHBand="0" w:firstRowFirstColumn="0" w:firstRowLastColumn="0" w:lastRowFirstColumn="0" w:lastRowLastColumn="0"/>
        </w:trPr>
        <w:tc>
          <w:tcPr>
            <w:tcW w:w="1126" w:type="dxa"/>
          </w:tcPr>
          <w:p w:rsidR="00057CFC" w:rsidRPr="00D515AE" w:rsidRDefault="00057CFC" w:rsidP="00587A42">
            <w:pPr>
              <w:rPr>
                <w:rFonts w:ascii="Arial" w:hAnsi="Arial" w:cs="Arial"/>
                <w:b/>
              </w:rPr>
            </w:pPr>
            <w:r>
              <w:rPr>
                <w:rFonts w:ascii="Arial" w:hAnsi="Arial" w:cs="Arial"/>
                <w:b/>
              </w:rPr>
              <w:t>Member</w:t>
            </w:r>
          </w:p>
        </w:tc>
        <w:tc>
          <w:tcPr>
            <w:tcW w:w="3984" w:type="dxa"/>
          </w:tcPr>
          <w:p w:rsidR="00057CFC" w:rsidRPr="00D515AE" w:rsidRDefault="00057CFC" w:rsidP="00587A42">
            <w:pPr>
              <w:rPr>
                <w:rFonts w:ascii="Arial" w:hAnsi="Arial" w:cs="Arial"/>
                <w:b/>
              </w:rPr>
            </w:pPr>
            <w:r w:rsidRPr="00D515AE">
              <w:rPr>
                <w:rFonts w:ascii="Arial" w:hAnsi="Arial" w:cs="Arial"/>
                <w:b/>
              </w:rPr>
              <w:t>Label</w:t>
            </w:r>
          </w:p>
        </w:tc>
        <w:tc>
          <w:tcPr>
            <w:tcW w:w="4070" w:type="dxa"/>
          </w:tcPr>
          <w:p w:rsidR="00057CFC" w:rsidRPr="00D515AE" w:rsidRDefault="00057CFC" w:rsidP="00587A42">
            <w:pPr>
              <w:rPr>
                <w:rFonts w:ascii="Arial" w:hAnsi="Arial" w:cs="Arial"/>
                <w:b/>
              </w:rPr>
            </w:pPr>
            <w:r w:rsidRPr="00D515AE">
              <w:rPr>
                <w:rFonts w:ascii="Arial" w:hAnsi="Arial" w:cs="Arial"/>
                <w:b/>
              </w:rPr>
              <w:t>Supplementary instruction</w:t>
            </w:r>
          </w:p>
        </w:tc>
      </w:tr>
      <w:tr w:rsidR="00057CFC" w:rsidRPr="006A5AC9" w:rsidTr="00587A42">
        <w:tc>
          <w:tcPr>
            <w:tcW w:w="1126" w:type="dxa"/>
          </w:tcPr>
          <w:p w:rsidR="00057CFC" w:rsidRPr="00D515AE" w:rsidRDefault="00057CFC" w:rsidP="00587A42">
            <w:pPr>
              <w:rPr>
                <w:rFonts w:ascii="Arial" w:hAnsi="Arial" w:cs="Arial"/>
              </w:rPr>
            </w:pPr>
            <w:r w:rsidRPr="00BC0A15">
              <w:rPr>
                <w:rFonts w:ascii="Arial" w:hAnsi="Arial" w:cs="Arial"/>
              </w:rPr>
              <w:t>eba_Z</w:t>
            </w:r>
            <w:r>
              <w:rPr>
                <w:rFonts w:ascii="Arial" w:hAnsi="Arial" w:cs="Arial"/>
              </w:rPr>
              <w:t>Z:</w:t>
            </w:r>
            <w:r w:rsidRPr="00D515AE">
              <w:rPr>
                <w:rFonts w:ascii="Arial" w:hAnsi="Arial" w:cs="Arial"/>
              </w:rPr>
              <w:t>x29</w:t>
            </w:r>
          </w:p>
        </w:tc>
        <w:tc>
          <w:tcPr>
            <w:tcW w:w="3984" w:type="dxa"/>
          </w:tcPr>
          <w:p w:rsidR="00057CFC" w:rsidRPr="00D515AE" w:rsidRDefault="00057CFC" w:rsidP="00587A42">
            <w:pPr>
              <w:rPr>
                <w:rFonts w:ascii="Arial" w:hAnsi="Arial" w:cs="Arial"/>
              </w:rPr>
            </w:pPr>
            <w:r w:rsidRPr="00D515AE">
              <w:rPr>
                <w:rFonts w:ascii="Arial" w:hAnsi="Arial" w:cs="Arial"/>
              </w:rPr>
              <w:t>Full consolidation</w:t>
            </w:r>
          </w:p>
        </w:tc>
        <w:tc>
          <w:tcPr>
            <w:tcW w:w="4070" w:type="dxa"/>
          </w:tcPr>
          <w:p w:rsidR="00057CFC" w:rsidRPr="00D515AE" w:rsidRDefault="00057CFC" w:rsidP="00587A42">
            <w:pPr>
              <w:rPr>
                <w:rFonts w:ascii="Arial" w:hAnsi="Arial" w:cs="Arial"/>
              </w:rPr>
            </w:pPr>
            <w:r w:rsidRPr="00D515AE">
              <w:rPr>
                <w:rFonts w:ascii="Arial" w:hAnsi="Arial" w:cs="Arial"/>
              </w:rPr>
              <w:t>Us</w:t>
            </w:r>
            <w:r>
              <w:rPr>
                <w:rFonts w:ascii="Arial" w:hAnsi="Arial" w:cs="Arial"/>
              </w:rPr>
              <w:t>e</w:t>
            </w:r>
            <w:r w:rsidRPr="00D515AE">
              <w:rPr>
                <w:rFonts w:ascii="Arial" w:hAnsi="Arial" w:cs="Arial"/>
              </w:rPr>
              <w:t xml:space="preserve"> to report value “fully consolidated” ("SF")</w:t>
            </w:r>
          </w:p>
        </w:tc>
      </w:tr>
      <w:tr w:rsidR="00057CFC" w:rsidRPr="006A5AC9" w:rsidTr="00587A42">
        <w:tc>
          <w:tcPr>
            <w:tcW w:w="1126" w:type="dxa"/>
          </w:tcPr>
          <w:p w:rsidR="00057CFC" w:rsidRPr="00766D0C" w:rsidRDefault="00057CFC" w:rsidP="00587A42">
            <w:pPr>
              <w:rPr>
                <w:rFonts w:ascii="Arial" w:hAnsi="Arial" w:cs="Arial"/>
              </w:rPr>
            </w:pPr>
            <w:r w:rsidRPr="00766D0C">
              <w:rPr>
                <w:rFonts w:ascii="Arial" w:hAnsi="Arial" w:cs="Arial"/>
              </w:rPr>
              <w:t>eba_ZZ:x30</w:t>
            </w:r>
          </w:p>
        </w:tc>
        <w:tc>
          <w:tcPr>
            <w:tcW w:w="3984" w:type="dxa"/>
          </w:tcPr>
          <w:p w:rsidR="00057CFC" w:rsidRPr="00766D0C" w:rsidRDefault="00057CFC" w:rsidP="00587A42">
            <w:pPr>
              <w:rPr>
                <w:rFonts w:ascii="Arial" w:hAnsi="Arial" w:cs="Arial"/>
              </w:rPr>
            </w:pPr>
            <w:r w:rsidRPr="00766D0C">
              <w:rPr>
                <w:rFonts w:ascii="Arial" w:hAnsi="Arial" w:cs="Arial"/>
              </w:rPr>
              <w:t>Proportional consolidation</w:t>
            </w:r>
          </w:p>
        </w:tc>
        <w:tc>
          <w:tcPr>
            <w:tcW w:w="4070" w:type="dxa"/>
          </w:tcPr>
          <w:p w:rsidR="00057CFC" w:rsidRPr="00766D0C" w:rsidRDefault="00057CFC" w:rsidP="00587A42">
            <w:pPr>
              <w:rPr>
                <w:rFonts w:ascii="Arial" w:hAnsi="Arial" w:cs="Arial"/>
              </w:rPr>
            </w:pPr>
            <w:r w:rsidRPr="00766D0C">
              <w:rPr>
                <w:rFonts w:ascii="Arial" w:hAnsi="Arial" w:cs="Arial"/>
              </w:rPr>
              <w:t>DO NOT USE</w:t>
            </w:r>
          </w:p>
        </w:tc>
      </w:tr>
      <w:tr w:rsidR="00057CFC" w:rsidRPr="006A5AC9" w:rsidTr="00587A42">
        <w:tc>
          <w:tcPr>
            <w:tcW w:w="1126" w:type="dxa"/>
          </w:tcPr>
          <w:p w:rsidR="00057CFC" w:rsidRPr="00766D0C" w:rsidRDefault="00057CFC" w:rsidP="00587A42">
            <w:pPr>
              <w:rPr>
                <w:rFonts w:ascii="Arial" w:hAnsi="Arial" w:cs="Arial"/>
              </w:rPr>
            </w:pPr>
            <w:r w:rsidRPr="00766D0C">
              <w:rPr>
                <w:rFonts w:ascii="Arial" w:hAnsi="Arial" w:cs="Arial"/>
              </w:rPr>
              <w:t>eba_ZZ:x31</w:t>
            </w:r>
          </w:p>
        </w:tc>
        <w:tc>
          <w:tcPr>
            <w:tcW w:w="3984" w:type="dxa"/>
          </w:tcPr>
          <w:p w:rsidR="00057CFC" w:rsidRPr="00766D0C" w:rsidRDefault="00057CFC" w:rsidP="00587A42">
            <w:pPr>
              <w:rPr>
                <w:rFonts w:ascii="Arial" w:hAnsi="Arial" w:cs="Arial"/>
              </w:rPr>
            </w:pPr>
            <w:r w:rsidRPr="00766D0C">
              <w:rPr>
                <w:rFonts w:ascii="Arial" w:hAnsi="Arial" w:cs="Arial"/>
              </w:rPr>
              <w:t>Equity method</w:t>
            </w:r>
          </w:p>
        </w:tc>
        <w:tc>
          <w:tcPr>
            <w:tcW w:w="4070" w:type="dxa"/>
          </w:tcPr>
          <w:p w:rsidR="00057CFC" w:rsidRPr="00766D0C" w:rsidRDefault="00057CFC" w:rsidP="00587A42">
            <w:pPr>
              <w:rPr>
                <w:rFonts w:ascii="Arial" w:hAnsi="Arial" w:cs="Arial"/>
              </w:rPr>
            </w:pPr>
            <w:r w:rsidRPr="00766D0C">
              <w:rPr>
                <w:rFonts w:ascii="Arial" w:hAnsi="Arial" w:cs="Arial"/>
              </w:rPr>
              <w:t>DO NOT USE</w:t>
            </w:r>
          </w:p>
        </w:tc>
      </w:tr>
      <w:tr w:rsidR="00057CFC" w:rsidRPr="006A5AC9" w:rsidTr="00587A42">
        <w:tc>
          <w:tcPr>
            <w:tcW w:w="1126" w:type="dxa"/>
          </w:tcPr>
          <w:p w:rsidR="00057CFC" w:rsidRPr="00D515AE" w:rsidRDefault="00057CFC" w:rsidP="00587A42">
            <w:pPr>
              <w:rPr>
                <w:rFonts w:ascii="Arial" w:hAnsi="Arial" w:cs="Arial"/>
              </w:rPr>
            </w:pPr>
            <w:r>
              <w:rPr>
                <w:rFonts w:ascii="Arial" w:hAnsi="Arial" w:cs="Arial"/>
              </w:rPr>
              <w:t>eba_ZZ:</w:t>
            </w:r>
            <w:r w:rsidRPr="00D515AE">
              <w:rPr>
                <w:rFonts w:ascii="Arial" w:hAnsi="Arial" w:cs="Arial"/>
              </w:rPr>
              <w:t>x32</w:t>
            </w:r>
          </w:p>
        </w:tc>
        <w:tc>
          <w:tcPr>
            <w:tcW w:w="3984" w:type="dxa"/>
          </w:tcPr>
          <w:p w:rsidR="00057CFC" w:rsidRPr="00D515AE" w:rsidRDefault="00057CFC" w:rsidP="00587A42">
            <w:pPr>
              <w:rPr>
                <w:rFonts w:ascii="Arial" w:hAnsi="Arial" w:cs="Arial"/>
              </w:rPr>
            </w:pPr>
            <w:r w:rsidRPr="00D515AE">
              <w:rPr>
                <w:rFonts w:ascii="Arial" w:hAnsi="Arial" w:cs="Arial"/>
              </w:rPr>
              <w:t>Other than Full consolidation, Proportional consolidation, Equity method</w:t>
            </w:r>
          </w:p>
        </w:tc>
        <w:tc>
          <w:tcPr>
            <w:tcW w:w="4070" w:type="dxa"/>
          </w:tcPr>
          <w:p w:rsidR="00057CFC" w:rsidRPr="00D515AE" w:rsidRDefault="00057CFC" w:rsidP="00587A42">
            <w:pPr>
              <w:rPr>
                <w:rFonts w:ascii="Arial" w:hAnsi="Arial" w:cs="Arial"/>
              </w:rPr>
            </w:pPr>
            <w:r w:rsidRPr="00D515AE">
              <w:rPr>
                <w:rFonts w:ascii="Arial" w:hAnsi="Arial" w:cs="Arial"/>
              </w:rPr>
              <w:t>Usable to report value “partially consolidated” ("SP")</w:t>
            </w:r>
          </w:p>
        </w:tc>
      </w:tr>
    </w:tbl>
    <w:p w:rsidR="00057CFC" w:rsidRDefault="00057CFC" w:rsidP="00057CFC"/>
    <w:p w:rsidR="004A28AD" w:rsidRPr="00AC2556" w:rsidRDefault="004A28AD" w:rsidP="004A28AD">
      <w:pPr>
        <w:pStyle w:val="Heading1"/>
      </w:pPr>
      <w:r w:rsidRPr="00AC2556">
        <w:t>2.</w:t>
      </w:r>
      <w:r>
        <w:t>3</w:t>
      </w:r>
      <w:r w:rsidRPr="00AC2556">
        <w:t>.0 (“201</w:t>
      </w:r>
      <w:r>
        <w:t>5-A</w:t>
      </w:r>
      <w:r w:rsidRPr="00AC2556">
        <w:t xml:space="preserve">” Package) </w:t>
      </w:r>
    </w:p>
    <w:p w:rsidR="00766D0C" w:rsidRDefault="00766D0C">
      <w:pPr>
        <w:rPr>
          <w:rFonts w:asciiTheme="majorHAnsi" w:eastAsiaTheme="majorEastAsia" w:hAnsiTheme="majorHAnsi" w:cstheme="majorBidi"/>
          <w:color w:val="2F5773" w:themeColor="text2"/>
          <w:spacing w:val="5"/>
          <w:kern w:val="28"/>
          <w:sz w:val="52"/>
          <w:szCs w:val="52"/>
        </w:rPr>
      </w:pPr>
      <w:r>
        <w:br w:type="page"/>
      </w:r>
    </w:p>
    <w:p w:rsidR="004A28AD" w:rsidRDefault="00D515AE" w:rsidP="00D515AE">
      <w:pPr>
        <w:pStyle w:val="Heading2"/>
      </w:pPr>
      <w:r w:rsidRPr="00D515AE">
        <w:lastRenderedPageBreak/>
        <w:t>v2.3.0 (“2015-A” Package)</w:t>
      </w:r>
      <w:r w:rsidR="001A4CAA" w:rsidRPr="001A4CAA">
        <w:rPr>
          <w:rFonts w:ascii="Arial" w:hAnsi="Arial" w:cs="Arial"/>
          <w:color w:val="696969"/>
          <w:sz w:val="18"/>
          <w:szCs w:val="18"/>
          <w:shd w:val="clear" w:color="auto" w:fill="FFFFFF"/>
        </w:rPr>
        <w:t xml:space="preserve"> </w:t>
      </w:r>
      <w:r w:rsidR="001A4CAA">
        <w:rPr>
          <w:rFonts w:ascii="Arial" w:hAnsi="Arial" w:cs="Arial"/>
          <w:color w:val="696969"/>
          <w:sz w:val="18"/>
          <w:szCs w:val="18"/>
          <w:shd w:val="clear" w:color="auto" w:fill="FFFFFF"/>
        </w:rPr>
        <w:t>(02/03/2015)</w:t>
      </w:r>
    </w:p>
    <w:p w:rsidR="004A28AD" w:rsidRDefault="00D515AE" w:rsidP="00D515AE">
      <w:pPr>
        <w:pStyle w:val="Titlelevel2"/>
      </w:pPr>
      <w:r>
        <w:t>DPM changes</w:t>
      </w:r>
    </w:p>
    <w:p w:rsidR="006A3920" w:rsidRDefault="006A3920" w:rsidP="006A3920">
      <w:pPr>
        <w:pStyle w:val="ListParagraph"/>
        <w:numPr>
          <w:ilvl w:val="0"/>
          <w:numId w:val="15"/>
        </w:numPr>
      </w:pPr>
      <w:r>
        <w:t>New version of Funding Plans taxonomy – replacing previous version which will not be used.</w:t>
      </w:r>
    </w:p>
    <w:p w:rsidR="0049741E" w:rsidRDefault="0049741E" w:rsidP="0049741E">
      <w:pPr>
        <w:pStyle w:val="ListParagraph"/>
        <w:numPr>
          <w:ilvl w:val="1"/>
          <w:numId w:val="15"/>
        </w:numPr>
      </w:pPr>
      <w:r>
        <w:t>Correction of erroneous modelling of tables P 02.07 and P02.08 (column 010 marked identical to P 01.02</w:t>
      </w:r>
      <w:r w:rsidR="0089263A">
        <w:t>)</w:t>
      </w:r>
      <w:r w:rsidR="007D6736">
        <w:t xml:space="preserve"> </w:t>
      </w:r>
      <w:r>
        <w:t xml:space="preserve"> </w:t>
      </w:r>
    </w:p>
    <w:p w:rsidR="006A3920" w:rsidRDefault="006A3920" w:rsidP="006A3920">
      <w:pPr>
        <w:pStyle w:val="ListParagraph"/>
        <w:numPr>
          <w:ilvl w:val="0"/>
          <w:numId w:val="15"/>
        </w:numPr>
      </w:pPr>
      <w:r>
        <w:t xml:space="preserve">Preliminary version of </w:t>
      </w:r>
      <w:r w:rsidR="00291461">
        <w:t xml:space="preserve">new </w:t>
      </w:r>
      <w:r>
        <w:t xml:space="preserve">Benchmarking </w:t>
      </w:r>
      <w:r w:rsidR="00291461">
        <w:t xml:space="preserve">framework </w:t>
      </w:r>
      <w:r w:rsidR="00273419">
        <w:t>/</w:t>
      </w:r>
      <w:r w:rsidR="00291461">
        <w:t xml:space="preserve"> </w:t>
      </w:r>
      <w:r>
        <w:t>taxonomy included.</w:t>
      </w:r>
    </w:p>
    <w:p w:rsidR="00BA6A8E" w:rsidRDefault="00BA6A8E" w:rsidP="00BA6A8E">
      <w:pPr>
        <w:pStyle w:val="ListParagraph"/>
        <w:numPr>
          <w:ilvl w:val="1"/>
          <w:numId w:val="15"/>
        </w:numPr>
      </w:pPr>
      <w:r>
        <w:t xml:space="preserve">Several tables in Benchmarking </w:t>
      </w:r>
      <w:r w:rsidR="00F441B8">
        <w:t xml:space="preserve">(C 106 – 110) </w:t>
      </w:r>
      <w:r>
        <w:t>require figures to be reported in the intrinsic currency of the value (i.e. the value of a portfolio of USD bonds should be reported in USD, whereas a portfolio of EUR assets should be reported in EUR), rather than converted to equivalents in a single reporting currency (as is the approach in the rest of the EBA reporting). The data to which this reporting approach is applicable is indicated by the application of</w:t>
      </w:r>
      <w:r w:rsidR="004D40E3">
        <w:t xml:space="preserve"> values from</w:t>
      </w:r>
      <w:r>
        <w:t xml:space="preserve"> a new dimension CCA (“</w:t>
      </w:r>
      <w:r w:rsidRPr="00BA6A8E">
        <w:t>Currency conversion approach</w:t>
      </w:r>
      <w:r>
        <w:t>”).</w:t>
      </w:r>
    </w:p>
    <w:p w:rsidR="00291461" w:rsidRDefault="00291461" w:rsidP="00291461">
      <w:pPr>
        <w:pStyle w:val="ListParagraph"/>
        <w:numPr>
          <w:ilvl w:val="1"/>
          <w:numId w:val="15"/>
        </w:numPr>
      </w:pPr>
      <w:r>
        <w:t>Addition of (decimal) members to be used to report values in market value section of benchmarking that are in different currencies per</w:t>
      </w:r>
      <w:r w:rsidR="004D40E3">
        <w:t xml:space="preserve"> row (by portfolio) as currency-</w:t>
      </w:r>
      <w:r>
        <w:t xml:space="preserve">less numbers to avoid the need for tools to support </w:t>
      </w:r>
      <w:r w:rsidR="004D40E3">
        <w:t xml:space="preserve">full </w:t>
      </w:r>
      <w:r>
        <w:t>multicurrency reporting (</w:t>
      </w:r>
      <w:r w:rsidR="004D40E3">
        <w:t xml:space="preserve">which was </w:t>
      </w:r>
      <w:r>
        <w:t xml:space="preserve">expected to be </w:t>
      </w:r>
      <w:r w:rsidR="00BA6A8E">
        <w:t>problematic in the short term).</w:t>
      </w:r>
    </w:p>
    <w:p w:rsidR="00291461" w:rsidRDefault="006A3920" w:rsidP="006A3920">
      <w:pPr>
        <w:pStyle w:val="ListParagraph"/>
        <w:numPr>
          <w:ilvl w:val="0"/>
          <w:numId w:val="15"/>
        </w:numPr>
      </w:pPr>
      <w:r>
        <w:t>Mi</w:t>
      </w:r>
      <w:r w:rsidR="00273419">
        <w:t>nor changes to COREP and FINREP, including</w:t>
      </w:r>
    </w:p>
    <w:p w:rsidR="00291461" w:rsidRDefault="00291461" w:rsidP="00291461">
      <w:pPr>
        <w:pStyle w:val="ListParagraph"/>
        <w:numPr>
          <w:ilvl w:val="1"/>
          <w:numId w:val="15"/>
        </w:numPr>
      </w:pPr>
      <w:r w:rsidRPr="00B000E3">
        <w:rPr>
          <w:b/>
        </w:rPr>
        <w:t xml:space="preserve">Tables F 19.00.e and .f removed, </w:t>
      </w:r>
      <w:r>
        <w:t>C 18 sheets 010 and 011 removed, F 19.00.b and .c row 340 added.</w:t>
      </w:r>
    </w:p>
    <w:p w:rsidR="00237B31" w:rsidRDefault="006A3920" w:rsidP="004A28AD">
      <w:pPr>
        <w:pStyle w:val="ListParagraph"/>
        <w:numPr>
          <w:ilvl w:val="0"/>
          <w:numId w:val="15"/>
        </w:numPr>
      </w:pPr>
      <w:r>
        <w:t>Asset Encumbrance is unchanged.</w:t>
      </w:r>
    </w:p>
    <w:p w:rsidR="004A28AD" w:rsidRDefault="007D6736" w:rsidP="004A28AD">
      <w:pPr>
        <w:pStyle w:val="ListParagraph"/>
        <w:numPr>
          <w:ilvl w:val="0"/>
          <w:numId w:val="15"/>
        </w:numPr>
      </w:pPr>
      <w:r>
        <w:t xml:space="preserve">Changed or Corrected many validation rules, </w:t>
      </w:r>
      <w:r w:rsidR="004A28AD">
        <w:t>"Reacti</w:t>
      </w:r>
      <w:r w:rsidR="00237B31">
        <w:t>vated" several validation rules</w:t>
      </w:r>
    </w:p>
    <w:p w:rsidR="00237B31" w:rsidRDefault="00237B31" w:rsidP="00237B31">
      <w:pPr>
        <w:pStyle w:val="ListParagraph"/>
      </w:pPr>
    </w:p>
    <w:p w:rsidR="007D6736" w:rsidRDefault="007D6736" w:rsidP="004A28AD">
      <w:r>
        <w:t>See accompanying documentation for more detail of changes.</w:t>
      </w:r>
    </w:p>
    <w:p w:rsidR="004A28AD" w:rsidRDefault="004A28AD" w:rsidP="004A28AD"/>
    <w:p w:rsidR="004A28AD" w:rsidRPr="00D515AE" w:rsidRDefault="00237B31" w:rsidP="00D515AE">
      <w:pPr>
        <w:pStyle w:val="Titlelevel2"/>
      </w:pPr>
      <w:r>
        <w:t>XBRL changes</w:t>
      </w:r>
    </w:p>
    <w:p w:rsidR="004A28AD" w:rsidRDefault="004A28AD" w:rsidP="00291461">
      <w:pPr>
        <w:pStyle w:val="ListParagraph"/>
        <w:numPr>
          <w:ilvl w:val="0"/>
          <w:numId w:val="20"/>
        </w:numPr>
      </w:pPr>
      <w:r>
        <w:t xml:space="preserve">Decimal metrics are mapped to primary items starting </w:t>
      </w:r>
      <w:r w:rsidR="00BA6A8E">
        <w:t>r</w:t>
      </w:r>
      <w:r>
        <w:t xml:space="preserve"> (i.e. </w:t>
      </w:r>
      <w:r w:rsidR="00BA6A8E">
        <w:t>r</w:t>
      </w:r>
      <w:r>
        <w:t xml:space="preserve">i128). </w:t>
      </w:r>
    </w:p>
    <w:p w:rsidR="004A28AD" w:rsidRDefault="004A28AD" w:rsidP="00291461">
      <w:pPr>
        <w:pStyle w:val="ListParagraph"/>
        <w:numPr>
          <w:ilvl w:val="0"/>
          <w:numId w:val="20"/>
        </w:numPr>
      </w:pPr>
      <w:r>
        <w:t>Addition o</w:t>
      </w:r>
      <w:r w:rsidR="00237B31">
        <w:t xml:space="preserve">f role refs to various </w:t>
      </w:r>
      <w:proofErr w:type="spellStart"/>
      <w:r w:rsidR="00237B31">
        <w:t>linkbaseR</w:t>
      </w:r>
      <w:r>
        <w:t>ef</w:t>
      </w:r>
      <w:proofErr w:type="spellEnd"/>
      <w:r>
        <w:t xml:space="preserve"> elements, which eliminates warnings generated when validating the taxonomy using several XBRL tools.</w:t>
      </w:r>
    </w:p>
    <w:p w:rsidR="00F441B8" w:rsidRDefault="00F441B8" w:rsidP="00291461">
      <w:pPr>
        <w:pStyle w:val="ListParagraph"/>
        <w:numPr>
          <w:ilvl w:val="0"/>
          <w:numId w:val="20"/>
        </w:numPr>
      </w:pPr>
      <w:r>
        <w:t xml:space="preserve">Addition of existence rules ("e****_e") requiring the reporting of cells on tables </w:t>
      </w:r>
      <w:proofErr w:type="gramStart"/>
      <w:r>
        <w:t>00.01 .</w:t>
      </w:r>
      <w:proofErr w:type="gramEnd"/>
      <w:r>
        <w:t xml:space="preserve"> </w:t>
      </w:r>
    </w:p>
    <w:p w:rsidR="00F441B8" w:rsidRDefault="004A28AD" w:rsidP="00F441B8">
      <w:pPr>
        <w:pStyle w:val="ListParagraph"/>
        <w:numPr>
          <w:ilvl w:val="1"/>
          <w:numId w:val="20"/>
        </w:numPr>
      </w:pPr>
      <w:r>
        <w:t xml:space="preserve">Note that </w:t>
      </w:r>
      <w:r w:rsidR="00DD121A">
        <w:t>the</w:t>
      </w:r>
      <w:r w:rsidR="00F441B8">
        <w:t>se</w:t>
      </w:r>
      <w:r w:rsidR="00DD121A">
        <w:t xml:space="preserve"> </w:t>
      </w:r>
      <w:r>
        <w:t>do not depend on any filing indicators and run whatever.</w:t>
      </w:r>
    </w:p>
    <w:p w:rsidR="004A28AD" w:rsidRPr="00D515AE" w:rsidRDefault="00237B31" w:rsidP="00D515AE">
      <w:pPr>
        <w:pStyle w:val="Titlelevel2"/>
      </w:pPr>
      <w:r>
        <w:t>Documentation changes</w:t>
      </w:r>
    </w:p>
    <w:p w:rsidR="004A28AD" w:rsidRDefault="004A28AD" w:rsidP="00291461">
      <w:pPr>
        <w:pStyle w:val="ListParagraph"/>
        <w:numPr>
          <w:ilvl w:val="0"/>
          <w:numId w:val="21"/>
        </w:numPr>
      </w:pPr>
      <w:r>
        <w:t>Changed Taxonomy Architecture</w:t>
      </w:r>
      <w:r w:rsidR="00DD121A">
        <w:t xml:space="preserve"> document</w:t>
      </w:r>
      <w:r>
        <w:t xml:space="preserve"> to list the prefix for decimal types as "</w:t>
      </w:r>
      <w:r w:rsidR="00BA6A8E">
        <w:t>r</w:t>
      </w:r>
      <w:r>
        <w:t>".</w:t>
      </w:r>
    </w:p>
    <w:p w:rsidR="004A28AD" w:rsidRDefault="004A28AD" w:rsidP="00291461">
      <w:pPr>
        <w:pStyle w:val="ListParagraph"/>
        <w:numPr>
          <w:ilvl w:val="0"/>
          <w:numId w:val="21"/>
        </w:numPr>
      </w:pPr>
      <w:r>
        <w:t xml:space="preserve">Filing rules updated to cover the reporting of </w:t>
      </w:r>
      <w:proofErr w:type="spellStart"/>
      <w:r>
        <w:t>currencyless</w:t>
      </w:r>
      <w:proofErr w:type="spellEnd"/>
      <w:r>
        <w:t xml:space="preserve"> money values using decimal data type, and the use of negative filing indicators</w:t>
      </w:r>
      <w:r w:rsidR="00476AA2">
        <w:t xml:space="preserve"> for indicating intentional non-reporting of templates</w:t>
      </w:r>
      <w:r>
        <w:t>.</w:t>
      </w:r>
    </w:p>
    <w:p w:rsidR="00F441B8" w:rsidRDefault="00F441B8" w:rsidP="00F441B8">
      <w:pPr>
        <w:pStyle w:val="ListParagraph"/>
      </w:pPr>
    </w:p>
    <w:p w:rsidR="00E56F2E" w:rsidRDefault="00E56F2E" w:rsidP="00D515AE">
      <w:pPr>
        <w:pStyle w:val="Titlelevel2"/>
      </w:pPr>
      <w:bookmarkStart w:id="3" w:name="OLE_LINK3"/>
      <w:bookmarkStart w:id="4" w:name="OLE_LINK4"/>
      <w:r w:rsidRPr="00D515AE">
        <w:t xml:space="preserve">Tables </w:t>
      </w:r>
      <w:proofErr w:type="gramStart"/>
      <w:r w:rsidRPr="00D515AE">
        <w:t>C  06.01</w:t>
      </w:r>
      <w:proofErr w:type="gramEnd"/>
      <w:r w:rsidRPr="00D515AE">
        <w:t xml:space="preserve"> and C 06.02</w:t>
      </w:r>
    </w:p>
    <w:p w:rsidR="00E56F2E" w:rsidRDefault="00E56F2E">
      <w:r>
        <w:lastRenderedPageBreak/>
        <w:t>As noted below, in v2.2 table C 06.00 was renamed C 06.02, and C 06.0</w:t>
      </w:r>
      <w:r>
        <w:rPr>
          <w:color w:val="1F497D"/>
        </w:rPr>
        <w:t>1</w:t>
      </w:r>
      <w:r>
        <w:t xml:space="preserve"> was added. In 2.2 they both formed part of the same </w:t>
      </w:r>
      <w:r w:rsidR="00273419">
        <w:t xml:space="preserve">“group solvency” template </w:t>
      </w:r>
      <w:r>
        <w:t xml:space="preserve">filing unit, as indicated in the </w:t>
      </w:r>
      <w:r w:rsidR="00273419">
        <w:t xml:space="preserve">appropriate fields of the </w:t>
      </w:r>
      <w:r>
        <w:t>DPM database and the XBRL taxonomy</w:t>
      </w:r>
      <w:r w:rsidR="00273419">
        <w:t xml:space="preserve">, as per the taxonomy architecture </w:t>
      </w:r>
      <w:r>
        <w:t>– i.e. one filing indicator with the code “C_06.00” was to be used, which would indicate that both were notionally filed (or both were not filed).</w:t>
      </w:r>
    </w:p>
    <w:p w:rsidR="00E56F2E" w:rsidRDefault="00E56F2E"/>
    <w:p w:rsidR="00E56F2E" w:rsidRDefault="00E56F2E">
      <w:r>
        <w:t>This did</w:t>
      </w:r>
      <w:r w:rsidR="00273419">
        <w:t xml:space="preserve"> not fit with the implied </w:t>
      </w:r>
      <w:r>
        <w:t xml:space="preserve">naming approach </w:t>
      </w:r>
      <w:r w:rsidR="00273419">
        <w:t>seen</w:t>
      </w:r>
      <w:r>
        <w:t xml:space="preserve"> elsewhere in the EBA </w:t>
      </w:r>
      <w:r w:rsidR="00273419">
        <w:t xml:space="preserve">reporting, </w:t>
      </w:r>
      <w:r>
        <w:t xml:space="preserve">where “.01”, “.02” etc. </w:t>
      </w:r>
      <w:r w:rsidR="00273419">
        <w:t xml:space="preserve">are generally given to </w:t>
      </w:r>
      <w:r>
        <w:t>independently file</w:t>
      </w:r>
      <w:r w:rsidR="00273419">
        <w:t>d</w:t>
      </w:r>
      <w:r>
        <w:t xml:space="preserve"> tables, whereas </w:t>
      </w:r>
      <w:r w:rsidR="00273419">
        <w:t>“.a” or “.x” etc. are given to tables that are sub parts of a template and form part of a single reporting unit.</w:t>
      </w:r>
    </w:p>
    <w:p w:rsidR="00E56F2E" w:rsidRDefault="00E56F2E"/>
    <w:p w:rsidR="004A28AD" w:rsidRDefault="00273419">
      <w:pPr>
        <w:rPr>
          <w:rFonts w:ascii="Cambria" w:hAnsi="Cambria" w:cs="Cambria"/>
          <w:b/>
          <w:bCs/>
          <w:sz w:val="28"/>
          <w:szCs w:val="28"/>
        </w:rPr>
      </w:pPr>
      <w:r>
        <w:t>In the 2015-A version of the COREP taxonomy</w:t>
      </w:r>
      <w:r w:rsidR="00E56F2E">
        <w:t xml:space="preserve"> version these tables now form </w:t>
      </w:r>
      <w:r>
        <w:t xml:space="preserve">fully </w:t>
      </w:r>
      <w:r w:rsidR="00E56F2E">
        <w:t xml:space="preserve">independent templates – i.e. they can be </w:t>
      </w:r>
      <w:r>
        <w:t>reported</w:t>
      </w:r>
      <w:r w:rsidR="00E56F2E">
        <w:t xml:space="preserve"> independently</w:t>
      </w:r>
      <w:r>
        <w:t xml:space="preserve"> if necessary (i.e. none, one or the other, or both)</w:t>
      </w:r>
      <w:r w:rsidR="00E56F2E">
        <w:t>, and the filing indicators codes “</w:t>
      </w:r>
      <w:r>
        <w:t>C_06.01” and “C_06.02” should be used – “C_06.00” no longer being used</w:t>
      </w:r>
      <w:r w:rsidR="00E56F2E">
        <w:t>.</w:t>
      </w:r>
    </w:p>
    <w:bookmarkEnd w:id="3"/>
    <w:bookmarkEnd w:id="4"/>
    <w:p w:rsidR="00237B31" w:rsidRDefault="00237B31" w:rsidP="00237B31">
      <w:pPr>
        <w:pStyle w:val="Heading2"/>
        <w:rPr>
          <w:b/>
        </w:rPr>
      </w:pPr>
      <w:r w:rsidRPr="00AC2556">
        <w:t>v2.2.0 (“2014/07” Package)</w:t>
      </w:r>
      <w:r w:rsidRPr="00237B31">
        <w:rPr>
          <w:rFonts w:ascii="Arial" w:hAnsi="Arial" w:cs="Arial"/>
          <w:color w:val="696969"/>
          <w:sz w:val="18"/>
          <w:szCs w:val="18"/>
          <w:shd w:val="clear" w:color="auto" w:fill="FFFFFF"/>
        </w:rPr>
        <w:t xml:space="preserve"> </w:t>
      </w:r>
      <w:r w:rsidR="001A4CAA">
        <w:rPr>
          <w:rFonts w:ascii="Arial" w:hAnsi="Arial" w:cs="Arial"/>
          <w:color w:val="696969"/>
          <w:sz w:val="18"/>
          <w:szCs w:val="18"/>
          <w:shd w:val="clear" w:color="auto" w:fill="FFFFFF"/>
        </w:rPr>
        <w:t>(1</w:t>
      </w:r>
      <w:r>
        <w:rPr>
          <w:rFonts w:ascii="Arial" w:hAnsi="Arial" w:cs="Arial"/>
          <w:color w:val="696969"/>
          <w:sz w:val="18"/>
          <w:szCs w:val="18"/>
          <w:shd w:val="clear" w:color="auto" w:fill="FFFFFF"/>
        </w:rPr>
        <w:t>8/0</w:t>
      </w:r>
      <w:r w:rsidR="001A4CAA">
        <w:rPr>
          <w:rFonts w:ascii="Arial" w:hAnsi="Arial" w:cs="Arial"/>
          <w:color w:val="696969"/>
          <w:sz w:val="18"/>
          <w:szCs w:val="18"/>
          <w:shd w:val="clear" w:color="auto" w:fill="FFFFFF"/>
        </w:rPr>
        <w:t>8</w:t>
      </w:r>
      <w:r>
        <w:rPr>
          <w:rFonts w:ascii="Arial" w:hAnsi="Arial" w:cs="Arial"/>
          <w:color w:val="696969"/>
          <w:sz w:val="18"/>
          <w:szCs w:val="18"/>
          <w:shd w:val="clear" w:color="auto" w:fill="FFFFFF"/>
        </w:rPr>
        <w:t>/2014)</w:t>
      </w:r>
    </w:p>
    <w:p w:rsidR="002C36C9" w:rsidRDefault="002C36C9" w:rsidP="002C36C9">
      <w:pPr>
        <w:jc w:val="center"/>
        <w:rPr>
          <w:b/>
        </w:rPr>
      </w:pPr>
      <w:r w:rsidRPr="002C36C9">
        <w:rPr>
          <w:b/>
        </w:rPr>
        <w:t xml:space="preserve">N.B. Applicable for reporting </w:t>
      </w:r>
      <w:r w:rsidR="00A55E27">
        <w:rPr>
          <w:b/>
        </w:rPr>
        <w:t xml:space="preserve">for </w:t>
      </w:r>
      <w:r w:rsidRPr="002C36C9">
        <w:rPr>
          <w:b/>
        </w:rPr>
        <w:t>reference date</w:t>
      </w:r>
      <w:r w:rsidR="00A55E27">
        <w:rPr>
          <w:b/>
        </w:rPr>
        <w:t>s from</w:t>
      </w:r>
      <w:r w:rsidRPr="002C36C9">
        <w:rPr>
          <w:b/>
        </w:rPr>
        <w:t xml:space="preserve"> 31/12/2014</w:t>
      </w:r>
      <w:r w:rsidR="00A55E27">
        <w:rPr>
          <w:b/>
        </w:rPr>
        <w:t xml:space="preserve"> onwards</w:t>
      </w:r>
    </w:p>
    <w:p w:rsidR="00237B31" w:rsidRPr="002C36C9" w:rsidRDefault="00237B31" w:rsidP="002C36C9">
      <w:pPr>
        <w:jc w:val="center"/>
        <w:rPr>
          <w:b/>
        </w:rPr>
      </w:pPr>
    </w:p>
    <w:p w:rsidR="00B677D6" w:rsidRPr="00AC2556" w:rsidRDefault="00B677D6" w:rsidP="00B677D6">
      <w:bookmarkStart w:id="5" w:name="OLE_LINK5"/>
      <w:bookmarkStart w:id="6" w:name="OLE_LINK6"/>
      <w:bookmarkStart w:id="7" w:name="OLE_LINK7"/>
      <w:r w:rsidRPr="00AC2556">
        <w:t xml:space="preserve">Includes first release </w:t>
      </w:r>
      <w:bookmarkEnd w:id="5"/>
      <w:bookmarkEnd w:id="6"/>
      <w:bookmarkEnd w:id="7"/>
      <w:r w:rsidRPr="00AC2556">
        <w:t>(and first use) version of Funding Plans, and first use</w:t>
      </w:r>
      <w:r w:rsidR="00AC2556" w:rsidRPr="00AC2556">
        <w:t xml:space="preserve"> version of Asset Encumbrance (</w:t>
      </w:r>
      <w:proofErr w:type="spellStart"/>
      <w:r w:rsidR="00AC2556" w:rsidRPr="00AC2556">
        <w:t>n.b</w:t>
      </w:r>
      <w:r w:rsidRPr="00AC2556">
        <w:t>.</w:t>
      </w:r>
      <w:proofErr w:type="spellEnd"/>
      <w:r w:rsidRPr="00AC2556">
        <w:t xml:space="preserve"> very minor change</w:t>
      </w:r>
      <w:r w:rsidR="00AC2556">
        <w:t>s</w:t>
      </w:r>
      <w:r w:rsidRPr="00AC2556">
        <w:t xml:space="preserve"> compared to previous first release version – just grey cells on F32.04.b).</w:t>
      </w:r>
    </w:p>
    <w:p w:rsidR="00B677D6" w:rsidRPr="00AC2556" w:rsidRDefault="00B677D6" w:rsidP="00D515AE">
      <w:pPr>
        <w:pStyle w:val="Titlelevel2"/>
      </w:pPr>
      <w:r w:rsidRPr="00AC2556">
        <w:t>DPM Changes</w:t>
      </w:r>
    </w:p>
    <w:p w:rsidR="00B677D6" w:rsidRPr="00AC2556" w:rsidRDefault="00B677D6" w:rsidP="00B677D6">
      <w:pPr>
        <w:pStyle w:val="ListParagraph"/>
        <w:numPr>
          <w:ilvl w:val="0"/>
          <w:numId w:val="15"/>
        </w:numPr>
      </w:pPr>
      <w:r w:rsidRPr="00AC2556">
        <w:t>Addition of set of Funding Plans templates (P 00.01 to P 03.00)</w:t>
      </w:r>
    </w:p>
    <w:p w:rsidR="00B677D6" w:rsidRPr="00AC2556" w:rsidRDefault="00B677D6" w:rsidP="00B677D6">
      <w:pPr>
        <w:pStyle w:val="ListParagraph"/>
        <w:numPr>
          <w:ilvl w:val="1"/>
          <w:numId w:val="15"/>
        </w:numPr>
      </w:pPr>
      <w:r w:rsidRPr="00AC2556">
        <w:t>includes additional DPM/XBRL only table P00.01 (report wide info - Similar to C/F/A 00.01)</w:t>
      </w:r>
    </w:p>
    <w:p w:rsidR="00B677D6" w:rsidRPr="00AC2556" w:rsidRDefault="00B677D6" w:rsidP="00B677D6">
      <w:pPr>
        <w:pStyle w:val="ListParagraph"/>
        <w:numPr>
          <w:ilvl w:val="1"/>
          <w:numId w:val="15"/>
        </w:numPr>
      </w:pPr>
      <w:r w:rsidRPr="00AC2556">
        <w:t>Note that this P 00.01 has only details on accounting standard, detailed reporting / consolidation scope of Funding Templates is specified on template P 03.00</w:t>
      </w:r>
    </w:p>
    <w:p w:rsidR="00B677D6" w:rsidRPr="00AC2556" w:rsidRDefault="00B677D6" w:rsidP="00B677D6">
      <w:pPr>
        <w:pStyle w:val="ListParagraph"/>
        <w:numPr>
          <w:ilvl w:val="1"/>
          <w:numId w:val="15"/>
        </w:numPr>
      </w:pPr>
      <w:r w:rsidRPr="00AC2556">
        <w:t>N.B header row 009 from P03.00 *not* included in DPM/XBRL (technical constraint).</w:t>
      </w:r>
    </w:p>
    <w:p w:rsidR="00B677D6" w:rsidRPr="00AC2556" w:rsidRDefault="00B677D6" w:rsidP="00B677D6">
      <w:pPr>
        <w:pStyle w:val="ListParagraph"/>
        <w:numPr>
          <w:ilvl w:val="0"/>
          <w:numId w:val="15"/>
        </w:numPr>
      </w:pPr>
      <w:r w:rsidRPr="00AC2556">
        <w:t>Add C 06.01 (total summary for some columns of group solvency)</w:t>
      </w:r>
    </w:p>
    <w:p w:rsidR="00B677D6" w:rsidRPr="00AC2556" w:rsidRDefault="00B677D6" w:rsidP="00B677D6">
      <w:pPr>
        <w:pStyle w:val="ListParagraph"/>
        <w:numPr>
          <w:ilvl w:val="0"/>
          <w:numId w:val="15"/>
        </w:numPr>
      </w:pPr>
      <w:r w:rsidRPr="00AC2556">
        <w:t>Change table number of C06.00 to C 06.02, label of open row to Entity Code for consistency</w:t>
      </w:r>
    </w:p>
    <w:p w:rsidR="00B677D6" w:rsidRPr="00AC2556" w:rsidRDefault="00B677D6" w:rsidP="00B677D6">
      <w:pPr>
        <w:pStyle w:val="ListParagraph"/>
        <w:numPr>
          <w:ilvl w:val="0"/>
          <w:numId w:val="15"/>
        </w:numPr>
      </w:pPr>
      <w:r w:rsidRPr="00AC2556">
        <w:t>Add "Total" member to BT - used in C 06.01</w:t>
      </w:r>
    </w:p>
    <w:p w:rsidR="00B677D6" w:rsidRPr="00AC2556" w:rsidRDefault="00B677D6" w:rsidP="00B677D6">
      <w:pPr>
        <w:pStyle w:val="ListParagraph"/>
        <w:numPr>
          <w:ilvl w:val="0"/>
          <w:numId w:val="15"/>
        </w:numPr>
      </w:pPr>
      <w:r w:rsidRPr="00AC2556">
        <w:t xml:space="preserve">C 22.00 row 260 ("Latvian </w:t>
      </w:r>
      <w:proofErr w:type="spellStart"/>
      <w:r w:rsidRPr="00AC2556">
        <w:t>Lats</w:t>
      </w:r>
      <w:proofErr w:type="spellEnd"/>
      <w:r w:rsidRPr="00AC2556">
        <w:t>") removed (old change)</w:t>
      </w:r>
    </w:p>
    <w:p w:rsidR="00B677D6" w:rsidRPr="00AC2556" w:rsidRDefault="00B677D6" w:rsidP="00B677D6">
      <w:pPr>
        <w:pStyle w:val="ListParagraph"/>
        <w:numPr>
          <w:ilvl w:val="0"/>
          <w:numId w:val="15"/>
        </w:numPr>
      </w:pPr>
      <w:r w:rsidRPr="00AC2556">
        <w:t>F 16.07.a and F16.07.b row 145 ("Other" (impairments)) added</w:t>
      </w:r>
    </w:p>
    <w:p w:rsidR="00B677D6" w:rsidRPr="00AC2556" w:rsidRDefault="00B677D6" w:rsidP="00B677D6">
      <w:pPr>
        <w:pStyle w:val="ListParagraph"/>
        <w:numPr>
          <w:ilvl w:val="0"/>
          <w:numId w:val="15"/>
        </w:numPr>
      </w:pPr>
      <w:r w:rsidRPr="00AC2556">
        <w:t>Delete restrictions in C 08.01a (c260, rows 040 - 060)</w:t>
      </w:r>
    </w:p>
    <w:p w:rsidR="00B677D6" w:rsidRPr="00AC2556" w:rsidRDefault="00B677D6" w:rsidP="00B677D6">
      <w:pPr>
        <w:pStyle w:val="ListParagraph"/>
        <w:numPr>
          <w:ilvl w:val="0"/>
          <w:numId w:val="15"/>
        </w:numPr>
      </w:pPr>
      <w:r w:rsidRPr="00AC2556">
        <w:t>Shaded C12 column 360, rows 110 to 240</w:t>
      </w:r>
    </w:p>
    <w:p w:rsidR="00B677D6" w:rsidRPr="00AC2556" w:rsidRDefault="00B677D6" w:rsidP="00B677D6">
      <w:pPr>
        <w:pStyle w:val="ListParagraph"/>
        <w:numPr>
          <w:ilvl w:val="0"/>
          <w:numId w:val="15"/>
        </w:numPr>
      </w:pPr>
      <w:r w:rsidRPr="00AC2556">
        <w:t>Shaded F07 col 110, rows 010-050</w:t>
      </w:r>
    </w:p>
    <w:p w:rsidR="00B677D6" w:rsidRPr="00AC2556" w:rsidRDefault="00B677D6" w:rsidP="00B677D6">
      <w:pPr>
        <w:pStyle w:val="ListParagraph"/>
        <w:numPr>
          <w:ilvl w:val="0"/>
          <w:numId w:val="15"/>
        </w:numPr>
      </w:pPr>
      <w:r w:rsidRPr="00AC2556">
        <w:t>F 32.04.b, r060, c040-c050  greyed-out and  F 32.04.b, r070, c040-c050 whitened (unrestricted)</w:t>
      </w:r>
    </w:p>
    <w:p w:rsidR="00B677D6" w:rsidRPr="00AC2556" w:rsidRDefault="00B677D6" w:rsidP="00B677D6">
      <w:pPr>
        <w:pStyle w:val="ListParagraph"/>
        <w:numPr>
          <w:ilvl w:val="0"/>
          <w:numId w:val="15"/>
        </w:numPr>
      </w:pPr>
      <w:r w:rsidRPr="00AC2556">
        <w:t>Change labels on C01.00 rows 350 &amp; 400 , C 06.02 Columns 140,170,200</w:t>
      </w:r>
    </w:p>
    <w:p w:rsidR="00B677D6" w:rsidRPr="00AC2556" w:rsidRDefault="00B677D6" w:rsidP="00B677D6">
      <w:pPr>
        <w:pStyle w:val="ListParagraph"/>
        <w:numPr>
          <w:ilvl w:val="0"/>
          <w:numId w:val="15"/>
        </w:numPr>
      </w:pPr>
      <w:r w:rsidRPr="00AC2556">
        <w:t>Change labels on F01.01 r010, F04.04 c030 c040 , F07.00 c080 c090,F12.00 r020 r160, F20.04 r210</w:t>
      </w:r>
    </w:p>
    <w:p w:rsidR="00AC2556" w:rsidRPr="00AC2556" w:rsidRDefault="00B677D6" w:rsidP="00B677D6">
      <w:pPr>
        <w:pStyle w:val="ListParagraph"/>
        <w:numPr>
          <w:ilvl w:val="0"/>
          <w:numId w:val="15"/>
        </w:numPr>
      </w:pPr>
      <w:r w:rsidRPr="00AC2556">
        <w:t>Change label on F 18.00.b c170</w:t>
      </w:r>
    </w:p>
    <w:p w:rsidR="00B677D6" w:rsidRPr="00AC2556" w:rsidRDefault="00AC2556" w:rsidP="00B677D6">
      <w:pPr>
        <w:pStyle w:val="ListParagraph"/>
        <w:numPr>
          <w:ilvl w:val="0"/>
          <w:numId w:val="15"/>
        </w:numPr>
      </w:pPr>
      <w:r w:rsidRPr="00AC2556">
        <w:lastRenderedPageBreak/>
        <w:t>Various v</w:t>
      </w:r>
      <w:r w:rsidR="00B677D6" w:rsidRPr="00AC2556">
        <w:t>alidation rule changes</w:t>
      </w:r>
      <w:r w:rsidRPr="00AC2556">
        <w:t>.</w:t>
      </w:r>
    </w:p>
    <w:p w:rsidR="00B677D6" w:rsidRPr="00AC2556" w:rsidRDefault="00B677D6" w:rsidP="00B677D6">
      <w:r w:rsidRPr="00AC2556">
        <w:t>N.B. Deactivations not necessarily perfectly up to date with published lists, additional deactivation list for 2.2 (and 2.1) to bring in line to be published shortly.</w:t>
      </w:r>
    </w:p>
    <w:p w:rsidR="00B677D6" w:rsidRPr="00AC2556" w:rsidRDefault="00B677D6" w:rsidP="00D515AE">
      <w:pPr>
        <w:pStyle w:val="Titlelevel2"/>
      </w:pPr>
      <w:r w:rsidRPr="00AC2556">
        <w:t>Taxonomy Changes</w:t>
      </w:r>
    </w:p>
    <w:p w:rsidR="00B677D6" w:rsidRPr="00AC2556" w:rsidRDefault="00B677D6" w:rsidP="00B677D6">
      <w:pPr>
        <w:pStyle w:val="ListParagraph"/>
        <w:numPr>
          <w:ilvl w:val="0"/>
          <w:numId w:val="15"/>
        </w:numPr>
      </w:pPr>
      <w:r w:rsidRPr="00AC2556">
        <w:t>Addition of FP reporting taxonomy.</w:t>
      </w:r>
    </w:p>
    <w:p w:rsidR="00B677D6" w:rsidRPr="00AC2556" w:rsidRDefault="00B677D6" w:rsidP="00B677D6">
      <w:pPr>
        <w:pStyle w:val="ListParagraph"/>
        <w:numPr>
          <w:ilvl w:val="0"/>
          <w:numId w:val="15"/>
        </w:numPr>
      </w:pPr>
      <w:r w:rsidRPr="00AC2556">
        <w:t>Creation of x.x.x.1 version of old taxonomies to include suitable non-breaking changes (i.e. could be used interchangeably with x.x.x.0 versions)</w:t>
      </w:r>
    </w:p>
    <w:p w:rsidR="00B677D6" w:rsidRPr="00AC2556" w:rsidRDefault="00B677D6" w:rsidP="00B677D6">
      <w:pPr>
        <w:pStyle w:val="ListParagraph"/>
        <w:numPr>
          <w:ilvl w:val="1"/>
          <w:numId w:val="15"/>
        </w:numPr>
      </w:pPr>
      <w:r w:rsidRPr="00AC2556">
        <w:t>Simple label corrections</w:t>
      </w:r>
    </w:p>
    <w:p w:rsidR="00B677D6" w:rsidRPr="00AC2556" w:rsidRDefault="00B677D6" w:rsidP="00B677D6">
      <w:pPr>
        <w:pStyle w:val="ListParagraph"/>
        <w:numPr>
          <w:ilvl w:val="1"/>
          <w:numId w:val="15"/>
        </w:numPr>
      </w:pPr>
      <w:r w:rsidRPr="00AC2556">
        <w:t>Addition of taxonomy end dates (and change of notional date for AE 1.0.0)</w:t>
      </w:r>
    </w:p>
    <w:p w:rsidR="00B677D6" w:rsidRPr="00AC2556" w:rsidRDefault="00B677D6" w:rsidP="00B677D6">
      <w:pPr>
        <w:pStyle w:val="ListParagraph"/>
        <w:numPr>
          <w:ilvl w:val="1"/>
          <w:numId w:val="15"/>
        </w:numPr>
      </w:pPr>
      <w:r w:rsidRPr="00AC2556">
        <w:t>N.B. these x.x.x.1 versions have the same dictionary package requirements as the originally released x.x.x.0 versions.</w:t>
      </w:r>
    </w:p>
    <w:p w:rsidR="00B677D6" w:rsidRPr="00AC2556" w:rsidRDefault="00B677D6" w:rsidP="00B677D6">
      <w:pPr>
        <w:pStyle w:val="ListParagraph"/>
        <w:numPr>
          <w:ilvl w:val="1"/>
          <w:numId w:val="15"/>
        </w:numPr>
      </w:pPr>
      <w:r w:rsidRPr="00AC2556">
        <w:t>There is no requirement to adapt system to utilise these versions rather than the x.x.x.0 versions.</w:t>
      </w:r>
    </w:p>
    <w:p w:rsidR="00A55E27" w:rsidRDefault="00A55E27" w:rsidP="00D515AE">
      <w:pPr>
        <w:pStyle w:val="Titlelevel3"/>
      </w:pPr>
      <w:r>
        <w:t xml:space="preserve">Change of XBRL Taxonomy Package labelling pattern </w:t>
      </w:r>
    </w:p>
    <w:p w:rsidR="00A55E27" w:rsidRPr="00A55E27" w:rsidRDefault="00A55E27" w:rsidP="00A55E27">
      <w:r>
        <w:t xml:space="preserve">To simplify the association of taxonomy versions with the related ITS/DPM/reporting requirements package the taxonomy packages in this release are named according </w:t>
      </w:r>
      <w:r w:rsidR="005909B9">
        <w:t>to the pattern</w:t>
      </w:r>
    </w:p>
    <w:p w:rsidR="00A55E27" w:rsidRPr="005909B9" w:rsidRDefault="00A55E27" w:rsidP="00A55E27">
      <w:pPr>
        <w:rPr>
          <w:b/>
          <w:color w:val="3F8BD0" w:themeColor="accent6" w:themeTint="99"/>
        </w:rPr>
      </w:pPr>
      <w:proofErr w:type="gramStart"/>
      <w:r w:rsidRPr="005909B9">
        <w:rPr>
          <w:b/>
          <w:color w:val="3F8BD0" w:themeColor="accent6" w:themeTint="99"/>
        </w:rPr>
        <w:t>eba</w:t>
      </w:r>
      <w:r w:rsidRPr="005909B9">
        <w:rPr>
          <w:b/>
          <w:color w:val="D44D2A" w:themeColor="accent3"/>
          <w:u w:val="single"/>
        </w:rPr>
        <w:t>_VERSIONOFDPM/BUSINESSPACKAGE_</w:t>
      </w:r>
      <w:r w:rsidRPr="005909B9">
        <w:rPr>
          <w:b/>
          <w:color w:val="3F8BD0" w:themeColor="accent6" w:themeTint="99"/>
        </w:rPr>
        <w:t>reportingtaxonomycode_VERSIONOFTAXONOMY</w:t>
      </w:r>
      <w:proofErr w:type="gramEnd"/>
      <w:r w:rsidRPr="005909B9">
        <w:rPr>
          <w:b/>
          <w:color w:val="3F8BD0" w:themeColor="accent6" w:themeTint="99"/>
        </w:rPr>
        <w:t xml:space="preserve"> </w:t>
      </w:r>
    </w:p>
    <w:p w:rsidR="00A55E27" w:rsidRDefault="00A55E27" w:rsidP="00A55E27">
      <w:r>
        <w:t xml:space="preserve">e.g. </w:t>
      </w:r>
      <w:r w:rsidRPr="00924C0E">
        <w:t>eba_corep_2.0.</w:t>
      </w:r>
      <w:r w:rsidR="005909B9">
        <w:t>2.1</w:t>
      </w:r>
      <w:r>
        <w:t xml:space="preserve">.zip </w:t>
      </w:r>
      <w:r>
        <w:sym w:font="Wingdings" w:char="F0E0"/>
      </w:r>
      <w:r w:rsidR="005909B9">
        <w:t xml:space="preserve"> eba</w:t>
      </w:r>
      <w:r w:rsidR="005909B9" w:rsidRPr="005909B9">
        <w:rPr>
          <w:color w:val="D44D2A" w:themeColor="accent3"/>
        </w:rPr>
        <w:t>_2.2_</w:t>
      </w:r>
      <w:r w:rsidR="005909B9">
        <w:t>corep_2.0.2.1.zip</w:t>
      </w:r>
    </w:p>
    <w:p w:rsidR="00A55E27" w:rsidRDefault="00A55E27" w:rsidP="00A55E27">
      <w:pPr>
        <w:rPr>
          <w:rFonts w:ascii="Courier New" w:hAnsi="Courier New" w:cs="Courier New"/>
          <w:i/>
          <w:color w:val="808080" w:themeColor="background1" w:themeShade="80"/>
        </w:rPr>
      </w:pPr>
    </w:p>
    <w:tbl>
      <w:tblPr>
        <w:tblStyle w:val="EBAtable"/>
        <w:tblW w:w="9242" w:type="dxa"/>
        <w:tblLook w:val="04A0" w:firstRow="1" w:lastRow="0" w:firstColumn="1" w:lastColumn="0" w:noHBand="0" w:noVBand="1"/>
      </w:tblPr>
      <w:tblGrid>
        <w:gridCol w:w="3975"/>
        <w:gridCol w:w="5267"/>
      </w:tblGrid>
      <w:tr w:rsidR="00A55E27" w:rsidRPr="005B4BEF" w:rsidTr="00AA0EE8">
        <w:trPr>
          <w:cnfStyle w:val="100000000000" w:firstRow="1" w:lastRow="0" w:firstColumn="0" w:lastColumn="0" w:oddVBand="0" w:evenVBand="0" w:oddHBand="0" w:evenHBand="0" w:firstRowFirstColumn="0" w:firstRowLastColumn="0" w:lastRowFirstColumn="0" w:lastRowLastColumn="0"/>
        </w:trPr>
        <w:tc>
          <w:tcPr>
            <w:tcW w:w="3975" w:type="dxa"/>
          </w:tcPr>
          <w:p w:rsidR="00A55E27" w:rsidRPr="005B4BEF" w:rsidRDefault="00A55E27" w:rsidP="00AA0EE8">
            <w:pPr>
              <w:pStyle w:val="Tableheader"/>
            </w:pPr>
            <w:r>
              <w:t>Old</w:t>
            </w:r>
          </w:p>
        </w:tc>
        <w:tc>
          <w:tcPr>
            <w:tcW w:w="5267" w:type="dxa"/>
          </w:tcPr>
          <w:p w:rsidR="00A55E27" w:rsidRPr="005B4BEF" w:rsidRDefault="00A55E27" w:rsidP="00AA0EE8">
            <w:pPr>
              <w:pStyle w:val="Tableheader"/>
            </w:pPr>
            <w:r w:rsidRPr="005B4BEF">
              <w:t>Becomes</w:t>
            </w:r>
            <w:r w:rsidR="005909B9">
              <w:t>/New in 2.2</w:t>
            </w:r>
          </w:p>
        </w:tc>
      </w:tr>
      <w:tr w:rsidR="00A55E27" w:rsidRPr="005B4BEF" w:rsidTr="00AA0EE8">
        <w:trPr>
          <w:trHeight w:val="170"/>
        </w:trPr>
        <w:tc>
          <w:tcPr>
            <w:tcW w:w="3975" w:type="dxa"/>
          </w:tcPr>
          <w:p w:rsidR="00A55E27" w:rsidRPr="005B4BEF" w:rsidRDefault="00A55E27" w:rsidP="00AA0EE8">
            <w:pPr>
              <w:pStyle w:val="Tabledata"/>
            </w:pPr>
            <w:r w:rsidRPr="005B4BEF">
              <w:t>eba_finrep_2.0.1.1.zip</w:t>
            </w:r>
          </w:p>
        </w:tc>
        <w:tc>
          <w:tcPr>
            <w:tcW w:w="5267" w:type="dxa"/>
          </w:tcPr>
          <w:p w:rsidR="00A55E27" w:rsidRPr="005B4BEF" w:rsidRDefault="00A55E27" w:rsidP="00AA0EE8">
            <w:pPr>
              <w:pStyle w:val="Tabledata"/>
            </w:pPr>
            <w:r w:rsidRPr="005B4BEF">
              <w:t>eba_</w:t>
            </w:r>
            <w:r>
              <w:t>2.0_</w:t>
            </w:r>
            <w:r w:rsidRPr="005B4BEF">
              <w:t>finrep_2.0.1.1.zip</w:t>
            </w:r>
          </w:p>
        </w:tc>
      </w:tr>
      <w:tr w:rsidR="00A55E27" w:rsidRPr="005B4BEF" w:rsidTr="00AA0EE8">
        <w:trPr>
          <w:trHeight w:val="170"/>
        </w:trPr>
        <w:tc>
          <w:tcPr>
            <w:tcW w:w="3975" w:type="dxa"/>
          </w:tcPr>
          <w:p w:rsidR="00A55E27" w:rsidRPr="005B4BEF" w:rsidRDefault="00A55E27" w:rsidP="00AA0EE8">
            <w:pPr>
              <w:pStyle w:val="Tabledata"/>
            </w:pPr>
            <w:r w:rsidRPr="005B4BEF">
              <w:t xml:space="preserve">eba_corep_2.0.1.1.zip </w:t>
            </w:r>
          </w:p>
        </w:tc>
        <w:tc>
          <w:tcPr>
            <w:tcW w:w="5267" w:type="dxa"/>
          </w:tcPr>
          <w:p w:rsidR="00A55E27" w:rsidRPr="005B4BEF" w:rsidRDefault="00A55E27" w:rsidP="00AA0EE8">
            <w:pPr>
              <w:pStyle w:val="Tabledata"/>
            </w:pPr>
            <w:r w:rsidRPr="005B4BEF">
              <w:t>eba_</w:t>
            </w:r>
            <w:r>
              <w:t>2.0_</w:t>
            </w:r>
            <w:r w:rsidRPr="005B4BEF">
              <w:t xml:space="preserve">corep_2.0.1.1.zip </w:t>
            </w:r>
          </w:p>
        </w:tc>
      </w:tr>
      <w:tr w:rsidR="00A55E27" w:rsidRPr="005B4BEF" w:rsidTr="00A55E27">
        <w:trPr>
          <w:trHeight w:val="170"/>
        </w:trPr>
        <w:tc>
          <w:tcPr>
            <w:tcW w:w="3975" w:type="dxa"/>
          </w:tcPr>
          <w:p w:rsidR="00A55E27" w:rsidRPr="005B4BEF" w:rsidRDefault="00A55E27" w:rsidP="00AA0EE8">
            <w:pPr>
              <w:pStyle w:val="Tabledata"/>
            </w:pPr>
            <w:r w:rsidRPr="005B4BEF">
              <w:t>eba_ae_1.0.0.1.zip</w:t>
            </w:r>
          </w:p>
        </w:tc>
        <w:tc>
          <w:tcPr>
            <w:tcW w:w="5267" w:type="dxa"/>
          </w:tcPr>
          <w:p w:rsidR="00A55E27" w:rsidRPr="005B4BEF" w:rsidRDefault="00A55E27" w:rsidP="00AA0EE8">
            <w:pPr>
              <w:pStyle w:val="Tabledata"/>
            </w:pPr>
            <w:r w:rsidRPr="005B4BEF">
              <w:t>eba_</w:t>
            </w:r>
            <w:r>
              <w:t>2.1_</w:t>
            </w:r>
            <w:r w:rsidRPr="005B4BEF">
              <w:t>ae_1.0.0.1.zip</w:t>
            </w:r>
          </w:p>
        </w:tc>
      </w:tr>
      <w:tr w:rsidR="00A55E27" w:rsidRPr="005B4BEF" w:rsidTr="00A55E27">
        <w:trPr>
          <w:trHeight w:val="170"/>
        </w:trPr>
        <w:tc>
          <w:tcPr>
            <w:tcW w:w="3975" w:type="dxa"/>
          </w:tcPr>
          <w:p w:rsidR="00A55E27" w:rsidRPr="005B4BEF" w:rsidRDefault="00A55E27" w:rsidP="00AA0EE8">
            <w:pPr>
              <w:pStyle w:val="Tabledata"/>
            </w:pPr>
            <w:r w:rsidRPr="005B4BEF">
              <w:t>eba_corep_2.0.2.1.zip</w:t>
            </w:r>
          </w:p>
        </w:tc>
        <w:tc>
          <w:tcPr>
            <w:tcW w:w="5267" w:type="dxa"/>
          </w:tcPr>
          <w:p w:rsidR="00A55E27" w:rsidRPr="005B4BEF" w:rsidRDefault="00A55E27" w:rsidP="00AA0EE8">
            <w:pPr>
              <w:pStyle w:val="Tabledata"/>
            </w:pPr>
            <w:r w:rsidRPr="005B4BEF">
              <w:t>eba_</w:t>
            </w:r>
            <w:r>
              <w:t>2.1_</w:t>
            </w:r>
            <w:r w:rsidRPr="005B4BEF">
              <w:t>corep_2.0.2.1.zip</w:t>
            </w:r>
          </w:p>
        </w:tc>
      </w:tr>
      <w:tr w:rsidR="00A55E27" w:rsidRPr="005B4BEF" w:rsidTr="00A55E27">
        <w:trPr>
          <w:trHeight w:val="170"/>
        </w:trPr>
        <w:tc>
          <w:tcPr>
            <w:tcW w:w="3975" w:type="dxa"/>
          </w:tcPr>
          <w:p w:rsidR="00A55E27" w:rsidRPr="005B4BEF" w:rsidRDefault="00A55E27" w:rsidP="00AA0EE8">
            <w:pPr>
              <w:pStyle w:val="Tabledata"/>
            </w:pPr>
            <w:r w:rsidRPr="005B4BEF">
              <w:t>eba_finrep_2.1.0.1.zip</w:t>
            </w:r>
          </w:p>
        </w:tc>
        <w:tc>
          <w:tcPr>
            <w:tcW w:w="5267" w:type="dxa"/>
          </w:tcPr>
          <w:p w:rsidR="00A55E27" w:rsidRPr="005B4BEF" w:rsidRDefault="00A55E27" w:rsidP="00AA0EE8">
            <w:pPr>
              <w:pStyle w:val="Tabledata"/>
            </w:pPr>
            <w:r w:rsidRPr="005B4BEF">
              <w:t>eba_</w:t>
            </w:r>
            <w:r>
              <w:t>2.1_</w:t>
            </w:r>
            <w:r w:rsidRPr="005B4BEF">
              <w:t>finrep_2.1.0.1.zip</w:t>
            </w:r>
          </w:p>
        </w:tc>
      </w:tr>
      <w:tr w:rsidR="00A55E27" w:rsidRPr="005B4BEF" w:rsidTr="00AA0EE8">
        <w:trPr>
          <w:trHeight w:val="170"/>
        </w:trPr>
        <w:tc>
          <w:tcPr>
            <w:tcW w:w="3975" w:type="dxa"/>
          </w:tcPr>
          <w:p w:rsidR="00A55E27" w:rsidRPr="005909B9" w:rsidRDefault="00A55E27" w:rsidP="00AA0EE8">
            <w:pPr>
              <w:pStyle w:val="Tabledata"/>
              <w:rPr>
                <w:i/>
              </w:rPr>
            </w:pPr>
          </w:p>
        </w:tc>
        <w:tc>
          <w:tcPr>
            <w:tcW w:w="5267" w:type="dxa"/>
          </w:tcPr>
          <w:p w:rsidR="00A55E27" w:rsidRPr="005B4BEF" w:rsidRDefault="00A55E27" w:rsidP="00AA0EE8">
            <w:pPr>
              <w:pStyle w:val="Tabledata"/>
            </w:pPr>
            <w:r w:rsidRPr="005B4BEF">
              <w:t>eba_</w:t>
            </w:r>
            <w:r>
              <w:t>2.2_</w:t>
            </w:r>
            <w:r w:rsidRPr="005B4BEF">
              <w:t>ae_1.0.1.0.zip</w:t>
            </w:r>
          </w:p>
        </w:tc>
      </w:tr>
      <w:tr w:rsidR="00A55E27" w:rsidRPr="005B4BEF" w:rsidTr="00AA0EE8">
        <w:trPr>
          <w:trHeight w:val="170"/>
        </w:trPr>
        <w:tc>
          <w:tcPr>
            <w:tcW w:w="3975" w:type="dxa"/>
          </w:tcPr>
          <w:p w:rsidR="00A55E27" w:rsidRPr="005909B9" w:rsidRDefault="00A55E27" w:rsidP="00AA0EE8">
            <w:pPr>
              <w:pStyle w:val="Tabledata"/>
              <w:rPr>
                <w:i/>
              </w:rPr>
            </w:pPr>
          </w:p>
        </w:tc>
        <w:tc>
          <w:tcPr>
            <w:tcW w:w="5267" w:type="dxa"/>
          </w:tcPr>
          <w:p w:rsidR="00A55E27" w:rsidRPr="005B4BEF" w:rsidRDefault="00A55E27" w:rsidP="00AA0EE8">
            <w:pPr>
              <w:pStyle w:val="Tabledata"/>
            </w:pPr>
            <w:r w:rsidRPr="005B4BEF">
              <w:t>eba_</w:t>
            </w:r>
            <w:r>
              <w:t>2.2_</w:t>
            </w:r>
            <w:r w:rsidRPr="005B4BEF">
              <w:t>corep_2.0.3.0.zip</w:t>
            </w:r>
          </w:p>
        </w:tc>
      </w:tr>
      <w:tr w:rsidR="00A55E27" w:rsidRPr="005B4BEF" w:rsidTr="00AA0EE8">
        <w:trPr>
          <w:trHeight w:val="170"/>
        </w:trPr>
        <w:tc>
          <w:tcPr>
            <w:tcW w:w="3975" w:type="dxa"/>
          </w:tcPr>
          <w:p w:rsidR="00A55E27" w:rsidRPr="005909B9" w:rsidRDefault="00A55E27" w:rsidP="00AA0EE8">
            <w:pPr>
              <w:pStyle w:val="Tabledata"/>
              <w:rPr>
                <w:i/>
              </w:rPr>
            </w:pPr>
          </w:p>
        </w:tc>
        <w:tc>
          <w:tcPr>
            <w:tcW w:w="5267" w:type="dxa"/>
          </w:tcPr>
          <w:p w:rsidR="00A55E27" w:rsidRPr="005B4BEF" w:rsidRDefault="00A55E27" w:rsidP="00AA0EE8">
            <w:pPr>
              <w:pStyle w:val="Tabledata"/>
            </w:pPr>
            <w:r w:rsidRPr="005B4BEF">
              <w:t>eba_</w:t>
            </w:r>
            <w:r>
              <w:t>2.2_</w:t>
            </w:r>
            <w:r w:rsidRPr="005B4BEF">
              <w:t>finrep_2.1.1.0.zip</w:t>
            </w:r>
          </w:p>
        </w:tc>
      </w:tr>
      <w:tr w:rsidR="00A55E27" w:rsidRPr="005B4BEF" w:rsidTr="00AA0EE8">
        <w:trPr>
          <w:trHeight w:val="170"/>
        </w:trPr>
        <w:tc>
          <w:tcPr>
            <w:tcW w:w="3975" w:type="dxa"/>
          </w:tcPr>
          <w:p w:rsidR="00A55E27" w:rsidRPr="005909B9" w:rsidRDefault="00A55E27" w:rsidP="00AA0EE8">
            <w:pPr>
              <w:pStyle w:val="Tabledata"/>
              <w:rPr>
                <w:i/>
              </w:rPr>
            </w:pPr>
          </w:p>
        </w:tc>
        <w:tc>
          <w:tcPr>
            <w:tcW w:w="5267" w:type="dxa"/>
          </w:tcPr>
          <w:p w:rsidR="00A55E27" w:rsidRPr="005B4BEF" w:rsidRDefault="00A55E27" w:rsidP="00AA0EE8">
            <w:pPr>
              <w:pStyle w:val="Tabledata"/>
            </w:pPr>
            <w:r w:rsidRPr="005B4BEF">
              <w:t>eba_</w:t>
            </w:r>
            <w:r>
              <w:t>2.2_</w:t>
            </w:r>
            <w:r w:rsidRPr="005B4BEF">
              <w:t>fp_1.0.0.0.zip</w:t>
            </w:r>
          </w:p>
        </w:tc>
      </w:tr>
      <w:tr w:rsidR="00A55E27" w:rsidRPr="005B4BEF" w:rsidTr="00AA0EE8">
        <w:trPr>
          <w:trHeight w:val="170"/>
        </w:trPr>
        <w:tc>
          <w:tcPr>
            <w:tcW w:w="3975" w:type="dxa"/>
          </w:tcPr>
          <w:p w:rsidR="00A55E27" w:rsidRPr="005909B9" w:rsidRDefault="00A55E27" w:rsidP="00AA0EE8">
            <w:pPr>
              <w:pStyle w:val="Tabledata"/>
              <w:rPr>
                <w:i/>
              </w:rPr>
            </w:pPr>
          </w:p>
        </w:tc>
        <w:tc>
          <w:tcPr>
            <w:tcW w:w="5267" w:type="dxa"/>
          </w:tcPr>
          <w:p w:rsidR="00A55E27" w:rsidRPr="005B4BEF" w:rsidRDefault="00A55E27" w:rsidP="00AA0EE8">
            <w:pPr>
              <w:pStyle w:val="Tabledata"/>
            </w:pPr>
            <w:r w:rsidRPr="005B4BEF">
              <w:t>eba_</w:t>
            </w:r>
            <w:r>
              <w:t>2.2_</w:t>
            </w:r>
            <w:r w:rsidRPr="005B4BEF">
              <w:t>dict_2.2.0.0.zip</w:t>
            </w:r>
          </w:p>
        </w:tc>
      </w:tr>
    </w:tbl>
    <w:p w:rsidR="00AC2556" w:rsidRDefault="00AC2556" w:rsidP="00AC2556"/>
    <w:p w:rsidR="005909B9" w:rsidRDefault="005909B9" w:rsidP="00D515AE">
      <w:pPr>
        <w:pStyle w:val="Titlelevel3"/>
      </w:pPr>
      <w:proofErr w:type="gramStart"/>
      <w:r w:rsidRPr="00593C0F">
        <w:t>Blocking of use of non-explicitly mentioned metrics</w:t>
      </w:r>
      <w:r>
        <w:t xml:space="preserve"> at XBRL level</w:t>
      </w:r>
      <w:r w:rsidRPr="00593C0F">
        <w:t>.</w:t>
      </w:r>
      <w:proofErr w:type="gramEnd"/>
      <w:r>
        <w:t xml:space="preserve"> </w:t>
      </w:r>
    </w:p>
    <w:p w:rsidR="005909B9" w:rsidRDefault="005909B9" w:rsidP="005909B9">
      <w:r>
        <w:t xml:space="preserve">Every metric is now linked to a “null” hypercube by default that contains a link to a dimension with no members (i.e. the hypercube actually has no possible elements). The result of this is that any </w:t>
      </w:r>
      <w:r>
        <w:lastRenderedPageBreak/>
        <w:t>metrics included in an instance that are not explicitly given allowed usage in a module (i.e. are supposed to be reported in that report) will now fail XBRL dimensional validation.</w:t>
      </w:r>
    </w:p>
    <w:p w:rsidR="005909B9" w:rsidRDefault="005909B9" w:rsidP="005909B9">
      <w:r>
        <w:t xml:space="preserve">Previously the mechanics of the XBRL specification meant that metrics mentioned without *any* hypercube(s) attached could be used legitimately (at the XBRL level) with any dimensional contexts (they were excluded from dimensional validation).  Since each EBA module imported all the EBA metrics </w:t>
      </w:r>
      <w:proofErr w:type="spellStart"/>
      <w:r>
        <w:t>en</w:t>
      </w:r>
      <w:proofErr w:type="spellEnd"/>
      <w:r>
        <w:t xml:space="preserve"> masse, this meant that any metric *not* actually intended to be used in a particular module, and hence without an explicit hypercube associated in that module, could be used in any dimensional combination without triggering an XBRL validation failure (These instances would breach filing rule 1.8.1 however.</w:t>
      </w:r>
    </w:p>
    <w:p w:rsidR="005909B9" w:rsidRDefault="005909B9" w:rsidP="005909B9">
      <w:r>
        <w:t xml:space="preserve">This will now trigger an XBRL dimensional validation failure, achieved by: </w:t>
      </w:r>
    </w:p>
    <w:p w:rsidR="005909B9" w:rsidRDefault="005909B9" w:rsidP="005909B9">
      <w:pPr>
        <w:pStyle w:val="ListParagraph"/>
        <w:numPr>
          <w:ilvl w:val="0"/>
          <w:numId w:val="15"/>
        </w:numPr>
      </w:pPr>
      <w:r>
        <w:t xml:space="preserve">Addition of a specific </w:t>
      </w:r>
      <w:proofErr w:type="spellStart"/>
      <w:r>
        <w:t>roleType</w:t>
      </w:r>
      <w:proofErr w:type="spellEnd"/>
      <w:r>
        <w:t xml:space="preserve"> and dummy “</w:t>
      </w:r>
      <w:proofErr w:type="spellStart"/>
      <w:r>
        <w:t>NullDimension</w:t>
      </w:r>
      <w:proofErr w:type="spellEnd"/>
      <w:r>
        <w:t xml:space="preserve">” dimension into the EBA model.xsd file. </w:t>
      </w:r>
    </w:p>
    <w:p w:rsidR="005909B9" w:rsidRDefault="005909B9" w:rsidP="005909B9">
      <w:pPr>
        <w:pStyle w:val="ListParagraph"/>
        <w:numPr>
          <w:ilvl w:val="0"/>
          <w:numId w:val="15"/>
        </w:numPr>
      </w:pPr>
      <w:r>
        <w:t>Creation of a met-def.xml file that links all metrics to a hypercube linked to this null dimension (but not to any members).</w:t>
      </w:r>
    </w:p>
    <w:p w:rsidR="00237B31" w:rsidRDefault="005909B9" w:rsidP="005909B9">
      <w:pPr>
        <w:pStyle w:val="ListParagraph"/>
        <w:numPr>
          <w:ilvl w:val="0"/>
          <w:numId w:val="15"/>
        </w:numPr>
      </w:pPr>
      <w:r>
        <w:t>Linking from each of the new entry points to this met-def.xml file.</w:t>
      </w:r>
    </w:p>
    <w:p w:rsidR="00237B31" w:rsidRDefault="00237B31" w:rsidP="00237B31"/>
    <w:p w:rsidR="00237B31" w:rsidRDefault="005909B9" w:rsidP="00237B31">
      <w:r>
        <w:t xml:space="preserve">Since the </w:t>
      </w:r>
      <w:proofErr w:type="spellStart"/>
      <w:r>
        <w:t>hypercubes</w:t>
      </w:r>
      <w:proofErr w:type="spellEnd"/>
      <w:r>
        <w:t xml:space="preserve"> used are additive, any metric intended to be used in a module will also be associated with additional </w:t>
      </w:r>
      <w:proofErr w:type="spellStart"/>
      <w:proofErr w:type="gramStart"/>
      <w:r>
        <w:t>hypercubes</w:t>
      </w:r>
      <w:proofErr w:type="spellEnd"/>
      <w:r>
        <w:t>, that</w:t>
      </w:r>
      <w:proofErr w:type="gramEnd"/>
      <w:r>
        <w:t xml:space="preserve"> will allow it to be used as intended. All others will only have the null hypercube, making them unusable. As they will however have </w:t>
      </w:r>
      <w:r w:rsidRPr="00237B31">
        <w:rPr>
          <w:b/>
        </w:rPr>
        <w:t>a</w:t>
      </w:r>
      <w:r>
        <w:t xml:space="preserve"> hypercube (i.e. the null hypercube) associated they will be eligible for XBRL dimensional validation to enforce their non-use.</w:t>
      </w:r>
    </w:p>
    <w:p w:rsidR="00237B31" w:rsidRDefault="00237B31" w:rsidP="00237B31"/>
    <w:p w:rsidR="00237B31" w:rsidRDefault="00237B31" w:rsidP="00237B31">
      <w:pPr>
        <w:pStyle w:val="Heading2"/>
      </w:pPr>
      <w:proofErr w:type="gramStart"/>
      <w:r>
        <w:t>v2.1.0.1</w:t>
      </w:r>
      <w:proofErr w:type="gramEnd"/>
      <w:r>
        <w:t xml:space="preserve"> DPM Errata</w:t>
      </w:r>
      <w:r>
        <w:rPr>
          <w:rFonts w:ascii="Arial" w:hAnsi="Arial" w:cs="Arial"/>
          <w:color w:val="696969"/>
          <w:sz w:val="18"/>
          <w:szCs w:val="18"/>
          <w:shd w:val="clear" w:color="auto" w:fill="FFFFFF"/>
        </w:rPr>
        <w:t>(28/07/2014)</w:t>
      </w:r>
    </w:p>
    <w:p w:rsidR="00AC2556" w:rsidRPr="003D5718" w:rsidRDefault="00237B31" w:rsidP="00237B31">
      <w:pPr>
        <w:pStyle w:val="Subtitle"/>
      </w:pPr>
      <w:r w:rsidRPr="00237B31">
        <w:t>Correction of minor errors in DPM Database</w:t>
      </w:r>
      <w:r w:rsidR="003D5718">
        <w:t xml:space="preserve"> </w:t>
      </w:r>
    </w:p>
    <w:p w:rsidR="00AC2556" w:rsidRPr="003D5718" w:rsidRDefault="00AC2556" w:rsidP="00AC2556"/>
    <w:p w:rsidR="00AC2556" w:rsidRPr="003D5718" w:rsidRDefault="00AC2556" w:rsidP="00AC2556">
      <w:r w:rsidRPr="003D5718">
        <w:t xml:space="preserve">N.B. no related taxonomy </w:t>
      </w:r>
      <w:proofErr w:type="gramStart"/>
      <w:r w:rsidRPr="003D5718">
        <w:t>update,</w:t>
      </w:r>
      <w:proofErr w:type="gramEnd"/>
      <w:r w:rsidRPr="003D5718">
        <w:t xml:space="preserve"> corrections do not affect XBRL taxonomy representation.</w:t>
      </w:r>
    </w:p>
    <w:p w:rsidR="00AC2556" w:rsidRPr="000F3810" w:rsidRDefault="000F3810" w:rsidP="00D515AE">
      <w:pPr>
        <w:pStyle w:val="Titlelevel2"/>
        <w:rPr>
          <w:b/>
        </w:rPr>
      </w:pPr>
      <w:r w:rsidRPr="000F3810">
        <w:t>Table</w:t>
      </w:r>
      <w:r w:rsidRPr="000F3810">
        <w:rPr>
          <w:b/>
        </w:rPr>
        <w:t xml:space="preserve"> </w:t>
      </w:r>
      <w:r w:rsidRPr="000F3810">
        <w:t>Layouts</w:t>
      </w:r>
    </w:p>
    <w:p w:rsidR="00AC2556" w:rsidRPr="003D5718" w:rsidRDefault="00AC2556" w:rsidP="00AC2556">
      <w:r w:rsidRPr="003D5718">
        <w:t>Annotations of cells in row 100 of Table F31.01 corrected.</w:t>
      </w:r>
    </w:p>
    <w:p w:rsidR="00AC2556" w:rsidRPr="003D5718" w:rsidRDefault="00AC2556" w:rsidP="00AC2556">
      <w:proofErr w:type="spellStart"/>
      <w:r w:rsidRPr="003D5718">
        <w:t>Were</w:t>
      </w:r>
      <w:proofErr w:type="spellEnd"/>
      <w:r w:rsidRPr="003D5718">
        <w:t xml:space="preserve"> missing dimensions implied by row and column headings due to error in data related to the contexts of associated data points in the DPM </w:t>
      </w:r>
      <w:proofErr w:type="gramStart"/>
      <w:r w:rsidRPr="003D5718">
        <w:t>Database.</w:t>
      </w:r>
      <w:proofErr w:type="gramEnd"/>
    </w:p>
    <w:p w:rsidR="00AC2556" w:rsidRPr="003D5718" w:rsidRDefault="00AC2556" w:rsidP="00AC2556">
      <w:r w:rsidRPr="003D5718">
        <w:t>See correction to database for more details</w:t>
      </w:r>
    </w:p>
    <w:p w:rsidR="00AC2556" w:rsidRPr="000F3810" w:rsidRDefault="00AC2556" w:rsidP="00D515AE">
      <w:pPr>
        <w:pStyle w:val="Titlelevel2"/>
      </w:pPr>
      <w:r w:rsidRPr="000F3810">
        <w:t>DPM Database</w:t>
      </w:r>
    </w:p>
    <w:p w:rsidR="000F3810" w:rsidRDefault="000F3810" w:rsidP="000F3810">
      <w:r w:rsidRPr="003D5718">
        <w:t xml:space="preserve">Set incorrect </w:t>
      </w:r>
      <w:proofErr w:type="spellStart"/>
      <w:r w:rsidRPr="003D5718">
        <w:t>AllowsDefaultMember</w:t>
      </w:r>
      <w:proofErr w:type="spellEnd"/>
      <w:r w:rsidRPr="003D5718">
        <w:t xml:space="preserve"> flag for </w:t>
      </w:r>
      <w:proofErr w:type="spellStart"/>
      <w:r w:rsidRPr="003D5718">
        <w:t>OpenMemberRestrictions</w:t>
      </w:r>
      <w:proofErr w:type="spellEnd"/>
      <w:r w:rsidRPr="003D5718">
        <w:t xml:space="preserve"> 1 and 5.</w:t>
      </w:r>
    </w:p>
    <w:p w:rsidR="00AC2556" w:rsidRPr="003D5718" w:rsidRDefault="00AC2556" w:rsidP="00AC2556">
      <w:r w:rsidRPr="003D5718">
        <w:t>Correction of errors in Contexts for 6 data points on F31.01</w:t>
      </w:r>
    </w:p>
    <w:p w:rsidR="003D5718" w:rsidRPr="003D5718" w:rsidRDefault="003D5718" w:rsidP="003D5718">
      <w:pPr>
        <w:rPr>
          <w:b/>
        </w:rPr>
      </w:pPr>
      <w:r w:rsidRPr="003D5718">
        <w:rPr>
          <w:b/>
        </w:rPr>
        <w:t>Missing Contexts:</w:t>
      </w:r>
    </w:p>
    <w:tbl>
      <w:tblPr>
        <w:tblStyle w:val="EBAtable"/>
        <w:tblW w:w="0" w:type="auto"/>
        <w:tblLayout w:type="fixed"/>
        <w:tblLook w:val="04A0" w:firstRow="1" w:lastRow="0" w:firstColumn="1" w:lastColumn="0" w:noHBand="0" w:noVBand="1"/>
      </w:tblPr>
      <w:tblGrid>
        <w:gridCol w:w="1242"/>
        <w:gridCol w:w="2764"/>
        <w:gridCol w:w="5285"/>
      </w:tblGrid>
      <w:tr w:rsidR="003D5718" w:rsidRPr="003D5718" w:rsidTr="00AA0EE8">
        <w:trPr>
          <w:cnfStyle w:val="100000000000" w:firstRow="1" w:lastRow="0" w:firstColumn="0" w:lastColumn="0" w:oddVBand="0" w:evenVBand="0" w:oddHBand="0" w:evenHBand="0" w:firstRowFirstColumn="0" w:firstRowLastColumn="0" w:lastRowFirstColumn="0" w:lastRowLastColumn="0"/>
        </w:trPr>
        <w:tc>
          <w:tcPr>
            <w:tcW w:w="1242" w:type="dxa"/>
          </w:tcPr>
          <w:p w:rsidR="003D5718" w:rsidRPr="003D5718" w:rsidRDefault="003D5718" w:rsidP="00AA0EE8">
            <w:pPr>
              <w:pStyle w:val="Tableheader"/>
            </w:pPr>
            <w:proofErr w:type="spellStart"/>
            <w:r w:rsidRPr="003D5718">
              <w:t>ContextID</w:t>
            </w:r>
            <w:proofErr w:type="spellEnd"/>
          </w:p>
        </w:tc>
        <w:tc>
          <w:tcPr>
            <w:tcW w:w="2764" w:type="dxa"/>
          </w:tcPr>
          <w:p w:rsidR="003D5718" w:rsidRPr="003D5718" w:rsidRDefault="003D5718" w:rsidP="00AA0EE8">
            <w:pPr>
              <w:pStyle w:val="Tableheader"/>
            </w:pPr>
            <w:r w:rsidRPr="003D5718">
              <w:tab/>
            </w:r>
            <w:proofErr w:type="spellStart"/>
            <w:r w:rsidRPr="003D5718">
              <w:t>ContextKey</w:t>
            </w:r>
            <w:proofErr w:type="spellEnd"/>
          </w:p>
        </w:tc>
        <w:tc>
          <w:tcPr>
            <w:tcW w:w="5285" w:type="dxa"/>
          </w:tcPr>
          <w:p w:rsidR="003D5718" w:rsidRPr="003D5718" w:rsidRDefault="003D5718" w:rsidP="00AA0EE8">
            <w:pPr>
              <w:pStyle w:val="Tableheader"/>
            </w:pPr>
            <w:r w:rsidRPr="003D5718">
              <w:tab/>
            </w:r>
            <w:proofErr w:type="spellStart"/>
            <w:r w:rsidRPr="003D5718">
              <w:t>XbrlContextKey</w:t>
            </w:r>
            <w:proofErr w:type="spellEnd"/>
          </w:p>
        </w:tc>
      </w:tr>
      <w:tr w:rsidR="003D5718" w:rsidRPr="003D5718" w:rsidTr="00AA0EE8">
        <w:tc>
          <w:tcPr>
            <w:tcW w:w="1242" w:type="dxa"/>
          </w:tcPr>
          <w:p w:rsidR="003D5718" w:rsidRPr="003D5718" w:rsidRDefault="003D5718" w:rsidP="00AA0EE8">
            <w:pPr>
              <w:pStyle w:val="Tabledata"/>
              <w:rPr>
                <w:b/>
              </w:rPr>
            </w:pPr>
            <w:r w:rsidRPr="003D5718">
              <w:rPr>
                <w:b/>
              </w:rPr>
              <w:t>63000</w:t>
            </w:r>
          </w:p>
        </w:tc>
        <w:tc>
          <w:tcPr>
            <w:tcW w:w="2764" w:type="dxa"/>
          </w:tcPr>
          <w:p w:rsidR="003D5718" w:rsidRPr="003D5718" w:rsidRDefault="003D5718" w:rsidP="00AA0EE8">
            <w:pPr>
              <w:pStyle w:val="Tabledata"/>
              <w:rPr>
                <w:b/>
              </w:rPr>
            </w:pPr>
            <w:r w:rsidRPr="003D5718">
              <w:rPr>
                <w:b/>
              </w:rPr>
              <w:t>BAS1516IMS1801MCY2255RPR2672</w:t>
            </w:r>
          </w:p>
        </w:tc>
        <w:tc>
          <w:tcPr>
            <w:tcW w:w="5285" w:type="dxa"/>
          </w:tcPr>
          <w:p w:rsidR="003D5718" w:rsidRPr="003D5718" w:rsidRDefault="003D5718" w:rsidP="00AA0EE8">
            <w:pPr>
              <w:pStyle w:val="Tabledata"/>
              <w:rPr>
                <w:b/>
              </w:rPr>
            </w:pPr>
            <w:r w:rsidRPr="003D5718">
              <w:rPr>
                <w:b/>
              </w:rPr>
              <w:t>BAS=eba_BA:x10,IMS=eba_IM:x3,MCY=eba_MC:x251,RPR=eba_RP:x4</w:t>
            </w:r>
          </w:p>
        </w:tc>
      </w:tr>
      <w:tr w:rsidR="003D5718" w:rsidRPr="003D5718" w:rsidTr="00AA0EE8">
        <w:tc>
          <w:tcPr>
            <w:tcW w:w="1242" w:type="dxa"/>
          </w:tcPr>
          <w:p w:rsidR="003D5718" w:rsidRPr="003D5718" w:rsidRDefault="003D5718" w:rsidP="00AA0EE8">
            <w:pPr>
              <w:pStyle w:val="Tabledata"/>
              <w:rPr>
                <w:b/>
              </w:rPr>
            </w:pPr>
            <w:r w:rsidRPr="003D5718">
              <w:rPr>
                <w:b/>
              </w:rPr>
              <w:lastRenderedPageBreak/>
              <w:t>63001</w:t>
            </w:r>
          </w:p>
        </w:tc>
        <w:tc>
          <w:tcPr>
            <w:tcW w:w="2764" w:type="dxa"/>
          </w:tcPr>
          <w:p w:rsidR="003D5718" w:rsidRPr="003D5718" w:rsidRDefault="003D5718" w:rsidP="00AA0EE8">
            <w:pPr>
              <w:pStyle w:val="Tabledata"/>
              <w:rPr>
                <w:b/>
              </w:rPr>
            </w:pPr>
            <w:r w:rsidRPr="003D5718">
              <w:rPr>
                <w:b/>
              </w:rPr>
              <w:t>BAS1516IMS1801MCY2255RPR2673</w:t>
            </w:r>
          </w:p>
        </w:tc>
        <w:tc>
          <w:tcPr>
            <w:tcW w:w="5285" w:type="dxa"/>
          </w:tcPr>
          <w:p w:rsidR="003D5718" w:rsidRPr="003D5718" w:rsidRDefault="003D5718" w:rsidP="00AA0EE8">
            <w:pPr>
              <w:pStyle w:val="Tabledata"/>
              <w:rPr>
                <w:b/>
              </w:rPr>
            </w:pPr>
            <w:r w:rsidRPr="003D5718">
              <w:rPr>
                <w:b/>
              </w:rPr>
              <w:t>BAS=eba_BA:x10,IMS=eba_IM:x3,MCY=eba_MC:x251,RPR=eba_RP:x5</w:t>
            </w:r>
          </w:p>
        </w:tc>
      </w:tr>
      <w:tr w:rsidR="003D5718" w:rsidRPr="003D5718" w:rsidTr="00AA0EE8">
        <w:tc>
          <w:tcPr>
            <w:tcW w:w="1242" w:type="dxa"/>
          </w:tcPr>
          <w:p w:rsidR="003D5718" w:rsidRPr="003D5718" w:rsidRDefault="003D5718" w:rsidP="00AA0EE8">
            <w:pPr>
              <w:pStyle w:val="Tabledata"/>
              <w:rPr>
                <w:b/>
              </w:rPr>
            </w:pPr>
            <w:r w:rsidRPr="003D5718">
              <w:rPr>
                <w:b/>
              </w:rPr>
              <w:t>63002</w:t>
            </w:r>
          </w:p>
        </w:tc>
        <w:tc>
          <w:tcPr>
            <w:tcW w:w="2764" w:type="dxa"/>
          </w:tcPr>
          <w:p w:rsidR="003D5718" w:rsidRPr="003D5718" w:rsidRDefault="003D5718" w:rsidP="00AA0EE8">
            <w:pPr>
              <w:pStyle w:val="Tabledata"/>
              <w:rPr>
                <w:b/>
              </w:rPr>
            </w:pPr>
            <w:r w:rsidRPr="003D5718">
              <w:rPr>
                <w:b/>
              </w:rPr>
              <w:t>BAS1516IMS1801MCY2255RPR2676</w:t>
            </w:r>
          </w:p>
        </w:tc>
        <w:tc>
          <w:tcPr>
            <w:tcW w:w="5285" w:type="dxa"/>
          </w:tcPr>
          <w:p w:rsidR="003D5718" w:rsidRPr="003D5718" w:rsidRDefault="003D5718" w:rsidP="00AA0EE8">
            <w:pPr>
              <w:pStyle w:val="Tabledata"/>
              <w:rPr>
                <w:b/>
              </w:rPr>
            </w:pPr>
            <w:r w:rsidRPr="003D5718">
              <w:rPr>
                <w:b/>
              </w:rPr>
              <w:t>BAS=eba_BA:x10,IMS=eba_IM:x3,MCY=eba_MC:x251,RPR=eba_RP:x8</w:t>
            </w:r>
          </w:p>
        </w:tc>
      </w:tr>
      <w:tr w:rsidR="003D5718" w:rsidRPr="003D5718" w:rsidTr="00AA0EE8">
        <w:tc>
          <w:tcPr>
            <w:tcW w:w="1242" w:type="dxa"/>
          </w:tcPr>
          <w:p w:rsidR="003D5718" w:rsidRPr="003D5718" w:rsidRDefault="003D5718" w:rsidP="00AA0EE8">
            <w:pPr>
              <w:pStyle w:val="Tabledata"/>
              <w:rPr>
                <w:b/>
              </w:rPr>
            </w:pPr>
            <w:r w:rsidRPr="003D5718">
              <w:rPr>
                <w:b/>
              </w:rPr>
              <w:t>63003</w:t>
            </w:r>
          </w:p>
        </w:tc>
        <w:tc>
          <w:tcPr>
            <w:tcW w:w="2764" w:type="dxa"/>
          </w:tcPr>
          <w:p w:rsidR="003D5718" w:rsidRPr="003D5718" w:rsidRDefault="003D5718" w:rsidP="00AA0EE8">
            <w:pPr>
              <w:pStyle w:val="Tabledata"/>
              <w:rPr>
                <w:b/>
              </w:rPr>
            </w:pPr>
            <w:r w:rsidRPr="003D5718">
              <w:rPr>
                <w:b/>
              </w:rPr>
              <w:t>BAS1516IMS1801MCY2255RPR2679</w:t>
            </w:r>
          </w:p>
        </w:tc>
        <w:tc>
          <w:tcPr>
            <w:tcW w:w="5285" w:type="dxa"/>
          </w:tcPr>
          <w:p w:rsidR="003D5718" w:rsidRPr="003D5718" w:rsidRDefault="003D5718" w:rsidP="00AA0EE8">
            <w:pPr>
              <w:pStyle w:val="Tabledata"/>
              <w:rPr>
                <w:b/>
              </w:rPr>
            </w:pPr>
            <w:r w:rsidRPr="003D5718">
              <w:rPr>
                <w:b/>
              </w:rPr>
              <w:t>BAS=eba_BA:x10,IMS=eba_IM:x3,MCY=eba_MC:x251,RPR=eba_RP:x10</w:t>
            </w:r>
          </w:p>
        </w:tc>
      </w:tr>
      <w:tr w:rsidR="003D5718" w:rsidRPr="003D5718" w:rsidTr="00AA0EE8">
        <w:tc>
          <w:tcPr>
            <w:tcW w:w="1242" w:type="dxa"/>
          </w:tcPr>
          <w:p w:rsidR="003D5718" w:rsidRPr="003D5718" w:rsidRDefault="003D5718" w:rsidP="00AA0EE8">
            <w:pPr>
              <w:pStyle w:val="Tabledata"/>
              <w:rPr>
                <w:b/>
              </w:rPr>
            </w:pPr>
            <w:r w:rsidRPr="003D5718">
              <w:rPr>
                <w:b/>
              </w:rPr>
              <w:t>63004</w:t>
            </w:r>
          </w:p>
        </w:tc>
        <w:tc>
          <w:tcPr>
            <w:tcW w:w="2764" w:type="dxa"/>
          </w:tcPr>
          <w:p w:rsidR="003D5718" w:rsidRPr="003D5718" w:rsidRDefault="003D5718" w:rsidP="00AA0EE8">
            <w:pPr>
              <w:pStyle w:val="Tabledata"/>
              <w:rPr>
                <w:b/>
              </w:rPr>
            </w:pPr>
            <w:r w:rsidRPr="003D5718">
              <w:rPr>
                <w:b/>
              </w:rPr>
              <w:t>BAS1516IMS1801MCY2255RPR2680</w:t>
            </w:r>
          </w:p>
        </w:tc>
        <w:tc>
          <w:tcPr>
            <w:tcW w:w="5285" w:type="dxa"/>
          </w:tcPr>
          <w:p w:rsidR="003D5718" w:rsidRPr="003D5718" w:rsidRDefault="003D5718" w:rsidP="00AA0EE8">
            <w:pPr>
              <w:pStyle w:val="Tabledata"/>
              <w:rPr>
                <w:b/>
              </w:rPr>
            </w:pPr>
            <w:r w:rsidRPr="003D5718">
              <w:rPr>
                <w:b/>
              </w:rPr>
              <w:t>BAS=eba_BA:x10,IMS=eba_IM:x3,MCY=eba_MC:x251,RPR=eba_RP:x1</w:t>
            </w:r>
          </w:p>
        </w:tc>
      </w:tr>
    </w:tbl>
    <w:p w:rsidR="00AC2556" w:rsidRPr="003D5718" w:rsidRDefault="00AC2556" w:rsidP="00AC2556"/>
    <w:p w:rsidR="003D5718" w:rsidRDefault="003D5718" w:rsidP="003D5718">
      <w:r>
        <w:t>Missing Context Definition Entries:</w:t>
      </w:r>
    </w:p>
    <w:tbl>
      <w:tblPr>
        <w:tblStyle w:val="EBAtable"/>
        <w:tblW w:w="0" w:type="auto"/>
        <w:tblLook w:val="04A0" w:firstRow="1" w:lastRow="0" w:firstColumn="1" w:lastColumn="0" w:noHBand="0" w:noVBand="1"/>
      </w:tblPr>
      <w:tblGrid>
        <w:gridCol w:w="3097"/>
        <w:gridCol w:w="3097"/>
        <w:gridCol w:w="3097"/>
      </w:tblGrid>
      <w:tr w:rsidR="003D5718" w:rsidRPr="005A77ED" w:rsidTr="00AA0EE8">
        <w:trPr>
          <w:cnfStyle w:val="100000000000" w:firstRow="1" w:lastRow="0" w:firstColumn="0" w:lastColumn="0" w:oddVBand="0" w:evenVBand="0" w:oddHBand="0" w:evenHBand="0" w:firstRowFirstColumn="0" w:firstRowLastColumn="0" w:lastRowFirstColumn="0" w:lastRowLastColumn="0"/>
        </w:trPr>
        <w:tc>
          <w:tcPr>
            <w:tcW w:w="3097" w:type="dxa"/>
          </w:tcPr>
          <w:p w:rsidR="003D5718" w:rsidRPr="005A77ED" w:rsidRDefault="003D5718" w:rsidP="00AA0EE8">
            <w:pPr>
              <w:pStyle w:val="Tableheader"/>
            </w:pPr>
            <w:proofErr w:type="spellStart"/>
            <w:r w:rsidRPr="005A77ED">
              <w:t>ContextID</w:t>
            </w:r>
            <w:proofErr w:type="spellEnd"/>
          </w:p>
        </w:tc>
        <w:tc>
          <w:tcPr>
            <w:tcW w:w="3097" w:type="dxa"/>
          </w:tcPr>
          <w:p w:rsidR="003D5718" w:rsidRPr="005A77ED" w:rsidRDefault="003D5718" w:rsidP="00AA0EE8">
            <w:pPr>
              <w:pStyle w:val="Tableheader"/>
            </w:pPr>
            <w:proofErr w:type="spellStart"/>
            <w:r w:rsidRPr="005A77ED">
              <w:t>DimensionID</w:t>
            </w:r>
            <w:proofErr w:type="spellEnd"/>
          </w:p>
        </w:tc>
        <w:tc>
          <w:tcPr>
            <w:tcW w:w="3097" w:type="dxa"/>
          </w:tcPr>
          <w:p w:rsidR="003D5718" w:rsidRPr="005A77ED" w:rsidRDefault="003D5718" w:rsidP="00AA0EE8">
            <w:pPr>
              <w:pStyle w:val="Tableheader"/>
            </w:pPr>
            <w:proofErr w:type="spellStart"/>
            <w:r w:rsidRPr="005A77ED">
              <w:t>MemberID</w:t>
            </w:r>
            <w:proofErr w:type="spellEnd"/>
          </w:p>
        </w:tc>
      </w:tr>
      <w:tr w:rsidR="003D5718" w:rsidRPr="005A77ED" w:rsidTr="00AA0EE8">
        <w:tc>
          <w:tcPr>
            <w:tcW w:w="3097" w:type="dxa"/>
          </w:tcPr>
          <w:p w:rsidR="003D5718" w:rsidRPr="005A77ED" w:rsidRDefault="003D5718" w:rsidP="00AA0EE8">
            <w:pPr>
              <w:pStyle w:val="Tabledata"/>
            </w:pPr>
            <w:r w:rsidRPr="005A77ED">
              <w:t>63000</w:t>
            </w:r>
          </w:p>
        </w:tc>
        <w:tc>
          <w:tcPr>
            <w:tcW w:w="3097" w:type="dxa"/>
          </w:tcPr>
          <w:p w:rsidR="003D5718" w:rsidRPr="005A77ED" w:rsidRDefault="003D5718" w:rsidP="00AA0EE8">
            <w:pPr>
              <w:pStyle w:val="Tabledata"/>
            </w:pPr>
            <w:r w:rsidRPr="005A77ED">
              <w:t>110</w:t>
            </w:r>
          </w:p>
        </w:tc>
        <w:tc>
          <w:tcPr>
            <w:tcW w:w="3097" w:type="dxa"/>
          </w:tcPr>
          <w:p w:rsidR="003D5718" w:rsidRPr="005A77ED" w:rsidRDefault="003D5718" w:rsidP="00AA0EE8">
            <w:pPr>
              <w:pStyle w:val="Tabledata"/>
            </w:pPr>
            <w:r w:rsidRPr="005A77ED">
              <w:t>1516</w:t>
            </w:r>
          </w:p>
        </w:tc>
      </w:tr>
      <w:tr w:rsidR="003D5718" w:rsidRPr="005A77ED" w:rsidTr="00AA0EE8">
        <w:tc>
          <w:tcPr>
            <w:tcW w:w="3097" w:type="dxa"/>
          </w:tcPr>
          <w:p w:rsidR="003D5718" w:rsidRPr="005A77ED" w:rsidRDefault="003D5718" w:rsidP="00AA0EE8">
            <w:pPr>
              <w:pStyle w:val="Tabledata"/>
            </w:pPr>
            <w:r w:rsidRPr="005A77ED">
              <w:t>63000</w:t>
            </w:r>
          </w:p>
        </w:tc>
        <w:tc>
          <w:tcPr>
            <w:tcW w:w="3097" w:type="dxa"/>
          </w:tcPr>
          <w:p w:rsidR="003D5718" w:rsidRPr="005A77ED" w:rsidRDefault="003D5718" w:rsidP="00AA0EE8">
            <w:pPr>
              <w:pStyle w:val="Tabledata"/>
            </w:pPr>
            <w:r w:rsidRPr="005A77ED">
              <w:t>120</w:t>
            </w:r>
          </w:p>
        </w:tc>
        <w:tc>
          <w:tcPr>
            <w:tcW w:w="3097" w:type="dxa"/>
          </w:tcPr>
          <w:p w:rsidR="003D5718" w:rsidRPr="005A77ED" w:rsidRDefault="003D5718" w:rsidP="00AA0EE8">
            <w:pPr>
              <w:pStyle w:val="Tabledata"/>
            </w:pPr>
            <w:r w:rsidRPr="005A77ED">
              <w:t>2255</w:t>
            </w:r>
          </w:p>
        </w:tc>
      </w:tr>
      <w:tr w:rsidR="003D5718" w:rsidRPr="005A77ED" w:rsidTr="00AA0EE8">
        <w:tc>
          <w:tcPr>
            <w:tcW w:w="3097" w:type="dxa"/>
          </w:tcPr>
          <w:p w:rsidR="003D5718" w:rsidRPr="005A77ED" w:rsidRDefault="003D5718" w:rsidP="00AA0EE8">
            <w:pPr>
              <w:pStyle w:val="Tabledata"/>
            </w:pPr>
            <w:r w:rsidRPr="005A77ED">
              <w:t>63000</w:t>
            </w:r>
          </w:p>
        </w:tc>
        <w:tc>
          <w:tcPr>
            <w:tcW w:w="3097" w:type="dxa"/>
          </w:tcPr>
          <w:p w:rsidR="003D5718" w:rsidRPr="005A77ED" w:rsidRDefault="003D5718" w:rsidP="00AA0EE8">
            <w:pPr>
              <w:pStyle w:val="Tabledata"/>
            </w:pPr>
            <w:r w:rsidRPr="005A77ED">
              <w:t>390</w:t>
            </w:r>
          </w:p>
        </w:tc>
        <w:tc>
          <w:tcPr>
            <w:tcW w:w="3097" w:type="dxa"/>
          </w:tcPr>
          <w:p w:rsidR="003D5718" w:rsidRPr="005A77ED" w:rsidRDefault="003D5718" w:rsidP="00AA0EE8">
            <w:pPr>
              <w:pStyle w:val="Tabledata"/>
            </w:pPr>
            <w:r w:rsidRPr="005A77ED">
              <w:t>1801</w:t>
            </w:r>
          </w:p>
        </w:tc>
      </w:tr>
      <w:tr w:rsidR="003D5718" w:rsidRPr="005A77ED" w:rsidTr="00AA0EE8">
        <w:tc>
          <w:tcPr>
            <w:tcW w:w="3097" w:type="dxa"/>
          </w:tcPr>
          <w:p w:rsidR="003D5718" w:rsidRPr="005A77ED" w:rsidRDefault="003D5718" w:rsidP="00AA0EE8">
            <w:pPr>
              <w:pStyle w:val="Tabledata"/>
            </w:pPr>
            <w:r w:rsidRPr="005A77ED">
              <w:t>63000</w:t>
            </w:r>
          </w:p>
        </w:tc>
        <w:tc>
          <w:tcPr>
            <w:tcW w:w="3097" w:type="dxa"/>
          </w:tcPr>
          <w:p w:rsidR="003D5718" w:rsidRPr="005A77ED" w:rsidRDefault="003D5718" w:rsidP="00AA0EE8">
            <w:pPr>
              <w:pStyle w:val="Tabledata"/>
            </w:pPr>
            <w:r w:rsidRPr="005A77ED">
              <w:t>525</w:t>
            </w:r>
          </w:p>
        </w:tc>
        <w:tc>
          <w:tcPr>
            <w:tcW w:w="3097" w:type="dxa"/>
          </w:tcPr>
          <w:p w:rsidR="003D5718" w:rsidRPr="005A77ED" w:rsidRDefault="003D5718" w:rsidP="00AA0EE8">
            <w:pPr>
              <w:pStyle w:val="Tabledata"/>
            </w:pPr>
            <w:r w:rsidRPr="005A77ED">
              <w:t>2672</w:t>
            </w:r>
          </w:p>
        </w:tc>
      </w:tr>
      <w:tr w:rsidR="003D5718" w:rsidRPr="005A77ED" w:rsidTr="00AA0EE8">
        <w:tc>
          <w:tcPr>
            <w:tcW w:w="3097" w:type="dxa"/>
          </w:tcPr>
          <w:p w:rsidR="003D5718" w:rsidRPr="005A77ED" w:rsidRDefault="003D5718" w:rsidP="00AA0EE8">
            <w:pPr>
              <w:pStyle w:val="Tabledata"/>
            </w:pPr>
            <w:r w:rsidRPr="005A77ED">
              <w:t>63001</w:t>
            </w:r>
          </w:p>
        </w:tc>
        <w:tc>
          <w:tcPr>
            <w:tcW w:w="3097" w:type="dxa"/>
          </w:tcPr>
          <w:p w:rsidR="003D5718" w:rsidRPr="005A77ED" w:rsidRDefault="003D5718" w:rsidP="00AA0EE8">
            <w:pPr>
              <w:pStyle w:val="Tabledata"/>
            </w:pPr>
            <w:r w:rsidRPr="005A77ED">
              <w:t>110</w:t>
            </w:r>
          </w:p>
        </w:tc>
        <w:tc>
          <w:tcPr>
            <w:tcW w:w="3097" w:type="dxa"/>
          </w:tcPr>
          <w:p w:rsidR="003D5718" w:rsidRPr="005A77ED" w:rsidRDefault="003D5718" w:rsidP="00AA0EE8">
            <w:pPr>
              <w:pStyle w:val="Tabledata"/>
            </w:pPr>
            <w:r w:rsidRPr="005A77ED">
              <w:t>1516</w:t>
            </w:r>
          </w:p>
        </w:tc>
      </w:tr>
      <w:tr w:rsidR="003D5718" w:rsidRPr="005A77ED" w:rsidTr="00AA0EE8">
        <w:tc>
          <w:tcPr>
            <w:tcW w:w="3097" w:type="dxa"/>
          </w:tcPr>
          <w:p w:rsidR="003D5718" w:rsidRPr="005A77ED" w:rsidRDefault="003D5718" w:rsidP="00AA0EE8">
            <w:pPr>
              <w:pStyle w:val="Tabledata"/>
            </w:pPr>
            <w:r w:rsidRPr="005A77ED">
              <w:t>63001</w:t>
            </w:r>
          </w:p>
        </w:tc>
        <w:tc>
          <w:tcPr>
            <w:tcW w:w="3097" w:type="dxa"/>
          </w:tcPr>
          <w:p w:rsidR="003D5718" w:rsidRPr="005A77ED" w:rsidRDefault="003D5718" w:rsidP="00AA0EE8">
            <w:pPr>
              <w:pStyle w:val="Tabledata"/>
            </w:pPr>
            <w:r w:rsidRPr="005A77ED">
              <w:t>120</w:t>
            </w:r>
          </w:p>
        </w:tc>
        <w:tc>
          <w:tcPr>
            <w:tcW w:w="3097" w:type="dxa"/>
          </w:tcPr>
          <w:p w:rsidR="003D5718" w:rsidRPr="005A77ED" w:rsidRDefault="003D5718" w:rsidP="00AA0EE8">
            <w:pPr>
              <w:pStyle w:val="Tabledata"/>
            </w:pPr>
            <w:r w:rsidRPr="005A77ED">
              <w:t>2255</w:t>
            </w:r>
          </w:p>
        </w:tc>
      </w:tr>
      <w:tr w:rsidR="003D5718" w:rsidRPr="005A77ED" w:rsidTr="00AA0EE8">
        <w:tc>
          <w:tcPr>
            <w:tcW w:w="3097" w:type="dxa"/>
          </w:tcPr>
          <w:p w:rsidR="003D5718" w:rsidRPr="005A77ED" w:rsidRDefault="003D5718" w:rsidP="00AA0EE8">
            <w:pPr>
              <w:pStyle w:val="Tabledata"/>
            </w:pPr>
            <w:r w:rsidRPr="005A77ED">
              <w:t>63001</w:t>
            </w:r>
          </w:p>
        </w:tc>
        <w:tc>
          <w:tcPr>
            <w:tcW w:w="3097" w:type="dxa"/>
          </w:tcPr>
          <w:p w:rsidR="003D5718" w:rsidRPr="005A77ED" w:rsidRDefault="003D5718" w:rsidP="00AA0EE8">
            <w:pPr>
              <w:pStyle w:val="Tabledata"/>
            </w:pPr>
            <w:r w:rsidRPr="005A77ED">
              <w:t>390</w:t>
            </w:r>
          </w:p>
        </w:tc>
        <w:tc>
          <w:tcPr>
            <w:tcW w:w="3097" w:type="dxa"/>
          </w:tcPr>
          <w:p w:rsidR="003D5718" w:rsidRPr="005A77ED" w:rsidRDefault="003D5718" w:rsidP="00AA0EE8">
            <w:pPr>
              <w:pStyle w:val="Tabledata"/>
            </w:pPr>
            <w:r w:rsidRPr="005A77ED">
              <w:t>1801</w:t>
            </w:r>
          </w:p>
        </w:tc>
      </w:tr>
      <w:tr w:rsidR="003D5718" w:rsidRPr="005A77ED" w:rsidTr="00AA0EE8">
        <w:tc>
          <w:tcPr>
            <w:tcW w:w="3097" w:type="dxa"/>
          </w:tcPr>
          <w:p w:rsidR="003D5718" w:rsidRPr="005A77ED" w:rsidRDefault="003D5718" w:rsidP="00AA0EE8">
            <w:pPr>
              <w:pStyle w:val="Tabledata"/>
            </w:pPr>
            <w:r w:rsidRPr="005A77ED">
              <w:t>63001</w:t>
            </w:r>
          </w:p>
        </w:tc>
        <w:tc>
          <w:tcPr>
            <w:tcW w:w="3097" w:type="dxa"/>
          </w:tcPr>
          <w:p w:rsidR="003D5718" w:rsidRPr="005A77ED" w:rsidRDefault="003D5718" w:rsidP="00AA0EE8">
            <w:pPr>
              <w:pStyle w:val="Tabledata"/>
            </w:pPr>
            <w:r w:rsidRPr="005A77ED">
              <w:t>525</w:t>
            </w:r>
          </w:p>
        </w:tc>
        <w:tc>
          <w:tcPr>
            <w:tcW w:w="3097" w:type="dxa"/>
          </w:tcPr>
          <w:p w:rsidR="003D5718" w:rsidRPr="005A77ED" w:rsidRDefault="003D5718" w:rsidP="00AA0EE8">
            <w:pPr>
              <w:pStyle w:val="Tabledata"/>
            </w:pPr>
            <w:r w:rsidRPr="005A77ED">
              <w:t>2673</w:t>
            </w:r>
          </w:p>
        </w:tc>
      </w:tr>
      <w:tr w:rsidR="003D5718" w:rsidRPr="005A77ED" w:rsidTr="00AA0EE8">
        <w:tc>
          <w:tcPr>
            <w:tcW w:w="3097" w:type="dxa"/>
          </w:tcPr>
          <w:p w:rsidR="003D5718" w:rsidRPr="005A77ED" w:rsidRDefault="003D5718" w:rsidP="00AA0EE8">
            <w:pPr>
              <w:pStyle w:val="Tabledata"/>
            </w:pPr>
            <w:r w:rsidRPr="005A77ED">
              <w:t>63002</w:t>
            </w:r>
          </w:p>
        </w:tc>
        <w:tc>
          <w:tcPr>
            <w:tcW w:w="3097" w:type="dxa"/>
          </w:tcPr>
          <w:p w:rsidR="003D5718" w:rsidRPr="005A77ED" w:rsidRDefault="003D5718" w:rsidP="00AA0EE8">
            <w:pPr>
              <w:pStyle w:val="Tabledata"/>
            </w:pPr>
            <w:r w:rsidRPr="005A77ED">
              <w:t>110</w:t>
            </w:r>
          </w:p>
        </w:tc>
        <w:tc>
          <w:tcPr>
            <w:tcW w:w="3097" w:type="dxa"/>
          </w:tcPr>
          <w:p w:rsidR="003D5718" w:rsidRPr="005A77ED" w:rsidRDefault="003D5718" w:rsidP="00AA0EE8">
            <w:pPr>
              <w:pStyle w:val="Tabledata"/>
            </w:pPr>
            <w:r w:rsidRPr="005A77ED">
              <w:t>1516</w:t>
            </w:r>
          </w:p>
        </w:tc>
      </w:tr>
      <w:tr w:rsidR="003D5718" w:rsidRPr="005A77ED" w:rsidTr="00AA0EE8">
        <w:tc>
          <w:tcPr>
            <w:tcW w:w="3097" w:type="dxa"/>
          </w:tcPr>
          <w:p w:rsidR="003D5718" w:rsidRPr="005A77ED" w:rsidRDefault="003D5718" w:rsidP="00AA0EE8">
            <w:pPr>
              <w:pStyle w:val="Tabledata"/>
            </w:pPr>
            <w:r w:rsidRPr="005A77ED">
              <w:t>63002</w:t>
            </w:r>
          </w:p>
        </w:tc>
        <w:tc>
          <w:tcPr>
            <w:tcW w:w="3097" w:type="dxa"/>
          </w:tcPr>
          <w:p w:rsidR="003D5718" w:rsidRPr="005A77ED" w:rsidRDefault="003D5718" w:rsidP="00AA0EE8">
            <w:pPr>
              <w:pStyle w:val="Tabledata"/>
            </w:pPr>
            <w:r w:rsidRPr="005A77ED">
              <w:t>120</w:t>
            </w:r>
          </w:p>
        </w:tc>
        <w:tc>
          <w:tcPr>
            <w:tcW w:w="3097" w:type="dxa"/>
          </w:tcPr>
          <w:p w:rsidR="003D5718" w:rsidRPr="005A77ED" w:rsidRDefault="003D5718" w:rsidP="00AA0EE8">
            <w:pPr>
              <w:pStyle w:val="Tabledata"/>
            </w:pPr>
            <w:r w:rsidRPr="005A77ED">
              <w:t>2255</w:t>
            </w:r>
          </w:p>
        </w:tc>
      </w:tr>
      <w:tr w:rsidR="003D5718" w:rsidRPr="005A77ED" w:rsidTr="00AA0EE8">
        <w:tc>
          <w:tcPr>
            <w:tcW w:w="3097" w:type="dxa"/>
          </w:tcPr>
          <w:p w:rsidR="003D5718" w:rsidRPr="005A77ED" w:rsidRDefault="003D5718" w:rsidP="00AA0EE8">
            <w:pPr>
              <w:pStyle w:val="Tabledata"/>
            </w:pPr>
            <w:r w:rsidRPr="005A77ED">
              <w:t>63002</w:t>
            </w:r>
          </w:p>
        </w:tc>
        <w:tc>
          <w:tcPr>
            <w:tcW w:w="3097" w:type="dxa"/>
          </w:tcPr>
          <w:p w:rsidR="003D5718" w:rsidRPr="005A77ED" w:rsidRDefault="003D5718" w:rsidP="00AA0EE8">
            <w:pPr>
              <w:pStyle w:val="Tabledata"/>
            </w:pPr>
            <w:r w:rsidRPr="005A77ED">
              <w:t>390</w:t>
            </w:r>
          </w:p>
        </w:tc>
        <w:tc>
          <w:tcPr>
            <w:tcW w:w="3097" w:type="dxa"/>
          </w:tcPr>
          <w:p w:rsidR="003D5718" w:rsidRPr="005A77ED" w:rsidRDefault="003D5718" w:rsidP="00AA0EE8">
            <w:pPr>
              <w:pStyle w:val="Tabledata"/>
            </w:pPr>
            <w:r w:rsidRPr="005A77ED">
              <w:t>1801</w:t>
            </w:r>
          </w:p>
        </w:tc>
      </w:tr>
      <w:tr w:rsidR="003D5718" w:rsidRPr="005A77ED" w:rsidTr="00AA0EE8">
        <w:tc>
          <w:tcPr>
            <w:tcW w:w="3097" w:type="dxa"/>
          </w:tcPr>
          <w:p w:rsidR="003D5718" w:rsidRPr="005A77ED" w:rsidRDefault="003D5718" w:rsidP="00AA0EE8">
            <w:pPr>
              <w:pStyle w:val="Tabledata"/>
            </w:pPr>
            <w:r w:rsidRPr="005A77ED">
              <w:t>63002</w:t>
            </w:r>
          </w:p>
        </w:tc>
        <w:tc>
          <w:tcPr>
            <w:tcW w:w="3097" w:type="dxa"/>
          </w:tcPr>
          <w:p w:rsidR="003D5718" w:rsidRPr="005A77ED" w:rsidRDefault="003D5718" w:rsidP="00AA0EE8">
            <w:pPr>
              <w:pStyle w:val="Tabledata"/>
            </w:pPr>
            <w:r w:rsidRPr="005A77ED">
              <w:t>525</w:t>
            </w:r>
          </w:p>
        </w:tc>
        <w:tc>
          <w:tcPr>
            <w:tcW w:w="3097" w:type="dxa"/>
          </w:tcPr>
          <w:p w:rsidR="003D5718" w:rsidRPr="005A77ED" w:rsidRDefault="003D5718" w:rsidP="00AA0EE8">
            <w:pPr>
              <w:pStyle w:val="Tabledata"/>
            </w:pPr>
            <w:r w:rsidRPr="005A77ED">
              <w:t>2676</w:t>
            </w:r>
          </w:p>
        </w:tc>
      </w:tr>
      <w:tr w:rsidR="003D5718" w:rsidRPr="005A77ED" w:rsidTr="00AA0EE8">
        <w:tc>
          <w:tcPr>
            <w:tcW w:w="3097" w:type="dxa"/>
          </w:tcPr>
          <w:p w:rsidR="003D5718" w:rsidRPr="005A77ED" w:rsidRDefault="003D5718" w:rsidP="00AA0EE8">
            <w:pPr>
              <w:pStyle w:val="Tabledata"/>
            </w:pPr>
            <w:r w:rsidRPr="005A77ED">
              <w:t>63003</w:t>
            </w:r>
          </w:p>
        </w:tc>
        <w:tc>
          <w:tcPr>
            <w:tcW w:w="3097" w:type="dxa"/>
          </w:tcPr>
          <w:p w:rsidR="003D5718" w:rsidRPr="005A77ED" w:rsidRDefault="003D5718" w:rsidP="00AA0EE8">
            <w:pPr>
              <w:pStyle w:val="Tabledata"/>
            </w:pPr>
            <w:r w:rsidRPr="005A77ED">
              <w:t>110</w:t>
            </w:r>
          </w:p>
        </w:tc>
        <w:tc>
          <w:tcPr>
            <w:tcW w:w="3097" w:type="dxa"/>
          </w:tcPr>
          <w:p w:rsidR="003D5718" w:rsidRPr="005A77ED" w:rsidRDefault="003D5718" w:rsidP="00AA0EE8">
            <w:pPr>
              <w:pStyle w:val="Tabledata"/>
            </w:pPr>
            <w:r w:rsidRPr="005A77ED">
              <w:t>1516</w:t>
            </w:r>
          </w:p>
        </w:tc>
      </w:tr>
      <w:tr w:rsidR="003D5718" w:rsidRPr="005A77ED" w:rsidTr="00AA0EE8">
        <w:tc>
          <w:tcPr>
            <w:tcW w:w="3097" w:type="dxa"/>
          </w:tcPr>
          <w:p w:rsidR="003D5718" w:rsidRPr="005A77ED" w:rsidRDefault="003D5718" w:rsidP="00AA0EE8">
            <w:pPr>
              <w:pStyle w:val="Tabledata"/>
            </w:pPr>
            <w:r w:rsidRPr="005A77ED">
              <w:t>63003</w:t>
            </w:r>
          </w:p>
        </w:tc>
        <w:tc>
          <w:tcPr>
            <w:tcW w:w="3097" w:type="dxa"/>
          </w:tcPr>
          <w:p w:rsidR="003D5718" w:rsidRPr="005A77ED" w:rsidRDefault="003D5718" w:rsidP="00AA0EE8">
            <w:pPr>
              <w:pStyle w:val="Tabledata"/>
            </w:pPr>
            <w:r w:rsidRPr="005A77ED">
              <w:t>120</w:t>
            </w:r>
          </w:p>
        </w:tc>
        <w:tc>
          <w:tcPr>
            <w:tcW w:w="3097" w:type="dxa"/>
          </w:tcPr>
          <w:p w:rsidR="003D5718" w:rsidRPr="005A77ED" w:rsidRDefault="003D5718" w:rsidP="00AA0EE8">
            <w:pPr>
              <w:pStyle w:val="Tabledata"/>
            </w:pPr>
            <w:r w:rsidRPr="005A77ED">
              <w:t>2255</w:t>
            </w:r>
          </w:p>
        </w:tc>
      </w:tr>
      <w:tr w:rsidR="003D5718" w:rsidRPr="005A77ED" w:rsidTr="00AA0EE8">
        <w:tc>
          <w:tcPr>
            <w:tcW w:w="3097" w:type="dxa"/>
          </w:tcPr>
          <w:p w:rsidR="003D5718" w:rsidRPr="005A77ED" w:rsidRDefault="003D5718" w:rsidP="00AA0EE8">
            <w:pPr>
              <w:pStyle w:val="Tabledata"/>
            </w:pPr>
            <w:r w:rsidRPr="005A77ED">
              <w:t>63003</w:t>
            </w:r>
          </w:p>
        </w:tc>
        <w:tc>
          <w:tcPr>
            <w:tcW w:w="3097" w:type="dxa"/>
          </w:tcPr>
          <w:p w:rsidR="003D5718" w:rsidRPr="005A77ED" w:rsidRDefault="003D5718" w:rsidP="00AA0EE8">
            <w:pPr>
              <w:pStyle w:val="Tabledata"/>
            </w:pPr>
            <w:r w:rsidRPr="005A77ED">
              <w:t>390</w:t>
            </w:r>
          </w:p>
        </w:tc>
        <w:tc>
          <w:tcPr>
            <w:tcW w:w="3097" w:type="dxa"/>
          </w:tcPr>
          <w:p w:rsidR="003D5718" w:rsidRPr="005A77ED" w:rsidRDefault="003D5718" w:rsidP="00AA0EE8">
            <w:pPr>
              <w:pStyle w:val="Tabledata"/>
            </w:pPr>
            <w:r w:rsidRPr="005A77ED">
              <w:t>1801</w:t>
            </w:r>
          </w:p>
        </w:tc>
      </w:tr>
      <w:tr w:rsidR="003D5718" w:rsidRPr="005A77ED" w:rsidTr="00AA0EE8">
        <w:tc>
          <w:tcPr>
            <w:tcW w:w="3097" w:type="dxa"/>
          </w:tcPr>
          <w:p w:rsidR="003D5718" w:rsidRPr="005A77ED" w:rsidRDefault="003D5718" w:rsidP="00AA0EE8">
            <w:pPr>
              <w:pStyle w:val="Tabledata"/>
            </w:pPr>
            <w:r w:rsidRPr="005A77ED">
              <w:t>63003</w:t>
            </w:r>
          </w:p>
        </w:tc>
        <w:tc>
          <w:tcPr>
            <w:tcW w:w="3097" w:type="dxa"/>
          </w:tcPr>
          <w:p w:rsidR="003D5718" w:rsidRPr="005A77ED" w:rsidRDefault="003D5718" w:rsidP="00AA0EE8">
            <w:pPr>
              <w:pStyle w:val="Tabledata"/>
            </w:pPr>
            <w:r w:rsidRPr="005A77ED">
              <w:t>525</w:t>
            </w:r>
          </w:p>
        </w:tc>
        <w:tc>
          <w:tcPr>
            <w:tcW w:w="3097" w:type="dxa"/>
          </w:tcPr>
          <w:p w:rsidR="003D5718" w:rsidRPr="005A77ED" w:rsidRDefault="003D5718" w:rsidP="00AA0EE8">
            <w:pPr>
              <w:pStyle w:val="Tabledata"/>
            </w:pPr>
            <w:r w:rsidRPr="005A77ED">
              <w:t>2679</w:t>
            </w:r>
          </w:p>
        </w:tc>
      </w:tr>
      <w:tr w:rsidR="003D5718" w:rsidRPr="005A77ED" w:rsidTr="00AA0EE8">
        <w:tc>
          <w:tcPr>
            <w:tcW w:w="3097" w:type="dxa"/>
          </w:tcPr>
          <w:p w:rsidR="003D5718" w:rsidRPr="005A77ED" w:rsidRDefault="003D5718" w:rsidP="00AA0EE8">
            <w:pPr>
              <w:pStyle w:val="Tabledata"/>
            </w:pPr>
            <w:r w:rsidRPr="005A77ED">
              <w:t>63004</w:t>
            </w:r>
          </w:p>
        </w:tc>
        <w:tc>
          <w:tcPr>
            <w:tcW w:w="3097" w:type="dxa"/>
          </w:tcPr>
          <w:p w:rsidR="003D5718" w:rsidRPr="005A77ED" w:rsidRDefault="003D5718" w:rsidP="00AA0EE8">
            <w:pPr>
              <w:pStyle w:val="Tabledata"/>
            </w:pPr>
            <w:r w:rsidRPr="005A77ED">
              <w:t>110</w:t>
            </w:r>
          </w:p>
        </w:tc>
        <w:tc>
          <w:tcPr>
            <w:tcW w:w="3097" w:type="dxa"/>
          </w:tcPr>
          <w:p w:rsidR="003D5718" w:rsidRPr="005A77ED" w:rsidRDefault="003D5718" w:rsidP="00AA0EE8">
            <w:pPr>
              <w:pStyle w:val="Tabledata"/>
            </w:pPr>
            <w:r w:rsidRPr="005A77ED">
              <w:t>1516</w:t>
            </w:r>
          </w:p>
        </w:tc>
      </w:tr>
      <w:tr w:rsidR="003D5718" w:rsidRPr="005A77ED" w:rsidTr="00AA0EE8">
        <w:tc>
          <w:tcPr>
            <w:tcW w:w="3097" w:type="dxa"/>
          </w:tcPr>
          <w:p w:rsidR="003D5718" w:rsidRPr="005A77ED" w:rsidRDefault="003D5718" w:rsidP="00AA0EE8">
            <w:pPr>
              <w:pStyle w:val="Tabledata"/>
            </w:pPr>
            <w:r w:rsidRPr="005A77ED">
              <w:t>63004</w:t>
            </w:r>
          </w:p>
        </w:tc>
        <w:tc>
          <w:tcPr>
            <w:tcW w:w="3097" w:type="dxa"/>
          </w:tcPr>
          <w:p w:rsidR="003D5718" w:rsidRPr="005A77ED" w:rsidRDefault="003D5718" w:rsidP="00AA0EE8">
            <w:pPr>
              <w:pStyle w:val="Tabledata"/>
            </w:pPr>
            <w:r w:rsidRPr="005A77ED">
              <w:t>120</w:t>
            </w:r>
          </w:p>
        </w:tc>
        <w:tc>
          <w:tcPr>
            <w:tcW w:w="3097" w:type="dxa"/>
          </w:tcPr>
          <w:p w:rsidR="003D5718" w:rsidRPr="005A77ED" w:rsidRDefault="003D5718" w:rsidP="00AA0EE8">
            <w:pPr>
              <w:pStyle w:val="Tabledata"/>
            </w:pPr>
            <w:r w:rsidRPr="005A77ED">
              <w:t>2255</w:t>
            </w:r>
          </w:p>
        </w:tc>
      </w:tr>
      <w:tr w:rsidR="003D5718" w:rsidRPr="005A77ED" w:rsidTr="00AA0EE8">
        <w:tc>
          <w:tcPr>
            <w:tcW w:w="3097" w:type="dxa"/>
          </w:tcPr>
          <w:p w:rsidR="003D5718" w:rsidRPr="005A77ED" w:rsidRDefault="003D5718" w:rsidP="00AA0EE8">
            <w:pPr>
              <w:pStyle w:val="Tabledata"/>
            </w:pPr>
            <w:r w:rsidRPr="005A77ED">
              <w:lastRenderedPageBreak/>
              <w:t>63004</w:t>
            </w:r>
          </w:p>
        </w:tc>
        <w:tc>
          <w:tcPr>
            <w:tcW w:w="3097" w:type="dxa"/>
          </w:tcPr>
          <w:p w:rsidR="003D5718" w:rsidRPr="005A77ED" w:rsidRDefault="003D5718" w:rsidP="00AA0EE8">
            <w:pPr>
              <w:pStyle w:val="Tabledata"/>
            </w:pPr>
            <w:r w:rsidRPr="005A77ED">
              <w:t>390</w:t>
            </w:r>
          </w:p>
        </w:tc>
        <w:tc>
          <w:tcPr>
            <w:tcW w:w="3097" w:type="dxa"/>
          </w:tcPr>
          <w:p w:rsidR="003D5718" w:rsidRPr="005A77ED" w:rsidRDefault="003D5718" w:rsidP="00AA0EE8">
            <w:pPr>
              <w:pStyle w:val="Tabledata"/>
            </w:pPr>
            <w:r w:rsidRPr="005A77ED">
              <w:t>1801</w:t>
            </w:r>
          </w:p>
        </w:tc>
      </w:tr>
      <w:tr w:rsidR="003D5718" w:rsidTr="00AA0EE8">
        <w:tc>
          <w:tcPr>
            <w:tcW w:w="3097" w:type="dxa"/>
          </w:tcPr>
          <w:p w:rsidR="003D5718" w:rsidRPr="005A77ED" w:rsidRDefault="003D5718" w:rsidP="00AA0EE8">
            <w:pPr>
              <w:pStyle w:val="Tabledata"/>
            </w:pPr>
            <w:r w:rsidRPr="005A77ED">
              <w:t>63004</w:t>
            </w:r>
          </w:p>
        </w:tc>
        <w:tc>
          <w:tcPr>
            <w:tcW w:w="3097" w:type="dxa"/>
          </w:tcPr>
          <w:p w:rsidR="003D5718" w:rsidRPr="005A77ED" w:rsidRDefault="003D5718" w:rsidP="00AA0EE8">
            <w:pPr>
              <w:pStyle w:val="Tabledata"/>
            </w:pPr>
            <w:r w:rsidRPr="005A77ED">
              <w:t>525</w:t>
            </w:r>
          </w:p>
        </w:tc>
        <w:tc>
          <w:tcPr>
            <w:tcW w:w="3097" w:type="dxa"/>
          </w:tcPr>
          <w:p w:rsidR="003D5718" w:rsidRPr="005A77ED" w:rsidRDefault="003D5718" w:rsidP="00AA0EE8">
            <w:pPr>
              <w:pStyle w:val="Tabledata"/>
            </w:pPr>
            <w:r w:rsidRPr="005A77ED">
              <w:t>2680</w:t>
            </w:r>
          </w:p>
        </w:tc>
      </w:tr>
    </w:tbl>
    <w:p w:rsidR="003D5718" w:rsidRDefault="003D5718" w:rsidP="003D5718"/>
    <w:p w:rsidR="003D5718" w:rsidRDefault="003D5718" w:rsidP="003D5718">
      <w:r>
        <w:t xml:space="preserve">Corrected </w:t>
      </w:r>
      <w:proofErr w:type="spellStart"/>
      <w:r>
        <w:t>ContextIDs</w:t>
      </w:r>
      <w:proofErr w:type="spellEnd"/>
      <w:r>
        <w:t xml:space="preserve"> for Data Point Versions:</w:t>
      </w:r>
    </w:p>
    <w:tbl>
      <w:tblPr>
        <w:tblStyle w:val="EBAtable"/>
        <w:tblW w:w="0" w:type="auto"/>
        <w:tblLook w:val="04A0" w:firstRow="1" w:lastRow="0" w:firstColumn="1" w:lastColumn="0" w:noHBand="0" w:noVBand="1"/>
      </w:tblPr>
      <w:tblGrid>
        <w:gridCol w:w="4645"/>
        <w:gridCol w:w="4646"/>
      </w:tblGrid>
      <w:tr w:rsidR="003D5718" w:rsidRPr="005A77ED" w:rsidTr="000F3810">
        <w:trPr>
          <w:cnfStyle w:val="100000000000" w:firstRow="1" w:lastRow="0" w:firstColumn="0" w:lastColumn="0" w:oddVBand="0" w:evenVBand="0" w:oddHBand="0" w:evenHBand="0" w:firstRowFirstColumn="0" w:firstRowLastColumn="0" w:lastRowFirstColumn="0" w:lastRowLastColumn="0"/>
        </w:trPr>
        <w:tc>
          <w:tcPr>
            <w:tcW w:w="4645" w:type="dxa"/>
          </w:tcPr>
          <w:p w:rsidR="003D5718" w:rsidRPr="005A77ED" w:rsidRDefault="003D5718" w:rsidP="00AA0EE8">
            <w:pPr>
              <w:pStyle w:val="Tableheader"/>
            </w:pPr>
            <w:proofErr w:type="spellStart"/>
            <w:r w:rsidRPr="005A77ED">
              <w:t>DataPointVID</w:t>
            </w:r>
            <w:proofErr w:type="spellEnd"/>
          </w:p>
        </w:tc>
        <w:tc>
          <w:tcPr>
            <w:tcW w:w="4646" w:type="dxa"/>
          </w:tcPr>
          <w:p w:rsidR="003D5718" w:rsidRPr="005A77ED" w:rsidRDefault="003D5718" w:rsidP="00AA0EE8">
            <w:pPr>
              <w:pStyle w:val="Tableheader"/>
            </w:pPr>
            <w:proofErr w:type="spellStart"/>
            <w:r w:rsidRPr="005A77ED">
              <w:t>ContextID</w:t>
            </w:r>
            <w:proofErr w:type="spellEnd"/>
          </w:p>
        </w:tc>
      </w:tr>
      <w:tr w:rsidR="003D5718" w:rsidRPr="005A77ED" w:rsidTr="000F3810">
        <w:tc>
          <w:tcPr>
            <w:tcW w:w="4645" w:type="dxa"/>
          </w:tcPr>
          <w:p w:rsidR="003D5718" w:rsidRPr="005A77ED" w:rsidRDefault="003D5718" w:rsidP="00AA0EE8">
            <w:pPr>
              <w:pStyle w:val="Tabledata"/>
            </w:pPr>
            <w:r w:rsidRPr="005A77ED">
              <w:t>110964</w:t>
            </w:r>
          </w:p>
        </w:tc>
        <w:tc>
          <w:tcPr>
            <w:tcW w:w="4646" w:type="dxa"/>
          </w:tcPr>
          <w:p w:rsidR="003D5718" w:rsidRPr="005A77ED" w:rsidRDefault="003D5718" w:rsidP="00AA0EE8">
            <w:pPr>
              <w:pStyle w:val="Tabledata"/>
            </w:pPr>
            <w:r w:rsidRPr="005A77ED">
              <w:t>63000</w:t>
            </w:r>
          </w:p>
        </w:tc>
      </w:tr>
      <w:tr w:rsidR="003D5718" w:rsidRPr="005A77ED" w:rsidTr="000F3810">
        <w:tc>
          <w:tcPr>
            <w:tcW w:w="4645" w:type="dxa"/>
          </w:tcPr>
          <w:p w:rsidR="003D5718" w:rsidRPr="005A77ED" w:rsidRDefault="003D5718" w:rsidP="00AA0EE8">
            <w:pPr>
              <w:pStyle w:val="Tabledata"/>
            </w:pPr>
            <w:r w:rsidRPr="005A77ED">
              <w:t>110965</w:t>
            </w:r>
          </w:p>
        </w:tc>
        <w:tc>
          <w:tcPr>
            <w:tcW w:w="4646" w:type="dxa"/>
          </w:tcPr>
          <w:p w:rsidR="003D5718" w:rsidRPr="005A77ED" w:rsidRDefault="003D5718" w:rsidP="00AA0EE8">
            <w:pPr>
              <w:pStyle w:val="Tabledata"/>
            </w:pPr>
            <w:r w:rsidRPr="005A77ED">
              <w:t>63001</w:t>
            </w:r>
          </w:p>
        </w:tc>
      </w:tr>
      <w:tr w:rsidR="003D5718" w:rsidRPr="005A77ED" w:rsidTr="000F3810">
        <w:tc>
          <w:tcPr>
            <w:tcW w:w="4645" w:type="dxa"/>
          </w:tcPr>
          <w:p w:rsidR="003D5718" w:rsidRPr="005A77ED" w:rsidRDefault="003D5718" w:rsidP="00AA0EE8">
            <w:pPr>
              <w:pStyle w:val="Tabledata"/>
            </w:pPr>
            <w:r w:rsidRPr="005A77ED">
              <w:t>110966</w:t>
            </w:r>
          </w:p>
        </w:tc>
        <w:tc>
          <w:tcPr>
            <w:tcW w:w="4646" w:type="dxa"/>
          </w:tcPr>
          <w:p w:rsidR="003D5718" w:rsidRPr="005A77ED" w:rsidRDefault="003D5718" w:rsidP="00AA0EE8">
            <w:pPr>
              <w:pStyle w:val="Tabledata"/>
            </w:pPr>
            <w:r w:rsidRPr="005A77ED">
              <w:t>63002</w:t>
            </w:r>
          </w:p>
        </w:tc>
      </w:tr>
      <w:tr w:rsidR="003D5718" w:rsidRPr="005A77ED" w:rsidTr="000F3810">
        <w:tc>
          <w:tcPr>
            <w:tcW w:w="4645" w:type="dxa"/>
          </w:tcPr>
          <w:p w:rsidR="003D5718" w:rsidRPr="005A77ED" w:rsidRDefault="003D5718" w:rsidP="00AA0EE8">
            <w:pPr>
              <w:pStyle w:val="Tabledata"/>
            </w:pPr>
            <w:r w:rsidRPr="005A77ED">
              <w:t>110967</w:t>
            </w:r>
          </w:p>
        </w:tc>
        <w:tc>
          <w:tcPr>
            <w:tcW w:w="4646" w:type="dxa"/>
          </w:tcPr>
          <w:p w:rsidR="003D5718" w:rsidRPr="005A77ED" w:rsidRDefault="003D5718" w:rsidP="00AA0EE8">
            <w:pPr>
              <w:pStyle w:val="Tabledata"/>
            </w:pPr>
            <w:r w:rsidRPr="005A77ED">
              <w:t>63003</w:t>
            </w:r>
          </w:p>
        </w:tc>
      </w:tr>
      <w:tr w:rsidR="003D5718" w:rsidRPr="005A77ED" w:rsidTr="000F3810">
        <w:tc>
          <w:tcPr>
            <w:tcW w:w="4645" w:type="dxa"/>
          </w:tcPr>
          <w:p w:rsidR="003D5718" w:rsidRPr="005A77ED" w:rsidRDefault="003D5718" w:rsidP="00AA0EE8">
            <w:pPr>
              <w:pStyle w:val="Tabledata"/>
            </w:pPr>
            <w:r w:rsidRPr="005A77ED">
              <w:t>110968</w:t>
            </w:r>
          </w:p>
        </w:tc>
        <w:tc>
          <w:tcPr>
            <w:tcW w:w="4646" w:type="dxa"/>
          </w:tcPr>
          <w:p w:rsidR="003D5718" w:rsidRPr="005A77ED" w:rsidRDefault="003D5718" w:rsidP="00AA0EE8">
            <w:pPr>
              <w:pStyle w:val="Tabledata"/>
            </w:pPr>
            <w:r w:rsidRPr="005A77ED">
              <w:t>63004</w:t>
            </w:r>
          </w:p>
        </w:tc>
      </w:tr>
    </w:tbl>
    <w:p w:rsidR="00237B31" w:rsidRDefault="00237B31" w:rsidP="003D5718">
      <w:pPr>
        <w:pStyle w:val="Heading1"/>
        <w:rPr>
          <w:rFonts w:asciiTheme="minorHAnsi" w:eastAsiaTheme="minorEastAsia" w:hAnsiTheme="minorHAnsi" w:cstheme="minorBidi"/>
          <w:b w:val="0"/>
          <w:bCs w:val="0"/>
          <w:caps w:val="0"/>
          <w:color w:val="auto"/>
          <w:sz w:val="22"/>
          <w:szCs w:val="24"/>
        </w:rPr>
      </w:pPr>
    </w:p>
    <w:p w:rsidR="003D5718" w:rsidRDefault="00237B31" w:rsidP="00237B31">
      <w:pPr>
        <w:pStyle w:val="Heading2"/>
      </w:pPr>
      <w:r w:rsidRPr="00237B31">
        <w:t>v2.1.0.1 (Taxonomy Bug fix)</w:t>
      </w:r>
      <w:r>
        <w:t xml:space="preserve"> </w:t>
      </w:r>
      <w:r w:rsidR="003D5718">
        <w:rPr>
          <w:rFonts w:ascii="Arial" w:hAnsi="Arial" w:cs="Arial"/>
          <w:color w:val="696969"/>
          <w:sz w:val="18"/>
          <w:szCs w:val="18"/>
          <w:shd w:val="clear" w:color="auto" w:fill="FFFFFF"/>
        </w:rPr>
        <w:t>(15/07/2014)</w:t>
      </w:r>
    </w:p>
    <w:p w:rsidR="003D5718" w:rsidRDefault="003D5718" w:rsidP="003D5718"/>
    <w:p w:rsidR="003D5718" w:rsidRDefault="003D5718" w:rsidP="003D5718">
      <w:r>
        <w:t>Sadly the previously published version included a technical error in the label files for the GA and CU hierarchies</w:t>
      </w:r>
      <w:r>
        <w:rPr>
          <w:rStyle w:val="FootnoteReference"/>
        </w:rPr>
        <w:footnoteReference w:id="4"/>
      </w:r>
      <w:r>
        <w:t>. As a result the taxonomy was not in fact valid XBRL.</w:t>
      </w:r>
    </w:p>
    <w:p w:rsidR="003D5718" w:rsidRDefault="003D5718" w:rsidP="003D5718">
      <w:r>
        <w:t>This release replaces the dictionary package (eba_dict_2.1.0.1.zip) with one containing the corrected files (eba_dict_2.1.0.1.zip). The previous dictionary files should no longer be used, and eba_dict_2.1.0.1.zip (the files contained in it if not using the taxonomy package feature) must be used instead.</w:t>
      </w:r>
    </w:p>
    <w:p w:rsidR="000378E5" w:rsidRDefault="00237B31" w:rsidP="00237B31">
      <w:pPr>
        <w:pStyle w:val="Heading2"/>
      </w:pPr>
      <w:r>
        <w:t>v2.1.0 (“2014/03” Package)</w:t>
      </w:r>
      <w:r w:rsidR="000378E5">
        <w:t xml:space="preserve"> </w:t>
      </w:r>
      <w:r w:rsidR="000F3810">
        <w:rPr>
          <w:rFonts w:ascii="Arial" w:hAnsi="Arial" w:cs="Arial"/>
          <w:color w:val="696969"/>
          <w:sz w:val="18"/>
          <w:szCs w:val="18"/>
          <w:shd w:val="clear" w:color="auto" w:fill="FFFFFF"/>
        </w:rPr>
        <w:t>(08/07/2014)</w:t>
      </w:r>
    </w:p>
    <w:p w:rsidR="000378E5" w:rsidRDefault="000378E5" w:rsidP="00D515AE">
      <w:pPr>
        <w:pStyle w:val="Titlelevel2"/>
      </w:pPr>
      <w:r>
        <w:t>Arrangement into discrete “components” for distribution:</w:t>
      </w:r>
    </w:p>
    <w:p w:rsidR="000378E5" w:rsidRPr="00953BEF" w:rsidRDefault="000378E5" w:rsidP="000378E5">
      <w:r>
        <w:t>The taxonomy has been packaged into discrete chunks to aid distribution, usage, and clarity of purpose and changes</w:t>
      </w:r>
      <w:r w:rsidR="00105BA1">
        <w:rPr>
          <w:rStyle w:val="FootnoteReference"/>
        </w:rPr>
        <w:footnoteReference w:id="5"/>
      </w:r>
      <w:r>
        <w:t xml:space="preserve">. The different chunks are </w:t>
      </w:r>
    </w:p>
    <w:p w:rsidR="000378E5" w:rsidRDefault="000378E5" w:rsidP="000378E5">
      <w:pPr>
        <w:pStyle w:val="ListParagraph"/>
        <w:numPr>
          <w:ilvl w:val="0"/>
          <w:numId w:val="18"/>
        </w:numPr>
      </w:pPr>
      <w:r>
        <w:t>(5 archives) Reporting Taxonomy versions (e.g. eba_corep_2.1.0.0.zip)</w:t>
      </w:r>
    </w:p>
    <w:p w:rsidR="000378E5" w:rsidRDefault="000378E5" w:rsidP="000378E5">
      <w:pPr>
        <w:pStyle w:val="ListParagraph"/>
        <w:numPr>
          <w:ilvl w:val="0"/>
          <w:numId w:val="18"/>
        </w:numPr>
      </w:pPr>
      <w:r>
        <w:t xml:space="preserve">(1 archive) Dictionary and EBA support files (files from the </w:t>
      </w:r>
      <w:proofErr w:type="spellStart"/>
      <w:r>
        <w:t>dict</w:t>
      </w:r>
      <w:proofErr w:type="spellEnd"/>
      <w:r>
        <w:t xml:space="preserve"> folder, </w:t>
      </w:r>
      <w:proofErr w:type="spellStart"/>
      <w:r>
        <w:t>ext</w:t>
      </w:r>
      <w:proofErr w:type="spellEnd"/>
      <w:r>
        <w:t xml:space="preserve">/model.xsd, and fws.xsd, </w:t>
      </w:r>
      <w:r w:rsidRPr="00953BEF">
        <w:t>fws-lab-codes.xml</w:t>
      </w:r>
      <w:r>
        <w:t xml:space="preserve"> and fws-lab-en.xml from the </w:t>
      </w:r>
      <w:proofErr w:type="spellStart"/>
      <w:r>
        <w:t>fws</w:t>
      </w:r>
      <w:proofErr w:type="spellEnd"/>
      <w:r>
        <w:t xml:space="preserve"> folder in a single versioned eba_dict_2.1.0.0.zip)</w:t>
      </w:r>
    </w:p>
    <w:p w:rsidR="000378E5" w:rsidRDefault="000378E5" w:rsidP="000378E5">
      <w:pPr>
        <w:pStyle w:val="ListParagraph"/>
        <w:numPr>
          <w:ilvl w:val="0"/>
          <w:numId w:val="18"/>
        </w:numPr>
      </w:pPr>
      <w:r>
        <w:lastRenderedPageBreak/>
        <w:t>(2 archives) Non-EBA files supplied for purely convenience (file sets from eurofiling.info and xbrl.org)</w:t>
      </w:r>
      <w:r>
        <w:rPr>
          <w:rStyle w:val="FootnoteReference"/>
        </w:rPr>
        <w:footnoteReference w:id="6"/>
      </w:r>
      <w:r>
        <w:t>.</w:t>
      </w:r>
    </w:p>
    <w:p w:rsidR="000378E5" w:rsidRDefault="000378E5" w:rsidP="000378E5"/>
    <w:p w:rsidR="000378E5" w:rsidRDefault="007F2F4F" w:rsidP="000378E5">
      <w:r>
        <w:t xml:space="preserve">Each of the </w:t>
      </w:r>
      <w:r w:rsidR="000378E5">
        <w:t xml:space="preserve">Reporting taxonomy </w:t>
      </w:r>
      <w:r>
        <w:t xml:space="preserve">components, and the </w:t>
      </w:r>
      <w:r w:rsidR="000378E5">
        <w:t>dictionary component</w:t>
      </w:r>
      <w:r>
        <w:t>,</w:t>
      </w:r>
      <w:r w:rsidR="000378E5">
        <w:t xml:space="preserve"> are supplied as potential “taxonomy packages”, utilising the “Taxonomy Package 1.0 - Public Working Draft 15 January 2014” specification.</w:t>
      </w:r>
    </w:p>
    <w:p w:rsidR="000378E5" w:rsidRDefault="000378E5" w:rsidP="000378E5">
      <w:r>
        <w:t>Dictionary components are intended to be incremental, such that later versions may be safely used in place of earlier versions (and are released on the website as “in place” updates/overwrites and additions).</w:t>
      </w:r>
    </w:p>
    <w:p w:rsidR="000378E5" w:rsidRDefault="000378E5" w:rsidP="000378E5">
      <w:r>
        <w:t>Reporting taxonomy components reference, and so require (files from) the appropriate version (or later) of the dictionary component to also be available, so may not be usable offline as-is in all software. As always, taxonomy consumers are responsible for suitably configuring their particular XBRL software.</w:t>
      </w:r>
    </w:p>
    <w:p w:rsidR="000378E5" w:rsidRDefault="000378E5" w:rsidP="000378E5">
      <w:r>
        <w:t>To recover the complete set of taxonomy files, simply extract/unzip all the components into the same location.</w:t>
      </w:r>
    </w:p>
    <w:p w:rsidR="000378E5" w:rsidRDefault="000378E5" w:rsidP="00D515AE">
      <w:pPr>
        <w:pStyle w:val="Titlelevel2"/>
      </w:pPr>
      <w:r>
        <w:t>Change of semantics for versioning numbers:</w:t>
      </w:r>
    </w:p>
    <w:p w:rsidR="000378E5" w:rsidRDefault="000378E5" w:rsidP="000378E5">
      <w:r>
        <w:t xml:space="preserve">Old System – </w:t>
      </w:r>
      <w:proofErr w:type="spellStart"/>
      <w:r>
        <w:t>a.b.c</w:t>
      </w:r>
      <w:proofErr w:type="spellEnd"/>
      <w:r>
        <w:t xml:space="preserve"> where: </w:t>
      </w:r>
    </w:p>
    <w:p w:rsidR="000378E5" w:rsidRDefault="000378E5" w:rsidP="000378E5">
      <w:pPr>
        <w:pStyle w:val="ListParagraph"/>
        <w:numPr>
          <w:ilvl w:val="0"/>
          <w:numId w:val="16"/>
        </w:numPr>
      </w:pPr>
      <w:r>
        <w:t>major breaking version (i.e. regulatory framework renewal or complete dictionary change)</w:t>
      </w:r>
    </w:p>
    <w:p w:rsidR="000378E5" w:rsidRDefault="000378E5" w:rsidP="000378E5">
      <w:pPr>
        <w:pStyle w:val="ListParagraph"/>
        <w:numPr>
          <w:ilvl w:val="0"/>
          <w:numId w:val="16"/>
        </w:numPr>
      </w:pPr>
      <w:r>
        <w:t>minor breaking version (i.e. new business content or corrections),</w:t>
      </w:r>
    </w:p>
    <w:p w:rsidR="000378E5" w:rsidRDefault="000378E5" w:rsidP="000378E5">
      <w:pPr>
        <w:pStyle w:val="ListParagraph"/>
        <w:numPr>
          <w:ilvl w:val="0"/>
          <w:numId w:val="16"/>
        </w:numPr>
      </w:pPr>
      <w:r>
        <w:t xml:space="preserve">non-breaking revision (primarily validation rule and label changes and technical level fixes) </w:t>
      </w:r>
    </w:p>
    <w:p w:rsidR="000378E5" w:rsidRDefault="000378E5" w:rsidP="000378E5">
      <w:r>
        <w:t xml:space="preserve">New system </w:t>
      </w:r>
      <w:proofErr w:type="spellStart"/>
      <w:r>
        <w:t>a.b.c.d.e</w:t>
      </w:r>
      <w:proofErr w:type="spellEnd"/>
      <w:r>
        <w:t xml:space="preserve"> where:</w:t>
      </w:r>
    </w:p>
    <w:p w:rsidR="000378E5" w:rsidRDefault="000378E5" w:rsidP="000378E5">
      <w:pPr>
        <w:pStyle w:val="ListParagraph"/>
        <w:numPr>
          <w:ilvl w:val="0"/>
          <w:numId w:val="17"/>
        </w:numPr>
      </w:pPr>
      <w:r>
        <w:t>major breaking version (i.e. regulatory framework renewal or complete dictionary change)</w:t>
      </w:r>
    </w:p>
    <w:p w:rsidR="000378E5" w:rsidRDefault="000378E5" w:rsidP="000378E5">
      <w:pPr>
        <w:pStyle w:val="ListParagraph"/>
        <w:numPr>
          <w:ilvl w:val="0"/>
          <w:numId w:val="17"/>
        </w:numPr>
      </w:pPr>
      <w:r>
        <w:t>significant business content change (e.g. new templates) – breaking change</w:t>
      </w:r>
    </w:p>
    <w:p w:rsidR="000378E5" w:rsidRDefault="000378E5" w:rsidP="000378E5">
      <w:pPr>
        <w:pStyle w:val="ListParagraph"/>
        <w:numPr>
          <w:ilvl w:val="0"/>
          <w:numId w:val="17"/>
        </w:numPr>
      </w:pPr>
      <w:r>
        <w:t xml:space="preserve">minor breaking changes - business content corrections and technical corrections/changes </w:t>
      </w:r>
    </w:p>
    <w:p w:rsidR="000378E5" w:rsidRDefault="000378E5" w:rsidP="000378E5">
      <w:pPr>
        <w:pStyle w:val="ListParagraph"/>
        <w:numPr>
          <w:ilvl w:val="0"/>
          <w:numId w:val="17"/>
        </w:numPr>
      </w:pPr>
      <w:r>
        <w:t>non-breaking revisions (primarily validation rule and label changes and technical level fixes)</w:t>
      </w:r>
      <w:r>
        <w:rPr>
          <w:rStyle w:val="FootnoteReference"/>
        </w:rPr>
        <w:footnoteReference w:id="7"/>
      </w:r>
    </w:p>
    <w:p w:rsidR="000378E5" w:rsidRDefault="000378E5" w:rsidP="000378E5">
      <w:pPr>
        <w:pStyle w:val="ListParagraph"/>
        <w:numPr>
          <w:ilvl w:val="0"/>
          <w:numId w:val="17"/>
        </w:numPr>
      </w:pPr>
      <w:r>
        <w:t>possible modifier for internal and public working versions</w:t>
      </w:r>
      <w:r>
        <w:rPr>
          <w:rStyle w:val="FootnoteReference"/>
        </w:rPr>
        <w:footnoteReference w:id="8"/>
      </w:r>
      <w:r>
        <w:t xml:space="preserve"> </w:t>
      </w:r>
    </w:p>
    <w:p w:rsidR="000378E5" w:rsidRDefault="000378E5" w:rsidP="000378E5">
      <w:proofErr w:type="gramStart"/>
      <w:r>
        <w:t xml:space="preserve">Where “breaking” is primarily defined as the capacity of XBRL systems to successfully </w:t>
      </w:r>
      <w:r w:rsidRPr="005E598F">
        <w:rPr>
          <w:u w:val="single"/>
        </w:rPr>
        <w:t>structurally</w:t>
      </w:r>
      <w:r>
        <w:t xml:space="preserve"> validate instance files based on either revision using either interchangeable.</w:t>
      </w:r>
      <w:proofErr w:type="gramEnd"/>
    </w:p>
    <w:p w:rsidR="000378E5" w:rsidRDefault="000378E5" w:rsidP="000378E5">
      <w:r>
        <w:t>The components of the composite taxonomy (dictionary and individual reporting taxonomy versions) are numbered individually based on this system.</w:t>
      </w:r>
    </w:p>
    <w:p w:rsidR="00B107EE" w:rsidRDefault="00B107EE" w:rsidP="000378E5"/>
    <w:p w:rsidR="00B107EE" w:rsidRDefault="00B107EE" w:rsidP="00D515AE">
      <w:pPr>
        <w:pStyle w:val="Titlelevel2"/>
      </w:pPr>
      <w:r>
        <w:t>DPM Changes</w:t>
      </w:r>
    </w:p>
    <w:p w:rsidR="00B107EE" w:rsidRDefault="00B107EE" w:rsidP="00B107EE">
      <w:pPr>
        <w:pStyle w:val="ListParagraph"/>
        <w:numPr>
          <w:ilvl w:val="0"/>
          <w:numId w:val="15"/>
        </w:numPr>
      </w:pPr>
      <w:r>
        <w:t>Open axis of F34.00.c changed from column to sheet as per Consultation feedback</w:t>
      </w:r>
    </w:p>
    <w:p w:rsidR="00B107EE" w:rsidRDefault="00B107EE" w:rsidP="00B107EE">
      <w:pPr>
        <w:pStyle w:val="ListParagraph"/>
        <w:numPr>
          <w:ilvl w:val="0"/>
          <w:numId w:val="15"/>
        </w:numPr>
      </w:pPr>
      <w:r>
        <w:t>Hierarchies CU3 and GA5 replaced by CU3_1 and GA5_1 respectively. GA5_1 contains "Other Countries", CU3_1 contains "Other Currencies" (not currently to be used).</w:t>
      </w:r>
    </w:p>
    <w:p w:rsidR="00B107EE" w:rsidRDefault="00B107EE" w:rsidP="00B107EE">
      <w:pPr>
        <w:pStyle w:val="ListParagraph"/>
        <w:numPr>
          <w:ilvl w:val="0"/>
          <w:numId w:val="15"/>
        </w:numPr>
      </w:pPr>
      <w:r>
        <w:t>Adjusted hierarchy in GA4 to indicate that non-geographic entities fall under/form part of "Other Countries"</w:t>
      </w:r>
    </w:p>
    <w:p w:rsidR="00B107EE" w:rsidRDefault="00B107EE" w:rsidP="00B107EE">
      <w:pPr>
        <w:pStyle w:val="ListParagraph"/>
        <w:numPr>
          <w:ilvl w:val="0"/>
          <w:numId w:val="15"/>
        </w:numPr>
      </w:pPr>
      <w:r>
        <w:t>Removed erroneous restrictions on rows 320-340, col 110 on F 19.00.a (as reported in Public Consultation)</w:t>
      </w:r>
    </w:p>
    <w:p w:rsidR="00B107EE" w:rsidRDefault="00B107EE" w:rsidP="00B107EE">
      <w:pPr>
        <w:pStyle w:val="ListParagraph"/>
        <w:numPr>
          <w:ilvl w:val="0"/>
          <w:numId w:val="15"/>
        </w:numPr>
      </w:pPr>
      <w:r>
        <w:lastRenderedPageBreak/>
        <w:t>Added missing restrictions on rows 020-440, col 037 on F 08.01.a (as reported in Public Consultation)</w:t>
      </w:r>
    </w:p>
    <w:p w:rsidR="00B107EE" w:rsidRDefault="00B107EE" w:rsidP="00B107EE">
      <w:pPr>
        <w:pStyle w:val="ListParagraph"/>
        <w:numPr>
          <w:ilvl w:val="0"/>
          <w:numId w:val="15"/>
        </w:numPr>
      </w:pPr>
      <w:r>
        <w:t>Added missing restrictions on rows 020 and 030, column 022 in F 20.5</w:t>
      </w:r>
    </w:p>
    <w:p w:rsidR="00B107EE" w:rsidRDefault="00B107EE" w:rsidP="00B107EE">
      <w:pPr>
        <w:pStyle w:val="ListParagraph"/>
        <w:numPr>
          <w:ilvl w:val="0"/>
          <w:numId w:val="15"/>
        </w:numPr>
      </w:pPr>
      <w:r>
        <w:t>Label for F 18 column 070 changed from "…past-due &lt; 90" to "…past-due &lt;= 90"</w:t>
      </w:r>
    </w:p>
    <w:p w:rsidR="00B107EE" w:rsidRDefault="00B107EE" w:rsidP="00B107EE">
      <w:pPr>
        <w:pStyle w:val="ListParagraph"/>
        <w:numPr>
          <w:ilvl w:val="0"/>
          <w:numId w:val="15"/>
        </w:numPr>
      </w:pPr>
      <w:r>
        <w:t>Additional attributes applied to column 170 in tables F 19 and F 18 to distinguish the data in these columns (as reported in Public Consultation)</w:t>
      </w:r>
    </w:p>
    <w:p w:rsidR="00B107EE" w:rsidRDefault="00B107EE" w:rsidP="00B107EE">
      <w:pPr>
        <w:pStyle w:val="ListParagraph"/>
        <w:numPr>
          <w:ilvl w:val="0"/>
          <w:numId w:val="15"/>
        </w:numPr>
      </w:pPr>
      <w:r>
        <w:t xml:space="preserve">DB - Addition of (3rd) </w:t>
      </w:r>
      <w:proofErr w:type="spellStart"/>
      <w:r>
        <w:t>CellPosition</w:t>
      </w:r>
      <w:proofErr w:type="spellEnd"/>
      <w:r>
        <w:t xml:space="preserve"> records (for ordinate with code "999") for cells (on tables with) with open z axes. Inclusion of DPM table layout queries, removal of erroneous out-of-date queries.</w:t>
      </w:r>
    </w:p>
    <w:p w:rsidR="00B107EE" w:rsidRDefault="00B107EE" w:rsidP="00B107EE">
      <w:pPr>
        <w:pStyle w:val="ListParagraph"/>
        <w:numPr>
          <w:ilvl w:val="0"/>
          <w:numId w:val="15"/>
        </w:numPr>
      </w:pPr>
      <w:proofErr w:type="spellStart"/>
      <w:r>
        <w:t>ContextOfDataPoints</w:t>
      </w:r>
      <w:proofErr w:type="spellEnd"/>
      <w:r>
        <w:t xml:space="preserve"> table now indicates whether the “default member</w:t>
      </w:r>
      <w:proofErr w:type="gramStart"/>
      <w:r>
        <w:t>”  is</w:t>
      </w:r>
      <w:proofErr w:type="gramEnd"/>
      <w:r>
        <w:t xml:space="preserve"> allowed for open dimensions (a default member does not appear in the XBRL context, so can cause complexity when mapping these </w:t>
      </w:r>
      <w:proofErr w:type="spellStart"/>
      <w:r>
        <w:t>datapoints</w:t>
      </w:r>
      <w:proofErr w:type="spellEnd"/>
      <w:r>
        <w:t xml:space="preserve"> if not expected) – </w:t>
      </w:r>
      <w:proofErr w:type="spellStart"/>
      <w:r>
        <w:t>Contextkey</w:t>
      </w:r>
      <w:proofErr w:type="spellEnd"/>
      <w:r>
        <w:t xml:space="preserve"> field includes “???” instead of “999” where the default member is allowed, XBRL context key includes “?” instead of “*”.</w:t>
      </w:r>
    </w:p>
    <w:p w:rsidR="00B107EE" w:rsidRDefault="00B107EE" w:rsidP="00B107EE">
      <w:pPr>
        <w:pStyle w:val="ListParagraph"/>
        <w:numPr>
          <w:ilvl w:val="0"/>
          <w:numId w:val="15"/>
        </w:numPr>
      </w:pPr>
      <w:r>
        <w:t>More explicitly indicate which open axis tables the “All” member is allowed (only C 15).</w:t>
      </w:r>
    </w:p>
    <w:p w:rsidR="00B107EE" w:rsidRDefault="00B107EE" w:rsidP="00B107EE">
      <w:pPr>
        <w:pStyle w:val="ListParagraph"/>
        <w:numPr>
          <w:ilvl w:val="0"/>
          <w:numId w:val="15"/>
        </w:numPr>
      </w:pPr>
      <w:r>
        <w:t xml:space="preserve">Concepts added for </w:t>
      </w:r>
      <w:proofErr w:type="spellStart"/>
      <w:r>
        <w:t>hierarchyNodes</w:t>
      </w:r>
      <w:proofErr w:type="spellEnd"/>
      <w:r>
        <w:t xml:space="preserve"> so as to indicate currency period (i.e. “from” and “to” dates for changes)</w:t>
      </w:r>
    </w:p>
    <w:p w:rsidR="00B107EE" w:rsidRDefault="00B107EE" w:rsidP="00237B31">
      <w:pPr>
        <w:pStyle w:val="Titlelevel3"/>
      </w:pPr>
      <w:r>
        <w:t>Known Issues:</w:t>
      </w:r>
    </w:p>
    <w:p w:rsidR="00B107EE" w:rsidRDefault="00B107EE" w:rsidP="00B107EE">
      <w:pPr>
        <w:pStyle w:val="ListParagraph"/>
        <w:numPr>
          <w:ilvl w:val="0"/>
          <w:numId w:val="15"/>
        </w:numPr>
      </w:pPr>
      <w:r>
        <w:t xml:space="preserve">C 06.00 Group Solvency - the Excel "template" includes a first line total section which is not represented in the DPM or XBRL reporting. Data for this line is not to be reported. </w:t>
      </w:r>
    </w:p>
    <w:p w:rsidR="00B107EE" w:rsidRDefault="00B107EE" w:rsidP="00B107EE">
      <w:pPr>
        <w:pStyle w:val="ListParagraph"/>
        <w:numPr>
          <w:ilvl w:val="0"/>
          <w:numId w:val="15"/>
        </w:numPr>
      </w:pPr>
      <w:r>
        <w:t>Data type of C 14.00 column 180 ("Number of Exposures" is integer, not text or enumeration as implied by instructions ("institution shall report the letter code according to the relevant interval: (a) N&lt;6; (b) 6=N&lt;34 (c) 34=N&lt;=100; (d) 100&lt;N&lt;=1000; (e) N&gt;1000."). Institutions should report exact numbers of exposures rather than letter codes. The instructions will be changed in the near future.</w:t>
      </w:r>
    </w:p>
    <w:p w:rsidR="00B107EE" w:rsidRDefault="00B107EE" w:rsidP="00B107EE">
      <w:pPr>
        <w:pStyle w:val="ListParagraph"/>
        <w:numPr>
          <w:ilvl w:val="0"/>
          <w:numId w:val="15"/>
        </w:numPr>
      </w:pPr>
      <w:r>
        <w:t>Hierarchies GA1, GA2 and GA3 are not currently used anywhere</w:t>
      </w:r>
    </w:p>
    <w:p w:rsidR="00B107EE" w:rsidRDefault="00B107EE" w:rsidP="00D515AE">
      <w:pPr>
        <w:pStyle w:val="Titlelevel2"/>
      </w:pPr>
      <w:r>
        <w:t>Other Taxonomy Changes</w:t>
      </w:r>
    </w:p>
    <w:p w:rsidR="00B107EE" w:rsidRDefault="00B107EE" w:rsidP="00D515AE">
      <w:pPr>
        <w:pStyle w:val="Titlelevel3"/>
      </w:pPr>
      <w:r>
        <w:t>Bug Fixes:</w:t>
      </w:r>
    </w:p>
    <w:p w:rsidR="00B107EE" w:rsidRDefault="00B107EE" w:rsidP="00B107EE">
      <w:pPr>
        <w:pStyle w:val="ListParagraph"/>
        <w:numPr>
          <w:ilvl w:val="0"/>
          <w:numId w:val="15"/>
        </w:numPr>
      </w:pPr>
      <w:r>
        <w:t xml:space="preserve">New </w:t>
      </w:r>
      <w:proofErr w:type="spellStart"/>
      <w:r>
        <w:t>Eurofiling</w:t>
      </w:r>
      <w:proofErr w:type="spellEnd"/>
      <w:r>
        <w:t xml:space="preserve"> interval arithmetic file included, corrects </w:t>
      </w:r>
      <w:r w:rsidRPr="00BC2D1D">
        <w:t>calculation of threshold for product and division where operands are of different sign</w:t>
      </w:r>
    </w:p>
    <w:p w:rsidR="00B107EE" w:rsidRDefault="00B107EE" w:rsidP="00B107EE">
      <w:pPr>
        <w:pStyle w:val="ListParagraph"/>
        <w:numPr>
          <w:ilvl w:val="0"/>
          <w:numId w:val="15"/>
        </w:numPr>
      </w:pPr>
      <w:r>
        <w:t>Systematic mapping error for sums over an open axis in validation rules corrected (several rules reactivated as a result)</w:t>
      </w:r>
    </w:p>
    <w:p w:rsidR="00B107EE" w:rsidRDefault="00B107EE" w:rsidP="00B107EE">
      <w:pPr>
        <w:pStyle w:val="ListParagraph"/>
        <w:numPr>
          <w:ilvl w:val="0"/>
          <w:numId w:val="15"/>
        </w:numPr>
      </w:pPr>
      <w:r>
        <w:t>Incorrect inclusion of some tables in modules via incorrectly defined assertion sets corrected.</w:t>
      </w:r>
    </w:p>
    <w:p w:rsidR="00B107EE" w:rsidRDefault="00B107EE" w:rsidP="00B107EE">
      <w:pPr>
        <w:pStyle w:val="ListParagraph"/>
        <w:numPr>
          <w:ilvl w:val="0"/>
          <w:numId w:val="15"/>
        </w:numPr>
      </w:pPr>
      <w:r>
        <w:t xml:space="preserve">Corrected exclusion of default member from open axis </w:t>
      </w:r>
      <w:proofErr w:type="spellStart"/>
      <w:r>
        <w:t>hypercubes</w:t>
      </w:r>
      <w:proofErr w:type="spellEnd"/>
      <w:r>
        <w:t xml:space="preserve"> (where required)</w:t>
      </w:r>
    </w:p>
    <w:p w:rsidR="00B107EE" w:rsidRDefault="00B107EE" w:rsidP="00D515AE">
      <w:pPr>
        <w:pStyle w:val="Titlelevel3"/>
      </w:pPr>
      <w:r>
        <w:t>Changes</w:t>
      </w:r>
    </w:p>
    <w:p w:rsidR="00B107EE" w:rsidRDefault="00B107EE" w:rsidP="00B107EE">
      <w:r>
        <w:t xml:space="preserve"> Triggering of validation rules (via preconditions) limited to only the exact set of tables as specified in the validation rule documentation, rather than previous approach of taking into account where identical data points enabled the same rule to be applied on other (sets of) tables. Validation messages should now more closely align with the identified problem.</w:t>
      </w:r>
    </w:p>
    <w:p w:rsidR="00237B31" w:rsidRDefault="00237B31" w:rsidP="00237B31">
      <w:pPr>
        <w:pStyle w:val="Heading2"/>
      </w:pPr>
      <w:r w:rsidRPr="00237B31">
        <w:lastRenderedPageBreak/>
        <w:t xml:space="preserve">v2.1.0 (“2014/03” Package) </w:t>
      </w:r>
    </w:p>
    <w:p w:rsidR="00237B31" w:rsidRDefault="00237B31" w:rsidP="00237B31">
      <w:pPr>
        <w:pStyle w:val="Subtitle"/>
      </w:pPr>
      <w:r w:rsidRPr="00237B31">
        <w:t>Public Consultation</w:t>
      </w:r>
    </w:p>
    <w:p w:rsidR="000378E5" w:rsidRDefault="000378E5" w:rsidP="000378E5">
      <w:pPr>
        <w:pStyle w:val="Heading1"/>
      </w:pPr>
      <w:r>
        <w:t>v2.1.0 (“2014/03” Package) Public Consultation</w:t>
      </w:r>
    </w:p>
    <w:p w:rsidR="000378E5" w:rsidRDefault="000378E5" w:rsidP="00D515AE">
      <w:pPr>
        <w:pStyle w:val="Titlelevel3"/>
      </w:pPr>
      <w:r>
        <w:t xml:space="preserve">Differences c.f. DPMs </w:t>
      </w:r>
      <w:r w:rsidRPr="00F37007">
        <w:t>published</w:t>
      </w:r>
      <w:r>
        <w:t xml:space="preserve"> accompanying ITS.</w:t>
      </w:r>
    </w:p>
    <w:p w:rsidR="000378E5" w:rsidRDefault="000378E5" w:rsidP="000378E5">
      <w:pPr>
        <w:pStyle w:val="ListParagraph"/>
        <w:numPr>
          <w:ilvl w:val="0"/>
          <w:numId w:val="15"/>
        </w:numPr>
      </w:pPr>
      <w:r>
        <w:t>Addition of general information table A00.01 (equivalent to C00.01 and F00.01, to be reported with all Asset encumbrance instances).</w:t>
      </w:r>
    </w:p>
    <w:p w:rsidR="000378E5" w:rsidRDefault="000378E5" w:rsidP="00D515AE">
      <w:pPr>
        <w:pStyle w:val="Titlelevel3"/>
      </w:pPr>
      <w:r>
        <w:t xml:space="preserve">Corrections to align with </w:t>
      </w:r>
      <w:proofErr w:type="gramStart"/>
      <w:r>
        <w:t>ITS</w:t>
      </w:r>
      <w:proofErr w:type="gramEnd"/>
      <w:r>
        <w:t xml:space="preserve">, that are not “backwards compatible at the instance level”: </w:t>
      </w:r>
    </w:p>
    <w:p w:rsidR="000378E5" w:rsidRDefault="000378E5" w:rsidP="000378E5">
      <w:pPr>
        <w:pStyle w:val="ListParagraph"/>
        <w:numPr>
          <w:ilvl w:val="0"/>
          <w:numId w:val="13"/>
        </w:numPr>
      </w:pPr>
      <w:r>
        <w:t>C02.00 r210 (“Equity”) changed MC member used in order to align with C07.00a</w:t>
      </w:r>
      <w:r>
        <w:tab/>
      </w:r>
    </w:p>
    <w:p w:rsidR="000378E5" w:rsidRPr="005A5FF7" w:rsidRDefault="000378E5" w:rsidP="000378E5">
      <w:pPr>
        <w:pStyle w:val="ListParagraph"/>
        <w:numPr>
          <w:ilvl w:val="0"/>
          <w:numId w:val="13"/>
        </w:numPr>
        <w:rPr>
          <w:i/>
        </w:rPr>
      </w:pPr>
      <w:r w:rsidRPr="005A5FF7">
        <w:rPr>
          <w:i/>
        </w:rPr>
        <w:t xml:space="preserve">C07.00 (all </w:t>
      </w:r>
      <w:proofErr w:type="spellStart"/>
      <w:r w:rsidRPr="005A5FF7">
        <w:rPr>
          <w:i/>
        </w:rPr>
        <w:t>subtables</w:t>
      </w:r>
      <w:proofErr w:type="spellEnd"/>
      <w:r w:rsidRPr="005A5FF7">
        <w:rPr>
          <w:i/>
        </w:rPr>
        <w:t>) delete c020 (“Of which: arising from default fund contributions”)</w:t>
      </w:r>
    </w:p>
    <w:p w:rsidR="000378E5" w:rsidRDefault="000378E5" w:rsidP="000378E5">
      <w:pPr>
        <w:pStyle w:val="ListParagraph"/>
        <w:numPr>
          <w:ilvl w:val="0"/>
          <w:numId w:val="13"/>
        </w:numPr>
      </w:pPr>
      <w:r>
        <w:t>C09.01 restriction (grey shading) removed for c050 to c060 of r100</w:t>
      </w:r>
    </w:p>
    <w:p w:rsidR="000378E5" w:rsidRDefault="000378E5" w:rsidP="000378E5">
      <w:pPr>
        <w:pStyle w:val="ListParagraph"/>
        <w:numPr>
          <w:ilvl w:val="0"/>
          <w:numId w:val="13"/>
        </w:numPr>
      </w:pPr>
      <w:r>
        <w:t>C25.00 added restriction (grey shading) to {r030, c110} and {r040, c110}</w:t>
      </w:r>
      <w:r>
        <w:tab/>
      </w:r>
    </w:p>
    <w:p w:rsidR="000378E5" w:rsidRDefault="000378E5" w:rsidP="000378E5">
      <w:pPr>
        <w:pStyle w:val="ListParagraph"/>
        <w:numPr>
          <w:ilvl w:val="0"/>
          <w:numId w:val="13"/>
        </w:numPr>
      </w:pPr>
      <w:r>
        <w:t>F08.01 (</w:t>
      </w:r>
      <w:proofErr w:type="spellStart"/>
      <w:r>
        <w:t>a+b</w:t>
      </w:r>
      <w:proofErr w:type="spellEnd"/>
      <w:r>
        <w:t>) missing column 037 (“Hedge Accounting”) added (identical to F1.2 row 150)</w:t>
      </w:r>
    </w:p>
    <w:p w:rsidR="000378E5" w:rsidRPr="005A5FF7" w:rsidRDefault="000378E5" w:rsidP="000378E5">
      <w:pPr>
        <w:pStyle w:val="ListParagraph"/>
        <w:numPr>
          <w:ilvl w:val="0"/>
          <w:numId w:val="13"/>
        </w:numPr>
        <w:rPr>
          <w:i/>
        </w:rPr>
      </w:pPr>
      <w:r>
        <w:t>F40.01 missing column 095 added (modelled similarly to C27.00 counterparty sector)</w:t>
      </w:r>
    </w:p>
    <w:p w:rsidR="000378E5" w:rsidRDefault="000378E5" w:rsidP="000378E5">
      <w:pPr>
        <w:pStyle w:val="ListParagraph"/>
        <w:numPr>
          <w:ilvl w:val="0"/>
          <w:numId w:val="13"/>
        </w:numPr>
      </w:pPr>
      <w:r>
        <w:t>F41.02 deleted restriction of {r020, c030}</w:t>
      </w:r>
      <w:r>
        <w:tab/>
      </w:r>
    </w:p>
    <w:p w:rsidR="000378E5" w:rsidRDefault="000378E5" w:rsidP="000378E5">
      <w:pPr>
        <w:pStyle w:val="ListParagraph"/>
        <w:numPr>
          <w:ilvl w:val="0"/>
          <w:numId w:val="13"/>
        </w:numPr>
      </w:pPr>
      <w:r>
        <w:t>PL members' names corrected. The term “designated” deleted in the following cases:</w:t>
      </w:r>
      <w:r>
        <w:tab/>
      </w:r>
    </w:p>
    <w:p w:rsidR="000378E5" w:rsidRPr="00E05D74" w:rsidRDefault="000378E5" w:rsidP="000378E5">
      <w:pPr>
        <w:pStyle w:val="ListParagraph"/>
        <w:numPr>
          <w:ilvl w:val="1"/>
          <w:numId w:val="13"/>
        </w:numPr>
        <w:rPr>
          <w:sz w:val="20"/>
        </w:rPr>
      </w:pPr>
      <w:r w:rsidRPr="00E05D74">
        <w:rPr>
          <w:sz w:val="20"/>
        </w:rPr>
        <w:t>2591</w:t>
      </w:r>
      <w:r w:rsidRPr="00E05D74">
        <w:rPr>
          <w:sz w:val="20"/>
        </w:rPr>
        <w:tab/>
        <w:t>PL</w:t>
      </w:r>
      <w:proofErr w:type="gramStart"/>
      <w:r w:rsidRPr="00E05D74">
        <w:rPr>
          <w:sz w:val="20"/>
        </w:rPr>
        <w:t>:x19</w:t>
      </w:r>
      <w:proofErr w:type="gramEnd"/>
      <w:r w:rsidRPr="00E05D74">
        <w:rPr>
          <w:sz w:val="20"/>
        </w:rPr>
        <w:tab/>
        <w:t xml:space="preserve">Financial assets designated at fair value through profit or loss. Hybrid contracts </w:t>
      </w:r>
      <w:r w:rsidRPr="00E05D74">
        <w:rPr>
          <w:strike/>
          <w:sz w:val="20"/>
        </w:rPr>
        <w:t>designated</w:t>
      </w:r>
      <w:r w:rsidRPr="00E05D74">
        <w:rPr>
          <w:sz w:val="20"/>
        </w:rPr>
        <w:t xml:space="preserve">, </w:t>
      </w:r>
      <w:proofErr w:type="gramStart"/>
      <w:r w:rsidRPr="00E05D74">
        <w:rPr>
          <w:sz w:val="20"/>
        </w:rPr>
        <w:t>Financial</w:t>
      </w:r>
      <w:proofErr w:type="gramEnd"/>
      <w:r w:rsidRPr="00E05D74">
        <w:rPr>
          <w:sz w:val="20"/>
        </w:rPr>
        <w:t xml:space="preserve"> liabilities designated at fair value through profit or loss. Hybrid contracts </w:t>
      </w:r>
      <w:r w:rsidRPr="00E05D74">
        <w:rPr>
          <w:strike/>
          <w:sz w:val="20"/>
        </w:rPr>
        <w:t>designated</w:t>
      </w:r>
    </w:p>
    <w:p w:rsidR="000378E5" w:rsidRPr="00E05D74" w:rsidRDefault="000378E5" w:rsidP="000378E5">
      <w:pPr>
        <w:pStyle w:val="ListParagraph"/>
        <w:numPr>
          <w:ilvl w:val="1"/>
          <w:numId w:val="13"/>
        </w:numPr>
        <w:rPr>
          <w:sz w:val="20"/>
        </w:rPr>
      </w:pPr>
      <w:r w:rsidRPr="00E05D74">
        <w:rPr>
          <w:sz w:val="20"/>
        </w:rPr>
        <w:t>3205</w:t>
      </w:r>
      <w:r w:rsidRPr="00E05D74">
        <w:rPr>
          <w:sz w:val="20"/>
        </w:rPr>
        <w:tab/>
        <w:t>PL</w:t>
      </w:r>
      <w:proofErr w:type="gramStart"/>
      <w:r w:rsidRPr="00E05D74">
        <w:rPr>
          <w:sz w:val="20"/>
        </w:rPr>
        <w:t>:x55</w:t>
      </w:r>
      <w:proofErr w:type="gramEnd"/>
      <w:r w:rsidRPr="00E05D74">
        <w:rPr>
          <w:sz w:val="20"/>
        </w:rPr>
        <w:tab/>
        <w:t xml:space="preserve">Financial liabilities designated at fair value through profit or loss. Hybrid contracts </w:t>
      </w:r>
      <w:r w:rsidRPr="00E05D74">
        <w:rPr>
          <w:strike/>
          <w:sz w:val="20"/>
        </w:rPr>
        <w:t>designated</w:t>
      </w:r>
    </w:p>
    <w:p w:rsidR="000378E5" w:rsidRDefault="000378E5" w:rsidP="000378E5">
      <w:pPr>
        <w:pStyle w:val="ListParagraph"/>
        <w:numPr>
          <w:ilvl w:val="1"/>
          <w:numId w:val="13"/>
        </w:numPr>
      </w:pPr>
      <w:r w:rsidRPr="00E05D74">
        <w:rPr>
          <w:sz w:val="20"/>
        </w:rPr>
        <w:t>3208</w:t>
      </w:r>
      <w:r w:rsidRPr="00E05D74">
        <w:rPr>
          <w:sz w:val="20"/>
        </w:rPr>
        <w:tab/>
        <w:t>PL</w:t>
      </w:r>
      <w:proofErr w:type="gramStart"/>
      <w:r w:rsidRPr="00E05D74">
        <w:rPr>
          <w:sz w:val="20"/>
        </w:rPr>
        <w:t>:x58</w:t>
      </w:r>
      <w:proofErr w:type="gramEnd"/>
      <w:r w:rsidRPr="00E05D74">
        <w:rPr>
          <w:sz w:val="20"/>
        </w:rPr>
        <w:tab/>
        <w:t xml:space="preserve">Financial assets designated at fair value through profit or loss. Hybrid contracts </w:t>
      </w:r>
      <w:r w:rsidRPr="00E05D74">
        <w:rPr>
          <w:strike/>
          <w:sz w:val="20"/>
        </w:rPr>
        <w:t>designated</w:t>
      </w:r>
      <w:r>
        <w:tab/>
      </w:r>
    </w:p>
    <w:p w:rsidR="000378E5" w:rsidRDefault="000378E5" w:rsidP="00D515AE">
      <w:pPr>
        <w:pStyle w:val="Titlelevel3"/>
      </w:pPr>
      <w:r>
        <w:t>Incremental addition of Asset Encumbrance reporting requirements:</w:t>
      </w:r>
    </w:p>
    <w:p w:rsidR="000378E5" w:rsidRDefault="000378E5" w:rsidP="000378E5">
      <w:pPr>
        <w:pStyle w:val="ListParagraph"/>
        <w:numPr>
          <w:ilvl w:val="0"/>
          <w:numId w:val="13"/>
        </w:numPr>
      </w:pPr>
      <w:r>
        <w:t>New framework and taxonomy</w:t>
      </w:r>
    </w:p>
    <w:p w:rsidR="000378E5" w:rsidRDefault="000378E5" w:rsidP="000378E5">
      <w:pPr>
        <w:pStyle w:val="ListParagraph"/>
        <w:numPr>
          <w:ilvl w:val="0"/>
          <w:numId w:val="13"/>
        </w:numPr>
      </w:pPr>
      <w:r>
        <w:t>New tables F32.xx-F36.xx</w:t>
      </w:r>
    </w:p>
    <w:p w:rsidR="000378E5" w:rsidRDefault="000378E5" w:rsidP="000378E5">
      <w:pPr>
        <w:pStyle w:val="ListParagraph"/>
        <w:numPr>
          <w:ilvl w:val="0"/>
          <w:numId w:val="13"/>
        </w:numPr>
      </w:pPr>
      <w:r>
        <w:t>Additional members in TI, MC and AT</w:t>
      </w:r>
    </w:p>
    <w:p w:rsidR="00237B31" w:rsidRDefault="00237B31" w:rsidP="00237B31">
      <w:pPr>
        <w:pStyle w:val="ListParagraph"/>
      </w:pPr>
    </w:p>
    <w:p w:rsidR="000378E5" w:rsidRDefault="000378E5" w:rsidP="00237B31">
      <w:pPr>
        <w:pStyle w:val="Titlelevel3"/>
      </w:pPr>
      <w:r>
        <w:t>Addition of Forbearance and Non-performing Exposures, and consequent adjustments to existing FINREP tables:</w:t>
      </w:r>
    </w:p>
    <w:p w:rsidR="000378E5" w:rsidRDefault="000378E5" w:rsidP="000378E5">
      <w:pPr>
        <w:pStyle w:val="ListParagraph"/>
        <w:numPr>
          <w:ilvl w:val="0"/>
          <w:numId w:val="13"/>
        </w:numPr>
      </w:pPr>
      <w:r>
        <w:t>New tables in FINREP part 1, F18.xx and F19.xx</w:t>
      </w:r>
    </w:p>
    <w:p w:rsidR="000378E5" w:rsidRDefault="000378E5" w:rsidP="000378E5">
      <w:pPr>
        <w:pStyle w:val="ListParagraph"/>
        <w:numPr>
          <w:ilvl w:val="0"/>
          <w:numId w:val="13"/>
        </w:numPr>
      </w:pPr>
      <w:r>
        <w:t>F06.00 added c012(“Of which: non-performing”)</w:t>
      </w:r>
    </w:p>
    <w:p w:rsidR="000378E5" w:rsidRDefault="000378E5" w:rsidP="000378E5">
      <w:pPr>
        <w:pStyle w:val="ListParagraph"/>
        <w:numPr>
          <w:ilvl w:val="0"/>
          <w:numId w:val="13"/>
        </w:numPr>
      </w:pPr>
      <w:r>
        <w:t>F09.01 added r021,r101,r181 (“Of which: non-performing”), removed r020,r100,r180</w:t>
      </w:r>
      <w:r>
        <w:tab/>
        <w:t>(“Of which: Defaulted”)</w:t>
      </w:r>
    </w:p>
    <w:p w:rsidR="000378E5" w:rsidRDefault="000378E5" w:rsidP="000378E5">
      <w:pPr>
        <w:pStyle w:val="ListParagraph"/>
        <w:numPr>
          <w:ilvl w:val="0"/>
          <w:numId w:val="13"/>
        </w:numPr>
      </w:pPr>
      <w:r>
        <w:lastRenderedPageBreak/>
        <w:t>F20.04 removed c020 (“Of which: defaulted”), added c022 (“Of which: debt forbearance”), c025 (“Of which: non performing”)</w:t>
      </w:r>
    </w:p>
    <w:p w:rsidR="000378E5" w:rsidRDefault="000378E5" w:rsidP="000378E5">
      <w:pPr>
        <w:pStyle w:val="ListParagraph"/>
        <w:numPr>
          <w:ilvl w:val="0"/>
          <w:numId w:val="13"/>
        </w:numPr>
      </w:pPr>
      <w:r>
        <w:t>F20.05a removed c020</w:t>
      </w:r>
      <w:r w:rsidRPr="0055681B">
        <w:t xml:space="preserve"> </w:t>
      </w:r>
      <w:proofErr w:type="spellStart"/>
      <w:r>
        <w:t>c020</w:t>
      </w:r>
      <w:proofErr w:type="spellEnd"/>
      <w:r>
        <w:t xml:space="preserve"> (“Of which: defaulted”), added c022 (“Of which: debt forbearance”), c025 (“Of which: non performing”)</w:t>
      </w:r>
    </w:p>
    <w:p w:rsidR="000378E5" w:rsidRDefault="000378E5" w:rsidP="000378E5">
      <w:pPr>
        <w:pStyle w:val="ListParagraph"/>
        <w:numPr>
          <w:ilvl w:val="0"/>
          <w:numId w:val="13"/>
        </w:numPr>
      </w:pPr>
      <w:r>
        <w:t>F20.07 add r012 (“Of which: non performing”)</w:t>
      </w:r>
      <w:r>
        <w:tab/>
      </w:r>
    </w:p>
    <w:p w:rsidR="000378E5" w:rsidRDefault="000378E5" w:rsidP="000378E5">
      <w:pPr>
        <w:pStyle w:val="ListParagraph"/>
        <w:numPr>
          <w:ilvl w:val="0"/>
          <w:numId w:val="13"/>
        </w:numPr>
      </w:pPr>
      <w:r>
        <w:t>F30.02 removed r020 (“of which: non performing”),r130 (“of which: defaulted”),  added r021, r131 (both “of which: non performing”)</w:t>
      </w:r>
    </w:p>
    <w:p w:rsidR="000378E5" w:rsidRDefault="000378E5" w:rsidP="000378E5">
      <w:pPr>
        <w:pStyle w:val="ListParagraph"/>
        <w:numPr>
          <w:ilvl w:val="0"/>
          <w:numId w:val="13"/>
        </w:numPr>
      </w:pPr>
      <w:r>
        <w:t>F31.01 changed categorisation of r100 (“of which: defaulted”)</w:t>
      </w:r>
    </w:p>
    <w:p w:rsidR="000378E5" w:rsidRDefault="000378E5" w:rsidP="000378E5">
      <w:pPr>
        <w:pStyle w:val="ListParagraph"/>
        <w:numPr>
          <w:ilvl w:val="0"/>
          <w:numId w:val="13"/>
        </w:numPr>
      </w:pPr>
      <w:r>
        <w:t>New Dimensions PFS (performing status) and FBS (Forbearance status)</w:t>
      </w:r>
    </w:p>
    <w:p w:rsidR="000378E5" w:rsidRDefault="000378E5" w:rsidP="000378E5">
      <w:pPr>
        <w:pStyle w:val="ListParagraph"/>
        <w:numPr>
          <w:ilvl w:val="0"/>
          <w:numId w:val="13"/>
        </w:numPr>
      </w:pPr>
      <w:r>
        <w:t>Additional members in IM and PL</w:t>
      </w:r>
    </w:p>
    <w:p w:rsidR="00237B31" w:rsidRDefault="00237B31" w:rsidP="00237B31">
      <w:pPr>
        <w:pStyle w:val="ListParagraph"/>
      </w:pPr>
    </w:p>
    <w:p w:rsidR="000378E5" w:rsidRDefault="000378E5" w:rsidP="00237B31">
      <w:pPr>
        <w:pStyle w:val="Titlelevel3"/>
      </w:pPr>
      <w:r>
        <w:t xml:space="preserve">Minor corrections to labelling to align with EC publication of </w:t>
      </w:r>
      <w:proofErr w:type="gramStart"/>
      <w:r>
        <w:t>ITS</w:t>
      </w:r>
      <w:proofErr w:type="gramEnd"/>
      <w:r>
        <w:t>:</w:t>
      </w:r>
    </w:p>
    <w:p w:rsidR="000378E5" w:rsidRPr="00867180" w:rsidRDefault="000378E5" w:rsidP="000378E5">
      <w:pPr>
        <w:pStyle w:val="ListParagraph"/>
        <w:numPr>
          <w:ilvl w:val="0"/>
          <w:numId w:val="13"/>
        </w:numPr>
      </w:pPr>
      <w:r w:rsidRPr="00867180">
        <w:t>C05.02 corrected label of r090 and r120 to r140</w:t>
      </w:r>
    </w:p>
    <w:p w:rsidR="00237B31" w:rsidRDefault="000378E5" w:rsidP="00237B31">
      <w:pPr>
        <w:pStyle w:val="ListParagraph"/>
        <w:numPr>
          <w:ilvl w:val="0"/>
          <w:numId w:val="13"/>
        </w:numPr>
      </w:pPr>
      <w:r w:rsidRPr="00867180">
        <w:t>F40.0</w:t>
      </w:r>
      <w:r w:rsidR="00237B31">
        <w:t>1 corrected label of column 090</w:t>
      </w:r>
    </w:p>
    <w:p w:rsidR="00237B31" w:rsidRDefault="00237B31" w:rsidP="00237B31">
      <w:pPr>
        <w:pStyle w:val="Heading2"/>
      </w:pPr>
      <w:r w:rsidRPr="00237B31">
        <w:t>v2.0.1 (Technical correction release)</w:t>
      </w:r>
    </w:p>
    <w:p w:rsidR="000378E5" w:rsidRDefault="000378E5" w:rsidP="00237B31">
      <w:r>
        <w:t xml:space="preserve">Bug Fix – duplicate locator links in some files </w:t>
      </w:r>
    </w:p>
    <w:p w:rsidR="00237B31" w:rsidRPr="001F59D5" w:rsidRDefault="00237B31" w:rsidP="00237B31">
      <w:pPr>
        <w:pStyle w:val="Heading2"/>
      </w:pPr>
      <w:r>
        <w:t>v2.0.0 (Public Release)</w:t>
      </w:r>
    </w:p>
    <w:p w:rsidR="000378E5" w:rsidRDefault="000378E5" w:rsidP="00D515AE">
      <w:pPr>
        <w:pStyle w:val="Titlelevel3"/>
      </w:pPr>
      <w:r>
        <w:t>Bug Fixes:</w:t>
      </w:r>
    </w:p>
    <w:p w:rsidR="000378E5" w:rsidRDefault="000378E5" w:rsidP="000378E5">
      <w:pPr>
        <w:pStyle w:val="ListParagraph"/>
        <w:numPr>
          <w:ilvl w:val="0"/>
          <w:numId w:val="13"/>
        </w:numPr>
      </w:pPr>
      <w:r>
        <w:t>Systematic mapping error affecting many Hierarchies (resulting in them being out of order) corrected.</w:t>
      </w:r>
    </w:p>
    <w:p w:rsidR="000378E5" w:rsidRDefault="000378E5" w:rsidP="000378E5">
      <w:pPr>
        <w:pStyle w:val="ListParagraph"/>
        <w:numPr>
          <w:ilvl w:val="0"/>
          <w:numId w:val="13"/>
        </w:numPr>
      </w:pPr>
      <w:r>
        <w:t xml:space="preserve">Inclusion of </w:t>
      </w:r>
      <w:proofErr w:type="spellStart"/>
      <w:r>
        <w:t>RewriteUri</w:t>
      </w:r>
      <w:proofErr w:type="spellEnd"/>
      <w:r>
        <w:t xml:space="preserve"> element in catalog.xml</w:t>
      </w:r>
    </w:p>
    <w:p w:rsidR="000378E5" w:rsidRDefault="000378E5" w:rsidP="000378E5">
      <w:pPr>
        <w:pStyle w:val="ListParagraph"/>
        <w:numPr>
          <w:ilvl w:val="0"/>
          <w:numId w:val="13"/>
        </w:numPr>
      </w:pPr>
      <w:r>
        <w:t>Removal of .taxonomyPackage.xml file</w:t>
      </w:r>
    </w:p>
    <w:p w:rsidR="000378E5" w:rsidRDefault="000378E5" w:rsidP="000378E5">
      <w:pPr>
        <w:pStyle w:val="ListParagraph"/>
        <w:numPr>
          <w:ilvl w:val="0"/>
          <w:numId w:val="13"/>
        </w:numPr>
      </w:pPr>
      <w:r>
        <w:t>Interval Arithmetic libraries updated</w:t>
      </w:r>
    </w:p>
    <w:p w:rsidR="000378E5" w:rsidRDefault="000378E5" w:rsidP="000378E5">
      <w:pPr>
        <w:pStyle w:val="ListParagraph"/>
        <w:numPr>
          <w:ilvl w:val="1"/>
          <w:numId w:val="13"/>
        </w:numPr>
      </w:pPr>
      <w:r>
        <w:t>Handle “INF” for decimal attributes</w:t>
      </w:r>
    </w:p>
    <w:p w:rsidR="000378E5" w:rsidRDefault="000378E5" w:rsidP="000378E5">
      <w:pPr>
        <w:pStyle w:val="ListParagraph"/>
        <w:numPr>
          <w:ilvl w:val="1"/>
          <w:numId w:val="13"/>
        </w:numPr>
      </w:pPr>
      <w:r>
        <w:t xml:space="preserve">Handle empty sequences </w:t>
      </w:r>
    </w:p>
    <w:p w:rsidR="000378E5" w:rsidRDefault="000378E5" w:rsidP="00D515AE">
      <w:pPr>
        <w:pStyle w:val="Titlelevel3"/>
      </w:pPr>
      <w:r>
        <w:t>DPM Corrections</w:t>
      </w:r>
    </w:p>
    <w:p w:rsidR="000378E5" w:rsidRDefault="000378E5" w:rsidP="000378E5">
      <w:pPr>
        <w:pStyle w:val="ListParagraph"/>
        <w:numPr>
          <w:ilvl w:val="0"/>
          <w:numId w:val="13"/>
        </w:numPr>
      </w:pPr>
      <w:r>
        <w:t xml:space="preserve">Correction of naming of two flow type members, which were missing the “(flow)” required by naming convention used for metrics: </w:t>
      </w:r>
    </w:p>
    <w:p w:rsidR="00237B31" w:rsidRDefault="00237B31" w:rsidP="00237B31">
      <w:pPr>
        <w:pStyle w:val="ListParagraph"/>
      </w:pPr>
    </w:p>
    <w:p w:rsidR="000378E5" w:rsidRDefault="000378E5" w:rsidP="000378E5">
      <w:r>
        <w:t>1187 (md69)</w:t>
      </w:r>
      <w:r>
        <w:tab/>
        <w:t xml:space="preserve">Changes in Defined benefit obligations other than Current service cost, Interest cost, Contributions paid by plan participants, Actuarial gains and losses, </w:t>
      </w:r>
      <w:proofErr w:type="gramStart"/>
      <w:r>
        <w:t>Foreign</w:t>
      </w:r>
      <w:proofErr w:type="gramEnd"/>
      <w:r>
        <w:t xml:space="preserve"> currency exchange, Benefits paid, Past service cost, Business combinations or divestiture </w:t>
      </w:r>
      <w:r w:rsidRPr="00174A17">
        <w:rPr>
          <w:i/>
        </w:rPr>
        <w:t>(flow)</w:t>
      </w:r>
      <w:r>
        <w:tab/>
      </w:r>
    </w:p>
    <w:p w:rsidR="00237B31" w:rsidRDefault="00237B31" w:rsidP="000378E5"/>
    <w:p w:rsidR="00A011A3" w:rsidRDefault="000378E5" w:rsidP="00237B31">
      <w:pPr>
        <w:rPr>
          <w:i/>
        </w:rPr>
      </w:pPr>
      <w:r>
        <w:t>1190 (md72)</w:t>
      </w:r>
      <w:r>
        <w:tab/>
        <w:t xml:space="preserve">Changes in equity other than those explicitly reported </w:t>
      </w:r>
      <w:r w:rsidRPr="00174A17">
        <w:rPr>
          <w:i/>
        </w:rPr>
        <w:t>(flow)</w:t>
      </w:r>
    </w:p>
    <w:p w:rsidR="00237B31" w:rsidRDefault="00237B31" w:rsidP="00237B31">
      <w:pPr>
        <w:rPr>
          <w:i/>
        </w:rPr>
      </w:pPr>
    </w:p>
    <w:p w:rsidR="00237B31" w:rsidRPr="00237B31" w:rsidRDefault="00237B31" w:rsidP="00237B31">
      <w:pPr>
        <w:pStyle w:val="Heading2"/>
      </w:pPr>
      <w:r w:rsidRPr="00237B31">
        <w:t>V2.0.0 (Public Consultation)</w:t>
      </w:r>
    </w:p>
    <w:p w:rsidR="00237B31" w:rsidRPr="00237B31" w:rsidRDefault="00237B31" w:rsidP="00237B31">
      <w:r w:rsidRPr="00237B31">
        <w:t>Baseline</w:t>
      </w:r>
    </w:p>
    <w:sectPr w:rsidR="00237B31" w:rsidRPr="00237B31" w:rsidSect="00D515AE">
      <w:footerReference w:type="default" r:id="rId9"/>
      <w:headerReference w:type="first" r:id="rId10"/>
      <w:footerReference w:type="first" r:id="rId11"/>
      <w:pgSz w:w="11909" w:h="16834" w:code="9"/>
      <w:pgMar w:top="2237" w:right="1417" w:bottom="1417" w:left="1417" w:header="709" w:footer="709"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0B99" w:rsidRDefault="00240B99">
      <w:r>
        <w:separator/>
      </w:r>
    </w:p>
  </w:endnote>
  <w:endnote w:type="continuationSeparator" w:id="0">
    <w:p w:rsidR="00240B99" w:rsidRDefault="00240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13D" w:rsidRPr="00F4602F" w:rsidRDefault="00DC113D" w:rsidP="00A77E78">
    <w:pPr>
      <w:pStyle w:val="Footer"/>
      <w:jc w:val="center"/>
      <w:rPr>
        <w:rFonts w:ascii="Times New Roman" w:hAnsi="Times New Roman" w:cs="Times New Roman"/>
        <w:sz w:val="20"/>
        <w:szCs w:val="20"/>
      </w:rPr>
    </w:pPr>
    <w:r w:rsidRPr="00F4602F">
      <w:rPr>
        <w:rFonts w:ascii="Times New Roman" w:hAnsi="Times New Roman" w:cs="Times New Roman"/>
        <w:sz w:val="20"/>
        <w:szCs w:val="20"/>
      </w:rPr>
      <w:fldChar w:fldCharType="begin"/>
    </w:r>
    <w:r w:rsidRPr="00F4602F">
      <w:rPr>
        <w:rFonts w:ascii="Times New Roman" w:hAnsi="Times New Roman" w:cs="Times New Roman"/>
        <w:sz w:val="20"/>
        <w:szCs w:val="20"/>
      </w:rPr>
      <w:instrText xml:space="preserve"> PAGE   \* MERGEFORMAT </w:instrText>
    </w:r>
    <w:r w:rsidRPr="00F4602F">
      <w:rPr>
        <w:rFonts w:ascii="Times New Roman" w:hAnsi="Times New Roman" w:cs="Times New Roman"/>
        <w:sz w:val="20"/>
        <w:szCs w:val="20"/>
      </w:rPr>
      <w:fldChar w:fldCharType="separate"/>
    </w:r>
    <w:r w:rsidR="0000150A">
      <w:rPr>
        <w:rFonts w:ascii="Times New Roman" w:hAnsi="Times New Roman" w:cs="Times New Roman"/>
        <w:noProof/>
        <w:sz w:val="20"/>
        <w:szCs w:val="20"/>
      </w:rPr>
      <w:t>2</w:t>
    </w:r>
    <w:r w:rsidRPr="00F4602F">
      <w:rPr>
        <w:rFonts w:ascii="Times New Roman" w:hAnsi="Times New Roman" w:cs="Times New Roman"/>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13D" w:rsidRDefault="00DC113D" w:rsidP="00D9244A">
    <w:pPr>
      <w:pStyle w:val="Footer"/>
      <w:jc w:val="center"/>
    </w:pPr>
    <w:r>
      <w:rPr>
        <w:rStyle w:val="PageNumber"/>
      </w:rPr>
      <w:fldChar w:fldCharType="begin"/>
    </w:r>
    <w:r>
      <w:rPr>
        <w:rStyle w:val="PageNumber"/>
      </w:rPr>
      <w:instrText xml:space="preserve"> PAGE </w:instrText>
    </w:r>
    <w:r>
      <w:rPr>
        <w:rStyle w:val="PageNumber"/>
      </w:rPr>
      <w:fldChar w:fldCharType="separate"/>
    </w:r>
    <w:r w:rsidR="0000150A">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0B99" w:rsidRDefault="00240B99">
      <w:r>
        <w:separator/>
      </w:r>
    </w:p>
  </w:footnote>
  <w:footnote w:type="continuationSeparator" w:id="0">
    <w:p w:rsidR="00240B99" w:rsidRDefault="00240B99">
      <w:r>
        <w:continuationSeparator/>
      </w:r>
    </w:p>
  </w:footnote>
  <w:footnote w:id="1">
    <w:p w:rsidR="00D77280" w:rsidRDefault="00D77280" w:rsidP="00D77280">
      <w:pPr>
        <w:pStyle w:val="FootnoteText"/>
      </w:pPr>
      <w:r>
        <w:rPr>
          <w:rStyle w:val="FootnoteReference"/>
        </w:rPr>
        <w:footnoteRef/>
      </w:r>
      <w:r>
        <w:t xml:space="preserve"> </w:t>
      </w:r>
      <w:hyperlink r:id="rId1" w:history="1">
        <w:r w:rsidRPr="00EE5701">
          <w:rPr>
            <w:rStyle w:val="Hyperlink"/>
          </w:rPr>
          <w:t>https://www.eba.europa.eu/single-rule-book-qa</w:t>
        </w:r>
      </w:hyperlink>
      <w:r>
        <w:t xml:space="preserve"> </w:t>
      </w:r>
    </w:p>
  </w:footnote>
  <w:footnote w:id="2">
    <w:p w:rsidR="00D77280" w:rsidRDefault="00D77280" w:rsidP="00D77280">
      <w:pPr>
        <w:pStyle w:val="FootnoteText"/>
      </w:pPr>
      <w:r>
        <w:rPr>
          <w:rStyle w:val="FootnoteReference"/>
        </w:rPr>
        <w:footnoteRef/>
      </w:r>
      <w:r>
        <w:t xml:space="preserve"> “</w:t>
      </w:r>
      <w:proofErr w:type="gramStart"/>
      <w:r>
        <w:t>consistent</w:t>
      </w:r>
      <w:proofErr w:type="gramEnd"/>
      <w:r>
        <w:t>” essentially meaning that the same ISO code should, where possible, be used for the currency unit as is in the member code.</w:t>
      </w:r>
    </w:p>
  </w:footnote>
  <w:footnote w:id="3">
    <w:p w:rsidR="00D77280" w:rsidRDefault="00D77280" w:rsidP="00D77280">
      <w:pPr>
        <w:pStyle w:val="FootnoteText"/>
      </w:pPr>
      <w:r>
        <w:rPr>
          <w:rStyle w:val="FootnoteReference"/>
        </w:rPr>
        <w:footnoteRef/>
      </w:r>
      <w:r>
        <w:t xml:space="preserve"> See for example the list appropriate to the 2015 exercise in Annex I at </w:t>
      </w:r>
      <w:hyperlink r:id="rId2" w:history="1">
        <w:r w:rsidRPr="00EE5701">
          <w:rPr>
            <w:rStyle w:val="Hyperlink"/>
          </w:rPr>
          <w:t>http://www.eba.europa.eu/regulation-and-policy/other-topics/regulatory-and-implementing-technical-standards-on-benchmarking-portfolios</w:t>
        </w:r>
      </w:hyperlink>
    </w:p>
  </w:footnote>
  <w:footnote w:id="4">
    <w:p w:rsidR="00DC113D" w:rsidRDefault="00DC113D" w:rsidP="003D5718">
      <w:pPr>
        <w:pStyle w:val="FootnoteText"/>
      </w:pPr>
      <w:r>
        <w:rPr>
          <w:rStyle w:val="FootnoteReference"/>
        </w:rPr>
        <w:footnoteRef/>
      </w:r>
      <w:r>
        <w:t xml:space="preserve"> The </w:t>
      </w:r>
      <w:proofErr w:type="spellStart"/>
      <w:r>
        <w:t>xlink</w:t>
      </w:r>
      <w:proofErr w:type="spellEnd"/>
      <w:r>
        <w:t xml:space="preserve"> labels generated for two elements clashed</w:t>
      </w:r>
    </w:p>
  </w:footnote>
  <w:footnote w:id="5">
    <w:p w:rsidR="00DC113D" w:rsidRDefault="00DC113D">
      <w:pPr>
        <w:pStyle w:val="FootnoteText"/>
      </w:pPr>
      <w:r>
        <w:rPr>
          <w:rStyle w:val="FootnoteReference"/>
        </w:rPr>
        <w:footnoteRef/>
      </w:r>
      <w:r>
        <w:t xml:space="preserve"> </w:t>
      </w:r>
      <w:r w:rsidRPr="006E696D">
        <w:t>The original 2.0.1 taxonomy is supplied similarly packaged for reference</w:t>
      </w:r>
    </w:p>
  </w:footnote>
  <w:footnote w:id="6">
    <w:p w:rsidR="00DC113D" w:rsidRDefault="00DC113D" w:rsidP="000378E5">
      <w:pPr>
        <w:pStyle w:val="FootnoteText"/>
      </w:pPr>
      <w:r>
        <w:rPr>
          <w:rStyle w:val="FootnoteReference"/>
        </w:rPr>
        <w:footnoteRef/>
      </w:r>
      <w:r>
        <w:t xml:space="preserve"> N.B. the respective organisations and their websites remain the authoritative sources for these files.</w:t>
      </w:r>
    </w:p>
  </w:footnote>
  <w:footnote w:id="7">
    <w:p w:rsidR="00DC113D" w:rsidRDefault="00DC113D" w:rsidP="000378E5">
      <w:pPr>
        <w:pStyle w:val="FootnoteText"/>
      </w:pPr>
      <w:r>
        <w:rPr>
          <w:rStyle w:val="FootnoteReference"/>
        </w:rPr>
        <w:footnoteRef/>
      </w:r>
      <w:r>
        <w:t xml:space="preserve"> N.B. previous 2.0.1 release would under the new system  have been labelled 2.0.0.1</w:t>
      </w:r>
    </w:p>
    <w:p w:rsidR="00DC113D" w:rsidRDefault="00DC113D" w:rsidP="000378E5">
      <w:pPr>
        <w:pStyle w:val="FootnoteText"/>
      </w:pPr>
    </w:p>
  </w:footnote>
  <w:footnote w:id="8">
    <w:p w:rsidR="00DC113D" w:rsidRDefault="00DC113D" w:rsidP="000378E5">
      <w:pPr>
        <w:pStyle w:val="FootnoteText"/>
      </w:pPr>
      <w:r>
        <w:rPr>
          <w:rStyle w:val="FootnoteReference"/>
        </w:rPr>
        <w:footnoteRef/>
      </w:r>
      <w:r>
        <w:t xml:space="preserve"> I.e. public consultation version on “2.1.0” Package would be referred to as 2.1.0.0.PWD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13D" w:rsidRDefault="00DC113D" w:rsidP="00D515AE">
    <w:pPr>
      <w:pStyle w:val="Runningtitle"/>
    </w:pPr>
    <w:r>
      <w:rPr>
        <w:noProof/>
      </w:rPr>
      <w:drawing>
        <wp:anchor distT="0" distB="0" distL="114300" distR="114300" simplePos="0" relativeHeight="251659264" behindDoc="1" locked="1" layoutInCell="1" allowOverlap="0" wp14:anchorId="7F70A2C8" wp14:editId="1F21D7A8">
          <wp:simplePos x="0" y="0"/>
          <wp:positionH relativeFrom="page">
            <wp:posOffset>4702175</wp:posOffset>
          </wp:positionH>
          <wp:positionV relativeFrom="page">
            <wp:posOffset>450215</wp:posOffset>
          </wp:positionV>
          <wp:extent cx="1941830" cy="719455"/>
          <wp:effectExtent l="0" t="0" r="0" b="0"/>
          <wp:wrapNone/>
          <wp:docPr id="11"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pic:spPr>
              </pic:pic>
            </a:graphicData>
          </a:graphic>
        </wp:anchor>
      </w:drawing>
    </w:r>
    <w:r>
      <w:t>DPM / XBRL Taxonomy Revision NOTES</w:t>
    </w:r>
  </w:p>
  <w:p w:rsidR="00DC113D" w:rsidRDefault="00DC113D" w:rsidP="00951473">
    <w:pPr>
      <w:pStyle w:val="Header"/>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D47CA5"/>
    <w:multiLevelType w:val="hybridMultilevel"/>
    <w:tmpl w:val="280A4B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892BFC"/>
    <w:multiLevelType w:val="hybridMultilevel"/>
    <w:tmpl w:val="220A4C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8F1332"/>
    <w:multiLevelType w:val="hybridMultilevel"/>
    <w:tmpl w:val="161440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2A90A0F"/>
    <w:multiLevelType w:val="hybridMultilevel"/>
    <w:tmpl w:val="072A5874"/>
    <w:lvl w:ilvl="0" w:tplc="A6860564">
      <w:numFmt w:val="bullet"/>
      <w:lvlText w:val="•"/>
      <w:lvlJc w:val="left"/>
      <w:pPr>
        <w:ind w:left="1080" w:hanging="72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3710F59"/>
    <w:multiLevelType w:val="hybridMultilevel"/>
    <w:tmpl w:val="53C04EBC"/>
    <w:lvl w:ilvl="0" w:tplc="548A9044">
      <w:start w:val="1"/>
      <w:numFmt w:val="decimal"/>
      <w:pStyle w:val="Baseparagraphnumbered"/>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pStyle w:val="Heading9"/>
      <w:lvlText w:val="%9."/>
      <w:lvlJc w:val="right"/>
      <w:pPr>
        <w:ind w:left="7047" w:hanging="180"/>
      </w:pPr>
    </w:lvl>
  </w:abstractNum>
  <w:abstractNum w:abstractNumId="8">
    <w:nsid w:val="17903210"/>
    <w:multiLevelType w:val="hybridMultilevel"/>
    <w:tmpl w:val="7CE4BEBC"/>
    <w:lvl w:ilvl="0" w:tplc="20D8546C">
      <w:start w:val="1"/>
      <w:numFmt w:val="bullet"/>
      <w:lvlRestart w:val="0"/>
      <w:pStyle w:val="Bulleted1"/>
      <w:lvlText w:val=""/>
      <w:lvlJc w:val="left"/>
      <w:pPr>
        <w:tabs>
          <w:tab w:val="num" w:pos="851"/>
        </w:tabs>
        <w:ind w:left="851" w:hanging="284"/>
      </w:pPr>
      <w:rPr>
        <w:rFonts w:ascii="Symbol" w:hAnsi="Symbol" w:cs="Symbol" w:hint="default"/>
        <w:color w:val="C0C0C0"/>
      </w:rPr>
    </w:lvl>
    <w:lvl w:ilvl="1" w:tplc="040B0003">
      <w:start w:val="1"/>
      <w:numFmt w:val="bullet"/>
      <w:lvlText w:val="o"/>
      <w:lvlJc w:val="left"/>
      <w:pPr>
        <w:tabs>
          <w:tab w:val="num" w:pos="1440"/>
        </w:tabs>
        <w:ind w:left="1440" w:hanging="360"/>
      </w:pPr>
      <w:rPr>
        <w:rFonts w:ascii="Courier New" w:hAnsi="Courier New" w:cs="Courier New" w:hint="default"/>
      </w:rPr>
    </w:lvl>
    <w:lvl w:ilvl="2" w:tplc="040B0005">
      <w:start w:val="1"/>
      <w:numFmt w:val="bullet"/>
      <w:lvlText w:val=""/>
      <w:lvlJc w:val="left"/>
      <w:pPr>
        <w:tabs>
          <w:tab w:val="num" w:pos="2160"/>
        </w:tabs>
        <w:ind w:left="2160" w:hanging="360"/>
      </w:pPr>
      <w:rPr>
        <w:rFonts w:ascii="Wingdings" w:hAnsi="Wingdings" w:cs="Wingdings" w:hint="default"/>
      </w:rPr>
    </w:lvl>
    <w:lvl w:ilvl="3" w:tplc="040B0001">
      <w:start w:val="1"/>
      <w:numFmt w:val="bullet"/>
      <w:lvlText w:val=""/>
      <w:lvlJc w:val="left"/>
      <w:pPr>
        <w:tabs>
          <w:tab w:val="num" w:pos="2880"/>
        </w:tabs>
        <w:ind w:left="2880" w:hanging="360"/>
      </w:pPr>
      <w:rPr>
        <w:rFonts w:ascii="Symbol" w:hAnsi="Symbol" w:cs="Symbol" w:hint="default"/>
      </w:rPr>
    </w:lvl>
    <w:lvl w:ilvl="4" w:tplc="040B0003">
      <w:start w:val="1"/>
      <w:numFmt w:val="bullet"/>
      <w:lvlText w:val="o"/>
      <w:lvlJc w:val="left"/>
      <w:pPr>
        <w:tabs>
          <w:tab w:val="num" w:pos="3600"/>
        </w:tabs>
        <w:ind w:left="3600" w:hanging="360"/>
      </w:pPr>
      <w:rPr>
        <w:rFonts w:ascii="Courier New" w:hAnsi="Courier New" w:cs="Courier New" w:hint="default"/>
      </w:rPr>
    </w:lvl>
    <w:lvl w:ilvl="5" w:tplc="040B0005">
      <w:start w:val="1"/>
      <w:numFmt w:val="bullet"/>
      <w:lvlText w:val=""/>
      <w:lvlJc w:val="left"/>
      <w:pPr>
        <w:tabs>
          <w:tab w:val="num" w:pos="4320"/>
        </w:tabs>
        <w:ind w:left="4320" w:hanging="360"/>
      </w:pPr>
      <w:rPr>
        <w:rFonts w:ascii="Wingdings" w:hAnsi="Wingdings" w:cs="Wingdings" w:hint="default"/>
      </w:rPr>
    </w:lvl>
    <w:lvl w:ilvl="6" w:tplc="040B0001">
      <w:start w:val="1"/>
      <w:numFmt w:val="bullet"/>
      <w:lvlText w:val=""/>
      <w:lvlJc w:val="left"/>
      <w:pPr>
        <w:tabs>
          <w:tab w:val="num" w:pos="5040"/>
        </w:tabs>
        <w:ind w:left="5040" w:hanging="360"/>
      </w:pPr>
      <w:rPr>
        <w:rFonts w:ascii="Symbol" w:hAnsi="Symbol" w:cs="Symbol" w:hint="default"/>
      </w:rPr>
    </w:lvl>
    <w:lvl w:ilvl="7" w:tplc="040B0003">
      <w:start w:val="1"/>
      <w:numFmt w:val="bullet"/>
      <w:lvlText w:val="o"/>
      <w:lvlJc w:val="left"/>
      <w:pPr>
        <w:tabs>
          <w:tab w:val="num" w:pos="5760"/>
        </w:tabs>
        <w:ind w:left="5760" w:hanging="360"/>
      </w:pPr>
      <w:rPr>
        <w:rFonts w:ascii="Courier New" w:hAnsi="Courier New" w:cs="Courier New" w:hint="default"/>
      </w:rPr>
    </w:lvl>
    <w:lvl w:ilvl="8" w:tplc="040B0005">
      <w:start w:val="1"/>
      <w:numFmt w:val="bullet"/>
      <w:lvlText w:val=""/>
      <w:lvlJc w:val="left"/>
      <w:pPr>
        <w:tabs>
          <w:tab w:val="num" w:pos="6480"/>
        </w:tabs>
        <w:ind w:left="6480" w:hanging="360"/>
      </w:pPr>
      <w:rPr>
        <w:rFonts w:ascii="Wingdings" w:hAnsi="Wingdings" w:cs="Wingdings" w:hint="default"/>
      </w:rPr>
    </w:lvl>
  </w:abstractNum>
  <w:abstractNum w:abstractNumId="9">
    <w:nsid w:val="18BC2BD9"/>
    <w:multiLevelType w:val="hybridMultilevel"/>
    <w:tmpl w:val="CB1C84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D0B464E"/>
    <w:multiLevelType w:val="multilevel"/>
    <w:tmpl w:val="0AF82F2E"/>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1">
    <w:nsid w:val="2F244746"/>
    <w:multiLevelType w:val="hybridMultilevel"/>
    <w:tmpl w:val="084CA4C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18157B2"/>
    <w:multiLevelType w:val="hybridMultilevel"/>
    <w:tmpl w:val="040EC5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85C6A9A"/>
    <w:multiLevelType w:val="hybridMultilevel"/>
    <w:tmpl w:val="C4E64628"/>
    <w:lvl w:ilvl="0" w:tplc="5CB870D2">
      <w:start w:val="1"/>
      <w:numFmt w:val="bullet"/>
      <w:pStyle w:val="04bList"/>
      <w:lvlText w:val="─"/>
      <w:lvlJc w:val="left"/>
      <w:pPr>
        <w:tabs>
          <w:tab w:val="num" w:pos="568"/>
        </w:tabs>
        <w:ind w:left="568" w:hanging="284"/>
      </w:pPr>
      <w:rPr>
        <w:rFonts w:ascii="Georgia" w:hAnsi="Georgia" w:hint="default"/>
        <w:color w:val="000000"/>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F956A8D"/>
    <w:multiLevelType w:val="hybridMultilevel"/>
    <w:tmpl w:val="DFEE6E0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FBC5573"/>
    <w:multiLevelType w:val="hybridMultilevel"/>
    <w:tmpl w:val="E7263F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400740C"/>
    <w:multiLevelType w:val="hybridMultilevel"/>
    <w:tmpl w:val="B7EA31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73575A8"/>
    <w:multiLevelType w:val="hybridMultilevel"/>
    <w:tmpl w:val="F224DA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5C47789"/>
    <w:multiLevelType w:val="hybridMultilevel"/>
    <w:tmpl w:val="0E203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8254FF5"/>
    <w:multiLevelType w:val="hybridMultilevel"/>
    <w:tmpl w:val="6FD824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ACF08B9"/>
    <w:multiLevelType w:val="hybridMultilevel"/>
    <w:tmpl w:val="B802D2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B56383E"/>
    <w:multiLevelType w:val="hybridMultilevel"/>
    <w:tmpl w:val="E2AA1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1914F2C"/>
    <w:multiLevelType w:val="hybridMultilevel"/>
    <w:tmpl w:val="32C888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64AE38D2"/>
    <w:multiLevelType w:val="hybridMultilevel"/>
    <w:tmpl w:val="13F4CB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84B5E28"/>
    <w:multiLevelType w:val="hybridMultilevel"/>
    <w:tmpl w:val="CE8E9D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68821A90"/>
    <w:multiLevelType w:val="hybridMultilevel"/>
    <w:tmpl w:val="61B289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69C2176D"/>
    <w:multiLevelType w:val="hybridMultilevel"/>
    <w:tmpl w:val="C0F638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6BCD57BB"/>
    <w:multiLevelType w:val="multilevel"/>
    <w:tmpl w:val="275C7198"/>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1">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37174BA"/>
    <w:multiLevelType w:val="hybridMultilevel"/>
    <w:tmpl w:val="D22EA4D2"/>
    <w:lvl w:ilvl="0" w:tplc="5FD87966">
      <w:numFmt w:val="bullet"/>
      <w:lvlText w:val="•"/>
      <w:lvlJc w:val="left"/>
      <w:pPr>
        <w:ind w:left="1080" w:hanging="72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7AE919E1"/>
    <w:multiLevelType w:val="hybridMultilevel"/>
    <w:tmpl w:val="084CA4C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13"/>
  </w:num>
  <w:num w:numId="3">
    <w:abstractNumId w:val="7"/>
  </w:num>
  <w:num w:numId="4">
    <w:abstractNumId w:val="6"/>
  </w:num>
  <w:num w:numId="5">
    <w:abstractNumId w:val="27"/>
  </w:num>
  <w:num w:numId="6">
    <w:abstractNumId w:val="25"/>
  </w:num>
  <w:num w:numId="7">
    <w:abstractNumId w:val="21"/>
  </w:num>
  <w:num w:numId="8">
    <w:abstractNumId w:val="12"/>
  </w:num>
  <w:num w:numId="9">
    <w:abstractNumId w:val="29"/>
  </w:num>
  <w:num w:numId="10">
    <w:abstractNumId w:val="28"/>
  </w:num>
  <w:num w:numId="11">
    <w:abstractNumId w:val="1"/>
  </w:num>
  <w:num w:numId="12">
    <w:abstractNumId w:val="3"/>
  </w:num>
  <w:num w:numId="13">
    <w:abstractNumId w:val="19"/>
  </w:num>
  <w:num w:numId="14">
    <w:abstractNumId w:val="9"/>
  </w:num>
  <w:num w:numId="15">
    <w:abstractNumId w:val="17"/>
  </w:num>
  <w:num w:numId="16">
    <w:abstractNumId w:val="33"/>
  </w:num>
  <w:num w:numId="17">
    <w:abstractNumId w:val="11"/>
  </w:num>
  <w:num w:numId="18">
    <w:abstractNumId w:val="26"/>
  </w:num>
  <w:num w:numId="19">
    <w:abstractNumId w:val="15"/>
  </w:num>
  <w:num w:numId="20">
    <w:abstractNumId w:val="16"/>
  </w:num>
  <w:num w:numId="21">
    <w:abstractNumId w:val="24"/>
  </w:num>
  <w:num w:numId="22">
    <w:abstractNumId w:val="30"/>
  </w:num>
  <w:num w:numId="23">
    <w:abstractNumId w:val="30"/>
  </w:num>
  <w:num w:numId="24">
    <w:abstractNumId w:val="31"/>
  </w:num>
  <w:num w:numId="25">
    <w:abstractNumId w:val="4"/>
  </w:num>
  <w:num w:numId="26">
    <w:abstractNumId w:val="18"/>
  </w:num>
  <w:num w:numId="27">
    <w:abstractNumId w:val="30"/>
  </w:num>
  <w:num w:numId="28">
    <w:abstractNumId w:val="14"/>
  </w:num>
  <w:num w:numId="29">
    <w:abstractNumId w:val="20"/>
  </w:num>
  <w:num w:numId="30">
    <w:abstractNumId w:val="10"/>
  </w:num>
  <w:num w:numId="31">
    <w:abstractNumId w:val="10"/>
  </w:num>
  <w:num w:numId="32">
    <w:abstractNumId w:val="10"/>
  </w:num>
  <w:num w:numId="33">
    <w:abstractNumId w:val="10"/>
  </w:num>
  <w:num w:numId="34">
    <w:abstractNumId w:val="10"/>
  </w:num>
  <w:num w:numId="35">
    <w:abstractNumId w:val="2"/>
  </w:num>
  <w:num w:numId="36">
    <w:abstractNumId w:val="0"/>
  </w:num>
  <w:num w:numId="37">
    <w:abstractNumId w:val="0"/>
  </w:num>
  <w:num w:numId="38">
    <w:abstractNumId w:val="30"/>
  </w:num>
  <w:num w:numId="39">
    <w:abstractNumId w:val="30"/>
  </w:num>
  <w:num w:numId="40">
    <w:abstractNumId w:val="31"/>
  </w:num>
  <w:num w:numId="41">
    <w:abstractNumId w:val="4"/>
  </w:num>
  <w:num w:numId="42">
    <w:abstractNumId w:val="18"/>
  </w:num>
  <w:num w:numId="43">
    <w:abstractNumId w:val="30"/>
  </w:num>
  <w:num w:numId="44">
    <w:abstractNumId w:val="14"/>
  </w:num>
  <w:num w:numId="45">
    <w:abstractNumId w:val="20"/>
  </w:num>
  <w:num w:numId="46">
    <w:abstractNumId w:val="23"/>
  </w:num>
  <w:num w:numId="47">
    <w:abstractNumId w:val="22"/>
  </w:num>
  <w:num w:numId="48">
    <w:abstractNumId w:val="32"/>
  </w:num>
  <w:num w:numId="49">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997CA0"/>
    <w:rsid w:val="0000150A"/>
    <w:rsid w:val="000016D7"/>
    <w:rsid w:val="00001AB3"/>
    <w:rsid w:val="00004107"/>
    <w:rsid w:val="00004348"/>
    <w:rsid w:val="000043AD"/>
    <w:rsid w:val="00004FA0"/>
    <w:rsid w:val="00006001"/>
    <w:rsid w:val="000069C4"/>
    <w:rsid w:val="000072E1"/>
    <w:rsid w:val="00007E20"/>
    <w:rsid w:val="000101C7"/>
    <w:rsid w:val="00011C13"/>
    <w:rsid w:val="00011F6D"/>
    <w:rsid w:val="00012388"/>
    <w:rsid w:val="0001352D"/>
    <w:rsid w:val="00013A62"/>
    <w:rsid w:val="000156CB"/>
    <w:rsid w:val="00016865"/>
    <w:rsid w:val="000202C1"/>
    <w:rsid w:val="00020912"/>
    <w:rsid w:val="00020A16"/>
    <w:rsid w:val="00020D39"/>
    <w:rsid w:val="00021564"/>
    <w:rsid w:val="000215BA"/>
    <w:rsid w:val="000219C1"/>
    <w:rsid w:val="00022FC2"/>
    <w:rsid w:val="000231C2"/>
    <w:rsid w:val="00023C56"/>
    <w:rsid w:val="0002787E"/>
    <w:rsid w:val="00027C9A"/>
    <w:rsid w:val="00030435"/>
    <w:rsid w:val="00032CF2"/>
    <w:rsid w:val="00033F06"/>
    <w:rsid w:val="00033F26"/>
    <w:rsid w:val="0003455C"/>
    <w:rsid w:val="000353B5"/>
    <w:rsid w:val="00035483"/>
    <w:rsid w:val="0003592C"/>
    <w:rsid w:val="00035A91"/>
    <w:rsid w:val="000368D1"/>
    <w:rsid w:val="0003690D"/>
    <w:rsid w:val="00036EFB"/>
    <w:rsid w:val="00037576"/>
    <w:rsid w:val="000378BB"/>
    <w:rsid w:val="000378E5"/>
    <w:rsid w:val="000407A2"/>
    <w:rsid w:val="00041E5D"/>
    <w:rsid w:val="00042587"/>
    <w:rsid w:val="000428BD"/>
    <w:rsid w:val="00046440"/>
    <w:rsid w:val="00047117"/>
    <w:rsid w:val="000475EA"/>
    <w:rsid w:val="00047CC4"/>
    <w:rsid w:val="00050EBA"/>
    <w:rsid w:val="00052EBD"/>
    <w:rsid w:val="0005423A"/>
    <w:rsid w:val="00054E71"/>
    <w:rsid w:val="00055164"/>
    <w:rsid w:val="00055C2E"/>
    <w:rsid w:val="00055D0A"/>
    <w:rsid w:val="000568A5"/>
    <w:rsid w:val="00057AD9"/>
    <w:rsid w:val="00057CFC"/>
    <w:rsid w:val="00060012"/>
    <w:rsid w:val="00060ADA"/>
    <w:rsid w:val="00060D3C"/>
    <w:rsid w:val="00060E49"/>
    <w:rsid w:val="000610D4"/>
    <w:rsid w:val="0006119E"/>
    <w:rsid w:val="00061240"/>
    <w:rsid w:val="000625D7"/>
    <w:rsid w:val="00063AC5"/>
    <w:rsid w:val="00063CDC"/>
    <w:rsid w:val="00064DDB"/>
    <w:rsid w:val="00064E55"/>
    <w:rsid w:val="0006587A"/>
    <w:rsid w:val="000664A2"/>
    <w:rsid w:val="000664CD"/>
    <w:rsid w:val="0006775E"/>
    <w:rsid w:val="00067E51"/>
    <w:rsid w:val="000700DD"/>
    <w:rsid w:val="00070233"/>
    <w:rsid w:val="00074165"/>
    <w:rsid w:val="00076040"/>
    <w:rsid w:val="00076E49"/>
    <w:rsid w:val="0008059B"/>
    <w:rsid w:val="00080A2B"/>
    <w:rsid w:val="00080ACD"/>
    <w:rsid w:val="00080CF2"/>
    <w:rsid w:val="0008136A"/>
    <w:rsid w:val="00081488"/>
    <w:rsid w:val="000817F0"/>
    <w:rsid w:val="000818EE"/>
    <w:rsid w:val="000823E4"/>
    <w:rsid w:val="00082993"/>
    <w:rsid w:val="0008322A"/>
    <w:rsid w:val="00083342"/>
    <w:rsid w:val="00083D0B"/>
    <w:rsid w:val="00085266"/>
    <w:rsid w:val="00085E6C"/>
    <w:rsid w:val="00086636"/>
    <w:rsid w:val="000870D0"/>
    <w:rsid w:val="000877DB"/>
    <w:rsid w:val="00090072"/>
    <w:rsid w:val="00090290"/>
    <w:rsid w:val="0009029D"/>
    <w:rsid w:val="0009151E"/>
    <w:rsid w:val="0009377D"/>
    <w:rsid w:val="000944A6"/>
    <w:rsid w:val="00094839"/>
    <w:rsid w:val="00095C8F"/>
    <w:rsid w:val="000A1C83"/>
    <w:rsid w:val="000A4B87"/>
    <w:rsid w:val="000A563C"/>
    <w:rsid w:val="000B0209"/>
    <w:rsid w:val="000B16A6"/>
    <w:rsid w:val="000B1E14"/>
    <w:rsid w:val="000B1FF7"/>
    <w:rsid w:val="000B24A4"/>
    <w:rsid w:val="000B3743"/>
    <w:rsid w:val="000B4206"/>
    <w:rsid w:val="000B459F"/>
    <w:rsid w:val="000B6170"/>
    <w:rsid w:val="000B68E7"/>
    <w:rsid w:val="000B770B"/>
    <w:rsid w:val="000B7913"/>
    <w:rsid w:val="000C0853"/>
    <w:rsid w:val="000C18BB"/>
    <w:rsid w:val="000C207D"/>
    <w:rsid w:val="000C2D4D"/>
    <w:rsid w:val="000C4003"/>
    <w:rsid w:val="000C4467"/>
    <w:rsid w:val="000C4F17"/>
    <w:rsid w:val="000C5406"/>
    <w:rsid w:val="000C5461"/>
    <w:rsid w:val="000C6060"/>
    <w:rsid w:val="000C6BB3"/>
    <w:rsid w:val="000D0172"/>
    <w:rsid w:val="000D109B"/>
    <w:rsid w:val="000D2FBE"/>
    <w:rsid w:val="000D4322"/>
    <w:rsid w:val="000D5189"/>
    <w:rsid w:val="000D5799"/>
    <w:rsid w:val="000D7959"/>
    <w:rsid w:val="000D7A32"/>
    <w:rsid w:val="000D7C40"/>
    <w:rsid w:val="000D7E87"/>
    <w:rsid w:val="000E0265"/>
    <w:rsid w:val="000E0326"/>
    <w:rsid w:val="000E118B"/>
    <w:rsid w:val="000E1F1A"/>
    <w:rsid w:val="000E3052"/>
    <w:rsid w:val="000E3461"/>
    <w:rsid w:val="000E47DF"/>
    <w:rsid w:val="000E55D6"/>
    <w:rsid w:val="000E5836"/>
    <w:rsid w:val="000E6F25"/>
    <w:rsid w:val="000E7062"/>
    <w:rsid w:val="000E79C7"/>
    <w:rsid w:val="000F05FC"/>
    <w:rsid w:val="000F29E5"/>
    <w:rsid w:val="000F2FCC"/>
    <w:rsid w:val="000F3810"/>
    <w:rsid w:val="000F3EE5"/>
    <w:rsid w:val="000F4CA7"/>
    <w:rsid w:val="000F5B02"/>
    <w:rsid w:val="000F6C55"/>
    <w:rsid w:val="000F744C"/>
    <w:rsid w:val="000F7D02"/>
    <w:rsid w:val="000F7DB3"/>
    <w:rsid w:val="00100107"/>
    <w:rsid w:val="00103354"/>
    <w:rsid w:val="0010417E"/>
    <w:rsid w:val="0010463B"/>
    <w:rsid w:val="00105BA1"/>
    <w:rsid w:val="00110189"/>
    <w:rsid w:val="001103A6"/>
    <w:rsid w:val="00110A58"/>
    <w:rsid w:val="00110E3E"/>
    <w:rsid w:val="00112465"/>
    <w:rsid w:val="001136C9"/>
    <w:rsid w:val="00114042"/>
    <w:rsid w:val="00114B71"/>
    <w:rsid w:val="00114E64"/>
    <w:rsid w:val="0011514C"/>
    <w:rsid w:val="00115996"/>
    <w:rsid w:val="00115D78"/>
    <w:rsid w:val="00116621"/>
    <w:rsid w:val="00120345"/>
    <w:rsid w:val="001212D0"/>
    <w:rsid w:val="001225E5"/>
    <w:rsid w:val="001226FA"/>
    <w:rsid w:val="0012332E"/>
    <w:rsid w:val="001235DB"/>
    <w:rsid w:val="0012470F"/>
    <w:rsid w:val="00124E7E"/>
    <w:rsid w:val="00124FC0"/>
    <w:rsid w:val="00125ED2"/>
    <w:rsid w:val="00126837"/>
    <w:rsid w:val="00126AF1"/>
    <w:rsid w:val="0012744C"/>
    <w:rsid w:val="00127845"/>
    <w:rsid w:val="00130F8B"/>
    <w:rsid w:val="00131856"/>
    <w:rsid w:val="001320D5"/>
    <w:rsid w:val="00132684"/>
    <w:rsid w:val="00133775"/>
    <w:rsid w:val="00133E89"/>
    <w:rsid w:val="00134711"/>
    <w:rsid w:val="00134D10"/>
    <w:rsid w:val="00134F05"/>
    <w:rsid w:val="001354FC"/>
    <w:rsid w:val="00135BCC"/>
    <w:rsid w:val="001363C4"/>
    <w:rsid w:val="00136ED4"/>
    <w:rsid w:val="0014032B"/>
    <w:rsid w:val="0014085F"/>
    <w:rsid w:val="00140A1F"/>
    <w:rsid w:val="001419B7"/>
    <w:rsid w:val="0014278C"/>
    <w:rsid w:val="001429F7"/>
    <w:rsid w:val="0014349E"/>
    <w:rsid w:val="0014526E"/>
    <w:rsid w:val="00145B79"/>
    <w:rsid w:val="00146507"/>
    <w:rsid w:val="001531BB"/>
    <w:rsid w:val="00153F5B"/>
    <w:rsid w:val="00155629"/>
    <w:rsid w:val="00156E95"/>
    <w:rsid w:val="001572E2"/>
    <w:rsid w:val="00157477"/>
    <w:rsid w:val="0015768C"/>
    <w:rsid w:val="00157867"/>
    <w:rsid w:val="00157B5A"/>
    <w:rsid w:val="00160C4A"/>
    <w:rsid w:val="00162577"/>
    <w:rsid w:val="00163498"/>
    <w:rsid w:val="0016396C"/>
    <w:rsid w:val="0016440D"/>
    <w:rsid w:val="00165568"/>
    <w:rsid w:val="00165A58"/>
    <w:rsid w:val="00167162"/>
    <w:rsid w:val="00167AE3"/>
    <w:rsid w:val="0017214C"/>
    <w:rsid w:val="00172537"/>
    <w:rsid w:val="00172AFC"/>
    <w:rsid w:val="00174124"/>
    <w:rsid w:val="00174560"/>
    <w:rsid w:val="00174A17"/>
    <w:rsid w:val="00176011"/>
    <w:rsid w:val="001776D7"/>
    <w:rsid w:val="00180184"/>
    <w:rsid w:val="001810BC"/>
    <w:rsid w:val="001810F5"/>
    <w:rsid w:val="00181420"/>
    <w:rsid w:val="0018149B"/>
    <w:rsid w:val="0018173E"/>
    <w:rsid w:val="00181D84"/>
    <w:rsid w:val="00182C36"/>
    <w:rsid w:val="00183D35"/>
    <w:rsid w:val="00184180"/>
    <w:rsid w:val="0018447E"/>
    <w:rsid w:val="001859A4"/>
    <w:rsid w:val="001913E7"/>
    <w:rsid w:val="00191843"/>
    <w:rsid w:val="0019382E"/>
    <w:rsid w:val="00194235"/>
    <w:rsid w:val="0019507B"/>
    <w:rsid w:val="00196117"/>
    <w:rsid w:val="001967C4"/>
    <w:rsid w:val="00196EF7"/>
    <w:rsid w:val="001974FE"/>
    <w:rsid w:val="001A0CA9"/>
    <w:rsid w:val="001A19AF"/>
    <w:rsid w:val="001A2EC8"/>
    <w:rsid w:val="001A3127"/>
    <w:rsid w:val="001A3361"/>
    <w:rsid w:val="001A348A"/>
    <w:rsid w:val="001A4447"/>
    <w:rsid w:val="001A4CAA"/>
    <w:rsid w:val="001A53C6"/>
    <w:rsid w:val="001A53D3"/>
    <w:rsid w:val="001A5978"/>
    <w:rsid w:val="001A60B8"/>
    <w:rsid w:val="001A6B78"/>
    <w:rsid w:val="001A6E2D"/>
    <w:rsid w:val="001A7266"/>
    <w:rsid w:val="001A7890"/>
    <w:rsid w:val="001B034F"/>
    <w:rsid w:val="001B0667"/>
    <w:rsid w:val="001B09F0"/>
    <w:rsid w:val="001B1F73"/>
    <w:rsid w:val="001B1FD0"/>
    <w:rsid w:val="001B31BE"/>
    <w:rsid w:val="001B4836"/>
    <w:rsid w:val="001B6B8A"/>
    <w:rsid w:val="001B6CF3"/>
    <w:rsid w:val="001B7013"/>
    <w:rsid w:val="001B70B0"/>
    <w:rsid w:val="001B765B"/>
    <w:rsid w:val="001B78A3"/>
    <w:rsid w:val="001C0F1D"/>
    <w:rsid w:val="001C0F48"/>
    <w:rsid w:val="001C15FC"/>
    <w:rsid w:val="001C1D43"/>
    <w:rsid w:val="001C280C"/>
    <w:rsid w:val="001C2EC1"/>
    <w:rsid w:val="001C4AA6"/>
    <w:rsid w:val="001C504F"/>
    <w:rsid w:val="001C532F"/>
    <w:rsid w:val="001C7D77"/>
    <w:rsid w:val="001D0B90"/>
    <w:rsid w:val="001D1280"/>
    <w:rsid w:val="001D19DF"/>
    <w:rsid w:val="001D2684"/>
    <w:rsid w:val="001D2686"/>
    <w:rsid w:val="001D33F9"/>
    <w:rsid w:val="001D4144"/>
    <w:rsid w:val="001D4313"/>
    <w:rsid w:val="001D62DD"/>
    <w:rsid w:val="001D672C"/>
    <w:rsid w:val="001D7397"/>
    <w:rsid w:val="001D754C"/>
    <w:rsid w:val="001D7A87"/>
    <w:rsid w:val="001E0E59"/>
    <w:rsid w:val="001E115B"/>
    <w:rsid w:val="001E19F9"/>
    <w:rsid w:val="001E2E37"/>
    <w:rsid w:val="001E388F"/>
    <w:rsid w:val="001E435A"/>
    <w:rsid w:val="001E4433"/>
    <w:rsid w:val="001E46BF"/>
    <w:rsid w:val="001E4E23"/>
    <w:rsid w:val="001E54DA"/>
    <w:rsid w:val="001F0E7F"/>
    <w:rsid w:val="001F0F77"/>
    <w:rsid w:val="001F1237"/>
    <w:rsid w:val="001F1EA1"/>
    <w:rsid w:val="001F25B2"/>
    <w:rsid w:val="001F3E7C"/>
    <w:rsid w:val="001F4069"/>
    <w:rsid w:val="001F4608"/>
    <w:rsid w:val="001F501D"/>
    <w:rsid w:val="001F5754"/>
    <w:rsid w:val="001F59D5"/>
    <w:rsid w:val="001F5B32"/>
    <w:rsid w:val="001F604A"/>
    <w:rsid w:val="001F6B05"/>
    <w:rsid w:val="001F78EC"/>
    <w:rsid w:val="002021E0"/>
    <w:rsid w:val="002037A3"/>
    <w:rsid w:val="002046F4"/>
    <w:rsid w:val="002047A5"/>
    <w:rsid w:val="00204AFF"/>
    <w:rsid w:val="00204F23"/>
    <w:rsid w:val="00205CDC"/>
    <w:rsid w:val="00206359"/>
    <w:rsid w:val="002067D6"/>
    <w:rsid w:val="00211E76"/>
    <w:rsid w:val="002123AD"/>
    <w:rsid w:val="00212449"/>
    <w:rsid w:val="00212453"/>
    <w:rsid w:val="00212BD7"/>
    <w:rsid w:val="00213E6A"/>
    <w:rsid w:val="00214BD3"/>
    <w:rsid w:val="00214F85"/>
    <w:rsid w:val="0021519E"/>
    <w:rsid w:val="002157DB"/>
    <w:rsid w:val="00215BC0"/>
    <w:rsid w:val="00215C4E"/>
    <w:rsid w:val="00215CFD"/>
    <w:rsid w:val="0021663E"/>
    <w:rsid w:val="00216FA6"/>
    <w:rsid w:val="002171AD"/>
    <w:rsid w:val="002171DB"/>
    <w:rsid w:val="00217301"/>
    <w:rsid w:val="00217434"/>
    <w:rsid w:val="0022111D"/>
    <w:rsid w:val="00222815"/>
    <w:rsid w:val="002231ED"/>
    <w:rsid w:val="0022391F"/>
    <w:rsid w:val="00224421"/>
    <w:rsid w:val="002258CF"/>
    <w:rsid w:val="002261B6"/>
    <w:rsid w:val="00226A98"/>
    <w:rsid w:val="00226F9B"/>
    <w:rsid w:val="00230716"/>
    <w:rsid w:val="00230B33"/>
    <w:rsid w:val="0023149E"/>
    <w:rsid w:val="002315CE"/>
    <w:rsid w:val="0023187E"/>
    <w:rsid w:val="00231CC7"/>
    <w:rsid w:val="00232517"/>
    <w:rsid w:val="00233381"/>
    <w:rsid w:val="00233A3A"/>
    <w:rsid w:val="00234561"/>
    <w:rsid w:val="00235A5C"/>
    <w:rsid w:val="00236179"/>
    <w:rsid w:val="002370F8"/>
    <w:rsid w:val="00237148"/>
    <w:rsid w:val="00237567"/>
    <w:rsid w:val="00237AF6"/>
    <w:rsid w:val="00237B31"/>
    <w:rsid w:val="002400E5"/>
    <w:rsid w:val="00240B99"/>
    <w:rsid w:val="0024143C"/>
    <w:rsid w:val="002418F3"/>
    <w:rsid w:val="00243158"/>
    <w:rsid w:val="00243215"/>
    <w:rsid w:val="00243250"/>
    <w:rsid w:val="00244918"/>
    <w:rsid w:val="00244E2F"/>
    <w:rsid w:val="00245C98"/>
    <w:rsid w:val="002475EE"/>
    <w:rsid w:val="0024791A"/>
    <w:rsid w:val="00250BB3"/>
    <w:rsid w:val="00251368"/>
    <w:rsid w:val="00251488"/>
    <w:rsid w:val="002521C7"/>
    <w:rsid w:val="00252FF5"/>
    <w:rsid w:val="00254C15"/>
    <w:rsid w:val="00255D5F"/>
    <w:rsid w:val="00260DC6"/>
    <w:rsid w:val="0026127D"/>
    <w:rsid w:val="002622C1"/>
    <w:rsid w:val="002624A5"/>
    <w:rsid w:val="002637BE"/>
    <w:rsid w:val="00264747"/>
    <w:rsid w:val="0026480B"/>
    <w:rsid w:val="0026499C"/>
    <w:rsid w:val="00264CBE"/>
    <w:rsid w:val="00266670"/>
    <w:rsid w:val="0026683A"/>
    <w:rsid w:val="0026749E"/>
    <w:rsid w:val="00270AE7"/>
    <w:rsid w:val="00273419"/>
    <w:rsid w:val="00274334"/>
    <w:rsid w:val="00274A23"/>
    <w:rsid w:val="0027548D"/>
    <w:rsid w:val="00275597"/>
    <w:rsid w:val="002769D5"/>
    <w:rsid w:val="002774CB"/>
    <w:rsid w:val="0027756F"/>
    <w:rsid w:val="002779E9"/>
    <w:rsid w:val="0028022D"/>
    <w:rsid w:val="00281936"/>
    <w:rsid w:val="00283EF8"/>
    <w:rsid w:val="002851C8"/>
    <w:rsid w:val="002856FA"/>
    <w:rsid w:val="00290819"/>
    <w:rsid w:val="00291447"/>
    <w:rsid w:val="00291461"/>
    <w:rsid w:val="002914E0"/>
    <w:rsid w:val="002937F6"/>
    <w:rsid w:val="00293BB8"/>
    <w:rsid w:val="00295124"/>
    <w:rsid w:val="002959FD"/>
    <w:rsid w:val="00297975"/>
    <w:rsid w:val="002A0E31"/>
    <w:rsid w:val="002A1B93"/>
    <w:rsid w:val="002A1E50"/>
    <w:rsid w:val="002A2101"/>
    <w:rsid w:val="002A39CE"/>
    <w:rsid w:val="002A4F50"/>
    <w:rsid w:val="002A514E"/>
    <w:rsid w:val="002A5353"/>
    <w:rsid w:val="002A56C9"/>
    <w:rsid w:val="002A65D0"/>
    <w:rsid w:val="002A69B3"/>
    <w:rsid w:val="002A73C6"/>
    <w:rsid w:val="002A7AE4"/>
    <w:rsid w:val="002A7F29"/>
    <w:rsid w:val="002B07E3"/>
    <w:rsid w:val="002B0975"/>
    <w:rsid w:val="002B19BA"/>
    <w:rsid w:val="002B1A04"/>
    <w:rsid w:val="002B321F"/>
    <w:rsid w:val="002B4E3E"/>
    <w:rsid w:val="002B5008"/>
    <w:rsid w:val="002B59B9"/>
    <w:rsid w:val="002B609F"/>
    <w:rsid w:val="002B7FF0"/>
    <w:rsid w:val="002C0822"/>
    <w:rsid w:val="002C0E22"/>
    <w:rsid w:val="002C0F60"/>
    <w:rsid w:val="002C11A8"/>
    <w:rsid w:val="002C18E4"/>
    <w:rsid w:val="002C21E9"/>
    <w:rsid w:val="002C2687"/>
    <w:rsid w:val="002C2F8D"/>
    <w:rsid w:val="002C2FFF"/>
    <w:rsid w:val="002C36C9"/>
    <w:rsid w:val="002C3DA0"/>
    <w:rsid w:val="002C4FDF"/>
    <w:rsid w:val="002C5803"/>
    <w:rsid w:val="002C777A"/>
    <w:rsid w:val="002D0922"/>
    <w:rsid w:val="002D1CF7"/>
    <w:rsid w:val="002D2099"/>
    <w:rsid w:val="002D218B"/>
    <w:rsid w:val="002D2351"/>
    <w:rsid w:val="002D2736"/>
    <w:rsid w:val="002D2F3D"/>
    <w:rsid w:val="002D3377"/>
    <w:rsid w:val="002D44E0"/>
    <w:rsid w:val="002D678C"/>
    <w:rsid w:val="002E18AF"/>
    <w:rsid w:val="002E1BEB"/>
    <w:rsid w:val="002E3B8B"/>
    <w:rsid w:val="002E3C58"/>
    <w:rsid w:val="002E4614"/>
    <w:rsid w:val="002E5450"/>
    <w:rsid w:val="002E6BE9"/>
    <w:rsid w:val="002E7EC5"/>
    <w:rsid w:val="002F0AA6"/>
    <w:rsid w:val="002F0F2C"/>
    <w:rsid w:val="002F11CC"/>
    <w:rsid w:val="002F1C5D"/>
    <w:rsid w:val="002F2A51"/>
    <w:rsid w:val="002F2F34"/>
    <w:rsid w:val="002F35A0"/>
    <w:rsid w:val="002F3C22"/>
    <w:rsid w:val="002F449D"/>
    <w:rsid w:val="002F5C98"/>
    <w:rsid w:val="002F6832"/>
    <w:rsid w:val="002F7A8C"/>
    <w:rsid w:val="003005B8"/>
    <w:rsid w:val="00301959"/>
    <w:rsid w:val="00304E01"/>
    <w:rsid w:val="00306912"/>
    <w:rsid w:val="0030776D"/>
    <w:rsid w:val="00310FA0"/>
    <w:rsid w:val="00312927"/>
    <w:rsid w:val="003129B6"/>
    <w:rsid w:val="00313342"/>
    <w:rsid w:val="003140BE"/>
    <w:rsid w:val="003143A4"/>
    <w:rsid w:val="00314F35"/>
    <w:rsid w:val="003156F0"/>
    <w:rsid w:val="00316840"/>
    <w:rsid w:val="00317173"/>
    <w:rsid w:val="00317C74"/>
    <w:rsid w:val="00320BB6"/>
    <w:rsid w:val="00324AC7"/>
    <w:rsid w:val="00324D85"/>
    <w:rsid w:val="00325199"/>
    <w:rsid w:val="003261C7"/>
    <w:rsid w:val="00326210"/>
    <w:rsid w:val="00333467"/>
    <w:rsid w:val="00333671"/>
    <w:rsid w:val="0033401A"/>
    <w:rsid w:val="003344D3"/>
    <w:rsid w:val="00334F5B"/>
    <w:rsid w:val="003355DD"/>
    <w:rsid w:val="00335E7C"/>
    <w:rsid w:val="00335EA0"/>
    <w:rsid w:val="003362BF"/>
    <w:rsid w:val="00336B8E"/>
    <w:rsid w:val="003372AB"/>
    <w:rsid w:val="00337B16"/>
    <w:rsid w:val="003401C2"/>
    <w:rsid w:val="00340CC6"/>
    <w:rsid w:val="0034156C"/>
    <w:rsid w:val="0034347A"/>
    <w:rsid w:val="00343837"/>
    <w:rsid w:val="0034575B"/>
    <w:rsid w:val="00346BE1"/>
    <w:rsid w:val="00347344"/>
    <w:rsid w:val="003479BE"/>
    <w:rsid w:val="0035058E"/>
    <w:rsid w:val="00350E21"/>
    <w:rsid w:val="00351662"/>
    <w:rsid w:val="00351868"/>
    <w:rsid w:val="00351971"/>
    <w:rsid w:val="00351B0D"/>
    <w:rsid w:val="00354582"/>
    <w:rsid w:val="00354982"/>
    <w:rsid w:val="00354F47"/>
    <w:rsid w:val="00355396"/>
    <w:rsid w:val="003556B2"/>
    <w:rsid w:val="003557C0"/>
    <w:rsid w:val="00356638"/>
    <w:rsid w:val="003576B5"/>
    <w:rsid w:val="00357A61"/>
    <w:rsid w:val="00360446"/>
    <w:rsid w:val="003607D6"/>
    <w:rsid w:val="00363A0E"/>
    <w:rsid w:val="0036468A"/>
    <w:rsid w:val="00365DE2"/>
    <w:rsid w:val="003707C5"/>
    <w:rsid w:val="00371FE1"/>
    <w:rsid w:val="003721B6"/>
    <w:rsid w:val="00373183"/>
    <w:rsid w:val="003732CC"/>
    <w:rsid w:val="00375C6D"/>
    <w:rsid w:val="0037627A"/>
    <w:rsid w:val="00377A52"/>
    <w:rsid w:val="00377B94"/>
    <w:rsid w:val="00381126"/>
    <w:rsid w:val="00382DB6"/>
    <w:rsid w:val="00383282"/>
    <w:rsid w:val="00383876"/>
    <w:rsid w:val="00384338"/>
    <w:rsid w:val="0038492C"/>
    <w:rsid w:val="0038537D"/>
    <w:rsid w:val="00385DDC"/>
    <w:rsid w:val="00387CB9"/>
    <w:rsid w:val="00391C30"/>
    <w:rsid w:val="003923BD"/>
    <w:rsid w:val="00392953"/>
    <w:rsid w:val="00393445"/>
    <w:rsid w:val="00394317"/>
    <w:rsid w:val="00395558"/>
    <w:rsid w:val="003959B8"/>
    <w:rsid w:val="0039682C"/>
    <w:rsid w:val="0039718A"/>
    <w:rsid w:val="003971C6"/>
    <w:rsid w:val="00397757"/>
    <w:rsid w:val="003A0DE6"/>
    <w:rsid w:val="003A1018"/>
    <w:rsid w:val="003A2259"/>
    <w:rsid w:val="003A2F1B"/>
    <w:rsid w:val="003A308A"/>
    <w:rsid w:val="003A43D8"/>
    <w:rsid w:val="003A4CB7"/>
    <w:rsid w:val="003A52CE"/>
    <w:rsid w:val="003A5892"/>
    <w:rsid w:val="003A6144"/>
    <w:rsid w:val="003A6BFE"/>
    <w:rsid w:val="003A773D"/>
    <w:rsid w:val="003A7D7D"/>
    <w:rsid w:val="003A7F5A"/>
    <w:rsid w:val="003B2FEC"/>
    <w:rsid w:val="003B32E3"/>
    <w:rsid w:val="003B3701"/>
    <w:rsid w:val="003B3C84"/>
    <w:rsid w:val="003B4894"/>
    <w:rsid w:val="003B537F"/>
    <w:rsid w:val="003B5442"/>
    <w:rsid w:val="003B587E"/>
    <w:rsid w:val="003B5ED9"/>
    <w:rsid w:val="003B6B34"/>
    <w:rsid w:val="003B7B33"/>
    <w:rsid w:val="003C0C69"/>
    <w:rsid w:val="003C2353"/>
    <w:rsid w:val="003C35B4"/>
    <w:rsid w:val="003C3793"/>
    <w:rsid w:val="003C4316"/>
    <w:rsid w:val="003C4D01"/>
    <w:rsid w:val="003C652D"/>
    <w:rsid w:val="003C683C"/>
    <w:rsid w:val="003C6980"/>
    <w:rsid w:val="003C7592"/>
    <w:rsid w:val="003C7E9A"/>
    <w:rsid w:val="003D0543"/>
    <w:rsid w:val="003D0DA0"/>
    <w:rsid w:val="003D16B4"/>
    <w:rsid w:val="003D1740"/>
    <w:rsid w:val="003D1968"/>
    <w:rsid w:val="003D252B"/>
    <w:rsid w:val="003D2FB2"/>
    <w:rsid w:val="003D3055"/>
    <w:rsid w:val="003D3852"/>
    <w:rsid w:val="003D54A4"/>
    <w:rsid w:val="003D5718"/>
    <w:rsid w:val="003D6173"/>
    <w:rsid w:val="003D67E2"/>
    <w:rsid w:val="003D7E57"/>
    <w:rsid w:val="003E0C65"/>
    <w:rsid w:val="003E109D"/>
    <w:rsid w:val="003E28A9"/>
    <w:rsid w:val="003E28C1"/>
    <w:rsid w:val="003E30D4"/>
    <w:rsid w:val="003E463A"/>
    <w:rsid w:val="003E466B"/>
    <w:rsid w:val="003E4A93"/>
    <w:rsid w:val="003E4B96"/>
    <w:rsid w:val="003E4F57"/>
    <w:rsid w:val="003E5163"/>
    <w:rsid w:val="003E5235"/>
    <w:rsid w:val="003E5EFB"/>
    <w:rsid w:val="003E6616"/>
    <w:rsid w:val="003E6735"/>
    <w:rsid w:val="003E6BCF"/>
    <w:rsid w:val="003E71D7"/>
    <w:rsid w:val="003E7A8C"/>
    <w:rsid w:val="003E7BBE"/>
    <w:rsid w:val="003E7E52"/>
    <w:rsid w:val="003E7F01"/>
    <w:rsid w:val="003F1AE6"/>
    <w:rsid w:val="003F1C8A"/>
    <w:rsid w:val="003F1D15"/>
    <w:rsid w:val="003F1E56"/>
    <w:rsid w:val="003F2017"/>
    <w:rsid w:val="003F2D51"/>
    <w:rsid w:val="003F3E3D"/>
    <w:rsid w:val="003F4503"/>
    <w:rsid w:val="003F60D3"/>
    <w:rsid w:val="003F67DD"/>
    <w:rsid w:val="003F7332"/>
    <w:rsid w:val="00403529"/>
    <w:rsid w:val="0040495E"/>
    <w:rsid w:val="00405AC4"/>
    <w:rsid w:val="00407B08"/>
    <w:rsid w:val="00410B5B"/>
    <w:rsid w:val="00410E09"/>
    <w:rsid w:val="00413725"/>
    <w:rsid w:val="004145F3"/>
    <w:rsid w:val="004149AC"/>
    <w:rsid w:val="00414ED5"/>
    <w:rsid w:val="00415310"/>
    <w:rsid w:val="00415598"/>
    <w:rsid w:val="00415A1C"/>
    <w:rsid w:val="00415CF3"/>
    <w:rsid w:val="004161F1"/>
    <w:rsid w:val="004173DC"/>
    <w:rsid w:val="004211D3"/>
    <w:rsid w:val="0042214F"/>
    <w:rsid w:val="00423C87"/>
    <w:rsid w:val="00424450"/>
    <w:rsid w:val="00424AA1"/>
    <w:rsid w:val="00425961"/>
    <w:rsid w:val="0042748B"/>
    <w:rsid w:val="004278BA"/>
    <w:rsid w:val="00427E63"/>
    <w:rsid w:val="00430668"/>
    <w:rsid w:val="0043208D"/>
    <w:rsid w:val="00433204"/>
    <w:rsid w:val="00433BF4"/>
    <w:rsid w:val="00435B21"/>
    <w:rsid w:val="004369DA"/>
    <w:rsid w:val="00437836"/>
    <w:rsid w:val="00437C12"/>
    <w:rsid w:val="00437F29"/>
    <w:rsid w:val="00441845"/>
    <w:rsid w:val="004419F4"/>
    <w:rsid w:val="00442A09"/>
    <w:rsid w:val="00444A3D"/>
    <w:rsid w:val="004450DE"/>
    <w:rsid w:val="0044632F"/>
    <w:rsid w:val="00446FEC"/>
    <w:rsid w:val="0045131A"/>
    <w:rsid w:val="004517C4"/>
    <w:rsid w:val="004547CF"/>
    <w:rsid w:val="00454AD2"/>
    <w:rsid w:val="00455822"/>
    <w:rsid w:val="00457090"/>
    <w:rsid w:val="00460E12"/>
    <w:rsid w:val="004617FC"/>
    <w:rsid w:val="00461E55"/>
    <w:rsid w:val="00462DF1"/>
    <w:rsid w:val="00463043"/>
    <w:rsid w:val="00463851"/>
    <w:rsid w:val="00464227"/>
    <w:rsid w:val="004647FE"/>
    <w:rsid w:val="00464A90"/>
    <w:rsid w:val="00464FA6"/>
    <w:rsid w:val="0046503C"/>
    <w:rsid w:val="00465BD0"/>
    <w:rsid w:val="0046612B"/>
    <w:rsid w:val="00470E23"/>
    <w:rsid w:val="004712BE"/>
    <w:rsid w:val="00471DED"/>
    <w:rsid w:val="00473352"/>
    <w:rsid w:val="004734CE"/>
    <w:rsid w:val="004734FF"/>
    <w:rsid w:val="004741A9"/>
    <w:rsid w:val="00475D2E"/>
    <w:rsid w:val="00476202"/>
    <w:rsid w:val="00476AA2"/>
    <w:rsid w:val="00477AF1"/>
    <w:rsid w:val="00477F8A"/>
    <w:rsid w:val="00481C87"/>
    <w:rsid w:val="00483151"/>
    <w:rsid w:val="004833DC"/>
    <w:rsid w:val="00483D58"/>
    <w:rsid w:val="0048423A"/>
    <w:rsid w:val="00484DA8"/>
    <w:rsid w:val="00485042"/>
    <w:rsid w:val="004853F9"/>
    <w:rsid w:val="004858FA"/>
    <w:rsid w:val="004859F7"/>
    <w:rsid w:val="00486501"/>
    <w:rsid w:val="004871CA"/>
    <w:rsid w:val="00490136"/>
    <w:rsid w:val="00490ADB"/>
    <w:rsid w:val="00491799"/>
    <w:rsid w:val="004917DE"/>
    <w:rsid w:val="004928E6"/>
    <w:rsid w:val="0049360B"/>
    <w:rsid w:val="00493C6C"/>
    <w:rsid w:val="00494244"/>
    <w:rsid w:val="00494669"/>
    <w:rsid w:val="0049741E"/>
    <w:rsid w:val="004976D5"/>
    <w:rsid w:val="004A2498"/>
    <w:rsid w:val="004A2856"/>
    <w:rsid w:val="004A28AD"/>
    <w:rsid w:val="004A2F5E"/>
    <w:rsid w:val="004A3849"/>
    <w:rsid w:val="004A3C74"/>
    <w:rsid w:val="004A3CB8"/>
    <w:rsid w:val="004A3EB4"/>
    <w:rsid w:val="004A45C2"/>
    <w:rsid w:val="004A4849"/>
    <w:rsid w:val="004A4F8C"/>
    <w:rsid w:val="004A5D1A"/>
    <w:rsid w:val="004A6964"/>
    <w:rsid w:val="004A6DF4"/>
    <w:rsid w:val="004A706C"/>
    <w:rsid w:val="004A74CE"/>
    <w:rsid w:val="004B07C3"/>
    <w:rsid w:val="004B1987"/>
    <w:rsid w:val="004B2570"/>
    <w:rsid w:val="004B3930"/>
    <w:rsid w:val="004B5377"/>
    <w:rsid w:val="004B5F13"/>
    <w:rsid w:val="004B6816"/>
    <w:rsid w:val="004B794A"/>
    <w:rsid w:val="004B7DAC"/>
    <w:rsid w:val="004C026E"/>
    <w:rsid w:val="004C1E23"/>
    <w:rsid w:val="004C2BC2"/>
    <w:rsid w:val="004C2D69"/>
    <w:rsid w:val="004C305B"/>
    <w:rsid w:val="004C3CA7"/>
    <w:rsid w:val="004C46BE"/>
    <w:rsid w:val="004C5701"/>
    <w:rsid w:val="004C6B34"/>
    <w:rsid w:val="004C6D37"/>
    <w:rsid w:val="004C7965"/>
    <w:rsid w:val="004D0ED2"/>
    <w:rsid w:val="004D0FA6"/>
    <w:rsid w:val="004D131C"/>
    <w:rsid w:val="004D292B"/>
    <w:rsid w:val="004D2FB7"/>
    <w:rsid w:val="004D3F6A"/>
    <w:rsid w:val="004D3FF1"/>
    <w:rsid w:val="004D40E3"/>
    <w:rsid w:val="004D4419"/>
    <w:rsid w:val="004D4950"/>
    <w:rsid w:val="004D5107"/>
    <w:rsid w:val="004D5D8A"/>
    <w:rsid w:val="004D66D0"/>
    <w:rsid w:val="004D6A0B"/>
    <w:rsid w:val="004D794B"/>
    <w:rsid w:val="004E0DD7"/>
    <w:rsid w:val="004E1554"/>
    <w:rsid w:val="004E15F8"/>
    <w:rsid w:val="004E18BA"/>
    <w:rsid w:val="004E1F64"/>
    <w:rsid w:val="004E31A6"/>
    <w:rsid w:val="004E371C"/>
    <w:rsid w:val="004E3AA6"/>
    <w:rsid w:val="004E3FB5"/>
    <w:rsid w:val="004E402F"/>
    <w:rsid w:val="004E44C2"/>
    <w:rsid w:val="004E4584"/>
    <w:rsid w:val="004E7631"/>
    <w:rsid w:val="004E7BF8"/>
    <w:rsid w:val="004F06C3"/>
    <w:rsid w:val="004F0BE7"/>
    <w:rsid w:val="004F1019"/>
    <w:rsid w:val="004F17BE"/>
    <w:rsid w:val="004F2EDA"/>
    <w:rsid w:val="004F2FF8"/>
    <w:rsid w:val="004F3B17"/>
    <w:rsid w:val="004F3CF5"/>
    <w:rsid w:val="004F4773"/>
    <w:rsid w:val="004F4841"/>
    <w:rsid w:val="004F4E18"/>
    <w:rsid w:val="004F5112"/>
    <w:rsid w:val="004F5B88"/>
    <w:rsid w:val="004F626D"/>
    <w:rsid w:val="004F66CC"/>
    <w:rsid w:val="004F68B3"/>
    <w:rsid w:val="004F7276"/>
    <w:rsid w:val="005000F6"/>
    <w:rsid w:val="0050032E"/>
    <w:rsid w:val="00502606"/>
    <w:rsid w:val="00502F28"/>
    <w:rsid w:val="005032F1"/>
    <w:rsid w:val="005054C1"/>
    <w:rsid w:val="0050720A"/>
    <w:rsid w:val="00507B25"/>
    <w:rsid w:val="00507C32"/>
    <w:rsid w:val="00510BB5"/>
    <w:rsid w:val="00511F7C"/>
    <w:rsid w:val="0051241C"/>
    <w:rsid w:val="005128EF"/>
    <w:rsid w:val="00513CF0"/>
    <w:rsid w:val="00515596"/>
    <w:rsid w:val="005156EF"/>
    <w:rsid w:val="00516924"/>
    <w:rsid w:val="0051695D"/>
    <w:rsid w:val="00517076"/>
    <w:rsid w:val="00517A39"/>
    <w:rsid w:val="00517DFA"/>
    <w:rsid w:val="00521222"/>
    <w:rsid w:val="00521496"/>
    <w:rsid w:val="005232C6"/>
    <w:rsid w:val="00530A68"/>
    <w:rsid w:val="00532A21"/>
    <w:rsid w:val="00532C1A"/>
    <w:rsid w:val="005340FD"/>
    <w:rsid w:val="00534F52"/>
    <w:rsid w:val="00535248"/>
    <w:rsid w:val="00536E37"/>
    <w:rsid w:val="005404DB"/>
    <w:rsid w:val="00541905"/>
    <w:rsid w:val="00541C52"/>
    <w:rsid w:val="005436B2"/>
    <w:rsid w:val="005438E6"/>
    <w:rsid w:val="00543C01"/>
    <w:rsid w:val="005442CA"/>
    <w:rsid w:val="005444EE"/>
    <w:rsid w:val="00544F87"/>
    <w:rsid w:val="00545E3A"/>
    <w:rsid w:val="0054690E"/>
    <w:rsid w:val="00547074"/>
    <w:rsid w:val="00547229"/>
    <w:rsid w:val="00552360"/>
    <w:rsid w:val="00552A91"/>
    <w:rsid w:val="00552C86"/>
    <w:rsid w:val="00553695"/>
    <w:rsid w:val="00553926"/>
    <w:rsid w:val="005565D1"/>
    <w:rsid w:val="0055681B"/>
    <w:rsid w:val="005569A3"/>
    <w:rsid w:val="0055755B"/>
    <w:rsid w:val="00561D54"/>
    <w:rsid w:val="005629A0"/>
    <w:rsid w:val="00562B2B"/>
    <w:rsid w:val="0056410E"/>
    <w:rsid w:val="00564D6A"/>
    <w:rsid w:val="00565ED8"/>
    <w:rsid w:val="00565F98"/>
    <w:rsid w:val="005668D5"/>
    <w:rsid w:val="00566E00"/>
    <w:rsid w:val="0057058C"/>
    <w:rsid w:val="005706B2"/>
    <w:rsid w:val="00571082"/>
    <w:rsid w:val="005724C2"/>
    <w:rsid w:val="0057276D"/>
    <w:rsid w:val="005732AD"/>
    <w:rsid w:val="00574394"/>
    <w:rsid w:val="00575735"/>
    <w:rsid w:val="00575AA1"/>
    <w:rsid w:val="00577428"/>
    <w:rsid w:val="005803E3"/>
    <w:rsid w:val="00581138"/>
    <w:rsid w:val="005816B6"/>
    <w:rsid w:val="00582C90"/>
    <w:rsid w:val="0058330B"/>
    <w:rsid w:val="00583938"/>
    <w:rsid w:val="00584F11"/>
    <w:rsid w:val="00585C4B"/>
    <w:rsid w:val="00585C60"/>
    <w:rsid w:val="00585DAC"/>
    <w:rsid w:val="00587A42"/>
    <w:rsid w:val="005909B9"/>
    <w:rsid w:val="00590B1D"/>
    <w:rsid w:val="00590B81"/>
    <w:rsid w:val="005918E7"/>
    <w:rsid w:val="0059204B"/>
    <w:rsid w:val="00592707"/>
    <w:rsid w:val="005928B3"/>
    <w:rsid w:val="00592E6C"/>
    <w:rsid w:val="00593B58"/>
    <w:rsid w:val="005955C1"/>
    <w:rsid w:val="005955FF"/>
    <w:rsid w:val="00595737"/>
    <w:rsid w:val="00595B38"/>
    <w:rsid w:val="00595F51"/>
    <w:rsid w:val="0059637F"/>
    <w:rsid w:val="0059669D"/>
    <w:rsid w:val="005966A1"/>
    <w:rsid w:val="005967DF"/>
    <w:rsid w:val="005974BE"/>
    <w:rsid w:val="00597875"/>
    <w:rsid w:val="005A02B6"/>
    <w:rsid w:val="005A0AF9"/>
    <w:rsid w:val="005A1ABC"/>
    <w:rsid w:val="005A1BF6"/>
    <w:rsid w:val="005A33DA"/>
    <w:rsid w:val="005A483A"/>
    <w:rsid w:val="005A5FF7"/>
    <w:rsid w:val="005A63E4"/>
    <w:rsid w:val="005A683A"/>
    <w:rsid w:val="005A73B8"/>
    <w:rsid w:val="005A74CE"/>
    <w:rsid w:val="005A77E5"/>
    <w:rsid w:val="005A7BC0"/>
    <w:rsid w:val="005B1779"/>
    <w:rsid w:val="005B2E38"/>
    <w:rsid w:val="005B411B"/>
    <w:rsid w:val="005B4E7C"/>
    <w:rsid w:val="005B59DB"/>
    <w:rsid w:val="005B5F45"/>
    <w:rsid w:val="005B6185"/>
    <w:rsid w:val="005B67D9"/>
    <w:rsid w:val="005B728F"/>
    <w:rsid w:val="005C0918"/>
    <w:rsid w:val="005C0A4F"/>
    <w:rsid w:val="005C18DC"/>
    <w:rsid w:val="005C1E0D"/>
    <w:rsid w:val="005C2674"/>
    <w:rsid w:val="005C3558"/>
    <w:rsid w:val="005C3968"/>
    <w:rsid w:val="005C3A6D"/>
    <w:rsid w:val="005C4DDE"/>
    <w:rsid w:val="005C760D"/>
    <w:rsid w:val="005D0581"/>
    <w:rsid w:val="005D15B6"/>
    <w:rsid w:val="005D1870"/>
    <w:rsid w:val="005D1F42"/>
    <w:rsid w:val="005D32D5"/>
    <w:rsid w:val="005D3E1A"/>
    <w:rsid w:val="005D631E"/>
    <w:rsid w:val="005D695F"/>
    <w:rsid w:val="005E0FDD"/>
    <w:rsid w:val="005E1899"/>
    <w:rsid w:val="005E1D84"/>
    <w:rsid w:val="005E4166"/>
    <w:rsid w:val="005E42C3"/>
    <w:rsid w:val="005E4371"/>
    <w:rsid w:val="005E4859"/>
    <w:rsid w:val="005E6679"/>
    <w:rsid w:val="005E74FC"/>
    <w:rsid w:val="005E76C3"/>
    <w:rsid w:val="005E77B0"/>
    <w:rsid w:val="005F08FA"/>
    <w:rsid w:val="005F09BE"/>
    <w:rsid w:val="005F1E09"/>
    <w:rsid w:val="005F2BDB"/>
    <w:rsid w:val="005F40EC"/>
    <w:rsid w:val="005F49DB"/>
    <w:rsid w:val="005F5131"/>
    <w:rsid w:val="005F5313"/>
    <w:rsid w:val="005F5536"/>
    <w:rsid w:val="005F5FBE"/>
    <w:rsid w:val="005F6B28"/>
    <w:rsid w:val="005F7726"/>
    <w:rsid w:val="005F7CC1"/>
    <w:rsid w:val="005F7E79"/>
    <w:rsid w:val="006000D4"/>
    <w:rsid w:val="00600178"/>
    <w:rsid w:val="006012E4"/>
    <w:rsid w:val="006017B2"/>
    <w:rsid w:val="00601882"/>
    <w:rsid w:val="006018BD"/>
    <w:rsid w:val="00604516"/>
    <w:rsid w:val="00604A57"/>
    <w:rsid w:val="00604E81"/>
    <w:rsid w:val="006057BB"/>
    <w:rsid w:val="0060581C"/>
    <w:rsid w:val="00606BCA"/>
    <w:rsid w:val="00606E33"/>
    <w:rsid w:val="00610879"/>
    <w:rsid w:val="00610A57"/>
    <w:rsid w:val="00614CE9"/>
    <w:rsid w:val="00616272"/>
    <w:rsid w:val="00617EC7"/>
    <w:rsid w:val="00620A9F"/>
    <w:rsid w:val="00620C65"/>
    <w:rsid w:val="00621172"/>
    <w:rsid w:val="00622460"/>
    <w:rsid w:val="006230C6"/>
    <w:rsid w:val="00624ABF"/>
    <w:rsid w:val="00625CE0"/>
    <w:rsid w:val="00626B8A"/>
    <w:rsid w:val="006301F5"/>
    <w:rsid w:val="00631F9E"/>
    <w:rsid w:val="006321D8"/>
    <w:rsid w:val="00632C80"/>
    <w:rsid w:val="00634364"/>
    <w:rsid w:val="006346AE"/>
    <w:rsid w:val="006354EF"/>
    <w:rsid w:val="00635AE7"/>
    <w:rsid w:val="00641ABF"/>
    <w:rsid w:val="00641D8E"/>
    <w:rsid w:val="00641FC7"/>
    <w:rsid w:val="00645764"/>
    <w:rsid w:val="0064714B"/>
    <w:rsid w:val="00650BBB"/>
    <w:rsid w:val="006516F9"/>
    <w:rsid w:val="00652140"/>
    <w:rsid w:val="00653D50"/>
    <w:rsid w:val="0065425D"/>
    <w:rsid w:val="00655288"/>
    <w:rsid w:val="00656816"/>
    <w:rsid w:val="00657390"/>
    <w:rsid w:val="00657434"/>
    <w:rsid w:val="0066038A"/>
    <w:rsid w:val="00661AAF"/>
    <w:rsid w:val="006621BE"/>
    <w:rsid w:val="00662855"/>
    <w:rsid w:val="0066298A"/>
    <w:rsid w:val="006634C1"/>
    <w:rsid w:val="00664463"/>
    <w:rsid w:val="006653F1"/>
    <w:rsid w:val="006659D5"/>
    <w:rsid w:val="00665D4F"/>
    <w:rsid w:val="00667D1F"/>
    <w:rsid w:val="006713D9"/>
    <w:rsid w:val="00672EFE"/>
    <w:rsid w:val="0067333F"/>
    <w:rsid w:val="0067359B"/>
    <w:rsid w:val="00676D1B"/>
    <w:rsid w:val="00677E6A"/>
    <w:rsid w:val="006800C7"/>
    <w:rsid w:val="00680338"/>
    <w:rsid w:val="00681568"/>
    <w:rsid w:val="006815D1"/>
    <w:rsid w:val="00682688"/>
    <w:rsid w:val="00683ECF"/>
    <w:rsid w:val="00683F20"/>
    <w:rsid w:val="006841B0"/>
    <w:rsid w:val="00684871"/>
    <w:rsid w:val="006855E3"/>
    <w:rsid w:val="006867ED"/>
    <w:rsid w:val="00690A4D"/>
    <w:rsid w:val="006913C0"/>
    <w:rsid w:val="0069165C"/>
    <w:rsid w:val="00695130"/>
    <w:rsid w:val="00695825"/>
    <w:rsid w:val="006960EF"/>
    <w:rsid w:val="006973AA"/>
    <w:rsid w:val="00697681"/>
    <w:rsid w:val="006A0A9B"/>
    <w:rsid w:val="006A1528"/>
    <w:rsid w:val="006A1810"/>
    <w:rsid w:val="006A1A38"/>
    <w:rsid w:val="006A1CC9"/>
    <w:rsid w:val="006A2CFA"/>
    <w:rsid w:val="006A3920"/>
    <w:rsid w:val="006A3F44"/>
    <w:rsid w:val="006A4480"/>
    <w:rsid w:val="006A56F5"/>
    <w:rsid w:val="006A5AC9"/>
    <w:rsid w:val="006A5E0E"/>
    <w:rsid w:val="006A63F5"/>
    <w:rsid w:val="006A6755"/>
    <w:rsid w:val="006A7A49"/>
    <w:rsid w:val="006B01F1"/>
    <w:rsid w:val="006B02D5"/>
    <w:rsid w:val="006B2E59"/>
    <w:rsid w:val="006B3C5D"/>
    <w:rsid w:val="006B3F35"/>
    <w:rsid w:val="006B470C"/>
    <w:rsid w:val="006B5900"/>
    <w:rsid w:val="006B76F6"/>
    <w:rsid w:val="006C154B"/>
    <w:rsid w:val="006C244A"/>
    <w:rsid w:val="006C41FF"/>
    <w:rsid w:val="006C5FFF"/>
    <w:rsid w:val="006C6358"/>
    <w:rsid w:val="006C70D4"/>
    <w:rsid w:val="006D00C7"/>
    <w:rsid w:val="006D0155"/>
    <w:rsid w:val="006D0676"/>
    <w:rsid w:val="006D0D31"/>
    <w:rsid w:val="006D1916"/>
    <w:rsid w:val="006D1EC8"/>
    <w:rsid w:val="006D203E"/>
    <w:rsid w:val="006D5EE5"/>
    <w:rsid w:val="006D5F6B"/>
    <w:rsid w:val="006D643C"/>
    <w:rsid w:val="006D7A90"/>
    <w:rsid w:val="006D7AE4"/>
    <w:rsid w:val="006E0822"/>
    <w:rsid w:val="006E08A7"/>
    <w:rsid w:val="006E091C"/>
    <w:rsid w:val="006E0CCA"/>
    <w:rsid w:val="006E0D3E"/>
    <w:rsid w:val="006E115C"/>
    <w:rsid w:val="006E1615"/>
    <w:rsid w:val="006E2CEF"/>
    <w:rsid w:val="006E2E67"/>
    <w:rsid w:val="006E49B0"/>
    <w:rsid w:val="006E579E"/>
    <w:rsid w:val="006E669B"/>
    <w:rsid w:val="006E7383"/>
    <w:rsid w:val="006E7F3B"/>
    <w:rsid w:val="006F24F5"/>
    <w:rsid w:val="006F3FB7"/>
    <w:rsid w:val="006F75AE"/>
    <w:rsid w:val="00700778"/>
    <w:rsid w:val="00700995"/>
    <w:rsid w:val="007014C3"/>
    <w:rsid w:val="00702038"/>
    <w:rsid w:val="007031F8"/>
    <w:rsid w:val="007039B5"/>
    <w:rsid w:val="0070466E"/>
    <w:rsid w:val="00706DD6"/>
    <w:rsid w:val="00707351"/>
    <w:rsid w:val="007075FB"/>
    <w:rsid w:val="00707F75"/>
    <w:rsid w:val="00710B87"/>
    <w:rsid w:val="007115FF"/>
    <w:rsid w:val="00711DFB"/>
    <w:rsid w:val="007124AA"/>
    <w:rsid w:val="00712B66"/>
    <w:rsid w:val="007130A6"/>
    <w:rsid w:val="00714593"/>
    <w:rsid w:val="007159B3"/>
    <w:rsid w:val="007166DB"/>
    <w:rsid w:val="00717160"/>
    <w:rsid w:val="0072061C"/>
    <w:rsid w:val="00720A80"/>
    <w:rsid w:val="007226EF"/>
    <w:rsid w:val="00724AE7"/>
    <w:rsid w:val="00724B46"/>
    <w:rsid w:val="00726723"/>
    <w:rsid w:val="0072724B"/>
    <w:rsid w:val="007273C7"/>
    <w:rsid w:val="007275F3"/>
    <w:rsid w:val="007278AE"/>
    <w:rsid w:val="00727979"/>
    <w:rsid w:val="00727CB2"/>
    <w:rsid w:val="00727DFD"/>
    <w:rsid w:val="00730CED"/>
    <w:rsid w:val="00731DA1"/>
    <w:rsid w:val="00731EA2"/>
    <w:rsid w:val="00732600"/>
    <w:rsid w:val="00733842"/>
    <w:rsid w:val="00735604"/>
    <w:rsid w:val="00735C64"/>
    <w:rsid w:val="00737804"/>
    <w:rsid w:val="00737B6B"/>
    <w:rsid w:val="00740511"/>
    <w:rsid w:val="00741238"/>
    <w:rsid w:val="00741643"/>
    <w:rsid w:val="0074165C"/>
    <w:rsid w:val="00741B78"/>
    <w:rsid w:val="00742173"/>
    <w:rsid w:val="007422B1"/>
    <w:rsid w:val="00743076"/>
    <w:rsid w:val="007433D6"/>
    <w:rsid w:val="0074393D"/>
    <w:rsid w:val="0074520C"/>
    <w:rsid w:val="0074596E"/>
    <w:rsid w:val="0074717A"/>
    <w:rsid w:val="007471D2"/>
    <w:rsid w:val="00747624"/>
    <w:rsid w:val="00747CEC"/>
    <w:rsid w:val="00750630"/>
    <w:rsid w:val="00751055"/>
    <w:rsid w:val="00751B50"/>
    <w:rsid w:val="00751CF6"/>
    <w:rsid w:val="00752BC0"/>
    <w:rsid w:val="00752E17"/>
    <w:rsid w:val="00753761"/>
    <w:rsid w:val="00753A87"/>
    <w:rsid w:val="00753F9D"/>
    <w:rsid w:val="00754142"/>
    <w:rsid w:val="00754274"/>
    <w:rsid w:val="0075573B"/>
    <w:rsid w:val="00756441"/>
    <w:rsid w:val="007576E2"/>
    <w:rsid w:val="00757AC7"/>
    <w:rsid w:val="00760EED"/>
    <w:rsid w:val="007614D1"/>
    <w:rsid w:val="007615C9"/>
    <w:rsid w:val="00761A03"/>
    <w:rsid w:val="00761A2A"/>
    <w:rsid w:val="00762426"/>
    <w:rsid w:val="00762830"/>
    <w:rsid w:val="00762BA5"/>
    <w:rsid w:val="007643B0"/>
    <w:rsid w:val="00765BA7"/>
    <w:rsid w:val="007667C4"/>
    <w:rsid w:val="00766D0C"/>
    <w:rsid w:val="00767747"/>
    <w:rsid w:val="007678BB"/>
    <w:rsid w:val="00767A7B"/>
    <w:rsid w:val="00767AB8"/>
    <w:rsid w:val="00767B2C"/>
    <w:rsid w:val="007707AA"/>
    <w:rsid w:val="0077118F"/>
    <w:rsid w:val="00771C02"/>
    <w:rsid w:val="00772008"/>
    <w:rsid w:val="007739CF"/>
    <w:rsid w:val="0077493B"/>
    <w:rsid w:val="00774FEA"/>
    <w:rsid w:val="00776037"/>
    <w:rsid w:val="007765DB"/>
    <w:rsid w:val="00777088"/>
    <w:rsid w:val="0077709C"/>
    <w:rsid w:val="0077744B"/>
    <w:rsid w:val="007775CE"/>
    <w:rsid w:val="007839F9"/>
    <w:rsid w:val="00783AF8"/>
    <w:rsid w:val="00783C75"/>
    <w:rsid w:val="00783D23"/>
    <w:rsid w:val="00784CE7"/>
    <w:rsid w:val="007857CB"/>
    <w:rsid w:val="007875F2"/>
    <w:rsid w:val="00787AAD"/>
    <w:rsid w:val="0079149E"/>
    <w:rsid w:val="00791875"/>
    <w:rsid w:val="007918C9"/>
    <w:rsid w:val="007922E7"/>
    <w:rsid w:val="00792BE8"/>
    <w:rsid w:val="00793CCC"/>
    <w:rsid w:val="00794065"/>
    <w:rsid w:val="00795DD0"/>
    <w:rsid w:val="00796783"/>
    <w:rsid w:val="007A14CF"/>
    <w:rsid w:val="007A1A44"/>
    <w:rsid w:val="007A251B"/>
    <w:rsid w:val="007A2FF8"/>
    <w:rsid w:val="007A3648"/>
    <w:rsid w:val="007A3EE6"/>
    <w:rsid w:val="007A4C0F"/>
    <w:rsid w:val="007A4DD8"/>
    <w:rsid w:val="007A4EDC"/>
    <w:rsid w:val="007A63F8"/>
    <w:rsid w:val="007A6639"/>
    <w:rsid w:val="007A6ACC"/>
    <w:rsid w:val="007A74B9"/>
    <w:rsid w:val="007B3D73"/>
    <w:rsid w:val="007B3E93"/>
    <w:rsid w:val="007B54AA"/>
    <w:rsid w:val="007B5784"/>
    <w:rsid w:val="007C00F8"/>
    <w:rsid w:val="007C0C9E"/>
    <w:rsid w:val="007C2EA7"/>
    <w:rsid w:val="007C3711"/>
    <w:rsid w:val="007C3944"/>
    <w:rsid w:val="007C4AD7"/>
    <w:rsid w:val="007C4D43"/>
    <w:rsid w:val="007C65EA"/>
    <w:rsid w:val="007C6692"/>
    <w:rsid w:val="007C703D"/>
    <w:rsid w:val="007C7E76"/>
    <w:rsid w:val="007D0398"/>
    <w:rsid w:val="007D0DF3"/>
    <w:rsid w:val="007D121B"/>
    <w:rsid w:val="007D17CA"/>
    <w:rsid w:val="007D2917"/>
    <w:rsid w:val="007D3BD0"/>
    <w:rsid w:val="007D4CD3"/>
    <w:rsid w:val="007D5D64"/>
    <w:rsid w:val="007D6736"/>
    <w:rsid w:val="007D741A"/>
    <w:rsid w:val="007D7468"/>
    <w:rsid w:val="007E0754"/>
    <w:rsid w:val="007E1F32"/>
    <w:rsid w:val="007E28B1"/>
    <w:rsid w:val="007E48DC"/>
    <w:rsid w:val="007E49E4"/>
    <w:rsid w:val="007E522C"/>
    <w:rsid w:val="007E5AB1"/>
    <w:rsid w:val="007E6B60"/>
    <w:rsid w:val="007E6F2F"/>
    <w:rsid w:val="007E727D"/>
    <w:rsid w:val="007E7308"/>
    <w:rsid w:val="007E765C"/>
    <w:rsid w:val="007E7BBE"/>
    <w:rsid w:val="007F1D8F"/>
    <w:rsid w:val="007F2F4F"/>
    <w:rsid w:val="007F3472"/>
    <w:rsid w:val="007F4833"/>
    <w:rsid w:val="007F4F68"/>
    <w:rsid w:val="007F52AF"/>
    <w:rsid w:val="007F66F9"/>
    <w:rsid w:val="007F67D9"/>
    <w:rsid w:val="007F6C65"/>
    <w:rsid w:val="007F7452"/>
    <w:rsid w:val="00800898"/>
    <w:rsid w:val="00800D43"/>
    <w:rsid w:val="00801836"/>
    <w:rsid w:val="008021AD"/>
    <w:rsid w:val="00802BE7"/>
    <w:rsid w:val="00803CC0"/>
    <w:rsid w:val="00805164"/>
    <w:rsid w:val="00805880"/>
    <w:rsid w:val="00805D5A"/>
    <w:rsid w:val="00805E0E"/>
    <w:rsid w:val="008105E0"/>
    <w:rsid w:val="00810ACC"/>
    <w:rsid w:val="00810E42"/>
    <w:rsid w:val="00812DC0"/>
    <w:rsid w:val="00813A00"/>
    <w:rsid w:val="00813A52"/>
    <w:rsid w:val="00813BB2"/>
    <w:rsid w:val="00813D5B"/>
    <w:rsid w:val="00814C1A"/>
    <w:rsid w:val="00814C8D"/>
    <w:rsid w:val="0081692C"/>
    <w:rsid w:val="00816A40"/>
    <w:rsid w:val="00820B2B"/>
    <w:rsid w:val="00821B44"/>
    <w:rsid w:val="00821B76"/>
    <w:rsid w:val="0082237F"/>
    <w:rsid w:val="0082493A"/>
    <w:rsid w:val="00824996"/>
    <w:rsid w:val="00825949"/>
    <w:rsid w:val="00825EE5"/>
    <w:rsid w:val="00826855"/>
    <w:rsid w:val="00826D27"/>
    <w:rsid w:val="00826E48"/>
    <w:rsid w:val="008270E1"/>
    <w:rsid w:val="00827671"/>
    <w:rsid w:val="00827F56"/>
    <w:rsid w:val="00832C69"/>
    <w:rsid w:val="0083304A"/>
    <w:rsid w:val="008340B1"/>
    <w:rsid w:val="008343FD"/>
    <w:rsid w:val="00834CE3"/>
    <w:rsid w:val="008353B0"/>
    <w:rsid w:val="008359AC"/>
    <w:rsid w:val="00835AA1"/>
    <w:rsid w:val="00835FDF"/>
    <w:rsid w:val="00837850"/>
    <w:rsid w:val="00837AE8"/>
    <w:rsid w:val="00840228"/>
    <w:rsid w:val="00843260"/>
    <w:rsid w:val="008438DD"/>
    <w:rsid w:val="0084390D"/>
    <w:rsid w:val="008441EA"/>
    <w:rsid w:val="00846942"/>
    <w:rsid w:val="00846C01"/>
    <w:rsid w:val="0085049F"/>
    <w:rsid w:val="00851475"/>
    <w:rsid w:val="00851B11"/>
    <w:rsid w:val="008529DE"/>
    <w:rsid w:val="00852C51"/>
    <w:rsid w:val="00852E5B"/>
    <w:rsid w:val="00853539"/>
    <w:rsid w:val="00854397"/>
    <w:rsid w:val="00855CED"/>
    <w:rsid w:val="00856C7D"/>
    <w:rsid w:val="00857BBE"/>
    <w:rsid w:val="00857EF9"/>
    <w:rsid w:val="00860C0D"/>
    <w:rsid w:val="0086180C"/>
    <w:rsid w:val="00861974"/>
    <w:rsid w:val="00862071"/>
    <w:rsid w:val="0086237C"/>
    <w:rsid w:val="00863ACE"/>
    <w:rsid w:val="0086416B"/>
    <w:rsid w:val="0086482D"/>
    <w:rsid w:val="008665E4"/>
    <w:rsid w:val="00867180"/>
    <w:rsid w:val="008676F3"/>
    <w:rsid w:val="00867D4A"/>
    <w:rsid w:val="00870C9F"/>
    <w:rsid w:val="008732EE"/>
    <w:rsid w:val="008751BE"/>
    <w:rsid w:val="00875ABB"/>
    <w:rsid w:val="008760A4"/>
    <w:rsid w:val="0087661C"/>
    <w:rsid w:val="0087704E"/>
    <w:rsid w:val="00880409"/>
    <w:rsid w:val="00881FA7"/>
    <w:rsid w:val="00882919"/>
    <w:rsid w:val="008838ED"/>
    <w:rsid w:val="00884FD8"/>
    <w:rsid w:val="0088507A"/>
    <w:rsid w:val="00885F28"/>
    <w:rsid w:val="00886579"/>
    <w:rsid w:val="00886621"/>
    <w:rsid w:val="0088685B"/>
    <w:rsid w:val="0088734A"/>
    <w:rsid w:val="0088759A"/>
    <w:rsid w:val="00887DD7"/>
    <w:rsid w:val="0089263A"/>
    <w:rsid w:val="00892826"/>
    <w:rsid w:val="008928A6"/>
    <w:rsid w:val="00892B43"/>
    <w:rsid w:val="00892BAB"/>
    <w:rsid w:val="008931C7"/>
    <w:rsid w:val="008948E5"/>
    <w:rsid w:val="0089741B"/>
    <w:rsid w:val="008A0692"/>
    <w:rsid w:val="008A092B"/>
    <w:rsid w:val="008A201D"/>
    <w:rsid w:val="008A23C8"/>
    <w:rsid w:val="008A2961"/>
    <w:rsid w:val="008A428A"/>
    <w:rsid w:val="008A4C48"/>
    <w:rsid w:val="008A5EBE"/>
    <w:rsid w:val="008A64C4"/>
    <w:rsid w:val="008A74DD"/>
    <w:rsid w:val="008A7812"/>
    <w:rsid w:val="008A7D49"/>
    <w:rsid w:val="008B03D4"/>
    <w:rsid w:val="008B0F56"/>
    <w:rsid w:val="008B16EE"/>
    <w:rsid w:val="008B1705"/>
    <w:rsid w:val="008B1B02"/>
    <w:rsid w:val="008B3534"/>
    <w:rsid w:val="008B4ADD"/>
    <w:rsid w:val="008B4DC1"/>
    <w:rsid w:val="008B4DEA"/>
    <w:rsid w:val="008B4EC9"/>
    <w:rsid w:val="008B7F0D"/>
    <w:rsid w:val="008C0563"/>
    <w:rsid w:val="008C163F"/>
    <w:rsid w:val="008C1871"/>
    <w:rsid w:val="008C2BF1"/>
    <w:rsid w:val="008C35F6"/>
    <w:rsid w:val="008C53DE"/>
    <w:rsid w:val="008C5A17"/>
    <w:rsid w:val="008C63ED"/>
    <w:rsid w:val="008C6502"/>
    <w:rsid w:val="008C7816"/>
    <w:rsid w:val="008C7E2E"/>
    <w:rsid w:val="008D05CD"/>
    <w:rsid w:val="008D082E"/>
    <w:rsid w:val="008D1C39"/>
    <w:rsid w:val="008D1D1F"/>
    <w:rsid w:val="008D3723"/>
    <w:rsid w:val="008D3CFB"/>
    <w:rsid w:val="008D3E70"/>
    <w:rsid w:val="008D40CD"/>
    <w:rsid w:val="008D440A"/>
    <w:rsid w:val="008D4F5C"/>
    <w:rsid w:val="008D6881"/>
    <w:rsid w:val="008D76EE"/>
    <w:rsid w:val="008E00EC"/>
    <w:rsid w:val="008E0C27"/>
    <w:rsid w:val="008E1F11"/>
    <w:rsid w:val="008E3E1F"/>
    <w:rsid w:val="008E4689"/>
    <w:rsid w:val="008E475E"/>
    <w:rsid w:val="008E4F99"/>
    <w:rsid w:val="008E60D8"/>
    <w:rsid w:val="008E68A0"/>
    <w:rsid w:val="008F0C10"/>
    <w:rsid w:val="008F114C"/>
    <w:rsid w:val="008F2099"/>
    <w:rsid w:val="008F2FD7"/>
    <w:rsid w:val="008F30AB"/>
    <w:rsid w:val="008F469F"/>
    <w:rsid w:val="008F4AA8"/>
    <w:rsid w:val="008F6019"/>
    <w:rsid w:val="009025E5"/>
    <w:rsid w:val="00903271"/>
    <w:rsid w:val="00903C50"/>
    <w:rsid w:val="00904749"/>
    <w:rsid w:val="0090648A"/>
    <w:rsid w:val="0091003D"/>
    <w:rsid w:val="00910768"/>
    <w:rsid w:val="00910BFE"/>
    <w:rsid w:val="009118E0"/>
    <w:rsid w:val="00913412"/>
    <w:rsid w:val="009140BF"/>
    <w:rsid w:val="00914F3E"/>
    <w:rsid w:val="00915D0F"/>
    <w:rsid w:val="0091685D"/>
    <w:rsid w:val="009169B5"/>
    <w:rsid w:val="0091731A"/>
    <w:rsid w:val="009200BD"/>
    <w:rsid w:val="00920579"/>
    <w:rsid w:val="00920801"/>
    <w:rsid w:val="00921A48"/>
    <w:rsid w:val="00922C68"/>
    <w:rsid w:val="00922F31"/>
    <w:rsid w:val="00925452"/>
    <w:rsid w:val="00925692"/>
    <w:rsid w:val="00926667"/>
    <w:rsid w:val="0092757D"/>
    <w:rsid w:val="009306CA"/>
    <w:rsid w:val="00930FA5"/>
    <w:rsid w:val="009312F5"/>
    <w:rsid w:val="00932F73"/>
    <w:rsid w:val="009347EA"/>
    <w:rsid w:val="00934971"/>
    <w:rsid w:val="00942DA8"/>
    <w:rsid w:val="0094341F"/>
    <w:rsid w:val="009444D7"/>
    <w:rsid w:val="00945480"/>
    <w:rsid w:val="00945499"/>
    <w:rsid w:val="0094647C"/>
    <w:rsid w:val="00947474"/>
    <w:rsid w:val="009475EA"/>
    <w:rsid w:val="00947961"/>
    <w:rsid w:val="00947D15"/>
    <w:rsid w:val="00950098"/>
    <w:rsid w:val="00951473"/>
    <w:rsid w:val="00955CC1"/>
    <w:rsid w:val="00955E94"/>
    <w:rsid w:val="00957589"/>
    <w:rsid w:val="00957EDE"/>
    <w:rsid w:val="00960AF4"/>
    <w:rsid w:val="009618B5"/>
    <w:rsid w:val="00961AEF"/>
    <w:rsid w:val="00961B80"/>
    <w:rsid w:val="009624AA"/>
    <w:rsid w:val="0096268C"/>
    <w:rsid w:val="009628C8"/>
    <w:rsid w:val="00962941"/>
    <w:rsid w:val="00963E45"/>
    <w:rsid w:val="00964890"/>
    <w:rsid w:val="00964FA2"/>
    <w:rsid w:val="009651B3"/>
    <w:rsid w:val="009655C4"/>
    <w:rsid w:val="00966296"/>
    <w:rsid w:val="0096670E"/>
    <w:rsid w:val="00967AA7"/>
    <w:rsid w:val="00967CA9"/>
    <w:rsid w:val="00967E73"/>
    <w:rsid w:val="00970BC5"/>
    <w:rsid w:val="009712DF"/>
    <w:rsid w:val="009737D5"/>
    <w:rsid w:val="0097389E"/>
    <w:rsid w:val="00974ECB"/>
    <w:rsid w:val="009754A0"/>
    <w:rsid w:val="00976073"/>
    <w:rsid w:val="00976DA7"/>
    <w:rsid w:val="00976DB7"/>
    <w:rsid w:val="00977E6F"/>
    <w:rsid w:val="0098333E"/>
    <w:rsid w:val="009844E5"/>
    <w:rsid w:val="00985540"/>
    <w:rsid w:val="009858F2"/>
    <w:rsid w:val="00985CC5"/>
    <w:rsid w:val="00986EF5"/>
    <w:rsid w:val="00987E6D"/>
    <w:rsid w:val="00990C0C"/>
    <w:rsid w:val="009910FE"/>
    <w:rsid w:val="00991591"/>
    <w:rsid w:val="00991A68"/>
    <w:rsid w:val="00991CD4"/>
    <w:rsid w:val="00993CD9"/>
    <w:rsid w:val="009943CD"/>
    <w:rsid w:val="009955B5"/>
    <w:rsid w:val="00995CAC"/>
    <w:rsid w:val="00997CA0"/>
    <w:rsid w:val="009A05E3"/>
    <w:rsid w:val="009A3D39"/>
    <w:rsid w:val="009A4C11"/>
    <w:rsid w:val="009A55BB"/>
    <w:rsid w:val="009A62EF"/>
    <w:rsid w:val="009A63B0"/>
    <w:rsid w:val="009A651A"/>
    <w:rsid w:val="009A6759"/>
    <w:rsid w:val="009B038A"/>
    <w:rsid w:val="009B090A"/>
    <w:rsid w:val="009B124B"/>
    <w:rsid w:val="009B1B3F"/>
    <w:rsid w:val="009B2863"/>
    <w:rsid w:val="009B3BBF"/>
    <w:rsid w:val="009B3E6D"/>
    <w:rsid w:val="009B456C"/>
    <w:rsid w:val="009B5694"/>
    <w:rsid w:val="009B5D5C"/>
    <w:rsid w:val="009B67B6"/>
    <w:rsid w:val="009B6986"/>
    <w:rsid w:val="009B6BAF"/>
    <w:rsid w:val="009B6D5C"/>
    <w:rsid w:val="009B72FE"/>
    <w:rsid w:val="009B7BCC"/>
    <w:rsid w:val="009C1C4D"/>
    <w:rsid w:val="009C2839"/>
    <w:rsid w:val="009C4B14"/>
    <w:rsid w:val="009C5492"/>
    <w:rsid w:val="009C5588"/>
    <w:rsid w:val="009C55A2"/>
    <w:rsid w:val="009C6DF4"/>
    <w:rsid w:val="009C7AB1"/>
    <w:rsid w:val="009D23D8"/>
    <w:rsid w:val="009D2C44"/>
    <w:rsid w:val="009D3808"/>
    <w:rsid w:val="009D63DF"/>
    <w:rsid w:val="009D6F28"/>
    <w:rsid w:val="009D7971"/>
    <w:rsid w:val="009D7E42"/>
    <w:rsid w:val="009E02C2"/>
    <w:rsid w:val="009E0977"/>
    <w:rsid w:val="009E1A48"/>
    <w:rsid w:val="009E21C0"/>
    <w:rsid w:val="009E31ED"/>
    <w:rsid w:val="009E343B"/>
    <w:rsid w:val="009E3BE8"/>
    <w:rsid w:val="009E5215"/>
    <w:rsid w:val="009E538A"/>
    <w:rsid w:val="009E5B16"/>
    <w:rsid w:val="009E6897"/>
    <w:rsid w:val="009E6B62"/>
    <w:rsid w:val="009E6DE5"/>
    <w:rsid w:val="009E75D2"/>
    <w:rsid w:val="009E7681"/>
    <w:rsid w:val="009F181D"/>
    <w:rsid w:val="009F242C"/>
    <w:rsid w:val="009F2DFD"/>
    <w:rsid w:val="009F2E9A"/>
    <w:rsid w:val="009F3203"/>
    <w:rsid w:val="009F3668"/>
    <w:rsid w:val="009F47F4"/>
    <w:rsid w:val="009F4F72"/>
    <w:rsid w:val="009F612C"/>
    <w:rsid w:val="009F6AFB"/>
    <w:rsid w:val="009F6D75"/>
    <w:rsid w:val="00A011A3"/>
    <w:rsid w:val="00A01BFC"/>
    <w:rsid w:val="00A02A70"/>
    <w:rsid w:val="00A02E1D"/>
    <w:rsid w:val="00A0323C"/>
    <w:rsid w:val="00A0416E"/>
    <w:rsid w:val="00A0515E"/>
    <w:rsid w:val="00A06D63"/>
    <w:rsid w:val="00A07B82"/>
    <w:rsid w:val="00A11D38"/>
    <w:rsid w:val="00A12212"/>
    <w:rsid w:val="00A122E1"/>
    <w:rsid w:val="00A135B7"/>
    <w:rsid w:val="00A1369F"/>
    <w:rsid w:val="00A14D23"/>
    <w:rsid w:val="00A15769"/>
    <w:rsid w:val="00A16961"/>
    <w:rsid w:val="00A16D78"/>
    <w:rsid w:val="00A17E2D"/>
    <w:rsid w:val="00A22425"/>
    <w:rsid w:val="00A237F7"/>
    <w:rsid w:val="00A2385B"/>
    <w:rsid w:val="00A25356"/>
    <w:rsid w:val="00A256FF"/>
    <w:rsid w:val="00A26A16"/>
    <w:rsid w:val="00A30054"/>
    <w:rsid w:val="00A313DB"/>
    <w:rsid w:val="00A3159F"/>
    <w:rsid w:val="00A31C70"/>
    <w:rsid w:val="00A34F4A"/>
    <w:rsid w:val="00A35461"/>
    <w:rsid w:val="00A35B82"/>
    <w:rsid w:val="00A36A9A"/>
    <w:rsid w:val="00A36BA6"/>
    <w:rsid w:val="00A36F46"/>
    <w:rsid w:val="00A37181"/>
    <w:rsid w:val="00A37338"/>
    <w:rsid w:val="00A41F85"/>
    <w:rsid w:val="00A42563"/>
    <w:rsid w:val="00A42E88"/>
    <w:rsid w:val="00A43575"/>
    <w:rsid w:val="00A43A9D"/>
    <w:rsid w:val="00A44D27"/>
    <w:rsid w:val="00A4604E"/>
    <w:rsid w:val="00A50ACC"/>
    <w:rsid w:val="00A50C52"/>
    <w:rsid w:val="00A50CC9"/>
    <w:rsid w:val="00A53462"/>
    <w:rsid w:val="00A540E6"/>
    <w:rsid w:val="00A54A24"/>
    <w:rsid w:val="00A54A88"/>
    <w:rsid w:val="00A54BCA"/>
    <w:rsid w:val="00A55E03"/>
    <w:rsid w:val="00A55E27"/>
    <w:rsid w:val="00A56D10"/>
    <w:rsid w:val="00A56E83"/>
    <w:rsid w:val="00A5712D"/>
    <w:rsid w:val="00A575C9"/>
    <w:rsid w:val="00A57884"/>
    <w:rsid w:val="00A57E46"/>
    <w:rsid w:val="00A6197B"/>
    <w:rsid w:val="00A62602"/>
    <w:rsid w:val="00A63B65"/>
    <w:rsid w:val="00A66385"/>
    <w:rsid w:val="00A67711"/>
    <w:rsid w:val="00A6783A"/>
    <w:rsid w:val="00A67ED8"/>
    <w:rsid w:val="00A704B5"/>
    <w:rsid w:val="00A70B13"/>
    <w:rsid w:val="00A72BEE"/>
    <w:rsid w:val="00A74707"/>
    <w:rsid w:val="00A75391"/>
    <w:rsid w:val="00A76718"/>
    <w:rsid w:val="00A7751C"/>
    <w:rsid w:val="00A77E78"/>
    <w:rsid w:val="00A805C3"/>
    <w:rsid w:val="00A81A6F"/>
    <w:rsid w:val="00A83B07"/>
    <w:rsid w:val="00A83C17"/>
    <w:rsid w:val="00A845FA"/>
    <w:rsid w:val="00A85586"/>
    <w:rsid w:val="00A8577D"/>
    <w:rsid w:val="00A871FB"/>
    <w:rsid w:val="00A900F1"/>
    <w:rsid w:val="00A90A2C"/>
    <w:rsid w:val="00A91DB3"/>
    <w:rsid w:val="00A92CB6"/>
    <w:rsid w:val="00A9301D"/>
    <w:rsid w:val="00A96197"/>
    <w:rsid w:val="00A96668"/>
    <w:rsid w:val="00A973A9"/>
    <w:rsid w:val="00AA0EE8"/>
    <w:rsid w:val="00AA106A"/>
    <w:rsid w:val="00AA206E"/>
    <w:rsid w:val="00AA2DE2"/>
    <w:rsid w:val="00AA31E6"/>
    <w:rsid w:val="00AA359C"/>
    <w:rsid w:val="00AA3F2C"/>
    <w:rsid w:val="00AA47EB"/>
    <w:rsid w:val="00AA4DF9"/>
    <w:rsid w:val="00AA5C93"/>
    <w:rsid w:val="00AA5E7A"/>
    <w:rsid w:val="00AA619F"/>
    <w:rsid w:val="00AA6716"/>
    <w:rsid w:val="00AA6DC5"/>
    <w:rsid w:val="00AA7AE4"/>
    <w:rsid w:val="00AB00A9"/>
    <w:rsid w:val="00AB1736"/>
    <w:rsid w:val="00AB3EB0"/>
    <w:rsid w:val="00AB4489"/>
    <w:rsid w:val="00AB68CA"/>
    <w:rsid w:val="00AB6F8B"/>
    <w:rsid w:val="00AC1CBE"/>
    <w:rsid w:val="00AC23E9"/>
    <w:rsid w:val="00AC2556"/>
    <w:rsid w:val="00AC306E"/>
    <w:rsid w:val="00AC3841"/>
    <w:rsid w:val="00AC38C1"/>
    <w:rsid w:val="00AC4720"/>
    <w:rsid w:val="00AC4C4E"/>
    <w:rsid w:val="00AC5982"/>
    <w:rsid w:val="00AC5A25"/>
    <w:rsid w:val="00AC7374"/>
    <w:rsid w:val="00AC7ACA"/>
    <w:rsid w:val="00AD0395"/>
    <w:rsid w:val="00AD1609"/>
    <w:rsid w:val="00AD209D"/>
    <w:rsid w:val="00AD317A"/>
    <w:rsid w:val="00AD3656"/>
    <w:rsid w:val="00AD4742"/>
    <w:rsid w:val="00AD4DA6"/>
    <w:rsid w:val="00AD5E5C"/>
    <w:rsid w:val="00AD6531"/>
    <w:rsid w:val="00AD6579"/>
    <w:rsid w:val="00AD6815"/>
    <w:rsid w:val="00AD7A73"/>
    <w:rsid w:val="00AD7B70"/>
    <w:rsid w:val="00AE0A3B"/>
    <w:rsid w:val="00AE157B"/>
    <w:rsid w:val="00AE21ED"/>
    <w:rsid w:val="00AE26D9"/>
    <w:rsid w:val="00AE29D7"/>
    <w:rsid w:val="00AE3352"/>
    <w:rsid w:val="00AE345F"/>
    <w:rsid w:val="00AE3588"/>
    <w:rsid w:val="00AE4BDE"/>
    <w:rsid w:val="00AE5175"/>
    <w:rsid w:val="00AE5947"/>
    <w:rsid w:val="00AE5F7A"/>
    <w:rsid w:val="00AE7465"/>
    <w:rsid w:val="00AF0239"/>
    <w:rsid w:val="00AF09F4"/>
    <w:rsid w:val="00AF1D59"/>
    <w:rsid w:val="00AF358B"/>
    <w:rsid w:val="00AF3864"/>
    <w:rsid w:val="00AF5AA3"/>
    <w:rsid w:val="00AF73D5"/>
    <w:rsid w:val="00AF7DE1"/>
    <w:rsid w:val="00B000E3"/>
    <w:rsid w:val="00B0041B"/>
    <w:rsid w:val="00B0060C"/>
    <w:rsid w:val="00B015D1"/>
    <w:rsid w:val="00B01D20"/>
    <w:rsid w:val="00B01F2F"/>
    <w:rsid w:val="00B029EB"/>
    <w:rsid w:val="00B03229"/>
    <w:rsid w:val="00B03DEA"/>
    <w:rsid w:val="00B04646"/>
    <w:rsid w:val="00B049ED"/>
    <w:rsid w:val="00B05414"/>
    <w:rsid w:val="00B05BD1"/>
    <w:rsid w:val="00B1007B"/>
    <w:rsid w:val="00B107EE"/>
    <w:rsid w:val="00B1092B"/>
    <w:rsid w:val="00B112D7"/>
    <w:rsid w:val="00B1268D"/>
    <w:rsid w:val="00B12CEE"/>
    <w:rsid w:val="00B150DA"/>
    <w:rsid w:val="00B178C3"/>
    <w:rsid w:val="00B205A1"/>
    <w:rsid w:val="00B207EC"/>
    <w:rsid w:val="00B20825"/>
    <w:rsid w:val="00B20A88"/>
    <w:rsid w:val="00B21C72"/>
    <w:rsid w:val="00B21CAD"/>
    <w:rsid w:val="00B22E84"/>
    <w:rsid w:val="00B23223"/>
    <w:rsid w:val="00B23BF4"/>
    <w:rsid w:val="00B2521A"/>
    <w:rsid w:val="00B256E9"/>
    <w:rsid w:val="00B25C29"/>
    <w:rsid w:val="00B275BE"/>
    <w:rsid w:val="00B30BD0"/>
    <w:rsid w:val="00B369C0"/>
    <w:rsid w:val="00B37199"/>
    <w:rsid w:val="00B371B7"/>
    <w:rsid w:val="00B3753C"/>
    <w:rsid w:val="00B3784A"/>
    <w:rsid w:val="00B41080"/>
    <w:rsid w:val="00B41398"/>
    <w:rsid w:val="00B4262B"/>
    <w:rsid w:val="00B433AF"/>
    <w:rsid w:val="00B43518"/>
    <w:rsid w:val="00B5017F"/>
    <w:rsid w:val="00B50BF2"/>
    <w:rsid w:val="00B51316"/>
    <w:rsid w:val="00B514AB"/>
    <w:rsid w:val="00B5153D"/>
    <w:rsid w:val="00B51626"/>
    <w:rsid w:val="00B529D9"/>
    <w:rsid w:val="00B52F04"/>
    <w:rsid w:val="00B531B3"/>
    <w:rsid w:val="00B546C2"/>
    <w:rsid w:val="00B54B4A"/>
    <w:rsid w:val="00B54C68"/>
    <w:rsid w:val="00B5517D"/>
    <w:rsid w:val="00B551B2"/>
    <w:rsid w:val="00B56317"/>
    <w:rsid w:val="00B565C3"/>
    <w:rsid w:val="00B56A72"/>
    <w:rsid w:val="00B578FD"/>
    <w:rsid w:val="00B606E1"/>
    <w:rsid w:val="00B60EFB"/>
    <w:rsid w:val="00B61D1E"/>
    <w:rsid w:val="00B6265D"/>
    <w:rsid w:val="00B62B94"/>
    <w:rsid w:val="00B64BE5"/>
    <w:rsid w:val="00B651C5"/>
    <w:rsid w:val="00B65C50"/>
    <w:rsid w:val="00B6669F"/>
    <w:rsid w:val="00B677D6"/>
    <w:rsid w:val="00B70369"/>
    <w:rsid w:val="00B70E27"/>
    <w:rsid w:val="00B715AF"/>
    <w:rsid w:val="00B715CF"/>
    <w:rsid w:val="00B726C8"/>
    <w:rsid w:val="00B729AF"/>
    <w:rsid w:val="00B73335"/>
    <w:rsid w:val="00B738E0"/>
    <w:rsid w:val="00B74D9F"/>
    <w:rsid w:val="00B74E7E"/>
    <w:rsid w:val="00B75A30"/>
    <w:rsid w:val="00B76803"/>
    <w:rsid w:val="00B769B3"/>
    <w:rsid w:val="00B77588"/>
    <w:rsid w:val="00B7797B"/>
    <w:rsid w:val="00B808EF"/>
    <w:rsid w:val="00B8092B"/>
    <w:rsid w:val="00B80EE7"/>
    <w:rsid w:val="00B810B6"/>
    <w:rsid w:val="00B812EE"/>
    <w:rsid w:val="00B82878"/>
    <w:rsid w:val="00B85E82"/>
    <w:rsid w:val="00B8654F"/>
    <w:rsid w:val="00B8681D"/>
    <w:rsid w:val="00B86855"/>
    <w:rsid w:val="00B8714A"/>
    <w:rsid w:val="00B87C1A"/>
    <w:rsid w:val="00B87F86"/>
    <w:rsid w:val="00B903D8"/>
    <w:rsid w:val="00B90A09"/>
    <w:rsid w:val="00B910B8"/>
    <w:rsid w:val="00B91AC5"/>
    <w:rsid w:val="00B91D09"/>
    <w:rsid w:val="00B939D1"/>
    <w:rsid w:val="00B940E9"/>
    <w:rsid w:val="00B941FA"/>
    <w:rsid w:val="00B9428D"/>
    <w:rsid w:val="00B9494E"/>
    <w:rsid w:val="00B94AA0"/>
    <w:rsid w:val="00B96A25"/>
    <w:rsid w:val="00B97720"/>
    <w:rsid w:val="00BA0590"/>
    <w:rsid w:val="00BA1420"/>
    <w:rsid w:val="00BA35D1"/>
    <w:rsid w:val="00BA3F06"/>
    <w:rsid w:val="00BA60F7"/>
    <w:rsid w:val="00BA6A8E"/>
    <w:rsid w:val="00BA6D2B"/>
    <w:rsid w:val="00BA6DCB"/>
    <w:rsid w:val="00BA6F2C"/>
    <w:rsid w:val="00BA72C8"/>
    <w:rsid w:val="00BA753D"/>
    <w:rsid w:val="00BB0473"/>
    <w:rsid w:val="00BB0E55"/>
    <w:rsid w:val="00BB1524"/>
    <w:rsid w:val="00BB1C97"/>
    <w:rsid w:val="00BB2479"/>
    <w:rsid w:val="00BB2636"/>
    <w:rsid w:val="00BB2A66"/>
    <w:rsid w:val="00BB2FE2"/>
    <w:rsid w:val="00BB4753"/>
    <w:rsid w:val="00BB5105"/>
    <w:rsid w:val="00BB59AC"/>
    <w:rsid w:val="00BB5D74"/>
    <w:rsid w:val="00BB6897"/>
    <w:rsid w:val="00BB7D7C"/>
    <w:rsid w:val="00BB7E86"/>
    <w:rsid w:val="00BB7F7F"/>
    <w:rsid w:val="00BC04D9"/>
    <w:rsid w:val="00BC0549"/>
    <w:rsid w:val="00BC0A15"/>
    <w:rsid w:val="00BC10D4"/>
    <w:rsid w:val="00BC2F9D"/>
    <w:rsid w:val="00BC4AF5"/>
    <w:rsid w:val="00BC5AF2"/>
    <w:rsid w:val="00BC6849"/>
    <w:rsid w:val="00BC6D48"/>
    <w:rsid w:val="00BD05E4"/>
    <w:rsid w:val="00BD0A6A"/>
    <w:rsid w:val="00BD0FE5"/>
    <w:rsid w:val="00BD1055"/>
    <w:rsid w:val="00BD1D79"/>
    <w:rsid w:val="00BD2FED"/>
    <w:rsid w:val="00BD304A"/>
    <w:rsid w:val="00BD3CC9"/>
    <w:rsid w:val="00BD56AC"/>
    <w:rsid w:val="00BD5C56"/>
    <w:rsid w:val="00BD65F2"/>
    <w:rsid w:val="00BD66D2"/>
    <w:rsid w:val="00BD7269"/>
    <w:rsid w:val="00BD7DFB"/>
    <w:rsid w:val="00BD7E3E"/>
    <w:rsid w:val="00BE1137"/>
    <w:rsid w:val="00BE2D62"/>
    <w:rsid w:val="00BE3A9A"/>
    <w:rsid w:val="00BE489B"/>
    <w:rsid w:val="00BE4D2E"/>
    <w:rsid w:val="00BE696B"/>
    <w:rsid w:val="00BE769D"/>
    <w:rsid w:val="00BE7E7D"/>
    <w:rsid w:val="00BF14C6"/>
    <w:rsid w:val="00BF1B24"/>
    <w:rsid w:val="00BF2C20"/>
    <w:rsid w:val="00BF3381"/>
    <w:rsid w:val="00BF3979"/>
    <w:rsid w:val="00BF44C3"/>
    <w:rsid w:val="00BF44EB"/>
    <w:rsid w:val="00BF4938"/>
    <w:rsid w:val="00BF5D16"/>
    <w:rsid w:val="00BF7453"/>
    <w:rsid w:val="00BF7945"/>
    <w:rsid w:val="00C00C64"/>
    <w:rsid w:val="00C0169E"/>
    <w:rsid w:val="00C01E28"/>
    <w:rsid w:val="00C040C4"/>
    <w:rsid w:val="00C044A9"/>
    <w:rsid w:val="00C05123"/>
    <w:rsid w:val="00C05DEB"/>
    <w:rsid w:val="00C05E7B"/>
    <w:rsid w:val="00C06597"/>
    <w:rsid w:val="00C0729A"/>
    <w:rsid w:val="00C0758B"/>
    <w:rsid w:val="00C07CDB"/>
    <w:rsid w:val="00C10E7F"/>
    <w:rsid w:val="00C10F31"/>
    <w:rsid w:val="00C111AA"/>
    <w:rsid w:val="00C1126A"/>
    <w:rsid w:val="00C11825"/>
    <w:rsid w:val="00C1211F"/>
    <w:rsid w:val="00C12125"/>
    <w:rsid w:val="00C1254F"/>
    <w:rsid w:val="00C12E08"/>
    <w:rsid w:val="00C14F97"/>
    <w:rsid w:val="00C15301"/>
    <w:rsid w:val="00C156BC"/>
    <w:rsid w:val="00C170BF"/>
    <w:rsid w:val="00C17727"/>
    <w:rsid w:val="00C203EA"/>
    <w:rsid w:val="00C219D4"/>
    <w:rsid w:val="00C23240"/>
    <w:rsid w:val="00C23F64"/>
    <w:rsid w:val="00C243A9"/>
    <w:rsid w:val="00C25419"/>
    <w:rsid w:val="00C2629A"/>
    <w:rsid w:val="00C26AB3"/>
    <w:rsid w:val="00C26C35"/>
    <w:rsid w:val="00C273BD"/>
    <w:rsid w:val="00C278E6"/>
    <w:rsid w:val="00C30A6A"/>
    <w:rsid w:val="00C33283"/>
    <w:rsid w:val="00C33C8F"/>
    <w:rsid w:val="00C34114"/>
    <w:rsid w:val="00C347B3"/>
    <w:rsid w:val="00C3489C"/>
    <w:rsid w:val="00C35132"/>
    <w:rsid w:val="00C368F6"/>
    <w:rsid w:val="00C36BBC"/>
    <w:rsid w:val="00C41536"/>
    <w:rsid w:val="00C4245E"/>
    <w:rsid w:val="00C43C93"/>
    <w:rsid w:val="00C44FAC"/>
    <w:rsid w:val="00C454FC"/>
    <w:rsid w:val="00C462F3"/>
    <w:rsid w:val="00C473FB"/>
    <w:rsid w:val="00C506D8"/>
    <w:rsid w:val="00C5122A"/>
    <w:rsid w:val="00C51916"/>
    <w:rsid w:val="00C51DDD"/>
    <w:rsid w:val="00C530B7"/>
    <w:rsid w:val="00C53A7A"/>
    <w:rsid w:val="00C542E6"/>
    <w:rsid w:val="00C5586F"/>
    <w:rsid w:val="00C56AB0"/>
    <w:rsid w:val="00C57554"/>
    <w:rsid w:val="00C57D9A"/>
    <w:rsid w:val="00C607FC"/>
    <w:rsid w:val="00C6146E"/>
    <w:rsid w:val="00C62379"/>
    <w:rsid w:val="00C6247E"/>
    <w:rsid w:val="00C62817"/>
    <w:rsid w:val="00C633B1"/>
    <w:rsid w:val="00C63A56"/>
    <w:rsid w:val="00C63C46"/>
    <w:rsid w:val="00C640A3"/>
    <w:rsid w:val="00C650B7"/>
    <w:rsid w:val="00C656E4"/>
    <w:rsid w:val="00C65B4C"/>
    <w:rsid w:val="00C70A5F"/>
    <w:rsid w:val="00C720B0"/>
    <w:rsid w:val="00C72D29"/>
    <w:rsid w:val="00C73353"/>
    <w:rsid w:val="00C759E5"/>
    <w:rsid w:val="00C764CF"/>
    <w:rsid w:val="00C76999"/>
    <w:rsid w:val="00C76BBD"/>
    <w:rsid w:val="00C76EA9"/>
    <w:rsid w:val="00C77C05"/>
    <w:rsid w:val="00C8110D"/>
    <w:rsid w:val="00C8283C"/>
    <w:rsid w:val="00C83A2A"/>
    <w:rsid w:val="00C849AC"/>
    <w:rsid w:val="00C84C47"/>
    <w:rsid w:val="00C858BD"/>
    <w:rsid w:val="00C8620C"/>
    <w:rsid w:val="00C868A0"/>
    <w:rsid w:val="00C8765E"/>
    <w:rsid w:val="00C91150"/>
    <w:rsid w:val="00C912E0"/>
    <w:rsid w:val="00C91890"/>
    <w:rsid w:val="00C92C09"/>
    <w:rsid w:val="00C949D2"/>
    <w:rsid w:val="00C9536A"/>
    <w:rsid w:val="00C960A1"/>
    <w:rsid w:val="00C97348"/>
    <w:rsid w:val="00C97AA3"/>
    <w:rsid w:val="00CA06B9"/>
    <w:rsid w:val="00CA122D"/>
    <w:rsid w:val="00CA22AF"/>
    <w:rsid w:val="00CA284E"/>
    <w:rsid w:val="00CA58DC"/>
    <w:rsid w:val="00CA6232"/>
    <w:rsid w:val="00CA730E"/>
    <w:rsid w:val="00CA7410"/>
    <w:rsid w:val="00CA7B1F"/>
    <w:rsid w:val="00CB06E5"/>
    <w:rsid w:val="00CB0F89"/>
    <w:rsid w:val="00CB12FA"/>
    <w:rsid w:val="00CB1E6B"/>
    <w:rsid w:val="00CB4267"/>
    <w:rsid w:val="00CB5433"/>
    <w:rsid w:val="00CB5BA0"/>
    <w:rsid w:val="00CB6578"/>
    <w:rsid w:val="00CB7A93"/>
    <w:rsid w:val="00CC0079"/>
    <w:rsid w:val="00CC20F3"/>
    <w:rsid w:val="00CC23C6"/>
    <w:rsid w:val="00CC2DDB"/>
    <w:rsid w:val="00CC3552"/>
    <w:rsid w:val="00CC38B9"/>
    <w:rsid w:val="00CC3EFE"/>
    <w:rsid w:val="00CC40E9"/>
    <w:rsid w:val="00CC50D6"/>
    <w:rsid w:val="00CC57CB"/>
    <w:rsid w:val="00CC6113"/>
    <w:rsid w:val="00CC6863"/>
    <w:rsid w:val="00CC6B3E"/>
    <w:rsid w:val="00CC6B5D"/>
    <w:rsid w:val="00CC73AE"/>
    <w:rsid w:val="00CC7F01"/>
    <w:rsid w:val="00CC7F08"/>
    <w:rsid w:val="00CD0311"/>
    <w:rsid w:val="00CD0A60"/>
    <w:rsid w:val="00CD0B5F"/>
    <w:rsid w:val="00CD10F8"/>
    <w:rsid w:val="00CD15D8"/>
    <w:rsid w:val="00CD1B02"/>
    <w:rsid w:val="00CD2110"/>
    <w:rsid w:val="00CD24D3"/>
    <w:rsid w:val="00CD3C8D"/>
    <w:rsid w:val="00CD4C32"/>
    <w:rsid w:val="00CD5D1A"/>
    <w:rsid w:val="00CD5F4F"/>
    <w:rsid w:val="00CD7D6D"/>
    <w:rsid w:val="00CE0B48"/>
    <w:rsid w:val="00CE0B60"/>
    <w:rsid w:val="00CE101C"/>
    <w:rsid w:val="00CE16EA"/>
    <w:rsid w:val="00CE48F0"/>
    <w:rsid w:val="00CE4D09"/>
    <w:rsid w:val="00CE54E5"/>
    <w:rsid w:val="00CE5613"/>
    <w:rsid w:val="00CE5734"/>
    <w:rsid w:val="00CE5A6F"/>
    <w:rsid w:val="00CE604C"/>
    <w:rsid w:val="00CF043A"/>
    <w:rsid w:val="00CF2D1E"/>
    <w:rsid w:val="00CF34E9"/>
    <w:rsid w:val="00CF38A4"/>
    <w:rsid w:val="00CF41C0"/>
    <w:rsid w:val="00CF64C1"/>
    <w:rsid w:val="00CF65AF"/>
    <w:rsid w:val="00CF6C33"/>
    <w:rsid w:val="00D01935"/>
    <w:rsid w:val="00D0194A"/>
    <w:rsid w:val="00D03B06"/>
    <w:rsid w:val="00D03B28"/>
    <w:rsid w:val="00D03E1A"/>
    <w:rsid w:val="00D04A15"/>
    <w:rsid w:val="00D1104F"/>
    <w:rsid w:val="00D11DF8"/>
    <w:rsid w:val="00D1254F"/>
    <w:rsid w:val="00D13227"/>
    <w:rsid w:val="00D136B1"/>
    <w:rsid w:val="00D14B59"/>
    <w:rsid w:val="00D1521C"/>
    <w:rsid w:val="00D17F72"/>
    <w:rsid w:val="00D20717"/>
    <w:rsid w:val="00D209FE"/>
    <w:rsid w:val="00D21B45"/>
    <w:rsid w:val="00D22274"/>
    <w:rsid w:val="00D229D2"/>
    <w:rsid w:val="00D2311D"/>
    <w:rsid w:val="00D24917"/>
    <w:rsid w:val="00D24DAB"/>
    <w:rsid w:val="00D24FBD"/>
    <w:rsid w:val="00D25361"/>
    <w:rsid w:val="00D25E54"/>
    <w:rsid w:val="00D26841"/>
    <w:rsid w:val="00D26B58"/>
    <w:rsid w:val="00D27640"/>
    <w:rsid w:val="00D27726"/>
    <w:rsid w:val="00D3012C"/>
    <w:rsid w:val="00D304FA"/>
    <w:rsid w:val="00D3075A"/>
    <w:rsid w:val="00D30AA7"/>
    <w:rsid w:val="00D30AED"/>
    <w:rsid w:val="00D30C1B"/>
    <w:rsid w:val="00D3133C"/>
    <w:rsid w:val="00D31C24"/>
    <w:rsid w:val="00D31D46"/>
    <w:rsid w:val="00D320BB"/>
    <w:rsid w:val="00D328CB"/>
    <w:rsid w:val="00D342A8"/>
    <w:rsid w:val="00D34A25"/>
    <w:rsid w:val="00D351CD"/>
    <w:rsid w:val="00D368A6"/>
    <w:rsid w:val="00D3718B"/>
    <w:rsid w:val="00D378BD"/>
    <w:rsid w:val="00D37D22"/>
    <w:rsid w:val="00D40EA3"/>
    <w:rsid w:val="00D41DD7"/>
    <w:rsid w:val="00D41E11"/>
    <w:rsid w:val="00D43570"/>
    <w:rsid w:val="00D4494A"/>
    <w:rsid w:val="00D4496F"/>
    <w:rsid w:val="00D451B7"/>
    <w:rsid w:val="00D45651"/>
    <w:rsid w:val="00D4751A"/>
    <w:rsid w:val="00D50003"/>
    <w:rsid w:val="00D503FF"/>
    <w:rsid w:val="00D50D39"/>
    <w:rsid w:val="00D513BA"/>
    <w:rsid w:val="00D515AE"/>
    <w:rsid w:val="00D51971"/>
    <w:rsid w:val="00D52457"/>
    <w:rsid w:val="00D53290"/>
    <w:rsid w:val="00D533E5"/>
    <w:rsid w:val="00D53BD7"/>
    <w:rsid w:val="00D544E0"/>
    <w:rsid w:val="00D545E1"/>
    <w:rsid w:val="00D546CF"/>
    <w:rsid w:val="00D548FA"/>
    <w:rsid w:val="00D54DC8"/>
    <w:rsid w:val="00D55737"/>
    <w:rsid w:val="00D55A3D"/>
    <w:rsid w:val="00D55B46"/>
    <w:rsid w:val="00D55C16"/>
    <w:rsid w:val="00D56307"/>
    <w:rsid w:val="00D568D4"/>
    <w:rsid w:val="00D57013"/>
    <w:rsid w:val="00D60369"/>
    <w:rsid w:val="00D60B70"/>
    <w:rsid w:val="00D60FE5"/>
    <w:rsid w:val="00D61161"/>
    <w:rsid w:val="00D61399"/>
    <w:rsid w:val="00D615B7"/>
    <w:rsid w:val="00D6185A"/>
    <w:rsid w:val="00D61978"/>
    <w:rsid w:val="00D61E69"/>
    <w:rsid w:val="00D627CB"/>
    <w:rsid w:val="00D637B7"/>
    <w:rsid w:val="00D63896"/>
    <w:rsid w:val="00D642AF"/>
    <w:rsid w:val="00D6433B"/>
    <w:rsid w:val="00D64535"/>
    <w:rsid w:val="00D67489"/>
    <w:rsid w:val="00D674A5"/>
    <w:rsid w:val="00D703A5"/>
    <w:rsid w:val="00D7078F"/>
    <w:rsid w:val="00D71123"/>
    <w:rsid w:val="00D713E2"/>
    <w:rsid w:val="00D728FD"/>
    <w:rsid w:val="00D73425"/>
    <w:rsid w:val="00D741D9"/>
    <w:rsid w:val="00D74D7F"/>
    <w:rsid w:val="00D7504F"/>
    <w:rsid w:val="00D7700C"/>
    <w:rsid w:val="00D77280"/>
    <w:rsid w:val="00D7772C"/>
    <w:rsid w:val="00D778D2"/>
    <w:rsid w:val="00D80AAA"/>
    <w:rsid w:val="00D81545"/>
    <w:rsid w:val="00D81717"/>
    <w:rsid w:val="00D82533"/>
    <w:rsid w:val="00D84682"/>
    <w:rsid w:val="00D90BDD"/>
    <w:rsid w:val="00D910FF"/>
    <w:rsid w:val="00D9244A"/>
    <w:rsid w:val="00D94180"/>
    <w:rsid w:val="00D94526"/>
    <w:rsid w:val="00D96051"/>
    <w:rsid w:val="00D96E79"/>
    <w:rsid w:val="00D974CD"/>
    <w:rsid w:val="00D9793D"/>
    <w:rsid w:val="00DA19C1"/>
    <w:rsid w:val="00DA1B6F"/>
    <w:rsid w:val="00DA2BD2"/>
    <w:rsid w:val="00DA376B"/>
    <w:rsid w:val="00DA38A1"/>
    <w:rsid w:val="00DA5925"/>
    <w:rsid w:val="00DA6D87"/>
    <w:rsid w:val="00DA6E91"/>
    <w:rsid w:val="00DA7567"/>
    <w:rsid w:val="00DB0237"/>
    <w:rsid w:val="00DB0C61"/>
    <w:rsid w:val="00DB1E1B"/>
    <w:rsid w:val="00DB3AB4"/>
    <w:rsid w:val="00DB3F2D"/>
    <w:rsid w:val="00DB515D"/>
    <w:rsid w:val="00DB527A"/>
    <w:rsid w:val="00DB66F5"/>
    <w:rsid w:val="00DB66F7"/>
    <w:rsid w:val="00DB7A9F"/>
    <w:rsid w:val="00DC02A8"/>
    <w:rsid w:val="00DC070B"/>
    <w:rsid w:val="00DC113D"/>
    <w:rsid w:val="00DC13F5"/>
    <w:rsid w:val="00DC200B"/>
    <w:rsid w:val="00DC2350"/>
    <w:rsid w:val="00DC2612"/>
    <w:rsid w:val="00DC2F31"/>
    <w:rsid w:val="00DC343F"/>
    <w:rsid w:val="00DC44D7"/>
    <w:rsid w:val="00DC4705"/>
    <w:rsid w:val="00DC49C4"/>
    <w:rsid w:val="00DC4D19"/>
    <w:rsid w:val="00DC74A1"/>
    <w:rsid w:val="00DC778A"/>
    <w:rsid w:val="00DD0653"/>
    <w:rsid w:val="00DD121A"/>
    <w:rsid w:val="00DD1DE1"/>
    <w:rsid w:val="00DD23C9"/>
    <w:rsid w:val="00DD3F5E"/>
    <w:rsid w:val="00DD4A43"/>
    <w:rsid w:val="00DD4BC9"/>
    <w:rsid w:val="00DD57E3"/>
    <w:rsid w:val="00DD5D77"/>
    <w:rsid w:val="00DD5EF9"/>
    <w:rsid w:val="00DD7AF5"/>
    <w:rsid w:val="00DE10B1"/>
    <w:rsid w:val="00DE16CB"/>
    <w:rsid w:val="00DE20F7"/>
    <w:rsid w:val="00DE318D"/>
    <w:rsid w:val="00DE3D43"/>
    <w:rsid w:val="00DE3F13"/>
    <w:rsid w:val="00DE454E"/>
    <w:rsid w:val="00DE5B3A"/>
    <w:rsid w:val="00DE5D9B"/>
    <w:rsid w:val="00DE61B2"/>
    <w:rsid w:val="00DE74ED"/>
    <w:rsid w:val="00DF144D"/>
    <w:rsid w:val="00DF2734"/>
    <w:rsid w:val="00DF335B"/>
    <w:rsid w:val="00DF356E"/>
    <w:rsid w:val="00DF3F68"/>
    <w:rsid w:val="00DF5F2F"/>
    <w:rsid w:val="00DF71B0"/>
    <w:rsid w:val="00E01328"/>
    <w:rsid w:val="00E01A0A"/>
    <w:rsid w:val="00E03261"/>
    <w:rsid w:val="00E03AAE"/>
    <w:rsid w:val="00E03F94"/>
    <w:rsid w:val="00E04005"/>
    <w:rsid w:val="00E05D74"/>
    <w:rsid w:val="00E05F3E"/>
    <w:rsid w:val="00E0711A"/>
    <w:rsid w:val="00E07626"/>
    <w:rsid w:val="00E10C54"/>
    <w:rsid w:val="00E11069"/>
    <w:rsid w:val="00E11194"/>
    <w:rsid w:val="00E11612"/>
    <w:rsid w:val="00E13142"/>
    <w:rsid w:val="00E134D8"/>
    <w:rsid w:val="00E13E5C"/>
    <w:rsid w:val="00E14273"/>
    <w:rsid w:val="00E146D1"/>
    <w:rsid w:val="00E148C8"/>
    <w:rsid w:val="00E14D09"/>
    <w:rsid w:val="00E15A29"/>
    <w:rsid w:val="00E16D7B"/>
    <w:rsid w:val="00E17EA4"/>
    <w:rsid w:val="00E224E4"/>
    <w:rsid w:val="00E2281C"/>
    <w:rsid w:val="00E235D5"/>
    <w:rsid w:val="00E2464B"/>
    <w:rsid w:val="00E25BB4"/>
    <w:rsid w:val="00E26B1A"/>
    <w:rsid w:val="00E26E36"/>
    <w:rsid w:val="00E271EF"/>
    <w:rsid w:val="00E27CE7"/>
    <w:rsid w:val="00E27F62"/>
    <w:rsid w:val="00E30C3D"/>
    <w:rsid w:val="00E3194A"/>
    <w:rsid w:val="00E32F50"/>
    <w:rsid w:val="00E34566"/>
    <w:rsid w:val="00E34FF9"/>
    <w:rsid w:val="00E36971"/>
    <w:rsid w:val="00E36DC8"/>
    <w:rsid w:val="00E3766A"/>
    <w:rsid w:val="00E37A18"/>
    <w:rsid w:val="00E37EBD"/>
    <w:rsid w:val="00E40A9D"/>
    <w:rsid w:val="00E42545"/>
    <w:rsid w:val="00E42CC0"/>
    <w:rsid w:val="00E44487"/>
    <w:rsid w:val="00E44B25"/>
    <w:rsid w:val="00E46132"/>
    <w:rsid w:val="00E46388"/>
    <w:rsid w:val="00E46A82"/>
    <w:rsid w:val="00E47786"/>
    <w:rsid w:val="00E47BD0"/>
    <w:rsid w:val="00E5062B"/>
    <w:rsid w:val="00E507BA"/>
    <w:rsid w:val="00E51426"/>
    <w:rsid w:val="00E51F9A"/>
    <w:rsid w:val="00E527F1"/>
    <w:rsid w:val="00E5336D"/>
    <w:rsid w:val="00E54A6D"/>
    <w:rsid w:val="00E558EA"/>
    <w:rsid w:val="00E55AD6"/>
    <w:rsid w:val="00E56156"/>
    <w:rsid w:val="00E56F2E"/>
    <w:rsid w:val="00E57538"/>
    <w:rsid w:val="00E5793F"/>
    <w:rsid w:val="00E6036C"/>
    <w:rsid w:val="00E606C2"/>
    <w:rsid w:val="00E61D9A"/>
    <w:rsid w:val="00E6310A"/>
    <w:rsid w:val="00E632DB"/>
    <w:rsid w:val="00E63E5C"/>
    <w:rsid w:val="00E6523D"/>
    <w:rsid w:val="00E65DA1"/>
    <w:rsid w:val="00E6673F"/>
    <w:rsid w:val="00E67436"/>
    <w:rsid w:val="00E7080E"/>
    <w:rsid w:val="00E733A7"/>
    <w:rsid w:val="00E73AD0"/>
    <w:rsid w:val="00E73CE0"/>
    <w:rsid w:val="00E744B7"/>
    <w:rsid w:val="00E7536C"/>
    <w:rsid w:val="00E75446"/>
    <w:rsid w:val="00E75CA4"/>
    <w:rsid w:val="00E76010"/>
    <w:rsid w:val="00E76021"/>
    <w:rsid w:val="00E762F6"/>
    <w:rsid w:val="00E7765A"/>
    <w:rsid w:val="00E80B07"/>
    <w:rsid w:val="00E8113B"/>
    <w:rsid w:val="00E8173F"/>
    <w:rsid w:val="00E81E1C"/>
    <w:rsid w:val="00E8261C"/>
    <w:rsid w:val="00E82CC7"/>
    <w:rsid w:val="00E83355"/>
    <w:rsid w:val="00E83678"/>
    <w:rsid w:val="00E84D7A"/>
    <w:rsid w:val="00E852D7"/>
    <w:rsid w:val="00E85B79"/>
    <w:rsid w:val="00E866C4"/>
    <w:rsid w:val="00E8741E"/>
    <w:rsid w:val="00E903B7"/>
    <w:rsid w:val="00E90775"/>
    <w:rsid w:val="00E90EFB"/>
    <w:rsid w:val="00E91B46"/>
    <w:rsid w:val="00E91DD7"/>
    <w:rsid w:val="00E9237C"/>
    <w:rsid w:val="00E92949"/>
    <w:rsid w:val="00E92D16"/>
    <w:rsid w:val="00E92E12"/>
    <w:rsid w:val="00E93823"/>
    <w:rsid w:val="00E939F6"/>
    <w:rsid w:val="00E94014"/>
    <w:rsid w:val="00E94B86"/>
    <w:rsid w:val="00E953E2"/>
    <w:rsid w:val="00E958B0"/>
    <w:rsid w:val="00E96030"/>
    <w:rsid w:val="00E97EF8"/>
    <w:rsid w:val="00EA0747"/>
    <w:rsid w:val="00EA0879"/>
    <w:rsid w:val="00EA1792"/>
    <w:rsid w:val="00EA17A4"/>
    <w:rsid w:val="00EA235F"/>
    <w:rsid w:val="00EA2A0B"/>
    <w:rsid w:val="00EA3533"/>
    <w:rsid w:val="00EA3A70"/>
    <w:rsid w:val="00EA4AC7"/>
    <w:rsid w:val="00EA5FAC"/>
    <w:rsid w:val="00EA6764"/>
    <w:rsid w:val="00EA7855"/>
    <w:rsid w:val="00EA7D77"/>
    <w:rsid w:val="00EB0024"/>
    <w:rsid w:val="00EB07E5"/>
    <w:rsid w:val="00EB0960"/>
    <w:rsid w:val="00EB4467"/>
    <w:rsid w:val="00EB463C"/>
    <w:rsid w:val="00EB46AD"/>
    <w:rsid w:val="00EB4731"/>
    <w:rsid w:val="00EB47C3"/>
    <w:rsid w:val="00EB4B32"/>
    <w:rsid w:val="00EB5876"/>
    <w:rsid w:val="00EB5A3E"/>
    <w:rsid w:val="00EB6006"/>
    <w:rsid w:val="00EB6C07"/>
    <w:rsid w:val="00EB6E18"/>
    <w:rsid w:val="00EC0009"/>
    <w:rsid w:val="00EC10B7"/>
    <w:rsid w:val="00EC1BF7"/>
    <w:rsid w:val="00EC36C2"/>
    <w:rsid w:val="00EC3A79"/>
    <w:rsid w:val="00EC3EDF"/>
    <w:rsid w:val="00EC569B"/>
    <w:rsid w:val="00EC5DFE"/>
    <w:rsid w:val="00EC70BA"/>
    <w:rsid w:val="00EC7A90"/>
    <w:rsid w:val="00ED0144"/>
    <w:rsid w:val="00ED03DF"/>
    <w:rsid w:val="00ED17B8"/>
    <w:rsid w:val="00ED17C9"/>
    <w:rsid w:val="00ED19C0"/>
    <w:rsid w:val="00ED22CC"/>
    <w:rsid w:val="00ED2C42"/>
    <w:rsid w:val="00ED4535"/>
    <w:rsid w:val="00ED4BF8"/>
    <w:rsid w:val="00ED4DD6"/>
    <w:rsid w:val="00ED5DB6"/>
    <w:rsid w:val="00ED7251"/>
    <w:rsid w:val="00EE24D1"/>
    <w:rsid w:val="00EE28C9"/>
    <w:rsid w:val="00EE2FE2"/>
    <w:rsid w:val="00EE36E7"/>
    <w:rsid w:val="00EE4D41"/>
    <w:rsid w:val="00EE56FA"/>
    <w:rsid w:val="00EE575F"/>
    <w:rsid w:val="00EE75A5"/>
    <w:rsid w:val="00EE7D79"/>
    <w:rsid w:val="00EF0656"/>
    <w:rsid w:val="00EF0F3A"/>
    <w:rsid w:val="00EF129E"/>
    <w:rsid w:val="00EF1A7B"/>
    <w:rsid w:val="00EF1BBA"/>
    <w:rsid w:val="00EF2540"/>
    <w:rsid w:val="00EF5014"/>
    <w:rsid w:val="00EF63E9"/>
    <w:rsid w:val="00F00382"/>
    <w:rsid w:val="00F013AC"/>
    <w:rsid w:val="00F016B1"/>
    <w:rsid w:val="00F01C10"/>
    <w:rsid w:val="00F04190"/>
    <w:rsid w:val="00F0629E"/>
    <w:rsid w:val="00F06DED"/>
    <w:rsid w:val="00F1018D"/>
    <w:rsid w:val="00F102F8"/>
    <w:rsid w:val="00F110D3"/>
    <w:rsid w:val="00F112F2"/>
    <w:rsid w:val="00F113A5"/>
    <w:rsid w:val="00F11467"/>
    <w:rsid w:val="00F117D9"/>
    <w:rsid w:val="00F12494"/>
    <w:rsid w:val="00F124D0"/>
    <w:rsid w:val="00F12B9D"/>
    <w:rsid w:val="00F13C53"/>
    <w:rsid w:val="00F14A87"/>
    <w:rsid w:val="00F14DB1"/>
    <w:rsid w:val="00F14EEA"/>
    <w:rsid w:val="00F17099"/>
    <w:rsid w:val="00F17447"/>
    <w:rsid w:val="00F201C1"/>
    <w:rsid w:val="00F24B2B"/>
    <w:rsid w:val="00F24B49"/>
    <w:rsid w:val="00F2660F"/>
    <w:rsid w:val="00F26E96"/>
    <w:rsid w:val="00F272A5"/>
    <w:rsid w:val="00F27376"/>
    <w:rsid w:val="00F27C7A"/>
    <w:rsid w:val="00F27D9F"/>
    <w:rsid w:val="00F31447"/>
    <w:rsid w:val="00F323C2"/>
    <w:rsid w:val="00F33249"/>
    <w:rsid w:val="00F33885"/>
    <w:rsid w:val="00F34772"/>
    <w:rsid w:val="00F34C7D"/>
    <w:rsid w:val="00F35083"/>
    <w:rsid w:val="00F35D24"/>
    <w:rsid w:val="00F35F23"/>
    <w:rsid w:val="00F3641A"/>
    <w:rsid w:val="00F36A63"/>
    <w:rsid w:val="00F37007"/>
    <w:rsid w:val="00F409A0"/>
    <w:rsid w:val="00F41498"/>
    <w:rsid w:val="00F41A07"/>
    <w:rsid w:val="00F4334C"/>
    <w:rsid w:val="00F43753"/>
    <w:rsid w:val="00F4382E"/>
    <w:rsid w:val="00F441B8"/>
    <w:rsid w:val="00F456CC"/>
    <w:rsid w:val="00F45CC1"/>
    <w:rsid w:val="00F4602F"/>
    <w:rsid w:val="00F46836"/>
    <w:rsid w:val="00F46E5D"/>
    <w:rsid w:val="00F5041B"/>
    <w:rsid w:val="00F51504"/>
    <w:rsid w:val="00F51544"/>
    <w:rsid w:val="00F517E7"/>
    <w:rsid w:val="00F5252E"/>
    <w:rsid w:val="00F5299B"/>
    <w:rsid w:val="00F53362"/>
    <w:rsid w:val="00F5381A"/>
    <w:rsid w:val="00F5496B"/>
    <w:rsid w:val="00F5554A"/>
    <w:rsid w:val="00F55DDF"/>
    <w:rsid w:val="00F5607E"/>
    <w:rsid w:val="00F560E0"/>
    <w:rsid w:val="00F60746"/>
    <w:rsid w:val="00F615A4"/>
    <w:rsid w:val="00F61718"/>
    <w:rsid w:val="00F625A3"/>
    <w:rsid w:val="00F625D6"/>
    <w:rsid w:val="00F62C18"/>
    <w:rsid w:val="00F63CB1"/>
    <w:rsid w:val="00F651EE"/>
    <w:rsid w:val="00F65919"/>
    <w:rsid w:val="00F66264"/>
    <w:rsid w:val="00F66A04"/>
    <w:rsid w:val="00F677CA"/>
    <w:rsid w:val="00F732B2"/>
    <w:rsid w:val="00F732CD"/>
    <w:rsid w:val="00F740E9"/>
    <w:rsid w:val="00F74336"/>
    <w:rsid w:val="00F745AD"/>
    <w:rsid w:val="00F745F7"/>
    <w:rsid w:val="00F749F3"/>
    <w:rsid w:val="00F776BD"/>
    <w:rsid w:val="00F80FDE"/>
    <w:rsid w:val="00F810AB"/>
    <w:rsid w:val="00F812CF"/>
    <w:rsid w:val="00F8178A"/>
    <w:rsid w:val="00F833E6"/>
    <w:rsid w:val="00F8355B"/>
    <w:rsid w:val="00F84819"/>
    <w:rsid w:val="00F84CA3"/>
    <w:rsid w:val="00F85239"/>
    <w:rsid w:val="00F85337"/>
    <w:rsid w:val="00F85B3C"/>
    <w:rsid w:val="00F86CBE"/>
    <w:rsid w:val="00F90261"/>
    <w:rsid w:val="00F91A7B"/>
    <w:rsid w:val="00F93543"/>
    <w:rsid w:val="00F94314"/>
    <w:rsid w:val="00F946A3"/>
    <w:rsid w:val="00F946E9"/>
    <w:rsid w:val="00F948A7"/>
    <w:rsid w:val="00F95740"/>
    <w:rsid w:val="00F9633E"/>
    <w:rsid w:val="00F96768"/>
    <w:rsid w:val="00F96A0A"/>
    <w:rsid w:val="00F97094"/>
    <w:rsid w:val="00FA1016"/>
    <w:rsid w:val="00FA453A"/>
    <w:rsid w:val="00FA796E"/>
    <w:rsid w:val="00FB01EE"/>
    <w:rsid w:val="00FB0FCE"/>
    <w:rsid w:val="00FB1314"/>
    <w:rsid w:val="00FB13A5"/>
    <w:rsid w:val="00FB1646"/>
    <w:rsid w:val="00FB1AAA"/>
    <w:rsid w:val="00FB1D23"/>
    <w:rsid w:val="00FB413F"/>
    <w:rsid w:val="00FB44FF"/>
    <w:rsid w:val="00FB49F5"/>
    <w:rsid w:val="00FB4D05"/>
    <w:rsid w:val="00FB6172"/>
    <w:rsid w:val="00FB6D81"/>
    <w:rsid w:val="00FB7384"/>
    <w:rsid w:val="00FB7D1A"/>
    <w:rsid w:val="00FC133E"/>
    <w:rsid w:val="00FC16FE"/>
    <w:rsid w:val="00FC1963"/>
    <w:rsid w:val="00FC1C71"/>
    <w:rsid w:val="00FC336A"/>
    <w:rsid w:val="00FC37A9"/>
    <w:rsid w:val="00FC4660"/>
    <w:rsid w:val="00FC49B9"/>
    <w:rsid w:val="00FC4E95"/>
    <w:rsid w:val="00FC582E"/>
    <w:rsid w:val="00FC5F7C"/>
    <w:rsid w:val="00FC6506"/>
    <w:rsid w:val="00FC6DDB"/>
    <w:rsid w:val="00FC7360"/>
    <w:rsid w:val="00FC7DEA"/>
    <w:rsid w:val="00FD0018"/>
    <w:rsid w:val="00FD0575"/>
    <w:rsid w:val="00FD068B"/>
    <w:rsid w:val="00FD07A6"/>
    <w:rsid w:val="00FD2218"/>
    <w:rsid w:val="00FD24D0"/>
    <w:rsid w:val="00FD2551"/>
    <w:rsid w:val="00FD2C2D"/>
    <w:rsid w:val="00FD2F9A"/>
    <w:rsid w:val="00FD47B9"/>
    <w:rsid w:val="00FD5590"/>
    <w:rsid w:val="00FD5F54"/>
    <w:rsid w:val="00FD6268"/>
    <w:rsid w:val="00FD6B86"/>
    <w:rsid w:val="00FD6C53"/>
    <w:rsid w:val="00FD6E32"/>
    <w:rsid w:val="00FD7261"/>
    <w:rsid w:val="00FD7532"/>
    <w:rsid w:val="00FE0DFA"/>
    <w:rsid w:val="00FE10B9"/>
    <w:rsid w:val="00FE1552"/>
    <w:rsid w:val="00FE1A3A"/>
    <w:rsid w:val="00FE1BC8"/>
    <w:rsid w:val="00FE1C76"/>
    <w:rsid w:val="00FE2473"/>
    <w:rsid w:val="00FE26D2"/>
    <w:rsid w:val="00FE29EF"/>
    <w:rsid w:val="00FE2B23"/>
    <w:rsid w:val="00FE2BDA"/>
    <w:rsid w:val="00FE3C7C"/>
    <w:rsid w:val="00FE5DFE"/>
    <w:rsid w:val="00FE6ABB"/>
    <w:rsid w:val="00FE76C7"/>
    <w:rsid w:val="00FE7E7F"/>
    <w:rsid w:val="00FF19DA"/>
    <w:rsid w:val="00FF442C"/>
    <w:rsid w:val="00FF4644"/>
    <w:rsid w:val="00FF598D"/>
    <w:rsid w:val="00FF5F06"/>
    <w:rsid w:val="00FF6844"/>
    <w:rsid w:val="00FF6F55"/>
    <w:rsid w:val="00FF734F"/>
    <w:rsid w:val="00FF76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nhideWhenUsed="0"/>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locked="0" w:uiPriority="35" w:unhideWhenUsed="0" w:qFormat="1"/>
    <w:lsdException w:name="table of figures" w:qFormat="1"/>
    <w:lsdException w:name="footnote reference" w:qFormat="1"/>
    <w:lsdException w:name="List" w:qFormat="1"/>
    <w:lsdException w:name="List Bullet" w:uiPriority="0" w:qFormat="1"/>
    <w:lsdException w:name="Title" w:semiHidden="0" w:uiPriority="0" w:unhideWhenUsed="0" w:qFormat="1"/>
    <w:lsdException w:name="Default Paragraph Font" w:uiPriority="1"/>
    <w:lsdException w:name="Subtitle" w:semiHidden="0" w:uiPriority="11" w:unhideWhenUsed="0" w:qFormat="1"/>
    <w:lsdException w:name="Strong" w:locked="0" w:uiPriority="22" w:unhideWhenUsed="0" w:qFormat="1"/>
    <w:lsdException w:name="Emphasis" w:locked="0" w:uiPriority="20" w:unhideWhenUsed="0" w:qFormat="1"/>
    <w:lsdException w:name="Table Grid" w:semiHidden="0" w:uiPriority="39" w:unhideWhenUsed="0"/>
    <w:lsdException w:name="Placeholder Text" w:locked="0" w:unhideWhenUsed="0"/>
    <w:lsdException w:name="No Spacing" w:locked="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uiPriority="34" w:unhideWhenUsed="0" w:qFormat="1"/>
    <w:lsdException w:name="Quote" w:locked="0" w:uiPriority="29" w:unhideWhenUsed="0" w:qFormat="1"/>
    <w:lsdException w:name="Intense Quote" w:locked="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uiPriority="19" w:unhideWhenUsed="0" w:qFormat="1"/>
    <w:lsdException w:name="Intense Emphasis" w:locked="0" w:uiPriority="21" w:unhideWhenUsed="0" w:qFormat="1"/>
    <w:lsdException w:name="Subtle Reference" w:locked="0" w:uiPriority="31" w:unhideWhenUsed="0" w:qFormat="1"/>
    <w:lsdException w:name="Intense Reference" w:locked="0" w:uiPriority="32" w:unhideWhenUsed="0" w:qFormat="1"/>
    <w:lsdException w:name="Book Title" w:locked="0" w:semiHidden="0" w:uiPriority="33" w:unhideWhenUsed="0" w:qFormat="1"/>
    <w:lsdException w:name="Bibliography" w:locked="0" w:uiPriority="37"/>
    <w:lsdException w:name="TOC Heading" w:locked="0" w:uiPriority="39" w:unhideWhenUsed="0" w:qFormat="1"/>
  </w:latentStyles>
  <w:style w:type="paragraph" w:default="1" w:styleId="Normal">
    <w:name w:val="Normal"/>
    <w:qFormat/>
    <w:rsid w:val="00D515AE"/>
    <w:rPr>
      <w:sz w:val="22"/>
    </w:rPr>
  </w:style>
  <w:style w:type="paragraph" w:styleId="Heading1">
    <w:name w:val="heading 1"/>
    <w:aliases w:val="Cover title white"/>
    <w:next w:val="Normal"/>
    <w:link w:val="Heading1Char"/>
    <w:qFormat/>
    <w:rsid w:val="00D515AE"/>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qFormat/>
    <w:rsid w:val="00237B31"/>
    <w:pPr>
      <w:keepNext/>
      <w:numPr>
        <w:numId w:val="0"/>
      </w:numPr>
      <w:outlineLvl w:val="1"/>
    </w:pPr>
  </w:style>
  <w:style w:type="paragraph" w:styleId="Heading3">
    <w:name w:val="heading 3"/>
    <w:basedOn w:val="Normal"/>
    <w:next w:val="Normal"/>
    <w:link w:val="Heading3Char"/>
    <w:uiPriority w:val="99"/>
    <w:rsid w:val="005909B9"/>
    <w:pPr>
      <w:spacing w:before="200" w:after="120" w:line="271" w:lineRule="auto"/>
      <w:outlineLvl w:val="2"/>
    </w:pPr>
    <w:rPr>
      <w:rFonts w:ascii="Cambria" w:hAnsi="Cambria" w:cs="Cambria"/>
      <w:b/>
      <w:bCs/>
    </w:rPr>
  </w:style>
  <w:style w:type="paragraph" w:styleId="Heading4">
    <w:name w:val="heading 4"/>
    <w:basedOn w:val="Normal"/>
    <w:next w:val="Normal"/>
    <w:link w:val="Heading4Char"/>
    <w:uiPriority w:val="9"/>
    <w:qFormat/>
    <w:rsid w:val="00D515AE"/>
    <w:pPr>
      <w:keepNext/>
      <w:keepLines/>
      <w:numPr>
        <w:ilvl w:val="3"/>
        <w:numId w:val="34"/>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qFormat/>
    <w:locked/>
    <w:rsid w:val="00D515AE"/>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qFormat/>
    <w:locked/>
    <w:rsid w:val="00D515AE"/>
    <w:pPr>
      <w:keepNext/>
      <w:keepLines/>
      <w:numPr>
        <w:ilvl w:val="5"/>
        <w:numId w:val="34"/>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qFormat/>
    <w:locked/>
    <w:rsid w:val="00D515AE"/>
    <w:pPr>
      <w:keepNext/>
      <w:keepLines/>
      <w:numPr>
        <w:ilvl w:val="6"/>
        <w:numId w:val="3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locked/>
    <w:rsid w:val="00D515AE"/>
    <w:pPr>
      <w:keepNext/>
      <w:keepLines/>
      <w:numPr>
        <w:ilvl w:val="7"/>
        <w:numId w:val="3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qFormat/>
    <w:locked/>
    <w:rsid w:val="00D515AE"/>
    <w:pPr>
      <w:keepNext/>
      <w:keepLines/>
      <w:numPr>
        <w:ilvl w:val="8"/>
        <w:numId w:val="3"/>
      </w:numPr>
      <w:spacing w:before="200"/>
      <w:ind w:left="1584" w:hanging="14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locked/>
    <w:rsid w:val="00D515AE"/>
    <w:rPr>
      <w:rFonts w:asciiTheme="majorHAnsi" w:eastAsiaTheme="majorEastAsia" w:hAnsiTheme="majorHAnsi" w:cstheme="majorBidi"/>
      <w:b/>
      <w:bCs/>
      <w:caps/>
      <w:color w:val="FFFFFF" w:themeColor="background1"/>
      <w:sz w:val="40"/>
      <w:szCs w:val="40"/>
    </w:rPr>
  </w:style>
  <w:style w:type="character" w:customStyle="1" w:styleId="Heading2Char">
    <w:name w:val="Heading 2 Char"/>
    <w:basedOn w:val="DefaultParagraphFont"/>
    <w:link w:val="Heading2"/>
    <w:uiPriority w:val="9"/>
    <w:locked/>
    <w:rsid w:val="00237B31"/>
    <w:rPr>
      <w:rFonts w:asciiTheme="majorHAnsi" w:eastAsiaTheme="majorEastAsia" w:hAnsiTheme="majorHAnsi" w:cstheme="majorBidi"/>
      <w:color w:val="2F5773" w:themeColor="text2"/>
      <w:spacing w:val="5"/>
      <w:kern w:val="28"/>
      <w:sz w:val="52"/>
      <w:szCs w:val="52"/>
    </w:rPr>
  </w:style>
  <w:style w:type="character" w:customStyle="1" w:styleId="Heading3Char">
    <w:name w:val="Heading 3 Char"/>
    <w:basedOn w:val="DefaultParagraphFont"/>
    <w:link w:val="Heading3"/>
    <w:uiPriority w:val="99"/>
    <w:locked/>
    <w:rsid w:val="005909B9"/>
    <w:rPr>
      <w:rFonts w:ascii="Cambria" w:hAnsi="Cambria" w:cs="Cambria"/>
      <w:b/>
      <w:bCs/>
      <w:sz w:val="22"/>
      <w:szCs w:val="22"/>
      <w:lang w:eastAsia="en-US"/>
    </w:rPr>
  </w:style>
  <w:style w:type="character" w:customStyle="1" w:styleId="Heading4Char">
    <w:name w:val="Heading 4 Char"/>
    <w:basedOn w:val="DefaultParagraphFont"/>
    <w:link w:val="Heading4"/>
    <w:uiPriority w:val="9"/>
    <w:locked/>
    <w:rsid w:val="00D515AE"/>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locked/>
    <w:rsid w:val="00D515AE"/>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locked/>
    <w:rsid w:val="00D515AE"/>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locked/>
    <w:rsid w:val="00D515AE"/>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locked/>
    <w:rsid w:val="00D515A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locked/>
    <w:rsid w:val="00D515AE"/>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1D739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64CBE"/>
    <w:rPr>
      <w:sz w:val="2"/>
      <w:szCs w:val="2"/>
    </w:rPr>
  </w:style>
  <w:style w:type="paragraph" w:styleId="Header">
    <w:name w:val="header"/>
    <w:basedOn w:val="Normal"/>
    <w:link w:val="HeaderChar"/>
    <w:uiPriority w:val="99"/>
    <w:rsid w:val="007273C7"/>
    <w:pPr>
      <w:tabs>
        <w:tab w:val="center" w:pos="4153"/>
        <w:tab w:val="right" w:pos="8306"/>
      </w:tabs>
    </w:pPr>
  </w:style>
  <w:style w:type="character" w:customStyle="1" w:styleId="HeaderChar">
    <w:name w:val="Header Char"/>
    <w:basedOn w:val="DefaultParagraphFont"/>
    <w:link w:val="Header"/>
    <w:uiPriority w:val="99"/>
    <w:semiHidden/>
    <w:locked/>
    <w:rsid w:val="00264CBE"/>
    <w:rPr>
      <w:rFonts w:ascii="Arial" w:hAnsi="Arial" w:cs="Arial"/>
    </w:rPr>
  </w:style>
  <w:style w:type="paragraph" w:styleId="Footer">
    <w:name w:val="footer"/>
    <w:basedOn w:val="Normal"/>
    <w:link w:val="FooterChar"/>
    <w:uiPriority w:val="99"/>
    <w:rsid w:val="007273C7"/>
    <w:pPr>
      <w:tabs>
        <w:tab w:val="center" w:pos="4153"/>
        <w:tab w:val="right" w:pos="8306"/>
      </w:tabs>
    </w:pPr>
  </w:style>
  <w:style w:type="character" w:customStyle="1" w:styleId="FooterChar">
    <w:name w:val="Footer Char"/>
    <w:basedOn w:val="DefaultParagraphFont"/>
    <w:link w:val="Footer"/>
    <w:uiPriority w:val="99"/>
    <w:locked/>
    <w:rsid w:val="00AA5E7A"/>
    <w:rPr>
      <w:rFonts w:ascii="Arial" w:hAnsi="Arial" w:cs="Arial"/>
      <w:sz w:val="22"/>
      <w:szCs w:val="22"/>
      <w:lang w:val="en-GB" w:eastAsia="en-GB"/>
    </w:rPr>
  </w:style>
  <w:style w:type="table" w:styleId="TableGrid">
    <w:name w:val="Table Grid"/>
    <w:basedOn w:val="TableNormal"/>
    <w:uiPriority w:val="39"/>
    <w:rsid w:val="007273C7"/>
    <w:pPr>
      <w:spacing w:after="240"/>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body"/>
    <w:link w:val="FootnoteTextChar"/>
    <w:autoRedefine/>
    <w:uiPriority w:val="99"/>
    <w:qFormat/>
    <w:rsid w:val="00D515AE"/>
    <w:pPr>
      <w:spacing w:before="80" w:after="0" w:line="200" w:lineRule="exact"/>
    </w:pPr>
    <w:rPr>
      <w:sz w:val="18"/>
      <w:szCs w:val="18"/>
    </w:rPr>
  </w:style>
  <w:style w:type="character" w:customStyle="1" w:styleId="FootnoteTextChar">
    <w:name w:val="Footnote Text Char"/>
    <w:basedOn w:val="DefaultParagraphFont"/>
    <w:link w:val="FootnoteText"/>
    <w:uiPriority w:val="99"/>
    <w:locked/>
    <w:rsid w:val="00D515AE"/>
    <w:rPr>
      <w:sz w:val="18"/>
      <w:szCs w:val="18"/>
    </w:rPr>
  </w:style>
  <w:style w:type="character" w:styleId="FootnoteReference">
    <w:name w:val="footnote reference"/>
    <w:basedOn w:val="DefaultParagraphFont"/>
    <w:uiPriority w:val="99"/>
    <w:qFormat/>
    <w:rsid w:val="00D515AE"/>
    <w:rPr>
      <w:rFonts w:asciiTheme="minorHAnsi" w:hAnsiTheme="minorHAnsi"/>
      <w:sz w:val="22"/>
      <w:szCs w:val="18"/>
      <w:vertAlign w:val="superscript"/>
    </w:rPr>
  </w:style>
  <w:style w:type="paragraph" w:styleId="TOC1">
    <w:name w:val="toc 1"/>
    <w:autoRedefine/>
    <w:uiPriority w:val="39"/>
    <w:qFormat/>
    <w:rsid w:val="00D515AE"/>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D515AE"/>
    <w:pPr>
      <w:tabs>
        <w:tab w:val="left" w:pos="529"/>
        <w:tab w:val="right" w:pos="8771"/>
      </w:tabs>
      <w:spacing w:before="80" w:after="80"/>
    </w:pPr>
    <w:rPr>
      <w:noProof/>
      <w:sz w:val="22"/>
      <w:szCs w:val="22"/>
    </w:rPr>
  </w:style>
  <w:style w:type="character" w:styleId="Hyperlink">
    <w:name w:val="Hyperlink"/>
    <w:basedOn w:val="DefaultParagraphFont"/>
    <w:uiPriority w:val="99"/>
    <w:rsid w:val="007839F9"/>
    <w:rPr>
      <w:color w:val="0000FF"/>
      <w:u w:val="single"/>
    </w:rPr>
  </w:style>
  <w:style w:type="paragraph" w:styleId="CommentText">
    <w:name w:val="annotation text"/>
    <w:basedOn w:val="Normal"/>
    <w:link w:val="CommentTextChar2"/>
    <w:uiPriority w:val="99"/>
    <w:semiHidden/>
    <w:rsid w:val="003D16B4"/>
    <w:rPr>
      <w:sz w:val="20"/>
      <w:szCs w:val="20"/>
    </w:rPr>
  </w:style>
  <w:style w:type="character" w:customStyle="1" w:styleId="CommentTextChar">
    <w:name w:val="Comment Text Char"/>
    <w:basedOn w:val="DefaultParagraphFont"/>
    <w:uiPriority w:val="99"/>
    <w:semiHidden/>
    <w:locked/>
    <w:rsid w:val="00E90EFB"/>
    <w:rPr>
      <w:rFonts w:ascii="Arial" w:hAnsi="Arial" w:cs="Arial"/>
      <w:lang w:val="en-GB" w:eastAsia="en-GB"/>
    </w:rPr>
  </w:style>
  <w:style w:type="character" w:styleId="CommentReference">
    <w:name w:val="annotation reference"/>
    <w:basedOn w:val="DefaultParagraphFont"/>
    <w:uiPriority w:val="99"/>
    <w:semiHidden/>
    <w:rsid w:val="003D16B4"/>
    <w:rPr>
      <w:sz w:val="16"/>
      <w:szCs w:val="16"/>
    </w:rPr>
  </w:style>
  <w:style w:type="paragraph" w:customStyle="1" w:styleId="Default">
    <w:name w:val="Default"/>
    <w:rsid w:val="008D40CD"/>
    <w:pPr>
      <w:autoSpaceDE w:val="0"/>
      <w:autoSpaceDN w:val="0"/>
      <w:adjustRightInd w:val="0"/>
      <w:spacing w:after="200" w:line="276" w:lineRule="auto"/>
    </w:pPr>
    <w:rPr>
      <w:rFonts w:ascii="Verdana" w:hAnsi="Verdana" w:cs="Verdana"/>
      <w:color w:val="000000"/>
    </w:rPr>
  </w:style>
  <w:style w:type="paragraph" w:styleId="TOC3">
    <w:name w:val="toc 3"/>
    <w:basedOn w:val="Normal"/>
    <w:next w:val="Normal"/>
    <w:autoRedefine/>
    <w:uiPriority w:val="39"/>
    <w:qFormat/>
    <w:rsid w:val="00D515AE"/>
    <w:pPr>
      <w:tabs>
        <w:tab w:val="right" w:pos="8771"/>
      </w:tabs>
      <w:ind w:left="567"/>
    </w:pPr>
    <w:rPr>
      <w:szCs w:val="22"/>
    </w:rPr>
  </w:style>
  <w:style w:type="paragraph" w:styleId="TOC4">
    <w:name w:val="toc 4"/>
    <w:basedOn w:val="Normal"/>
    <w:next w:val="Normal"/>
    <w:autoRedefine/>
    <w:uiPriority w:val="39"/>
    <w:rsid w:val="00741643"/>
    <w:pPr>
      <w:ind w:left="660"/>
    </w:pPr>
    <w:rPr>
      <w:sz w:val="20"/>
      <w:szCs w:val="20"/>
    </w:rPr>
  </w:style>
  <w:style w:type="paragraph" w:styleId="TOC5">
    <w:name w:val="toc 5"/>
    <w:basedOn w:val="Normal"/>
    <w:next w:val="Normal"/>
    <w:autoRedefine/>
    <w:uiPriority w:val="99"/>
    <w:semiHidden/>
    <w:rsid w:val="00741643"/>
    <w:pPr>
      <w:ind w:left="880"/>
    </w:pPr>
    <w:rPr>
      <w:sz w:val="20"/>
      <w:szCs w:val="20"/>
    </w:rPr>
  </w:style>
  <w:style w:type="paragraph" w:styleId="TOC6">
    <w:name w:val="toc 6"/>
    <w:basedOn w:val="Normal"/>
    <w:next w:val="Normal"/>
    <w:autoRedefine/>
    <w:uiPriority w:val="99"/>
    <w:semiHidden/>
    <w:rsid w:val="00741643"/>
    <w:pPr>
      <w:ind w:left="1100"/>
    </w:pPr>
    <w:rPr>
      <w:sz w:val="20"/>
      <w:szCs w:val="20"/>
    </w:rPr>
  </w:style>
  <w:style w:type="paragraph" w:styleId="TOC7">
    <w:name w:val="toc 7"/>
    <w:basedOn w:val="Normal"/>
    <w:next w:val="Normal"/>
    <w:autoRedefine/>
    <w:uiPriority w:val="99"/>
    <w:semiHidden/>
    <w:rsid w:val="00741643"/>
    <w:pPr>
      <w:ind w:left="1320"/>
    </w:pPr>
    <w:rPr>
      <w:sz w:val="20"/>
      <w:szCs w:val="20"/>
    </w:rPr>
  </w:style>
  <w:style w:type="paragraph" w:styleId="TOC8">
    <w:name w:val="toc 8"/>
    <w:basedOn w:val="Normal"/>
    <w:next w:val="Normal"/>
    <w:autoRedefine/>
    <w:uiPriority w:val="99"/>
    <w:semiHidden/>
    <w:rsid w:val="00741643"/>
    <w:pPr>
      <w:ind w:left="1540"/>
    </w:pPr>
    <w:rPr>
      <w:sz w:val="20"/>
      <w:szCs w:val="20"/>
    </w:rPr>
  </w:style>
  <w:style w:type="paragraph" w:styleId="TOC9">
    <w:name w:val="toc 9"/>
    <w:basedOn w:val="Normal"/>
    <w:next w:val="Normal"/>
    <w:autoRedefine/>
    <w:uiPriority w:val="99"/>
    <w:semiHidden/>
    <w:rsid w:val="00741643"/>
    <w:pPr>
      <w:ind w:left="1760"/>
    </w:pPr>
    <w:rPr>
      <w:sz w:val="20"/>
      <w:szCs w:val="20"/>
    </w:rPr>
  </w:style>
  <w:style w:type="paragraph" w:styleId="CommentSubject">
    <w:name w:val="annotation subject"/>
    <w:basedOn w:val="CommentText"/>
    <w:next w:val="CommentText"/>
    <w:link w:val="CommentSubjectChar"/>
    <w:uiPriority w:val="99"/>
    <w:semiHidden/>
    <w:rsid w:val="00F04190"/>
    <w:rPr>
      <w:b/>
      <w:bCs/>
    </w:rPr>
  </w:style>
  <w:style w:type="character" w:customStyle="1" w:styleId="CommentSubjectChar">
    <w:name w:val="Comment Subject Char"/>
    <w:basedOn w:val="CommentTextChar"/>
    <w:link w:val="CommentSubject"/>
    <w:uiPriority w:val="99"/>
    <w:semiHidden/>
    <w:locked/>
    <w:rsid w:val="00264CBE"/>
    <w:rPr>
      <w:rFonts w:ascii="Arial" w:hAnsi="Arial" w:cs="Arial"/>
      <w:b/>
      <w:bCs/>
      <w:sz w:val="20"/>
      <w:szCs w:val="20"/>
      <w:lang w:val="en-GB" w:eastAsia="en-GB"/>
    </w:rPr>
  </w:style>
  <w:style w:type="character" w:customStyle="1" w:styleId="CommentTextChar2">
    <w:name w:val="Comment Text Char2"/>
    <w:basedOn w:val="DefaultParagraphFont"/>
    <w:link w:val="CommentText"/>
    <w:uiPriority w:val="99"/>
    <w:semiHidden/>
    <w:locked/>
    <w:rsid w:val="005000F6"/>
    <w:rPr>
      <w:rFonts w:ascii="Arial" w:hAnsi="Arial" w:cs="Arial"/>
      <w:lang w:val="en-GB" w:eastAsia="en-GB"/>
    </w:rPr>
  </w:style>
  <w:style w:type="paragraph" w:customStyle="1" w:styleId="Paragraphedeliste1">
    <w:name w:val="Paragraphe de liste1"/>
    <w:basedOn w:val="Normal"/>
    <w:uiPriority w:val="99"/>
    <w:rsid w:val="003F1AE6"/>
    <w:pPr>
      <w:ind w:left="720"/>
    </w:pPr>
    <w:rPr>
      <w:lang w:val="nl-BE"/>
    </w:rPr>
  </w:style>
  <w:style w:type="character" w:customStyle="1" w:styleId="CharChar1">
    <w:name w:val="Char Char1"/>
    <w:basedOn w:val="DefaultParagraphFont"/>
    <w:uiPriority w:val="99"/>
    <w:semiHidden/>
    <w:locked/>
    <w:rsid w:val="003F1AE6"/>
    <w:rPr>
      <w:rFonts w:ascii="Arial" w:hAnsi="Arial" w:cs="Arial"/>
      <w:sz w:val="24"/>
      <w:szCs w:val="24"/>
      <w:lang w:val="en-GB" w:eastAsia="en-GB"/>
    </w:rPr>
  </w:style>
  <w:style w:type="paragraph" w:customStyle="1" w:styleId="ListParagraph1">
    <w:name w:val="List Paragraph1"/>
    <w:basedOn w:val="Normal"/>
    <w:uiPriority w:val="99"/>
    <w:rsid w:val="003F1AE6"/>
    <w:pPr>
      <w:ind w:left="720"/>
    </w:pPr>
  </w:style>
  <w:style w:type="paragraph" w:customStyle="1" w:styleId="Bulleted1">
    <w:name w:val="Bulleted 1"/>
    <w:basedOn w:val="Normal"/>
    <w:uiPriority w:val="99"/>
    <w:rsid w:val="003F1AE6"/>
    <w:pPr>
      <w:numPr>
        <w:numId w:val="1"/>
      </w:numPr>
    </w:pPr>
    <w:rPr>
      <w:rFonts w:ascii="Verdana" w:hAnsi="Verdana" w:cs="Verdana"/>
      <w:color w:val="000000"/>
      <w:sz w:val="20"/>
      <w:szCs w:val="20"/>
      <w:lang w:eastAsia="fi-FI"/>
    </w:rPr>
  </w:style>
  <w:style w:type="character" w:customStyle="1" w:styleId="CharChar">
    <w:name w:val="Char Char"/>
    <w:basedOn w:val="DefaultParagraphFont"/>
    <w:uiPriority w:val="99"/>
    <w:semiHidden/>
    <w:rsid w:val="001A53C6"/>
    <w:rPr>
      <w:rFonts w:ascii="Arial" w:hAnsi="Arial" w:cs="Arial"/>
      <w:lang w:val="en-GB" w:eastAsia="en-GB"/>
    </w:rPr>
  </w:style>
  <w:style w:type="character" w:styleId="PageNumber">
    <w:name w:val="page number"/>
    <w:basedOn w:val="DefaultParagraphFont"/>
    <w:uiPriority w:val="99"/>
    <w:rsid w:val="00D9244A"/>
  </w:style>
  <w:style w:type="character" w:styleId="FollowedHyperlink">
    <w:name w:val="FollowedHyperlink"/>
    <w:basedOn w:val="DefaultParagraphFont"/>
    <w:uiPriority w:val="99"/>
    <w:rsid w:val="00437C12"/>
    <w:rPr>
      <w:color w:val="800080"/>
      <w:u w:val="single"/>
    </w:rPr>
  </w:style>
  <w:style w:type="paragraph" w:customStyle="1" w:styleId="msolistparagraph0">
    <w:name w:val="msolistparagraph"/>
    <w:basedOn w:val="Normal"/>
    <w:uiPriority w:val="99"/>
    <w:rsid w:val="00252FF5"/>
    <w:pPr>
      <w:ind w:left="720"/>
    </w:pPr>
    <w:rPr>
      <w:sz w:val="24"/>
    </w:rPr>
  </w:style>
  <w:style w:type="character" w:customStyle="1" w:styleId="CommentTextChar1">
    <w:name w:val="Comment Text Char1"/>
    <w:basedOn w:val="DefaultParagraphFont"/>
    <w:uiPriority w:val="99"/>
    <w:semiHidden/>
    <w:locked/>
    <w:rsid w:val="00993CD9"/>
    <w:rPr>
      <w:rFonts w:ascii="Arial" w:hAnsi="Arial" w:cs="Arial"/>
      <w:lang w:val="en-GB" w:eastAsia="en-GB"/>
    </w:rPr>
  </w:style>
  <w:style w:type="paragraph" w:styleId="EndnoteText">
    <w:name w:val="endnote text"/>
    <w:basedOn w:val="Normal"/>
    <w:link w:val="EndnoteTextChar"/>
    <w:uiPriority w:val="99"/>
    <w:semiHidden/>
    <w:rsid w:val="00AA5E7A"/>
    <w:rPr>
      <w:sz w:val="20"/>
      <w:szCs w:val="20"/>
    </w:rPr>
  </w:style>
  <w:style w:type="character" w:customStyle="1" w:styleId="EndnoteTextChar">
    <w:name w:val="Endnote Text Char"/>
    <w:basedOn w:val="DefaultParagraphFont"/>
    <w:link w:val="EndnoteText"/>
    <w:uiPriority w:val="99"/>
    <w:locked/>
    <w:rsid w:val="00AA5E7A"/>
    <w:rPr>
      <w:rFonts w:ascii="Arial" w:hAnsi="Arial" w:cs="Arial"/>
      <w:lang w:val="en-GB" w:eastAsia="en-GB"/>
    </w:rPr>
  </w:style>
  <w:style w:type="character" w:styleId="EndnoteReference">
    <w:name w:val="endnote reference"/>
    <w:basedOn w:val="DefaultParagraphFont"/>
    <w:uiPriority w:val="99"/>
    <w:semiHidden/>
    <w:rsid w:val="00AA5E7A"/>
    <w:rPr>
      <w:vertAlign w:val="superscript"/>
    </w:rPr>
  </w:style>
  <w:style w:type="character" w:customStyle="1" w:styleId="CharChar4">
    <w:name w:val="Char Char4"/>
    <w:basedOn w:val="DefaultParagraphFont"/>
    <w:uiPriority w:val="99"/>
    <w:semiHidden/>
    <w:locked/>
    <w:rsid w:val="00012388"/>
    <w:rPr>
      <w:rFonts w:ascii="Verdana" w:hAnsi="Verdana" w:cs="Verdana"/>
      <w:lang w:val="en-GB" w:eastAsia="en-US"/>
    </w:rPr>
  </w:style>
  <w:style w:type="character" w:customStyle="1" w:styleId="CharChar3">
    <w:name w:val="Char Char3"/>
    <w:basedOn w:val="DefaultParagraphFont"/>
    <w:uiPriority w:val="99"/>
    <w:semiHidden/>
    <w:locked/>
    <w:rsid w:val="00012388"/>
    <w:rPr>
      <w:rFonts w:ascii="Arial" w:hAnsi="Arial" w:cs="Arial"/>
      <w:lang w:val="en-GB" w:eastAsia="en-GB"/>
    </w:rPr>
  </w:style>
  <w:style w:type="character" w:customStyle="1" w:styleId="CharChar14">
    <w:name w:val="Char Char14"/>
    <w:basedOn w:val="DefaultParagraphFont"/>
    <w:uiPriority w:val="99"/>
    <w:rsid w:val="00AA2DE2"/>
    <w:rPr>
      <w:rFonts w:ascii="Verdana" w:hAnsi="Verdana" w:cs="Verdana"/>
      <w:b/>
      <w:bCs/>
      <w:color w:val="auto"/>
      <w:sz w:val="28"/>
      <w:szCs w:val="28"/>
    </w:rPr>
  </w:style>
  <w:style w:type="character" w:customStyle="1" w:styleId="CharChar13">
    <w:name w:val="Char Char13"/>
    <w:basedOn w:val="DefaultParagraphFont"/>
    <w:uiPriority w:val="99"/>
    <w:rsid w:val="00AA2DE2"/>
    <w:rPr>
      <w:rFonts w:ascii="Cambria" w:hAnsi="Cambria" w:cs="Cambria"/>
      <w:b/>
      <w:bCs/>
      <w:color w:val="auto"/>
      <w:sz w:val="26"/>
      <w:szCs w:val="26"/>
    </w:rPr>
  </w:style>
  <w:style w:type="paragraph" w:customStyle="1" w:styleId="Paragraphedeliste2">
    <w:name w:val="Paragraphe de liste2"/>
    <w:basedOn w:val="Normal"/>
    <w:uiPriority w:val="99"/>
    <w:rsid w:val="00AA2DE2"/>
    <w:pPr>
      <w:ind w:left="720"/>
    </w:pPr>
  </w:style>
  <w:style w:type="paragraph" w:styleId="Title">
    <w:name w:val="Title"/>
    <w:basedOn w:val="Normal"/>
    <w:next w:val="Normal"/>
    <w:link w:val="TitleChar"/>
    <w:qFormat/>
    <w:locked/>
    <w:rsid w:val="00D515AE"/>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locked/>
    <w:rsid w:val="00D515AE"/>
    <w:rPr>
      <w:rFonts w:asciiTheme="majorHAnsi" w:eastAsiaTheme="majorEastAsia" w:hAnsiTheme="majorHAnsi" w:cstheme="majorBidi"/>
      <w:color w:val="2F5773" w:themeColor="text2"/>
      <w:spacing w:val="5"/>
      <w:kern w:val="28"/>
      <w:sz w:val="52"/>
      <w:szCs w:val="52"/>
    </w:rPr>
  </w:style>
  <w:style w:type="paragraph" w:styleId="Subtitle">
    <w:name w:val="Subtitle"/>
    <w:next w:val="Normal"/>
    <w:link w:val="SubtitleChar"/>
    <w:autoRedefine/>
    <w:uiPriority w:val="11"/>
    <w:qFormat/>
    <w:locked/>
    <w:rsid w:val="00237B31"/>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locked/>
    <w:rsid w:val="00237B31"/>
    <w:rPr>
      <w:rFonts w:asciiTheme="majorHAnsi" w:eastAsiaTheme="majorEastAsia" w:hAnsiTheme="majorHAnsi" w:cstheme="majorBidi"/>
      <w:color w:val="2F5773" w:themeColor="accent1"/>
      <w:sz w:val="32"/>
      <w:szCs w:val="32"/>
    </w:rPr>
  </w:style>
  <w:style w:type="character" w:styleId="Strong">
    <w:name w:val="Strong"/>
    <w:basedOn w:val="DefaultParagraphFont"/>
    <w:uiPriority w:val="22"/>
    <w:semiHidden/>
    <w:qFormat/>
    <w:rsid w:val="007C00F8"/>
    <w:rPr>
      <w:b/>
      <w:bCs/>
    </w:rPr>
  </w:style>
  <w:style w:type="character" w:styleId="Emphasis">
    <w:name w:val="Emphasis"/>
    <w:basedOn w:val="DefaultParagraphFont"/>
    <w:uiPriority w:val="20"/>
    <w:semiHidden/>
    <w:qFormat/>
    <w:rsid w:val="007C00F8"/>
    <w:rPr>
      <w:i/>
      <w:iCs/>
    </w:rPr>
  </w:style>
  <w:style w:type="paragraph" w:customStyle="1" w:styleId="NoSpacing1">
    <w:name w:val="No Spacing1"/>
    <w:basedOn w:val="Normal"/>
    <w:uiPriority w:val="99"/>
    <w:rsid w:val="007C00F8"/>
  </w:style>
  <w:style w:type="paragraph" w:customStyle="1" w:styleId="ListParagraph2">
    <w:name w:val="List Paragraph2"/>
    <w:basedOn w:val="Normal"/>
    <w:uiPriority w:val="99"/>
    <w:rsid w:val="007C00F8"/>
    <w:pPr>
      <w:ind w:left="720"/>
    </w:pPr>
  </w:style>
  <w:style w:type="paragraph" w:customStyle="1" w:styleId="Quote1">
    <w:name w:val="Quote1"/>
    <w:basedOn w:val="Normal"/>
    <w:next w:val="Normal"/>
    <w:link w:val="QuoteChar"/>
    <w:uiPriority w:val="99"/>
    <w:rsid w:val="007C00F8"/>
    <w:pPr>
      <w:spacing w:before="200"/>
      <w:ind w:left="360" w:right="360"/>
    </w:pPr>
    <w:rPr>
      <w:i/>
      <w:iCs/>
    </w:rPr>
  </w:style>
  <w:style w:type="character" w:customStyle="1" w:styleId="QuoteChar">
    <w:name w:val="Quote Char"/>
    <w:basedOn w:val="DefaultParagraphFont"/>
    <w:link w:val="Quote1"/>
    <w:uiPriority w:val="99"/>
    <w:locked/>
    <w:rsid w:val="007C00F8"/>
    <w:rPr>
      <w:i/>
      <w:iCs/>
    </w:rPr>
  </w:style>
  <w:style w:type="paragraph" w:customStyle="1" w:styleId="IntenseQuote1">
    <w:name w:val="Intense Quote1"/>
    <w:basedOn w:val="Normal"/>
    <w:next w:val="Normal"/>
    <w:link w:val="IntenseQuoteChar"/>
    <w:uiPriority w:val="99"/>
    <w:rsid w:val="007C00F8"/>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1"/>
    <w:uiPriority w:val="99"/>
    <w:locked/>
    <w:rsid w:val="007C00F8"/>
    <w:rPr>
      <w:b/>
      <w:bCs/>
      <w:i/>
      <w:iCs/>
    </w:rPr>
  </w:style>
  <w:style w:type="character" w:customStyle="1" w:styleId="SubtleEmphasis1">
    <w:name w:val="Subtle Emphasis1"/>
    <w:basedOn w:val="DefaultParagraphFont"/>
    <w:uiPriority w:val="99"/>
    <w:rsid w:val="007C00F8"/>
    <w:rPr>
      <w:i/>
      <w:iCs/>
    </w:rPr>
  </w:style>
  <w:style w:type="character" w:customStyle="1" w:styleId="IntenseEmphasis1">
    <w:name w:val="Intense Emphasis1"/>
    <w:basedOn w:val="DefaultParagraphFont"/>
    <w:uiPriority w:val="99"/>
    <w:rsid w:val="007C00F8"/>
    <w:rPr>
      <w:b/>
      <w:bCs/>
    </w:rPr>
  </w:style>
  <w:style w:type="character" w:customStyle="1" w:styleId="SubtleReference1">
    <w:name w:val="Subtle Reference1"/>
    <w:basedOn w:val="DefaultParagraphFont"/>
    <w:uiPriority w:val="99"/>
    <w:rsid w:val="007C00F8"/>
    <w:rPr>
      <w:smallCaps/>
    </w:rPr>
  </w:style>
  <w:style w:type="character" w:customStyle="1" w:styleId="IntenseReference1">
    <w:name w:val="Intense Reference1"/>
    <w:basedOn w:val="DefaultParagraphFont"/>
    <w:uiPriority w:val="99"/>
    <w:rsid w:val="007C00F8"/>
    <w:rPr>
      <w:smallCaps/>
      <w:spacing w:val="5"/>
      <w:u w:val="single"/>
    </w:rPr>
  </w:style>
  <w:style w:type="character" w:customStyle="1" w:styleId="BookTitle1">
    <w:name w:val="Book Title1"/>
    <w:basedOn w:val="DefaultParagraphFont"/>
    <w:uiPriority w:val="99"/>
    <w:rsid w:val="007C00F8"/>
    <w:rPr>
      <w:i/>
      <w:iCs/>
      <w:smallCaps/>
      <w:spacing w:val="5"/>
    </w:rPr>
  </w:style>
  <w:style w:type="paragraph" w:customStyle="1" w:styleId="TOCHeading1">
    <w:name w:val="TOC Heading1"/>
    <w:basedOn w:val="Heading1"/>
    <w:next w:val="Normal"/>
    <w:uiPriority w:val="99"/>
    <w:semiHidden/>
    <w:rsid w:val="007C00F8"/>
    <w:pPr>
      <w:outlineLvl w:val="9"/>
    </w:pPr>
  </w:style>
  <w:style w:type="paragraph" w:styleId="PlainText">
    <w:name w:val="Plain Text"/>
    <w:basedOn w:val="Normal"/>
    <w:link w:val="PlainTextChar"/>
    <w:uiPriority w:val="99"/>
    <w:semiHidden/>
    <w:rsid w:val="003C7592"/>
    <w:rPr>
      <w:rFonts w:ascii="Consolas" w:hAnsi="Consolas" w:cs="Consolas"/>
      <w:sz w:val="21"/>
      <w:szCs w:val="21"/>
    </w:rPr>
  </w:style>
  <w:style w:type="character" w:customStyle="1" w:styleId="PlainTextChar">
    <w:name w:val="Plain Text Char"/>
    <w:basedOn w:val="DefaultParagraphFont"/>
    <w:link w:val="PlainText"/>
    <w:uiPriority w:val="99"/>
    <w:semiHidden/>
    <w:locked/>
    <w:rsid w:val="003C7592"/>
    <w:rPr>
      <w:rFonts w:ascii="Consolas" w:hAnsi="Consolas" w:cs="Consolas"/>
      <w:sz w:val="21"/>
      <w:szCs w:val="21"/>
    </w:rPr>
  </w:style>
  <w:style w:type="paragraph" w:customStyle="1" w:styleId="Revision1">
    <w:name w:val="Revision1"/>
    <w:hidden/>
    <w:uiPriority w:val="99"/>
    <w:semiHidden/>
    <w:rsid w:val="00134F05"/>
    <w:rPr>
      <w:sz w:val="22"/>
      <w:szCs w:val="22"/>
      <w:lang w:val="en-US" w:eastAsia="en-US"/>
    </w:rPr>
  </w:style>
  <w:style w:type="paragraph" w:styleId="NormalWeb">
    <w:name w:val="Normal (Web)"/>
    <w:basedOn w:val="Normal"/>
    <w:uiPriority w:val="99"/>
    <w:rsid w:val="007075FB"/>
    <w:pPr>
      <w:spacing w:before="167" w:after="167"/>
      <w:ind w:left="753" w:right="586"/>
    </w:pPr>
    <w:rPr>
      <w:rFonts w:cs="Times New Roman"/>
      <w:sz w:val="19"/>
      <w:szCs w:val="19"/>
    </w:rPr>
  </w:style>
  <w:style w:type="paragraph" w:styleId="ListParagraph">
    <w:name w:val="List Paragraph"/>
    <w:basedOn w:val="Normal"/>
    <w:uiPriority w:val="34"/>
    <w:semiHidden/>
    <w:qFormat/>
    <w:rsid w:val="00945480"/>
    <w:pPr>
      <w:ind w:left="720"/>
      <w:contextualSpacing/>
    </w:pPr>
  </w:style>
  <w:style w:type="paragraph" w:styleId="TOCHeading">
    <w:name w:val="TOC Heading"/>
    <w:basedOn w:val="Heading1"/>
    <w:next w:val="Normal"/>
    <w:uiPriority w:val="39"/>
    <w:semiHidden/>
    <w:qFormat/>
    <w:rsid w:val="005D32D5"/>
    <w:pPr>
      <w:spacing w:before="480"/>
      <w:outlineLvl w:val="9"/>
    </w:pPr>
    <w:rPr>
      <w:caps w:val="0"/>
      <w:color w:val="234156" w:themeColor="accent1" w:themeShade="BF"/>
      <w:sz w:val="28"/>
      <w:szCs w:val="28"/>
    </w:rPr>
  </w:style>
  <w:style w:type="paragraph" w:customStyle="1" w:styleId="04BodyText">
    <w:name w:val="04_Body Text"/>
    <w:basedOn w:val="TOC1"/>
    <w:rsid w:val="00F12B9D"/>
    <w:pPr>
      <w:spacing w:after="250"/>
      <w:jc w:val="both"/>
    </w:pPr>
    <w:rPr>
      <w:rFonts w:ascii="Georgia" w:hAnsi="Georgia" w:cs="Times New Roman"/>
      <w:sz w:val="20"/>
      <w:lang w:eastAsia="de-DE"/>
    </w:rPr>
  </w:style>
  <w:style w:type="paragraph" w:customStyle="1" w:styleId="04bList">
    <w:name w:val="04b_List"/>
    <w:basedOn w:val="04BodyText"/>
    <w:rsid w:val="00F12B9D"/>
    <w:pPr>
      <w:numPr>
        <w:numId w:val="2"/>
      </w:numPr>
      <w:ind w:left="567" w:hanging="340"/>
    </w:pPr>
  </w:style>
  <w:style w:type="paragraph" w:customStyle="1" w:styleId="04dBodyTextbold">
    <w:name w:val="04d_Body Text bold"/>
    <w:basedOn w:val="04BodyText"/>
    <w:rsid w:val="00F12B9D"/>
    <w:pPr>
      <w:tabs>
        <w:tab w:val="clear" w:pos="421"/>
        <w:tab w:val="left" w:pos="414"/>
      </w:tabs>
    </w:pPr>
    <w:rPr>
      <w:b w:val="0"/>
    </w:rPr>
  </w:style>
  <w:style w:type="paragraph" w:styleId="Revision">
    <w:name w:val="Revision"/>
    <w:hidden/>
    <w:uiPriority w:val="99"/>
    <w:semiHidden/>
    <w:rsid w:val="007C0C9E"/>
    <w:rPr>
      <w:sz w:val="22"/>
      <w:szCs w:val="22"/>
      <w:lang w:val="en-US" w:eastAsia="en-US"/>
    </w:rPr>
  </w:style>
  <w:style w:type="paragraph" w:styleId="Index1">
    <w:name w:val="index 1"/>
    <w:basedOn w:val="Normal"/>
    <w:next w:val="Normal"/>
    <w:autoRedefine/>
    <w:uiPriority w:val="99"/>
    <w:unhideWhenUsed/>
    <w:locked/>
    <w:rsid w:val="00F93543"/>
    <w:pPr>
      <w:ind w:left="220" w:hanging="220"/>
    </w:pPr>
  </w:style>
  <w:style w:type="paragraph" w:styleId="Index2">
    <w:name w:val="index 2"/>
    <w:basedOn w:val="Normal"/>
    <w:next w:val="Normal"/>
    <w:autoRedefine/>
    <w:uiPriority w:val="99"/>
    <w:unhideWhenUsed/>
    <w:locked/>
    <w:rsid w:val="00F93543"/>
    <w:pPr>
      <w:ind w:left="440" w:hanging="220"/>
    </w:pPr>
  </w:style>
  <w:style w:type="paragraph" w:styleId="Index3">
    <w:name w:val="index 3"/>
    <w:basedOn w:val="Normal"/>
    <w:next w:val="Normal"/>
    <w:autoRedefine/>
    <w:uiPriority w:val="99"/>
    <w:unhideWhenUsed/>
    <w:locked/>
    <w:rsid w:val="00F93543"/>
    <w:pPr>
      <w:ind w:left="660" w:hanging="220"/>
    </w:pPr>
  </w:style>
  <w:style w:type="paragraph" w:styleId="Index4">
    <w:name w:val="index 4"/>
    <w:basedOn w:val="Normal"/>
    <w:next w:val="Normal"/>
    <w:autoRedefine/>
    <w:uiPriority w:val="99"/>
    <w:unhideWhenUsed/>
    <w:locked/>
    <w:rsid w:val="00F93543"/>
    <w:pPr>
      <w:ind w:left="880" w:hanging="220"/>
    </w:pPr>
  </w:style>
  <w:style w:type="paragraph" w:styleId="Index5">
    <w:name w:val="index 5"/>
    <w:basedOn w:val="Normal"/>
    <w:next w:val="Normal"/>
    <w:autoRedefine/>
    <w:uiPriority w:val="99"/>
    <w:unhideWhenUsed/>
    <w:locked/>
    <w:rsid w:val="00F93543"/>
    <w:pPr>
      <w:ind w:left="1100" w:hanging="220"/>
    </w:pPr>
  </w:style>
  <w:style w:type="paragraph" w:styleId="Index6">
    <w:name w:val="index 6"/>
    <w:basedOn w:val="Normal"/>
    <w:next w:val="Normal"/>
    <w:autoRedefine/>
    <w:uiPriority w:val="99"/>
    <w:unhideWhenUsed/>
    <w:locked/>
    <w:rsid w:val="00F93543"/>
    <w:pPr>
      <w:ind w:left="1320" w:hanging="220"/>
    </w:pPr>
  </w:style>
  <w:style w:type="paragraph" w:styleId="Index7">
    <w:name w:val="index 7"/>
    <w:basedOn w:val="Normal"/>
    <w:next w:val="Normal"/>
    <w:autoRedefine/>
    <w:uiPriority w:val="99"/>
    <w:unhideWhenUsed/>
    <w:locked/>
    <w:rsid w:val="00F93543"/>
    <w:pPr>
      <w:ind w:left="1540" w:hanging="220"/>
    </w:pPr>
  </w:style>
  <w:style w:type="paragraph" w:styleId="Index8">
    <w:name w:val="index 8"/>
    <w:basedOn w:val="Normal"/>
    <w:next w:val="Normal"/>
    <w:autoRedefine/>
    <w:uiPriority w:val="99"/>
    <w:unhideWhenUsed/>
    <w:locked/>
    <w:rsid w:val="00F93543"/>
    <w:pPr>
      <w:ind w:left="1760" w:hanging="220"/>
    </w:pPr>
  </w:style>
  <w:style w:type="paragraph" w:styleId="Index9">
    <w:name w:val="index 9"/>
    <w:basedOn w:val="Normal"/>
    <w:next w:val="Normal"/>
    <w:autoRedefine/>
    <w:uiPriority w:val="99"/>
    <w:unhideWhenUsed/>
    <w:locked/>
    <w:rsid w:val="00F93543"/>
    <w:pPr>
      <w:ind w:left="1980" w:hanging="220"/>
    </w:pPr>
  </w:style>
  <w:style w:type="paragraph" w:styleId="IndexHeading">
    <w:name w:val="index heading"/>
    <w:basedOn w:val="Normal"/>
    <w:next w:val="Index1"/>
    <w:uiPriority w:val="99"/>
    <w:unhideWhenUsed/>
    <w:locked/>
    <w:rsid w:val="00F93543"/>
  </w:style>
  <w:style w:type="paragraph" w:customStyle="1" w:styleId="Baseparagraphnumbered">
    <w:name w:val="Base paragraph numbered"/>
    <w:basedOn w:val="Normal"/>
    <w:link w:val="BaseparagraphnumberedChar"/>
    <w:rsid w:val="00DC2612"/>
    <w:pPr>
      <w:numPr>
        <w:numId w:val="3"/>
      </w:numPr>
      <w:spacing w:after="240"/>
      <w:jc w:val="both"/>
    </w:pPr>
    <w:rPr>
      <w:rFonts w:ascii="Times New Roman" w:hAnsi="Times New Roman" w:cs="Times New Roman"/>
      <w:sz w:val="24"/>
    </w:rPr>
  </w:style>
  <w:style w:type="character" w:customStyle="1" w:styleId="BaseparagraphnumberedChar">
    <w:name w:val="Base paragraph numbered Char"/>
    <w:basedOn w:val="DefaultParagraphFont"/>
    <w:link w:val="Baseparagraphnumbered"/>
    <w:rsid w:val="00DC2612"/>
    <w:rPr>
      <w:rFonts w:ascii="Times New Roman" w:hAnsi="Times New Roman" w:cs="Times New Roman"/>
      <w:sz w:val="24"/>
      <w:szCs w:val="24"/>
    </w:rPr>
  </w:style>
  <w:style w:type="numbering" w:customStyle="1" w:styleId="NoList1">
    <w:name w:val="No List1"/>
    <w:next w:val="NoList"/>
    <w:uiPriority w:val="99"/>
    <w:semiHidden/>
    <w:unhideWhenUsed/>
    <w:rsid w:val="009C2839"/>
  </w:style>
  <w:style w:type="table" w:customStyle="1" w:styleId="LightList1">
    <w:name w:val="Light List1"/>
    <w:basedOn w:val="TableNormal"/>
    <w:uiPriority w:val="61"/>
    <w:rsid w:val="009C2839"/>
    <w:rPr>
      <w:rFonts w:ascii="Times New Roman" w:hAnsi="Times New Roman" w:cs="Times New Roman"/>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Grid1">
    <w:name w:val="Table Grid1"/>
    <w:basedOn w:val="TableNormal"/>
    <w:next w:val="TableGrid"/>
    <w:uiPriority w:val="59"/>
    <w:rsid w:val="009C2839"/>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hemeFill="background1" w:themeFillShade="D9"/>
      </w:tcPr>
    </w:tblStylePr>
  </w:style>
  <w:style w:type="table" w:customStyle="1" w:styleId="LightShading1">
    <w:name w:val="Light Shading1"/>
    <w:basedOn w:val="TableNormal"/>
    <w:uiPriority w:val="60"/>
    <w:rsid w:val="009C2839"/>
    <w:rPr>
      <w:rFonts w:ascii="Times New Roman" w:hAnsi="Times New Roman" w:cs="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IntenseQuote">
    <w:name w:val="Intense Quote"/>
    <w:basedOn w:val="Normal"/>
    <w:next w:val="Normal"/>
    <w:link w:val="IntenseQuoteChar1"/>
    <w:uiPriority w:val="30"/>
    <w:semiHidden/>
    <w:qFormat/>
    <w:rsid w:val="000378E5"/>
    <w:pPr>
      <w:pBdr>
        <w:bottom w:val="single" w:sz="4" w:space="4" w:color="2F5773" w:themeColor="accent1"/>
      </w:pBdr>
      <w:spacing w:before="200" w:after="280"/>
      <w:ind w:left="936" w:right="936"/>
    </w:pPr>
    <w:rPr>
      <w:b/>
      <w:bCs/>
      <w:i/>
      <w:iCs/>
      <w:color w:val="2F5773" w:themeColor="accent1"/>
    </w:rPr>
  </w:style>
  <w:style w:type="character" w:customStyle="1" w:styleId="IntenseQuoteChar1">
    <w:name w:val="Intense Quote Char1"/>
    <w:basedOn w:val="DefaultParagraphFont"/>
    <w:link w:val="IntenseQuote"/>
    <w:uiPriority w:val="30"/>
    <w:semiHidden/>
    <w:rsid w:val="000378E5"/>
    <w:rPr>
      <w:b/>
      <w:bCs/>
      <w:i/>
      <w:iCs/>
      <w:color w:val="2F5773" w:themeColor="accent1"/>
      <w:sz w:val="22"/>
    </w:rPr>
  </w:style>
  <w:style w:type="table" w:customStyle="1" w:styleId="EBAtable">
    <w:name w:val="EBA table"/>
    <w:basedOn w:val="TableNormal"/>
    <w:uiPriority w:val="99"/>
    <w:rsid w:val="003D5718"/>
    <w:rPr>
      <w:lang w:val="en-US"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paragraph" w:customStyle="1" w:styleId="Tabledata">
    <w:name w:val="Table data"/>
    <w:basedOn w:val="body"/>
    <w:qFormat/>
    <w:rsid w:val="00D515AE"/>
    <w:pPr>
      <w:spacing w:before="120" w:line="240" w:lineRule="auto"/>
    </w:pPr>
    <w:rPr>
      <w:rFonts w:cstheme="minorHAnsi"/>
      <w:bCs/>
      <w:color w:val="000000"/>
      <w:sz w:val="20"/>
      <w:szCs w:val="22"/>
    </w:rPr>
  </w:style>
  <w:style w:type="paragraph" w:customStyle="1" w:styleId="Tableheader">
    <w:name w:val="Table header"/>
    <w:next w:val="Tabledata"/>
    <w:qFormat/>
    <w:rsid w:val="00D515AE"/>
    <w:pPr>
      <w:spacing w:after="80"/>
    </w:pPr>
    <w:rPr>
      <w:rFonts w:ascii="Calibri" w:hAnsi="Calibri" w:cs="Times New Roman"/>
      <w:b/>
      <w:color w:val="000000"/>
      <w:sz w:val="22"/>
      <w:szCs w:val="22"/>
    </w:rPr>
  </w:style>
  <w:style w:type="paragraph" w:customStyle="1" w:styleId="Runningtitle">
    <w:name w:val="Running title"/>
    <w:qFormat/>
    <w:rsid w:val="00D515AE"/>
    <w:rPr>
      <w:caps/>
      <w:sz w:val="16"/>
      <w:szCs w:val="18"/>
    </w:rPr>
  </w:style>
  <w:style w:type="paragraph" w:customStyle="1" w:styleId="Numberedtilelevel1">
    <w:name w:val="Numbered tile level 1"/>
    <w:basedOn w:val="Titlelevel1"/>
    <w:qFormat/>
    <w:rsid w:val="00D515AE"/>
    <w:pPr>
      <w:numPr>
        <w:numId w:val="43"/>
      </w:numPr>
    </w:pPr>
  </w:style>
  <w:style w:type="paragraph" w:customStyle="1" w:styleId="Numberedtitlelevel2">
    <w:name w:val="Numbered title level 2"/>
    <w:basedOn w:val="Titlelevel2"/>
    <w:next w:val="body"/>
    <w:qFormat/>
    <w:rsid w:val="00D515AE"/>
    <w:pPr>
      <w:numPr>
        <w:ilvl w:val="1"/>
        <w:numId w:val="43"/>
      </w:numPr>
    </w:pPr>
  </w:style>
  <w:style w:type="paragraph" w:customStyle="1" w:styleId="Titlelevel2">
    <w:name w:val="Title level 2"/>
    <w:qFormat/>
    <w:rsid w:val="00D515AE"/>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D515AE"/>
    <w:pPr>
      <w:spacing w:before="240" w:after="120" w:line="276" w:lineRule="auto"/>
      <w:jc w:val="both"/>
    </w:pPr>
    <w:rPr>
      <w:sz w:val="22"/>
    </w:rPr>
  </w:style>
  <w:style w:type="paragraph" w:customStyle="1" w:styleId="List1">
    <w:name w:val="List1"/>
    <w:autoRedefine/>
    <w:qFormat/>
    <w:rsid w:val="00D515AE"/>
    <w:pPr>
      <w:numPr>
        <w:numId w:val="40"/>
      </w:numPr>
    </w:pPr>
    <w:rPr>
      <w:sz w:val="22"/>
      <w:szCs w:val="22"/>
    </w:rPr>
  </w:style>
  <w:style w:type="paragraph" w:customStyle="1" w:styleId="Titlelevel1">
    <w:name w:val="Title level 1"/>
    <w:autoRedefine/>
    <w:qFormat/>
    <w:rsid w:val="00D515AE"/>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7D121B"/>
    <w:pPr>
      <w:keepNext/>
      <w:spacing w:before="240" w:after="240"/>
    </w:pPr>
    <w:rPr>
      <w:b/>
      <w:color w:val="2F5773" w:themeColor="text2"/>
    </w:rPr>
  </w:style>
  <w:style w:type="paragraph" w:customStyle="1" w:styleId="Titlelevel4">
    <w:name w:val="Title level 4"/>
    <w:next w:val="body"/>
    <w:qFormat/>
    <w:rsid w:val="007C4AD7"/>
    <w:pPr>
      <w:keepNext/>
      <w:spacing w:before="240" w:after="240"/>
    </w:pPr>
    <w:rPr>
      <w:color w:val="E98E31" w:themeColor="background2"/>
    </w:rPr>
  </w:style>
  <w:style w:type="paragraph" w:customStyle="1" w:styleId="Figuretitle">
    <w:name w:val="Figure title"/>
    <w:basedOn w:val="body"/>
    <w:next w:val="Normal"/>
    <w:autoRedefine/>
    <w:qFormat/>
    <w:rsid w:val="00D515AE"/>
    <w:pPr>
      <w:keepNext/>
      <w:spacing w:before="360" w:after="360"/>
    </w:pPr>
    <w:rPr>
      <w:rFonts w:eastAsia="Times New Roman" w:cs="Times New Roman"/>
      <w:bCs/>
      <w:noProof/>
      <w:color w:val="2F5773" w:themeColor="text2"/>
      <w:szCs w:val="20"/>
    </w:rPr>
  </w:style>
  <w:style w:type="paragraph" w:customStyle="1" w:styleId="bullet1">
    <w:name w:val="bullet 1"/>
    <w:basedOn w:val="body"/>
    <w:next w:val="body"/>
    <w:qFormat/>
    <w:rsid w:val="00D515AE"/>
    <w:pPr>
      <w:numPr>
        <w:numId w:val="41"/>
      </w:numPr>
    </w:pPr>
    <w:rPr>
      <w:szCs w:val="22"/>
    </w:rPr>
  </w:style>
  <w:style w:type="paragraph" w:customStyle="1" w:styleId="bullet2">
    <w:name w:val="bullet 2"/>
    <w:basedOn w:val="body"/>
    <w:qFormat/>
    <w:rsid w:val="00D515AE"/>
    <w:pPr>
      <w:numPr>
        <w:numId w:val="42"/>
      </w:numPr>
    </w:pPr>
    <w:rPr>
      <w:szCs w:val="22"/>
    </w:rPr>
  </w:style>
  <w:style w:type="paragraph" w:customStyle="1" w:styleId="Numberedtitlelevel3">
    <w:name w:val="Numbered title level 3"/>
    <w:basedOn w:val="Titlelevel3"/>
    <w:next w:val="body"/>
    <w:qFormat/>
    <w:rsid w:val="00D515AE"/>
    <w:pPr>
      <w:numPr>
        <w:ilvl w:val="2"/>
        <w:numId w:val="43"/>
      </w:numPr>
    </w:pPr>
  </w:style>
  <w:style w:type="paragraph" w:customStyle="1" w:styleId="Contenttitle">
    <w:name w:val="Content title"/>
    <w:basedOn w:val="Titlelevel1"/>
    <w:qFormat/>
    <w:rsid w:val="00D515AE"/>
  </w:style>
  <w:style w:type="paragraph" w:customStyle="1" w:styleId="Numberedtitlelevel4">
    <w:name w:val="Numbered title level 4"/>
    <w:basedOn w:val="Titlelevel4"/>
    <w:qFormat/>
    <w:rsid w:val="00D515AE"/>
    <w:pPr>
      <w:numPr>
        <w:numId w:val="44"/>
      </w:numPr>
    </w:pPr>
  </w:style>
  <w:style w:type="character" w:customStyle="1" w:styleId="Highlighttext">
    <w:name w:val="Highlight text"/>
    <w:basedOn w:val="DefaultParagraphFont"/>
    <w:uiPriority w:val="1"/>
    <w:semiHidden/>
    <w:qFormat/>
    <w:rsid w:val="00D515AE"/>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D515AE"/>
    <w:rPr>
      <w:rFonts w:eastAsia="Times New Roman"/>
      <w:bCs/>
    </w:rPr>
  </w:style>
  <w:style w:type="paragraph" w:customStyle="1" w:styleId="numberedparagraph">
    <w:name w:val="numbered paragraph"/>
    <w:basedOn w:val="body"/>
    <w:qFormat/>
    <w:rsid w:val="00D515AE"/>
    <w:pPr>
      <w:numPr>
        <w:numId w:val="45"/>
      </w:numPr>
    </w:pPr>
  </w:style>
  <w:style w:type="paragraph" w:styleId="TableofFigures">
    <w:name w:val="table of figures"/>
    <w:basedOn w:val="Normal"/>
    <w:next w:val="Normal"/>
    <w:autoRedefine/>
    <w:uiPriority w:val="99"/>
    <w:qFormat/>
    <w:locked/>
    <w:rsid w:val="00D515AE"/>
    <w:pPr>
      <w:spacing w:before="160"/>
    </w:pPr>
  </w:style>
  <w:style w:type="paragraph" w:styleId="List">
    <w:name w:val="List"/>
    <w:autoRedefine/>
    <w:uiPriority w:val="99"/>
    <w:semiHidden/>
    <w:qFormat/>
    <w:locked/>
    <w:rsid w:val="00D515AE"/>
    <w:pPr>
      <w:numPr>
        <w:numId w:val="35"/>
      </w:numPr>
      <w:spacing w:before="240" w:after="120"/>
      <w:contextualSpacing/>
    </w:pPr>
    <w:rPr>
      <w:sz w:val="22"/>
    </w:rPr>
  </w:style>
  <w:style w:type="paragraph" w:styleId="ListBullet">
    <w:name w:val="List Bullet"/>
    <w:basedOn w:val="Normal"/>
    <w:semiHidden/>
    <w:qFormat/>
    <w:locked/>
    <w:rsid w:val="00D515AE"/>
    <w:pPr>
      <w:numPr>
        <w:numId w:val="37"/>
      </w:numPr>
      <w:contextualSpacing/>
    </w:pPr>
  </w:style>
  <w:style w:type="character" w:styleId="BookTitle">
    <w:name w:val="Book Title"/>
    <w:basedOn w:val="DefaultParagraphFont"/>
    <w:uiPriority w:val="33"/>
    <w:qFormat/>
    <w:rsid w:val="00D515AE"/>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60055">
      <w:bodyDiv w:val="1"/>
      <w:marLeft w:val="0"/>
      <w:marRight w:val="0"/>
      <w:marTop w:val="0"/>
      <w:marBottom w:val="0"/>
      <w:divBdr>
        <w:top w:val="none" w:sz="0" w:space="0" w:color="auto"/>
        <w:left w:val="none" w:sz="0" w:space="0" w:color="auto"/>
        <w:bottom w:val="none" w:sz="0" w:space="0" w:color="auto"/>
        <w:right w:val="none" w:sz="0" w:space="0" w:color="auto"/>
      </w:divBdr>
    </w:div>
    <w:div w:id="45182381">
      <w:bodyDiv w:val="1"/>
      <w:marLeft w:val="0"/>
      <w:marRight w:val="0"/>
      <w:marTop w:val="0"/>
      <w:marBottom w:val="0"/>
      <w:divBdr>
        <w:top w:val="none" w:sz="0" w:space="0" w:color="auto"/>
        <w:left w:val="none" w:sz="0" w:space="0" w:color="auto"/>
        <w:bottom w:val="none" w:sz="0" w:space="0" w:color="auto"/>
        <w:right w:val="none" w:sz="0" w:space="0" w:color="auto"/>
      </w:divBdr>
    </w:div>
    <w:div w:id="202522353">
      <w:bodyDiv w:val="1"/>
      <w:marLeft w:val="0"/>
      <w:marRight w:val="0"/>
      <w:marTop w:val="0"/>
      <w:marBottom w:val="0"/>
      <w:divBdr>
        <w:top w:val="none" w:sz="0" w:space="0" w:color="auto"/>
        <w:left w:val="none" w:sz="0" w:space="0" w:color="auto"/>
        <w:bottom w:val="none" w:sz="0" w:space="0" w:color="auto"/>
        <w:right w:val="none" w:sz="0" w:space="0" w:color="auto"/>
      </w:divBdr>
    </w:div>
    <w:div w:id="281767511">
      <w:bodyDiv w:val="1"/>
      <w:marLeft w:val="0"/>
      <w:marRight w:val="0"/>
      <w:marTop w:val="0"/>
      <w:marBottom w:val="0"/>
      <w:divBdr>
        <w:top w:val="none" w:sz="0" w:space="0" w:color="auto"/>
        <w:left w:val="none" w:sz="0" w:space="0" w:color="auto"/>
        <w:bottom w:val="none" w:sz="0" w:space="0" w:color="auto"/>
        <w:right w:val="none" w:sz="0" w:space="0" w:color="auto"/>
      </w:divBdr>
    </w:div>
    <w:div w:id="329524697">
      <w:marLeft w:val="0"/>
      <w:marRight w:val="0"/>
      <w:marTop w:val="0"/>
      <w:marBottom w:val="0"/>
      <w:divBdr>
        <w:top w:val="none" w:sz="0" w:space="0" w:color="auto"/>
        <w:left w:val="none" w:sz="0" w:space="0" w:color="auto"/>
        <w:bottom w:val="none" w:sz="0" w:space="0" w:color="auto"/>
        <w:right w:val="none" w:sz="0" w:space="0" w:color="auto"/>
      </w:divBdr>
    </w:div>
    <w:div w:id="329524698">
      <w:marLeft w:val="0"/>
      <w:marRight w:val="0"/>
      <w:marTop w:val="0"/>
      <w:marBottom w:val="0"/>
      <w:divBdr>
        <w:top w:val="none" w:sz="0" w:space="0" w:color="auto"/>
        <w:left w:val="none" w:sz="0" w:space="0" w:color="auto"/>
        <w:bottom w:val="none" w:sz="0" w:space="0" w:color="auto"/>
        <w:right w:val="none" w:sz="0" w:space="0" w:color="auto"/>
      </w:divBdr>
    </w:div>
    <w:div w:id="329524699">
      <w:marLeft w:val="0"/>
      <w:marRight w:val="0"/>
      <w:marTop w:val="0"/>
      <w:marBottom w:val="0"/>
      <w:divBdr>
        <w:top w:val="none" w:sz="0" w:space="0" w:color="auto"/>
        <w:left w:val="none" w:sz="0" w:space="0" w:color="auto"/>
        <w:bottom w:val="none" w:sz="0" w:space="0" w:color="auto"/>
        <w:right w:val="none" w:sz="0" w:space="0" w:color="auto"/>
      </w:divBdr>
    </w:div>
    <w:div w:id="329524700">
      <w:marLeft w:val="0"/>
      <w:marRight w:val="0"/>
      <w:marTop w:val="0"/>
      <w:marBottom w:val="0"/>
      <w:divBdr>
        <w:top w:val="none" w:sz="0" w:space="0" w:color="auto"/>
        <w:left w:val="none" w:sz="0" w:space="0" w:color="auto"/>
        <w:bottom w:val="none" w:sz="0" w:space="0" w:color="auto"/>
        <w:right w:val="none" w:sz="0" w:space="0" w:color="auto"/>
      </w:divBdr>
      <w:divsChild>
        <w:div w:id="329524701">
          <w:marLeft w:val="3"/>
          <w:marRight w:val="3"/>
          <w:marTop w:val="0"/>
          <w:marBottom w:val="0"/>
          <w:divBdr>
            <w:top w:val="single" w:sz="6" w:space="0" w:color="112449"/>
            <w:left w:val="single" w:sz="6" w:space="0" w:color="112449"/>
            <w:bottom w:val="single" w:sz="6" w:space="0" w:color="112449"/>
            <w:right w:val="single" w:sz="6" w:space="0" w:color="112449"/>
          </w:divBdr>
        </w:div>
      </w:divsChild>
    </w:div>
    <w:div w:id="341321958">
      <w:bodyDiv w:val="1"/>
      <w:marLeft w:val="0"/>
      <w:marRight w:val="0"/>
      <w:marTop w:val="0"/>
      <w:marBottom w:val="0"/>
      <w:divBdr>
        <w:top w:val="none" w:sz="0" w:space="0" w:color="auto"/>
        <w:left w:val="none" w:sz="0" w:space="0" w:color="auto"/>
        <w:bottom w:val="none" w:sz="0" w:space="0" w:color="auto"/>
        <w:right w:val="none" w:sz="0" w:space="0" w:color="auto"/>
      </w:divBdr>
    </w:div>
    <w:div w:id="385492235">
      <w:bodyDiv w:val="1"/>
      <w:marLeft w:val="0"/>
      <w:marRight w:val="0"/>
      <w:marTop w:val="0"/>
      <w:marBottom w:val="0"/>
      <w:divBdr>
        <w:top w:val="none" w:sz="0" w:space="0" w:color="auto"/>
        <w:left w:val="none" w:sz="0" w:space="0" w:color="auto"/>
        <w:bottom w:val="none" w:sz="0" w:space="0" w:color="auto"/>
        <w:right w:val="none" w:sz="0" w:space="0" w:color="auto"/>
      </w:divBdr>
      <w:divsChild>
        <w:div w:id="978534335">
          <w:marLeft w:val="0"/>
          <w:marRight w:val="0"/>
          <w:marTop w:val="0"/>
          <w:marBottom w:val="0"/>
          <w:divBdr>
            <w:top w:val="none" w:sz="0" w:space="0" w:color="auto"/>
            <w:left w:val="none" w:sz="0" w:space="0" w:color="auto"/>
            <w:bottom w:val="none" w:sz="0" w:space="0" w:color="auto"/>
            <w:right w:val="none" w:sz="0" w:space="0" w:color="auto"/>
          </w:divBdr>
          <w:divsChild>
            <w:div w:id="839736094">
              <w:marLeft w:val="0"/>
              <w:marRight w:val="0"/>
              <w:marTop w:val="0"/>
              <w:marBottom w:val="0"/>
              <w:divBdr>
                <w:top w:val="none" w:sz="0" w:space="0" w:color="auto"/>
                <w:left w:val="none" w:sz="0" w:space="0" w:color="auto"/>
                <w:bottom w:val="none" w:sz="0" w:space="0" w:color="auto"/>
                <w:right w:val="none" w:sz="0" w:space="0" w:color="auto"/>
              </w:divBdr>
              <w:divsChild>
                <w:div w:id="1029641419">
                  <w:marLeft w:val="3273"/>
                  <w:marRight w:val="0"/>
                  <w:marTop w:val="0"/>
                  <w:marBottom w:val="0"/>
                  <w:divBdr>
                    <w:top w:val="none" w:sz="0" w:space="0" w:color="auto"/>
                    <w:left w:val="none" w:sz="0" w:space="0" w:color="auto"/>
                    <w:bottom w:val="none" w:sz="0" w:space="0" w:color="auto"/>
                    <w:right w:val="none" w:sz="0" w:space="0" w:color="auto"/>
                  </w:divBdr>
                  <w:divsChild>
                    <w:div w:id="1888177379">
                      <w:marLeft w:val="0"/>
                      <w:marRight w:val="0"/>
                      <w:marTop w:val="0"/>
                      <w:marBottom w:val="0"/>
                      <w:divBdr>
                        <w:top w:val="none" w:sz="0" w:space="0" w:color="auto"/>
                        <w:left w:val="none" w:sz="0" w:space="0" w:color="auto"/>
                        <w:bottom w:val="none" w:sz="0" w:space="0" w:color="auto"/>
                        <w:right w:val="none" w:sz="0" w:space="0" w:color="auto"/>
                      </w:divBdr>
                      <w:divsChild>
                        <w:div w:id="1885675141">
                          <w:marLeft w:val="0"/>
                          <w:marRight w:val="0"/>
                          <w:marTop w:val="0"/>
                          <w:marBottom w:val="0"/>
                          <w:divBdr>
                            <w:top w:val="none" w:sz="0" w:space="0" w:color="auto"/>
                            <w:left w:val="none" w:sz="0" w:space="0" w:color="auto"/>
                            <w:bottom w:val="none" w:sz="0" w:space="0" w:color="auto"/>
                            <w:right w:val="none" w:sz="0" w:space="0" w:color="auto"/>
                          </w:divBdr>
                          <w:divsChild>
                            <w:div w:id="38576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3712966">
      <w:bodyDiv w:val="1"/>
      <w:marLeft w:val="0"/>
      <w:marRight w:val="0"/>
      <w:marTop w:val="0"/>
      <w:marBottom w:val="0"/>
      <w:divBdr>
        <w:top w:val="none" w:sz="0" w:space="0" w:color="auto"/>
        <w:left w:val="none" w:sz="0" w:space="0" w:color="auto"/>
        <w:bottom w:val="none" w:sz="0" w:space="0" w:color="auto"/>
        <w:right w:val="none" w:sz="0" w:space="0" w:color="auto"/>
      </w:divBdr>
      <w:divsChild>
        <w:div w:id="350618074">
          <w:marLeft w:val="0"/>
          <w:marRight w:val="0"/>
          <w:marTop w:val="0"/>
          <w:marBottom w:val="0"/>
          <w:divBdr>
            <w:top w:val="none" w:sz="0" w:space="0" w:color="auto"/>
            <w:left w:val="none" w:sz="0" w:space="0" w:color="auto"/>
            <w:bottom w:val="none" w:sz="0" w:space="0" w:color="auto"/>
            <w:right w:val="none" w:sz="0" w:space="0" w:color="auto"/>
          </w:divBdr>
          <w:divsChild>
            <w:div w:id="2016882451">
              <w:marLeft w:val="0"/>
              <w:marRight w:val="0"/>
              <w:marTop w:val="0"/>
              <w:marBottom w:val="0"/>
              <w:divBdr>
                <w:top w:val="none" w:sz="0" w:space="0" w:color="auto"/>
                <w:left w:val="none" w:sz="0" w:space="0" w:color="auto"/>
                <w:bottom w:val="none" w:sz="0" w:space="0" w:color="auto"/>
                <w:right w:val="none" w:sz="0" w:space="0" w:color="auto"/>
              </w:divBdr>
              <w:divsChild>
                <w:div w:id="1877347285">
                  <w:marLeft w:val="5400"/>
                  <w:marRight w:val="0"/>
                  <w:marTop w:val="0"/>
                  <w:marBottom w:val="0"/>
                  <w:divBdr>
                    <w:top w:val="none" w:sz="0" w:space="0" w:color="auto"/>
                    <w:left w:val="none" w:sz="0" w:space="0" w:color="auto"/>
                    <w:bottom w:val="none" w:sz="0" w:space="0" w:color="auto"/>
                    <w:right w:val="none" w:sz="0" w:space="0" w:color="auto"/>
                  </w:divBdr>
                  <w:divsChild>
                    <w:div w:id="266498749">
                      <w:marLeft w:val="0"/>
                      <w:marRight w:val="0"/>
                      <w:marTop w:val="0"/>
                      <w:marBottom w:val="0"/>
                      <w:divBdr>
                        <w:top w:val="none" w:sz="0" w:space="0" w:color="auto"/>
                        <w:left w:val="none" w:sz="0" w:space="0" w:color="auto"/>
                        <w:bottom w:val="none" w:sz="0" w:space="0" w:color="auto"/>
                        <w:right w:val="none" w:sz="0" w:space="0" w:color="auto"/>
                      </w:divBdr>
                      <w:divsChild>
                        <w:div w:id="1887137914">
                          <w:marLeft w:val="0"/>
                          <w:marRight w:val="0"/>
                          <w:marTop w:val="0"/>
                          <w:marBottom w:val="0"/>
                          <w:divBdr>
                            <w:top w:val="none" w:sz="0" w:space="0" w:color="auto"/>
                            <w:left w:val="none" w:sz="0" w:space="0" w:color="auto"/>
                            <w:bottom w:val="none" w:sz="0" w:space="0" w:color="auto"/>
                            <w:right w:val="none" w:sz="0" w:space="0" w:color="auto"/>
                          </w:divBdr>
                          <w:divsChild>
                            <w:div w:id="100300948">
                              <w:marLeft w:val="0"/>
                              <w:marRight w:val="0"/>
                              <w:marTop w:val="0"/>
                              <w:marBottom w:val="0"/>
                              <w:divBdr>
                                <w:top w:val="none" w:sz="0" w:space="0" w:color="auto"/>
                                <w:left w:val="none" w:sz="0" w:space="0" w:color="auto"/>
                                <w:bottom w:val="none" w:sz="0" w:space="0" w:color="auto"/>
                                <w:right w:val="none" w:sz="0" w:space="0" w:color="auto"/>
                              </w:divBdr>
                              <w:divsChild>
                                <w:div w:id="1694453138">
                                  <w:marLeft w:val="0"/>
                                  <w:marRight w:val="0"/>
                                  <w:marTop w:val="0"/>
                                  <w:marBottom w:val="0"/>
                                  <w:divBdr>
                                    <w:top w:val="none" w:sz="0" w:space="0" w:color="auto"/>
                                    <w:left w:val="none" w:sz="0" w:space="0" w:color="auto"/>
                                    <w:bottom w:val="none" w:sz="0" w:space="0" w:color="auto"/>
                                    <w:right w:val="none" w:sz="0" w:space="0" w:color="auto"/>
                                  </w:divBdr>
                                  <w:divsChild>
                                    <w:div w:id="185337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4128093">
      <w:bodyDiv w:val="1"/>
      <w:marLeft w:val="0"/>
      <w:marRight w:val="0"/>
      <w:marTop w:val="0"/>
      <w:marBottom w:val="0"/>
      <w:divBdr>
        <w:top w:val="none" w:sz="0" w:space="0" w:color="auto"/>
        <w:left w:val="none" w:sz="0" w:space="0" w:color="auto"/>
        <w:bottom w:val="none" w:sz="0" w:space="0" w:color="auto"/>
        <w:right w:val="none" w:sz="0" w:space="0" w:color="auto"/>
      </w:divBdr>
    </w:div>
    <w:div w:id="707680050">
      <w:bodyDiv w:val="1"/>
      <w:marLeft w:val="0"/>
      <w:marRight w:val="0"/>
      <w:marTop w:val="0"/>
      <w:marBottom w:val="0"/>
      <w:divBdr>
        <w:top w:val="none" w:sz="0" w:space="0" w:color="auto"/>
        <w:left w:val="none" w:sz="0" w:space="0" w:color="auto"/>
        <w:bottom w:val="none" w:sz="0" w:space="0" w:color="auto"/>
        <w:right w:val="none" w:sz="0" w:space="0" w:color="auto"/>
      </w:divBdr>
    </w:div>
    <w:div w:id="830219764">
      <w:bodyDiv w:val="1"/>
      <w:marLeft w:val="0"/>
      <w:marRight w:val="0"/>
      <w:marTop w:val="0"/>
      <w:marBottom w:val="0"/>
      <w:divBdr>
        <w:top w:val="none" w:sz="0" w:space="0" w:color="auto"/>
        <w:left w:val="none" w:sz="0" w:space="0" w:color="auto"/>
        <w:bottom w:val="none" w:sz="0" w:space="0" w:color="auto"/>
        <w:right w:val="none" w:sz="0" w:space="0" w:color="auto"/>
      </w:divBdr>
    </w:div>
    <w:div w:id="1086730389">
      <w:bodyDiv w:val="1"/>
      <w:marLeft w:val="0"/>
      <w:marRight w:val="0"/>
      <w:marTop w:val="0"/>
      <w:marBottom w:val="0"/>
      <w:divBdr>
        <w:top w:val="none" w:sz="0" w:space="0" w:color="auto"/>
        <w:left w:val="none" w:sz="0" w:space="0" w:color="auto"/>
        <w:bottom w:val="none" w:sz="0" w:space="0" w:color="auto"/>
        <w:right w:val="none" w:sz="0" w:space="0" w:color="auto"/>
      </w:divBdr>
    </w:div>
    <w:div w:id="1127509594">
      <w:bodyDiv w:val="1"/>
      <w:marLeft w:val="0"/>
      <w:marRight w:val="0"/>
      <w:marTop w:val="0"/>
      <w:marBottom w:val="0"/>
      <w:divBdr>
        <w:top w:val="none" w:sz="0" w:space="0" w:color="auto"/>
        <w:left w:val="none" w:sz="0" w:space="0" w:color="auto"/>
        <w:bottom w:val="none" w:sz="0" w:space="0" w:color="auto"/>
        <w:right w:val="none" w:sz="0" w:space="0" w:color="auto"/>
      </w:divBdr>
    </w:div>
    <w:div w:id="1142040655">
      <w:bodyDiv w:val="1"/>
      <w:marLeft w:val="0"/>
      <w:marRight w:val="0"/>
      <w:marTop w:val="0"/>
      <w:marBottom w:val="0"/>
      <w:divBdr>
        <w:top w:val="none" w:sz="0" w:space="0" w:color="auto"/>
        <w:left w:val="none" w:sz="0" w:space="0" w:color="auto"/>
        <w:bottom w:val="none" w:sz="0" w:space="0" w:color="auto"/>
        <w:right w:val="none" w:sz="0" w:space="0" w:color="auto"/>
      </w:divBdr>
      <w:divsChild>
        <w:div w:id="992950708">
          <w:marLeft w:val="0"/>
          <w:marRight w:val="0"/>
          <w:marTop w:val="0"/>
          <w:marBottom w:val="0"/>
          <w:divBdr>
            <w:top w:val="none" w:sz="0" w:space="0" w:color="auto"/>
            <w:left w:val="none" w:sz="0" w:space="0" w:color="auto"/>
            <w:bottom w:val="none" w:sz="0" w:space="0" w:color="auto"/>
            <w:right w:val="none" w:sz="0" w:space="0" w:color="auto"/>
          </w:divBdr>
          <w:divsChild>
            <w:div w:id="1013067167">
              <w:marLeft w:val="0"/>
              <w:marRight w:val="0"/>
              <w:marTop w:val="0"/>
              <w:marBottom w:val="0"/>
              <w:divBdr>
                <w:top w:val="none" w:sz="0" w:space="0" w:color="auto"/>
                <w:left w:val="none" w:sz="0" w:space="0" w:color="auto"/>
                <w:bottom w:val="none" w:sz="0" w:space="0" w:color="auto"/>
                <w:right w:val="none" w:sz="0" w:space="0" w:color="auto"/>
              </w:divBdr>
              <w:divsChild>
                <w:div w:id="912351150">
                  <w:marLeft w:val="5400"/>
                  <w:marRight w:val="0"/>
                  <w:marTop w:val="0"/>
                  <w:marBottom w:val="0"/>
                  <w:divBdr>
                    <w:top w:val="none" w:sz="0" w:space="0" w:color="auto"/>
                    <w:left w:val="none" w:sz="0" w:space="0" w:color="auto"/>
                    <w:bottom w:val="none" w:sz="0" w:space="0" w:color="auto"/>
                    <w:right w:val="none" w:sz="0" w:space="0" w:color="auto"/>
                  </w:divBdr>
                  <w:divsChild>
                    <w:div w:id="1404452379">
                      <w:marLeft w:val="0"/>
                      <w:marRight w:val="0"/>
                      <w:marTop w:val="0"/>
                      <w:marBottom w:val="0"/>
                      <w:divBdr>
                        <w:top w:val="none" w:sz="0" w:space="0" w:color="auto"/>
                        <w:left w:val="none" w:sz="0" w:space="0" w:color="auto"/>
                        <w:bottom w:val="none" w:sz="0" w:space="0" w:color="auto"/>
                        <w:right w:val="none" w:sz="0" w:space="0" w:color="auto"/>
                      </w:divBdr>
                      <w:divsChild>
                        <w:div w:id="274293869">
                          <w:marLeft w:val="0"/>
                          <w:marRight w:val="0"/>
                          <w:marTop w:val="0"/>
                          <w:marBottom w:val="0"/>
                          <w:divBdr>
                            <w:top w:val="none" w:sz="0" w:space="0" w:color="auto"/>
                            <w:left w:val="none" w:sz="0" w:space="0" w:color="auto"/>
                            <w:bottom w:val="none" w:sz="0" w:space="0" w:color="auto"/>
                            <w:right w:val="none" w:sz="0" w:space="0" w:color="auto"/>
                          </w:divBdr>
                          <w:divsChild>
                            <w:div w:id="1794446598">
                              <w:marLeft w:val="0"/>
                              <w:marRight w:val="0"/>
                              <w:marTop w:val="0"/>
                              <w:marBottom w:val="0"/>
                              <w:divBdr>
                                <w:top w:val="none" w:sz="0" w:space="0" w:color="auto"/>
                                <w:left w:val="none" w:sz="0" w:space="0" w:color="auto"/>
                                <w:bottom w:val="none" w:sz="0" w:space="0" w:color="auto"/>
                                <w:right w:val="none" w:sz="0" w:space="0" w:color="auto"/>
                              </w:divBdr>
                              <w:divsChild>
                                <w:div w:id="513350504">
                                  <w:marLeft w:val="0"/>
                                  <w:marRight w:val="0"/>
                                  <w:marTop w:val="0"/>
                                  <w:marBottom w:val="0"/>
                                  <w:divBdr>
                                    <w:top w:val="none" w:sz="0" w:space="0" w:color="auto"/>
                                    <w:left w:val="none" w:sz="0" w:space="0" w:color="auto"/>
                                    <w:bottom w:val="none" w:sz="0" w:space="0" w:color="auto"/>
                                    <w:right w:val="none" w:sz="0" w:space="0" w:color="auto"/>
                                  </w:divBdr>
                                  <w:divsChild>
                                    <w:div w:id="465128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2502058">
      <w:bodyDiv w:val="1"/>
      <w:marLeft w:val="0"/>
      <w:marRight w:val="0"/>
      <w:marTop w:val="0"/>
      <w:marBottom w:val="0"/>
      <w:divBdr>
        <w:top w:val="none" w:sz="0" w:space="0" w:color="auto"/>
        <w:left w:val="none" w:sz="0" w:space="0" w:color="auto"/>
        <w:bottom w:val="none" w:sz="0" w:space="0" w:color="auto"/>
        <w:right w:val="none" w:sz="0" w:space="0" w:color="auto"/>
      </w:divBdr>
    </w:div>
    <w:div w:id="1166477874">
      <w:bodyDiv w:val="1"/>
      <w:marLeft w:val="0"/>
      <w:marRight w:val="0"/>
      <w:marTop w:val="0"/>
      <w:marBottom w:val="0"/>
      <w:divBdr>
        <w:top w:val="none" w:sz="0" w:space="0" w:color="auto"/>
        <w:left w:val="none" w:sz="0" w:space="0" w:color="auto"/>
        <w:bottom w:val="none" w:sz="0" w:space="0" w:color="auto"/>
        <w:right w:val="none" w:sz="0" w:space="0" w:color="auto"/>
      </w:divBdr>
    </w:div>
    <w:div w:id="1217281863">
      <w:bodyDiv w:val="1"/>
      <w:marLeft w:val="0"/>
      <w:marRight w:val="0"/>
      <w:marTop w:val="0"/>
      <w:marBottom w:val="0"/>
      <w:divBdr>
        <w:top w:val="none" w:sz="0" w:space="0" w:color="auto"/>
        <w:left w:val="none" w:sz="0" w:space="0" w:color="auto"/>
        <w:bottom w:val="none" w:sz="0" w:space="0" w:color="auto"/>
        <w:right w:val="none" w:sz="0" w:space="0" w:color="auto"/>
      </w:divBdr>
    </w:div>
    <w:div w:id="1469009579">
      <w:bodyDiv w:val="1"/>
      <w:marLeft w:val="0"/>
      <w:marRight w:val="0"/>
      <w:marTop w:val="0"/>
      <w:marBottom w:val="0"/>
      <w:divBdr>
        <w:top w:val="none" w:sz="0" w:space="0" w:color="auto"/>
        <w:left w:val="none" w:sz="0" w:space="0" w:color="auto"/>
        <w:bottom w:val="none" w:sz="0" w:space="0" w:color="auto"/>
        <w:right w:val="none" w:sz="0" w:space="0" w:color="auto"/>
      </w:divBdr>
    </w:div>
    <w:div w:id="1477724110">
      <w:bodyDiv w:val="1"/>
      <w:marLeft w:val="0"/>
      <w:marRight w:val="0"/>
      <w:marTop w:val="0"/>
      <w:marBottom w:val="0"/>
      <w:divBdr>
        <w:top w:val="none" w:sz="0" w:space="0" w:color="auto"/>
        <w:left w:val="none" w:sz="0" w:space="0" w:color="auto"/>
        <w:bottom w:val="none" w:sz="0" w:space="0" w:color="auto"/>
        <w:right w:val="none" w:sz="0" w:space="0" w:color="auto"/>
      </w:divBdr>
    </w:div>
    <w:div w:id="1583567407">
      <w:bodyDiv w:val="1"/>
      <w:marLeft w:val="0"/>
      <w:marRight w:val="0"/>
      <w:marTop w:val="0"/>
      <w:marBottom w:val="0"/>
      <w:divBdr>
        <w:top w:val="none" w:sz="0" w:space="0" w:color="auto"/>
        <w:left w:val="none" w:sz="0" w:space="0" w:color="auto"/>
        <w:bottom w:val="none" w:sz="0" w:space="0" w:color="auto"/>
        <w:right w:val="none" w:sz="0" w:space="0" w:color="auto"/>
      </w:divBdr>
    </w:div>
    <w:div w:id="1600601948">
      <w:bodyDiv w:val="1"/>
      <w:marLeft w:val="0"/>
      <w:marRight w:val="0"/>
      <w:marTop w:val="0"/>
      <w:marBottom w:val="0"/>
      <w:divBdr>
        <w:top w:val="none" w:sz="0" w:space="0" w:color="auto"/>
        <w:left w:val="none" w:sz="0" w:space="0" w:color="auto"/>
        <w:bottom w:val="none" w:sz="0" w:space="0" w:color="auto"/>
        <w:right w:val="none" w:sz="0" w:space="0" w:color="auto"/>
      </w:divBdr>
    </w:div>
    <w:div w:id="1773281035">
      <w:bodyDiv w:val="1"/>
      <w:marLeft w:val="0"/>
      <w:marRight w:val="0"/>
      <w:marTop w:val="0"/>
      <w:marBottom w:val="0"/>
      <w:divBdr>
        <w:top w:val="none" w:sz="0" w:space="0" w:color="auto"/>
        <w:left w:val="none" w:sz="0" w:space="0" w:color="auto"/>
        <w:bottom w:val="none" w:sz="0" w:space="0" w:color="auto"/>
        <w:right w:val="none" w:sz="0" w:space="0" w:color="auto"/>
      </w:divBdr>
    </w:div>
    <w:div w:id="206328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eba.europa.eu/regulation-and-policy/other-topics/regulatory-and-implementing-technical-standards-on-benchmarking-portfolios" TargetMode="External"/><Relationship Id="rId1" Type="http://schemas.openxmlformats.org/officeDocument/2006/relationships/hyperlink" Target="https://www.eba.europa.eu/single-rule-book-q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EBA PP Exported">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A43BCE-8119-44E1-A2D7-ACB4A96A4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ECBB3A9F.dotm</Template>
  <TotalTime>8403</TotalTime>
  <Pages>20</Pages>
  <Words>5559</Words>
  <Characters>31688</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Notice of intended beta XBRL taxonomy availability and testing/feedback period</vt:lpstr>
    </vt:vector>
  </TitlesOfParts>
  <Company>European Banking Authority</Company>
  <LinksUpToDate>false</LinksUpToDate>
  <CharactersWithSpaces>37173</CharactersWithSpaces>
  <SharedDoc>false</SharedDoc>
  <HLinks>
    <vt:vector size="6" baseType="variant">
      <vt:variant>
        <vt:i4>2490439</vt:i4>
      </vt:variant>
      <vt:variant>
        <vt:i4>0</vt:i4>
      </vt:variant>
      <vt:variant>
        <vt:i4>0</vt:i4>
      </vt:variant>
      <vt:variant>
        <vt:i4>5</vt:i4>
      </vt:variant>
      <vt:variant>
        <vt:lpwstr>mailto:CP50@eba.europa.eu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intended beta XBRL taxonomy availability and testing/feedback period</dc:title>
  <dc:subject>Beta Taxonomy Release</dc:subject>
  <dc:creator>owen.jones@beanandbean.co.uk</dc:creator>
  <cp:lastModifiedBy>ojones</cp:lastModifiedBy>
  <cp:revision>55</cp:revision>
  <cp:lastPrinted>2014-08-11T16:36:00Z</cp:lastPrinted>
  <dcterms:created xsi:type="dcterms:W3CDTF">2013-06-06T11:07:00Z</dcterms:created>
  <dcterms:modified xsi:type="dcterms:W3CDTF">2015-09-02T14:56:00Z</dcterms:modified>
</cp:coreProperties>
</file>