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4A4" w:rsidRDefault="008934A4" w:rsidP="00A15D28">
      <w:pPr>
        <w:jc w:val="center"/>
        <w:rPr>
          <w:rFonts w:ascii="Times New Roman" w:hAnsi="Times New Roman"/>
          <w:sz w:val="28"/>
          <w:szCs w:val="28"/>
        </w:rPr>
      </w:pPr>
      <w:bookmarkStart w:id="0" w:name="_GoBack"/>
      <w:bookmarkEnd w:id="0"/>
      <w:r>
        <w:rPr>
          <w:rFonts w:ascii="Times New Roman" w:hAnsi="Times New Roman"/>
          <w:sz w:val="28"/>
          <w:szCs w:val="28"/>
        </w:rPr>
        <w:t>EN</w:t>
      </w:r>
    </w:p>
    <w:p w:rsidR="008934A4" w:rsidRDefault="008934A4" w:rsidP="00A15D28">
      <w:pPr>
        <w:jc w:val="center"/>
        <w:rPr>
          <w:rFonts w:ascii="Times New Roman" w:hAnsi="Times New Roman"/>
          <w:sz w:val="28"/>
          <w:szCs w:val="28"/>
        </w:rPr>
      </w:pPr>
      <w:r>
        <w:rPr>
          <w:rFonts w:ascii="Times New Roman" w:hAnsi="Times New Roman"/>
          <w:sz w:val="28"/>
          <w:szCs w:val="28"/>
        </w:rPr>
        <w:t>A</w:t>
      </w:r>
      <w:r w:rsidR="00D23044">
        <w:rPr>
          <w:rFonts w:ascii="Times New Roman" w:hAnsi="Times New Roman"/>
          <w:sz w:val="28"/>
          <w:szCs w:val="28"/>
        </w:rPr>
        <w:t>NNEX</w:t>
      </w:r>
      <w:r>
        <w:rPr>
          <w:rFonts w:ascii="Times New Roman" w:hAnsi="Times New Roman"/>
          <w:sz w:val="28"/>
          <w:szCs w:val="28"/>
        </w:rPr>
        <w:t xml:space="preserve"> V</w:t>
      </w:r>
    </w:p>
    <w:p w:rsidR="008934A4" w:rsidRDefault="008934A4" w:rsidP="00A15D28">
      <w:pPr>
        <w:jc w:val="center"/>
        <w:rPr>
          <w:rFonts w:ascii="Times New Roman" w:hAnsi="Times New Roman"/>
          <w:sz w:val="28"/>
          <w:szCs w:val="28"/>
        </w:rPr>
      </w:pPr>
    </w:p>
    <w:p w:rsidR="00A15D28" w:rsidRPr="00E94154" w:rsidRDefault="00CE594E" w:rsidP="00A15D28">
      <w:pPr>
        <w:jc w:val="center"/>
        <w:rPr>
          <w:rFonts w:ascii="Times New Roman" w:hAnsi="Times New Roman"/>
          <w:sz w:val="28"/>
          <w:szCs w:val="28"/>
        </w:rPr>
      </w:pPr>
      <w:r w:rsidRPr="00E94154">
        <w:rPr>
          <w:rFonts w:ascii="Times New Roman" w:hAnsi="Times New Roman"/>
          <w:sz w:val="28"/>
          <w:szCs w:val="28"/>
        </w:rPr>
        <w:t>'</w:t>
      </w:r>
      <w:r w:rsidR="00A15D28" w:rsidRPr="00E94154">
        <w:rPr>
          <w:rFonts w:ascii="Times New Roman" w:hAnsi="Times New Roman"/>
          <w:sz w:val="28"/>
          <w:szCs w:val="28"/>
        </w:rPr>
        <w:t>ANNEX XI</w:t>
      </w:r>
    </w:p>
    <w:p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C2C28" w:rsidRPr="00E94154" w:rsidRDefault="00391EF9">
      <w:pPr>
        <w:pStyle w:val="TOC1"/>
        <w:rPr>
          <w:rFonts w:ascii="Times New Roman" w:eastAsiaTheme="minorEastAsia" w:hAnsi="Times New Roman"/>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23089060" w:history="1">
        <w:r w:rsidR="00DC2C28" w:rsidRPr="00E94154">
          <w:rPr>
            <w:rStyle w:val="Hyperlink"/>
            <w:rFonts w:ascii="Times New Roman" w:hAnsi="Times New Roman"/>
            <w:b/>
          </w:rPr>
          <w:t>PART I: GENERAL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61"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Template labelling and other conventions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7269C">
      <w:pPr>
        <w:pStyle w:val="TOC3"/>
        <w:rPr>
          <w:rFonts w:ascii="Times New Roman" w:eastAsiaTheme="minorEastAsia" w:hAnsi="Times New Roman"/>
          <w:smallCaps w:val="0"/>
          <w:sz w:val="22"/>
          <w:szCs w:val="22"/>
          <w:lang w:eastAsia="en-GB"/>
        </w:rPr>
      </w:pPr>
      <w:hyperlink w:anchor="_Toc423089062" w:history="1">
        <w:r w:rsidR="00DC2C28" w:rsidRPr="00E94154">
          <w:rPr>
            <w:rStyle w:val="Hyperlink"/>
            <w:rFonts w:ascii="Times New Roman" w:hAnsi="Times New Roman"/>
            <w:b/>
          </w:rPr>
          <w:t>1.1.</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Template labelling</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7269C">
      <w:pPr>
        <w:pStyle w:val="TOC3"/>
        <w:rPr>
          <w:rFonts w:ascii="Times New Roman" w:eastAsiaTheme="minorEastAsia" w:hAnsi="Times New Roman"/>
          <w:smallCaps w:val="0"/>
          <w:sz w:val="22"/>
          <w:szCs w:val="22"/>
          <w:lang w:eastAsia="en-GB"/>
        </w:rPr>
      </w:pPr>
      <w:hyperlink w:anchor="_Toc423089063" w:history="1">
        <w:r w:rsidR="00DC2C28" w:rsidRPr="00E94154">
          <w:rPr>
            <w:rStyle w:val="Hyperlink"/>
            <w:rFonts w:ascii="Times New Roman" w:hAnsi="Times New Roman"/>
            <w:b/>
          </w:rPr>
          <w:t>1.2.</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Numbering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7269C">
      <w:pPr>
        <w:pStyle w:val="TOC3"/>
        <w:rPr>
          <w:rFonts w:ascii="Times New Roman" w:eastAsiaTheme="minorEastAsia" w:hAnsi="Times New Roman"/>
          <w:smallCaps w:val="0"/>
          <w:sz w:val="22"/>
          <w:szCs w:val="22"/>
          <w:lang w:eastAsia="en-GB"/>
        </w:rPr>
      </w:pPr>
      <w:hyperlink w:anchor="_Toc423089064" w:history="1">
        <w:r w:rsidR="00DC2C28" w:rsidRPr="00E94154">
          <w:rPr>
            <w:rStyle w:val="Hyperlink"/>
            <w:rFonts w:ascii="Times New Roman" w:hAnsi="Times New Roman"/>
            <w:b/>
          </w:rPr>
          <w:t>1.3.</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Abbreviations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77269C">
      <w:pPr>
        <w:pStyle w:val="TOC3"/>
        <w:rPr>
          <w:rFonts w:ascii="Times New Roman" w:eastAsiaTheme="minorEastAsia" w:hAnsi="Times New Roman"/>
          <w:smallCaps w:val="0"/>
          <w:sz w:val="22"/>
          <w:szCs w:val="22"/>
          <w:lang w:eastAsia="en-GB"/>
        </w:rPr>
      </w:pPr>
      <w:hyperlink w:anchor="_Toc423089065" w:history="1">
        <w:r w:rsidR="00DC2C28" w:rsidRPr="00E94154">
          <w:rPr>
            <w:rStyle w:val="Hyperlink"/>
            <w:rFonts w:ascii="Times New Roman" w:hAnsi="Times New Roman"/>
            <w:b/>
          </w:rPr>
          <w:t>1.4.</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Sign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3</w:t>
        </w:r>
        <w:r w:rsidR="00DC2C28" w:rsidRPr="00E94154">
          <w:rPr>
            <w:rFonts w:ascii="Times New Roman" w:hAnsi="Times New Roman"/>
            <w:webHidden/>
          </w:rPr>
          <w:fldChar w:fldCharType="end"/>
        </w:r>
      </w:hyperlink>
    </w:p>
    <w:p w:rsidR="00DC2C28" w:rsidRPr="00E94154" w:rsidRDefault="0077269C">
      <w:pPr>
        <w:pStyle w:val="TOC1"/>
        <w:rPr>
          <w:rFonts w:ascii="Times New Roman" w:eastAsiaTheme="minorEastAsia" w:hAnsi="Times New Roman"/>
          <w:color w:val="auto"/>
          <w:sz w:val="22"/>
          <w:szCs w:val="22"/>
          <w:lang w:eastAsia="en-GB"/>
        </w:rPr>
      </w:pPr>
      <w:hyperlink w:anchor="_Toc423089066" w:history="1">
        <w:r w:rsidR="00DC2C28" w:rsidRPr="00E94154">
          <w:rPr>
            <w:rStyle w:val="Hyperlink"/>
            <w:rFonts w:ascii="Times New Roman" w:hAnsi="Times New Roman"/>
            <w:b/>
          </w:rPr>
          <w:t>PART II: TEMPLATE RELATED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_Toc423089066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67"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Structure and frequency</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_Toc423089067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68" w:history="1">
        <w:r w:rsidR="00DC2C28" w:rsidRPr="00E94154">
          <w:rPr>
            <w:rStyle w:val="Hyperlink"/>
            <w:rFonts w:ascii="Times New Roman" w:hAnsi="Times New Roman"/>
          </w:rPr>
          <w:t>2.</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Formulas for leverage ratio calculation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_Toc423089068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69" w:history="1">
        <w:r w:rsidR="00DC2C28" w:rsidRPr="00E94154">
          <w:rPr>
            <w:rStyle w:val="Hyperlink"/>
            <w:rFonts w:ascii="Times New Roman" w:hAnsi="Times New Roman"/>
          </w:rPr>
          <w:t>3.</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Materiality thresholds for derivatives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_Toc423089069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70" w:history="1">
        <w:r w:rsidR="00DC2C28" w:rsidRPr="00E94154">
          <w:rPr>
            <w:rStyle w:val="Hyperlink"/>
            <w:rFonts w:ascii="Times New Roman" w:hAnsi="Times New Roman"/>
          </w:rPr>
          <w:t>4.</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C47.00 – Leverage ratio calculation (LRCalc)</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5</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71" w:history="1">
        <w:r w:rsidR="00DC2C28" w:rsidRPr="00E94154">
          <w:rPr>
            <w:rStyle w:val="Hyperlink"/>
            <w:rFonts w:ascii="Times New Roman" w:hAnsi="Times New Roman"/>
          </w:rPr>
          <w:t>5.</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C40.00 – Alternative treatment of the Exposure Measure (LR1)</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14</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72" w:history="1">
        <w:r w:rsidR="00DC2C28" w:rsidRPr="00E94154">
          <w:rPr>
            <w:rStyle w:val="Hyperlink"/>
            <w:rFonts w:ascii="Times New Roman" w:hAnsi="Times New Roman"/>
          </w:rPr>
          <w:t>6.</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C41.00 – On- and off-balance sheet items – additional breakdown of exposures (LR2)</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24</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73" w:history="1">
        <w:r w:rsidR="00DC2C28" w:rsidRPr="00E94154">
          <w:rPr>
            <w:rStyle w:val="Hyperlink"/>
            <w:rFonts w:ascii="Times New Roman" w:hAnsi="Times New Roman"/>
          </w:rPr>
          <w:t>7.</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C42.00 – Alternative definition of capital (LR3)</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26</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74" w:history="1">
        <w:r w:rsidR="00DC2C28" w:rsidRPr="00E94154">
          <w:rPr>
            <w:rStyle w:val="Hyperlink"/>
            <w:rFonts w:ascii="Times New Roman" w:hAnsi="Times New Roman"/>
          </w:rPr>
          <w:t>8.</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C43.00 – Alternative breakdown of leverage ratio exposure measure components (LR4)</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28</w:t>
        </w:r>
        <w:r w:rsidR="00DC2C28" w:rsidRPr="00E94154">
          <w:rPr>
            <w:rFonts w:ascii="Times New Roman" w:hAnsi="Times New Roman"/>
            <w:webHidden/>
          </w:rPr>
          <w:fldChar w:fldCharType="end"/>
        </w:r>
      </w:hyperlink>
    </w:p>
    <w:p w:rsidR="00DC2C28" w:rsidRPr="00E94154" w:rsidRDefault="0077269C">
      <w:pPr>
        <w:pStyle w:val="TOC2"/>
        <w:rPr>
          <w:rFonts w:ascii="Times New Roman" w:eastAsiaTheme="minorEastAsia" w:hAnsi="Times New Roman"/>
          <w:b w:val="0"/>
          <w:smallCaps w:val="0"/>
          <w:sz w:val="22"/>
          <w:lang w:eastAsia="en-GB"/>
        </w:rPr>
      </w:pPr>
      <w:hyperlink w:anchor="_Toc423089075" w:history="1">
        <w:r w:rsidR="00DC2C28" w:rsidRPr="00E94154">
          <w:rPr>
            <w:rStyle w:val="Hyperlink"/>
            <w:rFonts w:ascii="Times New Roman" w:hAnsi="Times New Roman"/>
          </w:rPr>
          <w:t>9.</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C44.00 – General information (LR5)</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46</w:t>
        </w:r>
        <w:r w:rsidR="00DC2C28" w:rsidRPr="00E94154">
          <w:rPr>
            <w:rFonts w:ascii="Times New Roman" w:hAnsi="Times New Roman"/>
            <w:webHidden/>
          </w:rPr>
          <w:fldChar w:fldCharType="end"/>
        </w:r>
      </w:hyperlink>
    </w:p>
    <w:p w:rsidR="00F4754B" w:rsidRPr="00FE002E" w:rsidRDefault="00391EF9" w:rsidP="00F4754B">
      <w:pPr>
        <w:pStyle w:val="BodyText1"/>
        <w:rPr>
          <w:rFonts w:ascii="Times New Roman" w:hAnsi="Times New Roman"/>
        </w:rPr>
        <w:sectPr w:rsidR="00F4754B" w:rsidRPr="00FE002E" w:rsidSect="00DC2C28">
          <w:footerReference w:type="default" r:id="rId10"/>
          <w:headerReference w:type="first" r:id="rId11"/>
          <w:footerReference w:type="first" r:id="rId12"/>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6"/>
      <w:bookmarkEnd w:id="7"/>
      <w:bookmarkEnd w:id="8"/>
      <w:bookmarkEnd w:id="9"/>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0" w:name="_Toc322687866"/>
      <w:bookmarkStart w:id="11" w:name="_Toc359414275"/>
      <w:bookmarkStart w:id="12" w:name="_Toc423089062"/>
      <w:bookmarkStart w:id="13" w:name="_Toc264038399"/>
      <w:bookmarkStart w:id="14" w:name="_Toc294018834"/>
      <w:r w:rsidRPr="00FE002E">
        <w:rPr>
          <w:rFonts w:ascii="Times New Roman" w:hAnsi="Times New Roman"/>
          <w:b/>
        </w:rPr>
        <w:t>1.1.</w:t>
      </w:r>
      <w:r w:rsidRPr="00FE002E">
        <w:rPr>
          <w:rFonts w:ascii="Times New Roman" w:hAnsi="Times New Roman"/>
          <w:b/>
        </w:rPr>
        <w:tab/>
      </w:r>
      <w:r w:rsidR="00607A1B" w:rsidRPr="00FE002E">
        <w:rPr>
          <w:rFonts w:ascii="Times New Roman" w:hAnsi="Times New Roman"/>
          <w:b/>
        </w:rPr>
        <w:t xml:space="preserve">Template </w:t>
      </w:r>
      <w:bookmarkEnd w:id="10"/>
      <w:r w:rsidR="00FF2091" w:rsidRPr="00FE002E">
        <w:rPr>
          <w:rFonts w:ascii="Times New Roman" w:hAnsi="Times New Roman"/>
          <w:b/>
        </w:rPr>
        <w:t>label</w:t>
      </w:r>
      <w:r w:rsidR="00B83F3F" w:rsidRPr="00FE002E">
        <w:rPr>
          <w:rFonts w:ascii="Times New Roman" w:hAnsi="Times New Roman"/>
          <w:b/>
        </w:rPr>
        <w:t>ling</w:t>
      </w:r>
      <w:bookmarkEnd w:id="11"/>
      <w:bookmarkEnd w:id="12"/>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r w:rsidR="00473173">
        <w:rPr>
          <w:rFonts w:eastAsia="Times New Roman"/>
          <w:bCs/>
          <w:szCs w:val="17"/>
          <w:lang w:eastAsia="de-DE"/>
        </w:rPr>
        <w:t>six</w:t>
      </w:r>
      <w:r w:rsidR="00473173" w:rsidRPr="00FE002E">
        <w:rPr>
          <w:rFonts w:eastAsia="Times New Roman"/>
          <w:bCs/>
          <w:szCs w:val="17"/>
          <w:lang w:eastAsia="de-DE"/>
        </w:rPr>
        <w:t xml:space="preserve"> </w:t>
      </w:r>
      <w:r w:rsidR="00F4754B" w:rsidRPr="00FE002E">
        <w:rPr>
          <w:rFonts w:eastAsia="Times New Roman"/>
          <w:bCs/>
          <w:szCs w:val="17"/>
          <w:lang w:eastAsia="de-DE"/>
        </w:rPr>
        <w:t>templates: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(LRCalc): Leverage ratio calculation</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C41.00: </w:t>
      </w:r>
      <w:r w:rsidR="00F4754B" w:rsidRPr="00FE002E">
        <w:rPr>
          <w:rFonts w:eastAsia="Times New Roman"/>
          <w:bCs/>
          <w:szCs w:val="17"/>
          <w:lang w:eastAsia="de-DE"/>
        </w:rPr>
        <w:t>Leverage Ratio Template 2 (LR2): On and off-balance sheet items – additional breakdown of exposures</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C42.00: </w:t>
      </w:r>
      <w:r w:rsidR="00F4754B" w:rsidRPr="00FE002E">
        <w:rPr>
          <w:rFonts w:eastAsia="Times New Roman"/>
          <w:bCs/>
          <w:szCs w:val="17"/>
          <w:lang w:eastAsia="de-DE"/>
        </w:rPr>
        <w:t>Leverage Ratio Template 3 (LR3): Alternative definition of capital</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Leverage Ratio Template 4 (LR4): Breakdown of leverage ratio exposure measure components</w:t>
      </w:r>
      <w:r w:rsidR="00467F98">
        <w:rPr>
          <w:rFonts w:eastAsia="Times New Roman"/>
          <w:bCs/>
          <w:szCs w:val="17"/>
          <w:lang w:eastAsia="de-DE"/>
        </w:rPr>
        <w:t>; and</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5" w:name="_Toc359414277"/>
      <w:bookmarkStart w:id="16" w:name="_Toc322687867"/>
      <w:bookmarkStart w:id="17" w:name="_Toc351048502"/>
      <w:bookmarkStart w:id="18" w:name="_Toc359414278"/>
      <w:bookmarkStart w:id="19" w:name="_Toc423089063"/>
      <w:bookmarkEnd w:id="15"/>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16"/>
      <w:bookmarkEnd w:id="17"/>
      <w:bookmarkEnd w:id="18"/>
      <w:bookmarkEnd w:id="19"/>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 xml:space="preserve">The following general notation is followed in the instructions: {Template;Row;Column}.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{Row;Column}.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rsidR="001D6F2F" w:rsidRPr="00FE002E" w:rsidRDefault="00500508" w:rsidP="00500508">
      <w:pPr>
        <w:pStyle w:val="BodyText1"/>
        <w:ind w:left="357" w:hanging="357"/>
        <w:outlineLvl w:val="2"/>
        <w:rPr>
          <w:rFonts w:ascii="Times New Roman" w:hAnsi="Times New Roman"/>
          <w:b/>
        </w:rPr>
      </w:pPr>
      <w:bookmarkStart w:id="20" w:name="_Toc423089064"/>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20"/>
    </w:p>
    <w:p w:rsidR="001D6F2F" w:rsidRPr="00CF306A" w:rsidRDefault="001D6F2F" w:rsidP="001D6F2F">
      <w:pPr>
        <w:pStyle w:val="BodyText1"/>
      </w:pPr>
      <w:bookmarkStart w:id="21" w:name="_Toc359414279"/>
      <w:bookmarkStart w:id="22" w:name="_Toc322687868"/>
      <w:bookmarkStart w:id="23" w:name="_Toc351048503"/>
      <w:bookmarkStart w:id="24" w:name="_Toc359414280"/>
      <w:bookmarkEnd w:id="21"/>
    </w:p>
    <w:p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lastRenderedPageBreak/>
        <w:t>b.</w:t>
      </w:r>
      <w:r>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repurchase transaction, securities or commodities lending or borrowing transaction, long settlement transaction and margin lending transaction</w:t>
      </w:r>
      <w:r w:rsidR="00627E07">
        <w:rPr>
          <w:rFonts w:eastAsia="Times New Roman"/>
          <w:bCs/>
          <w:szCs w:val="17"/>
          <w:lang w:eastAsia="de-DE"/>
        </w:rPr>
        <w:t xml:space="preserve">” </w:t>
      </w:r>
      <w:r w:rsidR="004612B9">
        <w:rPr>
          <w:rFonts w:eastAsia="Times New Roman"/>
          <w:bCs/>
          <w:szCs w:val="17"/>
          <w:lang w:eastAsia="de-DE"/>
        </w:rPr>
        <w:t>as referred to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rsidR="008E7068" w:rsidRPr="00627E07" w:rsidRDefault="00500508" w:rsidP="00500508">
      <w:pPr>
        <w:pStyle w:val="InstructionsText2"/>
        <w:numPr>
          <w:ilvl w:val="0"/>
          <w:numId w:val="0"/>
        </w:numPr>
        <w:ind w:left="1440" w:hanging="360"/>
        <w:rPr>
          <w:rFonts w:eastAsia="Times New Roman"/>
          <w:bCs/>
          <w:szCs w:val="17"/>
          <w:lang w:eastAsia="de-DE"/>
        </w:rPr>
      </w:pPr>
      <w:r w:rsidRPr="00627E07">
        <w:rPr>
          <w:rFonts w:eastAsia="Times New Roman"/>
          <w:bCs/>
          <w:szCs w:val="17"/>
          <w:lang w:eastAsia="de-DE"/>
        </w:rPr>
        <w:t>c.</w:t>
      </w:r>
      <w:r w:rsidRPr="00627E07">
        <w:rPr>
          <w:rFonts w:eastAsia="Times New Roman"/>
          <w:bCs/>
          <w:szCs w:val="17"/>
          <w:lang w:eastAsia="de-DE"/>
        </w:rPr>
        <w:tab/>
      </w:r>
      <w:r w:rsidR="008E7068">
        <w:rPr>
          <w:rFonts w:eastAsia="Times New Roman"/>
          <w:bCs/>
          <w:szCs w:val="17"/>
          <w:lang w:eastAsia="de-DE"/>
        </w:rPr>
        <w:t>CRM, which is an abbreviation for Credit Risk Mitigation.</w:t>
      </w:r>
    </w:p>
    <w:p w:rsidR="00217D1F" w:rsidRPr="00FE002E" w:rsidRDefault="00500508" w:rsidP="00500508">
      <w:pPr>
        <w:pStyle w:val="BodyText1"/>
        <w:ind w:left="357" w:hanging="357"/>
        <w:outlineLvl w:val="2"/>
        <w:rPr>
          <w:rFonts w:ascii="Times New Roman" w:hAnsi="Times New Roman"/>
          <w:b/>
        </w:rPr>
      </w:pPr>
      <w:bookmarkStart w:id="25" w:name="_Toc423089065"/>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13"/>
      <w:bookmarkEnd w:id="14"/>
      <w:bookmarkEnd w:id="22"/>
      <w:bookmarkEnd w:id="23"/>
      <w:bookmarkEnd w:id="24"/>
      <w:bookmarkEnd w:id="25"/>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lang w:eastAsia="de-DE"/>
        </w:rPr>
      </w:pPr>
      <w:bookmarkStart w:id="26" w:name="_Toc322687869"/>
      <w:r w:rsidRPr="00FD2C06">
        <w:rPr>
          <w:rFonts w:eastAsia="Times New Roman"/>
          <w:bCs/>
          <w:szCs w:val="17"/>
          <w:lang w:eastAsia="de-DE"/>
        </w:rPr>
        <w:t>9.</w:t>
      </w:r>
      <w:r w:rsidRPr="00FD2C06">
        <w:rPr>
          <w:rFonts w:eastAsia="Times New Roman"/>
          <w:bCs/>
          <w:szCs w:val="17"/>
          <w:lang w:eastAsia="de-DE"/>
        </w:rPr>
        <w:tab/>
      </w:r>
      <w:r w:rsidR="00A83AF9" w:rsidRPr="00FD2C06">
        <w:rPr>
          <w:rFonts w:eastAsia="Times New Roman"/>
          <w:bCs/>
          <w:szCs w:val="17"/>
          <w:lang w:eastAsia="de-DE"/>
        </w:rPr>
        <w:t>All amounts shall be reported as positive figures.</w:t>
      </w:r>
      <w:bookmarkStart w:id="27" w:name="_Toc264033192"/>
      <w:bookmarkEnd w:id="27"/>
      <w:r w:rsidR="00A83AF9" w:rsidRPr="00FD2C06">
        <w:rPr>
          <w:rFonts w:eastAsia="Times New Roman"/>
          <w:bCs/>
          <w:szCs w:val="17"/>
          <w:lang w:eastAsia="de-DE"/>
        </w:rPr>
        <w:t xml:space="preserve"> An exception are the amounts reported in </w:t>
      </w:r>
      <w:r w:rsidR="00DE586C" w:rsidRPr="00FD2C06">
        <w:rPr>
          <w:rFonts w:eastAsia="Times New Roman"/>
          <w:bCs/>
          <w:szCs w:val="17"/>
          <w:lang w:eastAsia="de-DE"/>
        </w:rPr>
        <w:t>{LRCalc;050;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{LRCalc;070;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{LRCalc;080;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{LRCalc;100;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{LRCalc;210;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{LRCalc;260;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xml:space="preserve">}, </w:t>
      </w:r>
      <w:r w:rsidR="00A83AF9" w:rsidRPr="00FD2C06">
        <w:rPr>
          <w:rFonts w:eastAsia="Times New Roman"/>
          <w:bCs/>
          <w:szCs w:val="17"/>
          <w:lang w:eastAsia="de-DE"/>
        </w:rPr>
        <w:t>{LRCalc;</w:t>
      </w:r>
      <w:r w:rsidR="009264ED">
        <w:rPr>
          <w:rFonts w:eastAsia="Times New Roman"/>
          <w:bCs/>
          <w:szCs w:val="17"/>
          <w:lang w:eastAsia="de-DE"/>
        </w:rPr>
        <w:t>310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320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2</w:t>
      </w:r>
      <w:r w:rsidR="00652361">
        <w:rPr>
          <w:rFonts w:eastAsia="Times New Roman"/>
          <w:bCs/>
          <w:szCs w:val="17"/>
          <w:lang w:eastAsia="de-DE"/>
        </w:rPr>
        <w:t>7</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280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Pr>
          <w:rFonts w:eastAsia="Times New Roman"/>
          <w:bCs/>
          <w:szCs w:val="17"/>
          <w:lang w:eastAsia="de-DE"/>
        </w:rPr>
        <w:t xml:space="preserve"> </w:t>
      </w:r>
      <w:r w:rsidR="00A83AF9" w:rsidRPr="00FD2C06">
        <w:rPr>
          <w:rFonts w:eastAsia="Times New Roman"/>
          <w:bCs/>
          <w:szCs w:val="17"/>
          <w:lang w:eastAsia="de-DE"/>
        </w:rPr>
        <w:t>{LRCalc;</w:t>
      </w:r>
      <w:r w:rsidR="00952538" w:rsidRPr="00FD2C06">
        <w:rPr>
          <w:rFonts w:eastAsia="Times New Roman"/>
          <w:bCs/>
          <w:szCs w:val="17"/>
          <w:lang w:eastAsia="de-DE"/>
        </w:rPr>
        <w:t>3</w:t>
      </w:r>
      <w:r w:rsidR="00652361">
        <w:rPr>
          <w:rFonts w:eastAsia="Times New Roman"/>
          <w:bCs/>
          <w:szCs w:val="17"/>
          <w:lang w:eastAsia="de-DE"/>
        </w:rPr>
        <w:t>3</w:t>
      </w:r>
      <w:r w:rsidR="00A83AF9" w:rsidRPr="00FD2C06">
        <w:rPr>
          <w:rFonts w:eastAsia="Times New Roman"/>
          <w:bCs/>
          <w:szCs w:val="17"/>
          <w:lang w:eastAsia="de-DE"/>
        </w:rPr>
        <w:t>0;</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4</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sidR="009751DA" w:rsidRPr="00FD2C06">
        <w:rPr>
          <w:rFonts w:eastAsia="Times New Roman"/>
          <w:bCs/>
          <w:szCs w:val="17"/>
          <w:lang w:eastAsia="de-DE"/>
        </w:rPr>
        <w:t xml:space="preserve">, </w:t>
      </w:r>
      <w:r w:rsidR="00A83AF9" w:rsidRPr="00FD2C06">
        <w:rPr>
          <w:rFonts w:eastAsia="Times New Roman"/>
          <w:bCs/>
          <w:szCs w:val="17"/>
          <w:lang w:eastAsia="de-DE"/>
        </w:rPr>
        <w:t>{LR3;010;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LR3;020;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{LR3;030;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LR3;040;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05</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06</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07</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and </w:t>
      </w:r>
      <w:r w:rsidR="00473173"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08</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Thereby note that</w:t>
      </w:r>
      <w:r w:rsidR="00DE586C" w:rsidRPr="00FD2C06">
        <w:rPr>
          <w:rFonts w:eastAsia="Times New Roman"/>
          <w:bCs/>
          <w:szCs w:val="17"/>
          <w:lang w:eastAsia="de-DE"/>
        </w:rPr>
        <w:t xml:space="preserve"> </w:t>
      </w:r>
      <w:r w:rsidR="001F28C3" w:rsidRPr="00FD2C06">
        <w:rPr>
          <w:rFonts w:eastAsia="Times New Roman"/>
          <w:bCs/>
          <w:szCs w:val="17"/>
          <w:lang w:eastAsia="de-DE"/>
        </w:rPr>
        <w:t>{LRCalc;050;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{LRCalc;070;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{LRCalc;080;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{LRCalc;100;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{LRCalc;210;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AB1695">
        <w:rPr>
          <w:rFonts w:eastAsia="Times New Roman"/>
          <w:bCs/>
          <w:szCs w:val="17"/>
          <w:lang w:eastAsia="de-DE"/>
        </w:rPr>
        <w:t>,</w:t>
      </w:r>
      <w:r w:rsidR="001F28C3" w:rsidRPr="00FD2C06">
        <w:rPr>
          <w:rFonts w:eastAsia="Times New Roman"/>
          <w:bCs/>
          <w:szCs w:val="17"/>
          <w:lang w:eastAsia="de-DE"/>
        </w:rPr>
        <w:t xml:space="preserve"> {LRCalc;260;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w:t>
      </w:r>
      <w:r w:rsidR="00652361">
        <w:rPr>
          <w:rFonts w:eastAsia="Times New Roman"/>
          <w:bCs/>
          <w:szCs w:val="17"/>
          <w:lang w:eastAsia="de-DE"/>
        </w:rPr>
        <w:t>7</w:t>
      </w:r>
      <w:r w:rsidR="001F28C3" w:rsidRPr="00FD2C06">
        <w:rPr>
          <w:rFonts w:eastAsia="Times New Roman"/>
          <w:bCs/>
          <w:szCs w:val="17"/>
          <w:lang w:eastAsia="de-DE"/>
        </w:rPr>
        <w:t>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90CB5" w:rsidRPr="00FD2C06">
        <w:rPr>
          <w:rFonts w:eastAsia="Times New Roman"/>
          <w:bCs/>
          <w:szCs w:val="17"/>
          <w:lang w:eastAsia="de-DE"/>
        </w:rPr>
        <w:t xml:space="preserve"> </w:t>
      </w:r>
      <w:r w:rsidR="001F28C3" w:rsidRPr="00FD2C06">
        <w:rPr>
          <w:rFonts w:eastAsia="Times New Roman"/>
          <w:bCs/>
          <w:szCs w:val="17"/>
          <w:lang w:eastAsia="de-DE"/>
        </w:rPr>
        <w:t>{LRCalc;</w:t>
      </w:r>
      <w:r w:rsidR="00652361">
        <w:rPr>
          <w:rFonts w:eastAsia="Times New Roman"/>
          <w:bCs/>
          <w:szCs w:val="17"/>
          <w:lang w:eastAsia="de-DE"/>
        </w:rPr>
        <w:t>280</w:t>
      </w:r>
      <w:r w:rsidR="001F28C3" w:rsidRPr="00FD2C06">
        <w:rPr>
          <w:rFonts w:eastAsia="Times New Roman"/>
          <w:bCs/>
          <w:szCs w:val="17"/>
          <w:lang w:eastAsia="de-DE"/>
        </w:rPr>
        <w:t>;</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B4F8E">
        <w:rPr>
          <w:rFonts w:eastAsia="Times New Roman"/>
          <w:bCs/>
          <w:szCs w:val="17"/>
          <w:lang w:eastAsia="de-DE"/>
        </w:rPr>
        <w:t>,</w:t>
      </w:r>
      <w:r w:rsidR="00B90CB5" w:rsidRPr="00FD2C06">
        <w:rPr>
          <w:rFonts w:eastAsia="Times New Roman"/>
          <w:bCs/>
          <w:szCs w:val="17"/>
          <w:lang w:eastAsia="de-DE"/>
        </w:rPr>
        <w:t xml:space="preserve"> </w:t>
      </w:r>
      <w:r w:rsidR="00BB4F8E" w:rsidRPr="00BB4F8E">
        <w:rPr>
          <w:rFonts w:eastAsia="Times New Roman"/>
          <w:bCs/>
          <w:szCs w:val="17"/>
          <w:lang w:eastAsia="de-DE"/>
        </w:rPr>
        <w:t>{LR3;05</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{LR3;06</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{LR3;07</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and {LR3;08</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xml:space="preserve">} </w:t>
      </w:r>
      <w:r w:rsidR="00B90CB5" w:rsidRPr="00FD2C06">
        <w:rPr>
          <w:rFonts w:eastAsia="Times New Roman"/>
          <w:bCs/>
          <w:szCs w:val="17"/>
          <w:lang w:eastAsia="de-DE"/>
        </w:rPr>
        <w:t xml:space="preserve">only take negative values. Also note that, apart from extreme cases, </w:t>
      </w:r>
      <w:r w:rsidR="00B90CB5" w:rsidRPr="00B90CB5">
        <w:rPr>
          <w:rFonts w:eastAsia="Times New Roman"/>
          <w:bCs/>
          <w:szCs w:val="17"/>
          <w:lang w:eastAsia="de-DE"/>
        </w:rPr>
        <w:t>{LRCalc;</w:t>
      </w:r>
      <w:r w:rsidR="00652361">
        <w:rPr>
          <w:rFonts w:eastAsia="Times New Roman"/>
          <w:bCs/>
          <w:szCs w:val="17"/>
          <w:lang w:eastAsia="de-DE"/>
        </w:rPr>
        <w:t>310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w:t>
      </w:r>
      <w:r w:rsidR="00652361">
        <w:rPr>
          <w:rFonts w:eastAsia="Times New Roman"/>
          <w:bCs/>
          <w:szCs w:val="17"/>
          <w:lang w:eastAsia="de-DE"/>
        </w:rPr>
        <w:t>320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3</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4</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w:t>
      </w:r>
      <w:r w:rsidR="00B90CB5" w:rsidRPr="00FD2C06">
        <w:rPr>
          <w:rFonts w:eastAsia="Times New Roman"/>
          <w:bCs/>
          <w:szCs w:val="17"/>
          <w:lang w:eastAsia="de-DE"/>
        </w:rPr>
        <w:t xml:space="preserve"> {LR3;010;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{LR3;020;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{LR3;030;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w:t>
      </w:r>
      <w:r w:rsidR="00B90CB5">
        <w:rPr>
          <w:rFonts w:eastAsia="Times New Roman"/>
          <w:bCs/>
          <w:szCs w:val="17"/>
          <w:lang w:eastAsia="de-DE"/>
        </w:rPr>
        <w:t xml:space="preserve"> and</w:t>
      </w:r>
      <w:r w:rsidR="00B90CB5" w:rsidRPr="00FD2C06">
        <w:rPr>
          <w:rFonts w:eastAsia="Times New Roman"/>
          <w:bCs/>
          <w:szCs w:val="17"/>
          <w:lang w:eastAsia="de-DE"/>
        </w:rPr>
        <w:t xml:space="preserve"> {LR3;040;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only take positive values.</w:t>
      </w:r>
    </w:p>
    <w:p w:rsidR="001F28C3" w:rsidRPr="00FD2C06" w:rsidRDefault="001F28C3" w:rsidP="00FD2C06">
      <w:pPr>
        <w:pStyle w:val="InstructionsText2"/>
        <w:numPr>
          <w:ilvl w:val="0"/>
          <w:numId w:val="0"/>
        </w:numPr>
        <w:ind w:left="720"/>
        <w:rPr>
          <w:rFonts w:eastAsia="Times New Roman"/>
          <w:bCs/>
          <w:szCs w:val="17"/>
          <w:lang w:eastAsia="de-DE"/>
        </w:rPr>
      </w:pP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8" w:name="_Toc351048504"/>
      <w:bookmarkStart w:id="29" w:name="_Toc359414281"/>
      <w:bookmarkStart w:id="30" w:name="_Toc423089066"/>
      <w:r w:rsidRPr="00FE002E">
        <w:rPr>
          <w:rFonts w:ascii="Times New Roman" w:hAnsi="Times New Roman"/>
          <w:b/>
          <w:sz w:val="24"/>
          <w:szCs w:val="24"/>
        </w:rPr>
        <w:lastRenderedPageBreak/>
        <w:t>PART II: TEMPLATE RELATED INSTRUCTIONS</w:t>
      </w:r>
      <w:bookmarkEnd w:id="26"/>
      <w:bookmarkEnd w:id="28"/>
      <w:bookmarkEnd w:id="29"/>
      <w:bookmarkEnd w:id="30"/>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1" w:name="_Toc359414282"/>
      <w:bookmarkStart w:id="32" w:name="_Toc423089067"/>
      <w:bookmarkStart w:id="33" w:name="_Toc322631544"/>
      <w:bookmarkStart w:id="34" w:name="_Toc322687870"/>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Structure and frequency</w:t>
      </w:r>
      <w:bookmarkEnd w:id="31"/>
      <w:bookmarkEnd w:id="32"/>
      <w:r w:rsidR="00607A1B" w:rsidRPr="00FE002E">
        <w:rPr>
          <w:rFonts w:ascii="Times New Roman" w:hAnsi="Times New Roman"/>
          <w:b/>
        </w:rPr>
        <w:t xml:space="preserve"> </w:t>
      </w:r>
      <w:bookmarkEnd w:id="33"/>
      <w:bookmarkEnd w:id="34"/>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35" w:name="_Toc322533849"/>
      <w:r w:rsidRPr="00FE002E">
        <w:rPr>
          <w:rFonts w:ascii="Times New Roman" w:hAnsi="Times New Roman"/>
        </w:rPr>
        <w:t>1.</w:t>
      </w:r>
      <w:r w:rsidRPr="00FE002E">
        <w:rPr>
          <w:rFonts w:ascii="Times New Roman" w:hAnsi="Times New Roman"/>
        </w:rPr>
        <w:tab/>
      </w:r>
      <w:r w:rsidR="00F4754B"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w:t>
      </w:r>
      <w:r w:rsidR="00D85101">
        <w:rPr>
          <w:rFonts w:ascii="Times New Roman" w:hAnsi="Times New Roman"/>
        </w:rPr>
        <w:t>in accordance with</w:t>
      </w:r>
      <w:r w:rsidR="006A5A49" w:rsidRPr="00FE002E">
        <w:rPr>
          <w:rFonts w:ascii="Times New Roman" w:hAnsi="Times New Roman"/>
        </w:rPr>
        <w:t xml:space="preserve"> </w:t>
      </w:r>
      <w:r w:rsidR="007A001B">
        <w:rPr>
          <w:rFonts w:ascii="Times New Roman" w:hAnsi="Times New Roman"/>
        </w:rPr>
        <w:t xml:space="preserve">the first subparagraph of </w:t>
      </w:r>
      <w:r w:rsidR="006A5A49" w:rsidRPr="00FE002E">
        <w:rPr>
          <w:rFonts w:ascii="Times New Roman" w:hAnsi="Times New Roman"/>
        </w:rPr>
        <w:t xml:space="preserve">Article </w:t>
      </w:r>
      <w:r w:rsidR="00AB5052" w:rsidRPr="00FE002E">
        <w:rPr>
          <w:rFonts w:ascii="Times New Roman" w:hAnsi="Times New Roman"/>
        </w:rPr>
        <w:t>430</w:t>
      </w:r>
      <w:r w:rsidR="006A5A49" w:rsidRPr="00FE002E">
        <w:rPr>
          <w:rFonts w:ascii="Times New Roman" w:hAnsi="Times New Roman"/>
        </w:rPr>
        <w:t>(1) of the CRR</w:t>
      </w:r>
      <w:r w:rsidR="00F4754B"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D85101">
        <w:rPr>
          <w:rFonts w:ascii="Times New Roman" w:hAnsi="Times New Roman"/>
        </w:rPr>
        <w:t>in accordance with</w:t>
      </w:r>
      <w:r w:rsidR="00F1460A" w:rsidRPr="00FE002E">
        <w:rPr>
          <w:rFonts w:ascii="Times New Roman" w:hAnsi="Times New Roman"/>
        </w:rPr>
        <w:t xml:space="preserve"> </w:t>
      </w:r>
      <w:r w:rsidR="00AA005C">
        <w:rPr>
          <w:rFonts w:ascii="Times New Roman" w:hAnsi="Times New Roman"/>
        </w:rPr>
        <w:t xml:space="preserve">the second subparagraph of </w:t>
      </w:r>
      <w:r w:rsidR="00F1460A" w:rsidRPr="00FE002E">
        <w:rPr>
          <w:rFonts w:ascii="Times New Roman" w:hAnsi="Times New Roman"/>
        </w:rPr>
        <w:t xml:space="preserve">Article </w:t>
      </w:r>
      <w:r w:rsidR="00AB5052" w:rsidRPr="00FE002E">
        <w:rPr>
          <w:rFonts w:ascii="Times New Roman" w:hAnsi="Times New Roman"/>
        </w:rPr>
        <w:t>430</w:t>
      </w:r>
      <w:r w:rsidR="00F1460A" w:rsidRPr="00FE002E">
        <w:rPr>
          <w:rFonts w:ascii="Times New Roman" w:hAnsi="Times New Roman"/>
        </w:rPr>
        <w:t xml:space="preserve">(1) </w:t>
      </w:r>
      <w:r w:rsidR="006A5A49" w:rsidRPr="00FE002E">
        <w:rPr>
          <w:rFonts w:ascii="Times New Roman" w:hAnsi="Times New Roman"/>
        </w:rPr>
        <w:t xml:space="preserve">of the CRR </w:t>
      </w:r>
      <w:r w:rsidR="00F1460A" w:rsidRPr="00FE002E">
        <w:rPr>
          <w:rFonts w:ascii="Times New Roman" w:hAnsi="Times New Roman"/>
        </w:rPr>
        <w:t>(i</w:t>
      </w:r>
      <w:r w:rsidR="00DE1EB5">
        <w:rPr>
          <w:rFonts w:ascii="Times New Roman" w:hAnsi="Times New Roman"/>
        </w:rPr>
        <w:t>.</w:t>
      </w:r>
      <w:r w:rsidR="00F1460A" w:rsidRPr="00FE002E">
        <w:rPr>
          <w:rFonts w:ascii="Times New Roman" w:hAnsi="Times New Roman"/>
        </w:rPr>
        <w:t>e</w:t>
      </w:r>
      <w:r w:rsidR="00DE1EB5">
        <w:rPr>
          <w:rFonts w:ascii="Times New Roman" w:hAnsi="Times New Roman"/>
        </w:rPr>
        <w:t>.</w:t>
      </w:r>
      <w:r w:rsidR="00F4754B"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00F4754B" w:rsidRPr="00FE002E">
        <w:rPr>
          <w:rFonts w:ascii="Times New Roman" w:hAnsi="Times New Roman"/>
        </w:rPr>
        <w:t>of the CRR</w:t>
      </w:r>
      <w:r w:rsidR="006A5A49" w:rsidRPr="00FE002E">
        <w:rPr>
          <w:rFonts w:ascii="Times New Roman" w:hAnsi="Times New Roman"/>
        </w:rPr>
        <w:t>)</w:t>
      </w:r>
      <w:r w:rsidR="00F4754B" w:rsidRPr="00FE002E">
        <w:rPr>
          <w:rFonts w:ascii="Times New Roman" w:hAnsi="Times New Roman"/>
        </w:rPr>
        <w:t>.</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Pr="00FE002E">
        <w:rPr>
          <w:rFonts w:ascii="Times New Roman" w:hAnsi="Times New Roman"/>
        </w:rPr>
        <w:tab/>
      </w:r>
      <w:r w:rsidR="00607A1B" w:rsidRPr="00FE002E">
        <w:rPr>
          <w:rFonts w:ascii="Times New Roman" w:hAnsi="Times New Roman"/>
        </w:rPr>
        <w:t>When compiling the data for this ITS, institutions shall consider the treatment of fiduciary assets in accordance with Article 429(1</w:t>
      </w:r>
      <w:r w:rsidR="0078115E">
        <w:rPr>
          <w:rFonts w:ascii="Times New Roman" w:hAnsi="Times New Roman"/>
        </w:rPr>
        <w:t>3</w:t>
      </w:r>
      <w:r w:rsidR="00607A1B" w:rsidRPr="00FE002E">
        <w:rPr>
          <w:rFonts w:ascii="Times New Roman" w:hAnsi="Times New Roman"/>
        </w:rPr>
        <w:t>) of the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6" w:name="_Toc359414283"/>
      <w:bookmarkStart w:id="37" w:name="_Toc423089068"/>
      <w:r w:rsidRPr="00FE002E">
        <w:rPr>
          <w:rFonts w:ascii="Times New Roman" w:hAnsi="Times New Roman"/>
          <w:b/>
        </w:rPr>
        <w:t>2.</w:t>
      </w:r>
      <w:r w:rsidRPr="00FE002E">
        <w:rPr>
          <w:rFonts w:ascii="Times New Roman" w:hAnsi="Times New Roman"/>
          <w:b/>
        </w:rPr>
        <w:tab/>
      </w:r>
      <w:r w:rsidR="00505096" w:rsidRPr="00FE002E">
        <w:rPr>
          <w:rFonts w:ascii="Times New Roman" w:hAnsi="Times New Roman"/>
          <w:b/>
        </w:rPr>
        <w:t>Formulas for leverage ratio calculation</w:t>
      </w:r>
      <w:bookmarkEnd w:id="36"/>
      <w:bookmarkEnd w:id="37"/>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w:t>
      </w:r>
      <w:r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 Part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4.</w:t>
      </w:r>
      <w:r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5.</w:t>
      </w:r>
      <w:r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r w:rsidR="003B3015">
        <w:rPr>
          <w:rFonts w:ascii="Times New Roman" w:hAnsi="Times New Roman"/>
        </w:rPr>
        <w:t>320</w:t>
      </w:r>
      <w:r w:rsidR="00F4754B" w:rsidRPr="00FE002E">
        <w:rPr>
          <w:rFonts w:ascii="Times New Roman" w:hAnsi="Times New Roman"/>
        </w:rPr>
        <w:t>;</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38" w:name="_Toc322533852"/>
      <w:bookmarkEnd w:id="35"/>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9" w:name="_Toc359414284"/>
      <w:bookmarkStart w:id="40" w:name="_Toc423089069"/>
      <w:r w:rsidRPr="00FE002E">
        <w:rPr>
          <w:rFonts w:ascii="Times New Roman" w:hAnsi="Times New Roman"/>
          <w:b/>
        </w:rPr>
        <w:t>3.</w:t>
      </w:r>
      <w:r w:rsidRPr="00FE002E">
        <w:rPr>
          <w:rFonts w:ascii="Times New Roman" w:hAnsi="Times New Roman"/>
          <w:b/>
        </w:rPr>
        <w:tab/>
      </w:r>
      <w:r w:rsidR="00505096" w:rsidRPr="00FE002E">
        <w:rPr>
          <w:rFonts w:ascii="Times New Roman" w:hAnsi="Times New Roman"/>
          <w:b/>
        </w:rPr>
        <w:t>Materiality thresholds for derivatives</w:t>
      </w:r>
      <w:bookmarkEnd w:id="39"/>
      <w:bookmarkEnd w:id="4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6.</w:t>
      </w:r>
      <w:r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41" w:name="_Toc322533853"/>
      <w:bookmarkEnd w:id="38"/>
      <w:r w:rsidR="00F4754B"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42" w:name="_Toc322533854"/>
      <w:bookmarkEnd w:id="41"/>
      <w:r w:rsidRPr="00E5591F">
        <w:rPr>
          <w:rFonts w:ascii="Times New Roman" w:hAnsi="Times New Roman"/>
        </w:rPr>
        <w:t>7.</w:t>
      </w:r>
      <w:r w:rsidRPr="00E5591F">
        <w:rPr>
          <w:rFonts w:ascii="Times New Roman" w:hAnsi="Times New Roman"/>
        </w:rPr>
        <w:tab/>
      </w:r>
      <w:r w:rsidR="00F4754B" w:rsidRPr="00E5591F">
        <w:rPr>
          <w:rFonts w:ascii="Times New Roman" w:hAnsi="Times New Roman"/>
        </w:rPr>
        <w:t xml:space="preserve">Derivatives share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rPr>
          <w:rFonts w:ascii="Times New Roman" w:hAnsi="Times New Roman"/>
        </w:rPr>
        <w:tab/>
      </w:r>
      <w:r w:rsidR="00F4754B" w:rsidRPr="00EB7F64">
        <w:rPr>
          <w:rFonts w:ascii="Times New Roman" w:hAnsi="Times New Roman"/>
        </w:rPr>
        <w:t xml:space="preserve">Where </w:t>
      </w:r>
      <w:r w:rsidR="00124715" w:rsidRPr="00EB7F64">
        <w:rPr>
          <w:rFonts w:ascii="Times New Roman" w:hAnsi="Times New Roman"/>
        </w:rPr>
        <w:t>t</w:t>
      </w:r>
      <w:r w:rsidR="00F4754B" w:rsidRPr="00EB7F64">
        <w:rPr>
          <w:rFonts w:ascii="Times New Roman" w:hAnsi="Times New Roman"/>
        </w:rPr>
        <w:t>otal exposure measure is equal to</w:t>
      </w:r>
      <w:r w:rsidR="00D91BC3" w:rsidRPr="00EB7F64">
        <w:rPr>
          <w:rFonts w:ascii="Times New Roman" w:hAnsi="Times New Roman"/>
        </w:rPr>
        <w:t>:</w:t>
      </w:r>
      <w:r>
        <w:rPr>
          <w:rFonts w:ascii="Times New Roman" w:hAnsi="Times New Roman"/>
        </w:rPr>
        <w:t xml:space="preserve"> </w:t>
      </w:r>
      <w:r w:rsidR="00EB7F64" w:rsidRPr="00EB7F64">
        <w:rPr>
          <w:rFonts w:ascii="Times New Roman" w:hAnsi="Times New Roman"/>
        </w:rPr>
        <w:t>{LRCalc;</w:t>
      </w:r>
      <w:r w:rsidR="00151462">
        <w:rPr>
          <w:rFonts w:ascii="Times New Roman" w:hAnsi="Times New Roman"/>
        </w:rPr>
        <w:t>2</w:t>
      </w:r>
      <w:r w:rsidR="003418AD">
        <w:rPr>
          <w:rFonts w:ascii="Times New Roman" w:hAnsi="Times New Roman"/>
        </w:rPr>
        <w:t>9</w:t>
      </w:r>
      <w:r w:rsidR="00151462">
        <w:rPr>
          <w:rFonts w:ascii="Times New Roman" w:hAnsi="Times New Roman"/>
        </w:rPr>
        <w:t>0</w:t>
      </w:r>
      <w:r w:rsidR="00EB7F64" w:rsidRPr="00EB7F64">
        <w:rPr>
          <w:rFonts w:ascii="Times New Roman" w:hAnsi="Times New Roman"/>
        </w:rPr>
        <w:t>;</w:t>
      </w:r>
      <w:r w:rsidR="00361101">
        <w:rPr>
          <w:rFonts w:ascii="Times New Roman" w:hAnsi="Times New Roman"/>
        </w:rPr>
        <w:t>0</w:t>
      </w:r>
      <w:r w:rsidR="000B5761">
        <w:rPr>
          <w:rFonts w:ascii="Times New Roman" w:hAnsi="Times New Roman"/>
        </w:rPr>
        <w:t>1</w:t>
      </w:r>
      <w:r w:rsidR="00361101">
        <w:rPr>
          <w:rFonts w:ascii="Times New Roman" w:hAnsi="Times New Roman"/>
        </w:rPr>
        <w:t>0</w:t>
      </w:r>
      <w:r w:rsidR="00EB7F64" w:rsidRPr="00EB7F64">
        <w:rPr>
          <w:rFonts w:ascii="Times New Roman" w:hAnsi="Times New Roman"/>
        </w:rPr>
        <w:t>}</w:t>
      </w:r>
      <w:r w:rsidR="00467F98">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9.</w:t>
      </w:r>
      <w:r w:rsidRPr="00FE002E">
        <w:rPr>
          <w:rFonts w:ascii="Times New Roman" w:hAnsi="Times New Roman"/>
        </w:rPr>
        <w:tab/>
      </w:r>
      <w:r w:rsidR="00F4754B" w:rsidRPr="00FE002E">
        <w:rPr>
          <w:rFonts w:ascii="Times New Roman" w:hAnsi="Times New Roman"/>
        </w:rPr>
        <w:t xml:space="preserve">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derivatives = {LR1; 010;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This is a cell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10.</w:t>
      </w:r>
      <w:r w:rsidRPr="00FE002E">
        <w:rPr>
          <w:rFonts w:ascii="Times New Roman" w:hAnsi="Times New Roman"/>
        </w:rPr>
        <w:tab/>
      </w:r>
      <w:r w:rsidR="00F4754B" w:rsidRPr="00FE002E">
        <w:rPr>
          <w:rFonts w:ascii="Times New Roman" w:hAnsi="Times New Roman"/>
        </w:rPr>
        <w:t>Credit derivatives volume = {LR1;020;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 + {LR1;050;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These are cells</w:t>
      </w:r>
      <w:r w:rsidR="00EE771E" w:rsidRPr="00EE771E">
        <w:rPr>
          <w:rFonts w:ascii="Times New Roman" w:hAnsi="Times New Roman"/>
        </w:rPr>
        <w:t xml:space="preserve">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11.</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EB7F64" w:rsidRPr="00FE002E">
        <w:rPr>
          <w:rFonts w:ascii="Times New Roman" w:hAnsi="Times New Roman"/>
        </w:rPr>
        <w:t xml:space="preserve"> </w:t>
      </w:r>
      <w:r w:rsidR="0059457E" w:rsidRPr="00FE002E">
        <w:rPr>
          <w:rFonts w:ascii="Times New Roman" w:hAnsi="Times New Roman"/>
        </w:rPr>
        <w:t>in the next reporting period</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2736E3" w:rsidRPr="00FE002E">
        <w:rPr>
          <w:rFonts w:eastAsia="Times New Roman"/>
          <w:bCs/>
          <w:szCs w:val="17"/>
          <w:lang w:eastAsia="de-DE"/>
        </w:rPr>
        <w:t xml:space="preserve"> is more than 1.5% on </w:t>
      </w:r>
      <w:r w:rsidR="0059457E"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EB7F64" w:rsidRPr="00FE002E">
        <w:rPr>
          <w:rFonts w:eastAsia="Times New Roman"/>
          <w:bCs/>
          <w:szCs w:val="17"/>
          <w:lang w:eastAsia="de-DE"/>
        </w:rPr>
        <w:t xml:space="preserve"> </w:t>
      </w:r>
      <w:r w:rsidR="00F4754B" w:rsidRPr="00FE002E">
        <w:rPr>
          <w:rFonts w:eastAsia="Times New Roman"/>
          <w:bCs/>
          <w:szCs w:val="17"/>
          <w:lang w:eastAsia="de-DE"/>
        </w:rPr>
        <w:t>exceeds 2.0%.</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12.</w:t>
      </w:r>
      <w:r w:rsidRPr="00FE002E">
        <w:rPr>
          <w:rFonts w:ascii="Times New Roman" w:hAnsi="Times New Roman"/>
        </w:rPr>
        <w:tab/>
      </w:r>
      <w:r w:rsidR="00F4754B" w:rsidRPr="00FE002E">
        <w:rPr>
          <w:rFonts w:ascii="Times New Roman" w:hAnsi="Times New Roman"/>
        </w:rPr>
        <w:t xml:space="preserve">Institutions for which the 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 xml:space="preserve">derivatives as defined in paragraph </w:t>
      </w:r>
      <w:r w:rsidR="00EE771E">
        <w:rPr>
          <w:rFonts w:ascii="Times New Roman" w:hAnsi="Times New Roman"/>
        </w:rPr>
        <w:t>9</w:t>
      </w:r>
      <w:r w:rsidR="00EE771E" w:rsidRPr="00FE002E">
        <w:rPr>
          <w:rFonts w:ascii="Times New Roman" w:hAnsi="Times New Roman"/>
        </w:rPr>
        <w:t xml:space="preserve"> </w:t>
      </w:r>
      <w:r w:rsidR="00F4754B" w:rsidRPr="00FE002E">
        <w:rPr>
          <w:rFonts w:ascii="Times New Roman" w:hAnsi="Times New Roman"/>
        </w:rPr>
        <w:t xml:space="preserve">exceeds 10 billion </w:t>
      </w:r>
      <w:r w:rsidR="00F1460A" w:rsidRPr="00FE002E">
        <w:rPr>
          <w:rFonts w:ascii="Times New Roman" w:hAnsi="Times New Roman"/>
        </w:rPr>
        <w:t>€</w:t>
      </w:r>
      <w:r w:rsidR="00D85B72" w:rsidRPr="00FE002E">
        <w:rPr>
          <w:rFonts w:ascii="Times New Roman" w:hAnsi="Times New Roman"/>
        </w:rPr>
        <w:t xml:space="preserve"> </w:t>
      </w:r>
      <w:r w:rsidR="006D7B47">
        <w:rPr>
          <w:rFonts w:ascii="Times New Roman" w:hAnsi="Times New Roman"/>
        </w:rPr>
        <w:t>shall</w:t>
      </w:r>
      <w:r w:rsidR="006D7B47" w:rsidRPr="00FE002E">
        <w:rPr>
          <w:rFonts w:ascii="Times New Roman" w:hAnsi="Times New Roman"/>
        </w:rPr>
        <w:t xml:space="preserve"> </w:t>
      </w:r>
      <w:r w:rsidR="00F4754B" w:rsidRPr="00FE002E">
        <w:rPr>
          <w:rFonts w:ascii="Times New Roman" w:hAnsi="Times New Roman"/>
        </w:rPr>
        <w:t xml:space="preserve">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F4754B"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w:t>
      </w:r>
      <w:r w:rsidR="007772F8">
        <w:rPr>
          <w:rFonts w:ascii="Times New Roman" w:hAnsi="Times New Roman"/>
        </w:rPr>
        <w:t>1</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lastRenderedPageBreak/>
        <w:t>13.</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5</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is more than 300 million €</w:t>
      </w:r>
      <w:r w:rsidR="00390B7F" w:rsidRPr="00FE002E">
        <w:t xml:space="preserve"> on two consecutive reporting reference dates;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exceeds 500 million €.</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14.</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11 are the following</w:t>
      </w:r>
      <w:r w:rsidR="007129B2">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85B72" w:rsidRPr="00FE002E">
        <w:rPr>
          <w:rFonts w:ascii="Times New Roman" w:hAnsi="Times New Roman"/>
        </w:rPr>
        <w:t>{LR1;010;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85B72"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F5A86" w:rsidRPr="00FE002E">
        <w:rPr>
          <w:rFonts w:ascii="Times New Roman" w:hAnsi="Times New Roman"/>
        </w:rPr>
        <w:t>{LR1;020;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F5A86"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{LR1;030;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A55C01" w:rsidRPr="00FE002E">
        <w:rPr>
          <w:rFonts w:ascii="Times New Roman" w:hAnsi="Times New Roman"/>
        </w:rPr>
        <w:t>{LR1;030;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A55C01" w:rsidRPr="00FE002E">
        <w:rPr>
          <w:rFonts w:ascii="Times New Roman" w:hAnsi="Times New Roman"/>
        </w:rPr>
        <w:t>},</w:t>
      </w:r>
      <w:r w:rsidR="00A55C01">
        <w:rPr>
          <w:rFonts w:ascii="Times New Roman" w:hAnsi="Times New Roman"/>
        </w:rPr>
        <w:t xml:space="preserve"> </w:t>
      </w:r>
      <w:r w:rsidR="00916C6C" w:rsidRPr="00916C6C">
        <w:rPr>
          <w:rFonts w:ascii="Times New Roman" w:hAnsi="Times New Roman"/>
        </w:rPr>
        <w:t>{LR1;040;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916C6C" w:rsidRPr="00916C6C">
        <w:rPr>
          <w:rFonts w:ascii="Times New Roman" w:hAnsi="Times New Roman"/>
        </w:rPr>
        <w:t>}, {LR1;040;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E82218">
        <w:rPr>
          <w:rFonts w:ascii="Times New Roman" w:hAnsi="Times New Roman"/>
        </w:rPr>
        <w:t>{LR1;050;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E82218" w:rsidRPr="00FE002E">
        <w:rPr>
          <w:rFonts w:ascii="Times New Roman" w:hAnsi="Times New Roman"/>
        </w:rPr>
        <w:t>},</w:t>
      </w:r>
      <w:r w:rsidR="00E82218">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8E7068">
        <w:rPr>
          <w:rFonts w:ascii="Times New Roman" w:hAnsi="Times New Roman"/>
        </w:rPr>
        <w:t xml:space="preserve"> and</w:t>
      </w:r>
      <w:r w:rsidR="00A55C01">
        <w:rPr>
          <w:rFonts w:ascii="Times New Roman" w:hAnsi="Times New Roman"/>
        </w:rPr>
        <w:t xml:space="preserve"> </w:t>
      </w:r>
      <w:r w:rsidR="007B37F0" w:rsidRPr="00FE002E">
        <w:rPr>
          <w:rFonts w:ascii="Times New Roman" w:hAnsi="Times New Roman"/>
        </w:rPr>
        <w:t>{LR1;060;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7B37F0" w:rsidRPr="00FE002E">
        <w:rPr>
          <w:rFonts w:ascii="Times New Roman" w:hAnsi="Times New Roman"/>
        </w:rPr>
        <w:t>}</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15.</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w:t>
      </w:r>
      <w:r w:rsidR="007129B2">
        <w:rPr>
          <w:rFonts w:ascii="Times New Roman" w:hAnsi="Times New Roman"/>
        </w:rPr>
        <w:t>3</w:t>
      </w:r>
      <w:r w:rsidR="007129B2" w:rsidRPr="007129B2">
        <w:rPr>
          <w:rFonts w:ascii="Times New Roman" w:hAnsi="Times New Roman"/>
        </w:rPr>
        <w:t xml:space="preserve"> are the following</w:t>
      </w:r>
      <w:r w:rsidR="007129B2">
        <w:rPr>
          <w:rFonts w:ascii="Times New Roman" w:hAnsi="Times New Roman"/>
        </w:rPr>
        <w:t xml:space="preserve">: </w:t>
      </w:r>
      <w:r w:rsidR="007B7393">
        <w:rPr>
          <w:rFonts w:ascii="Times New Roman" w:hAnsi="Times New Roman"/>
        </w:rPr>
        <w:t>{LR1;020;</w:t>
      </w:r>
      <w:r w:rsidR="00361101">
        <w:rPr>
          <w:rFonts w:ascii="Times New Roman" w:hAnsi="Times New Roman"/>
        </w:rPr>
        <w:t>0</w:t>
      </w:r>
      <w:r w:rsidR="00806216">
        <w:rPr>
          <w:rFonts w:ascii="Times New Roman" w:hAnsi="Times New Roman"/>
        </w:rPr>
        <w:t>75</w:t>
      </w:r>
      <w:r w:rsidR="007B7393">
        <w:rPr>
          <w:rFonts w:ascii="Times New Roman" w:hAnsi="Times New Roman"/>
        </w:rPr>
        <w:t xml:space="preserve">}, </w:t>
      </w:r>
      <w:r w:rsidR="00916C6C">
        <w:rPr>
          <w:rFonts w:ascii="Times New Roman" w:hAnsi="Times New Roman"/>
        </w:rPr>
        <w:t>{LR1;05</w:t>
      </w:r>
      <w:r w:rsidR="00916C6C" w:rsidRPr="00916C6C">
        <w:rPr>
          <w:rFonts w:ascii="Times New Roman" w:hAnsi="Times New Roman"/>
        </w:rPr>
        <w:t>0;</w:t>
      </w:r>
      <w:r w:rsidR="00361101">
        <w:rPr>
          <w:rFonts w:ascii="Times New Roman" w:hAnsi="Times New Roman"/>
        </w:rPr>
        <w:t>0</w:t>
      </w:r>
      <w:r w:rsidR="00806216">
        <w:rPr>
          <w:rFonts w:ascii="Times New Roman" w:hAnsi="Times New Roman"/>
        </w:rPr>
        <w:t>75</w:t>
      </w:r>
      <w:r w:rsidR="00916C6C" w:rsidRPr="00916C6C">
        <w:rPr>
          <w:rFonts w:ascii="Times New Roman" w:hAnsi="Times New Roman"/>
        </w:rPr>
        <w:t>}</w:t>
      </w:r>
      <w:r w:rsidR="008E7068">
        <w:rPr>
          <w:rFonts w:ascii="Times New Roman" w:hAnsi="Times New Roman"/>
        </w:rPr>
        <w:t xml:space="preserve"> and</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806216">
        <w:rPr>
          <w:rFonts w:ascii="Times New Roman" w:hAnsi="Times New Roman"/>
        </w:rPr>
        <w:t>85</w:t>
      </w:r>
      <w:r w:rsidR="00F4754B" w:rsidRPr="00FE002E">
        <w:rPr>
          <w:rFonts w:ascii="Times New Roman" w:hAnsi="Times New Roman"/>
        </w:rPr>
        <w:t>}</w:t>
      </w:r>
      <w:r w:rsidR="00E8221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43" w:name="_Toc351048506"/>
      <w:bookmarkStart w:id="44" w:name="_Toc322687879"/>
      <w:bookmarkStart w:id="45" w:name="_Toc315961853"/>
      <w:bookmarkEnd w:id="42"/>
    </w:p>
    <w:p w:rsidR="00217D1F" w:rsidRPr="00FE002E" w:rsidRDefault="00500508" w:rsidP="00500508">
      <w:pPr>
        <w:pStyle w:val="BodyText1"/>
        <w:ind w:left="357" w:hanging="357"/>
        <w:outlineLvl w:val="1"/>
        <w:rPr>
          <w:rFonts w:ascii="Times New Roman" w:hAnsi="Times New Roman"/>
          <w:b/>
        </w:rPr>
      </w:pPr>
      <w:bookmarkStart w:id="46" w:name="_Toc359414285"/>
      <w:bookmarkStart w:id="47" w:name="_Toc423089070"/>
      <w:r w:rsidRPr="00FE002E">
        <w:rPr>
          <w:rFonts w:ascii="Times New Roman" w:hAnsi="Times New Roman"/>
          <w:b/>
        </w:rPr>
        <w:t>4.</w:t>
      </w:r>
      <w:r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3"/>
      <w:bookmarkEnd w:id="46"/>
      <w:r w:rsidR="00481854">
        <w:rPr>
          <w:rFonts w:ascii="Times New Roman" w:hAnsi="Times New Roman"/>
          <w:b/>
        </w:rPr>
        <w:t xml:space="preserve"> (LRCalc)</w:t>
      </w:r>
      <w:bookmarkEnd w:id="4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16.</w:t>
      </w:r>
      <w:r w:rsidRPr="00FE002E">
        <w:rPr>
          <w:rFonts w:ascii="Times New Roman" w:hAnsi="Times New Roman"/>
        </w:rPr>
        <w:tab/>
      </w:r>
      <w:r w:rsidR="00AE2798" w:rsidRPr="00FE002E">
        <w:rPr>
          <w:rFonts w:ascii="Times New Roman" w:hAnsi="Times New Roman"/>
        </w:rPr>
        <w:t>This part of the reporting template collects the data that are needed to calculate the leverage ratio as defined in Article</w:t>
      </w:r>
      <w:r w:rsidR="00AE2798">
        <w:rPr>
          <w:rFonts w:ascii="Times New Roman" w:hAnsi="Times New Roman"/>
        </w:rPr>
        <w:t>s</w:t>
      </w:r>
      <w:r w:rsidR="00AE2798" w:rsidRPr="00FE002E">
        <w:rPr>
          <w:rFonts w:ascii="Times New Roman" w:hAnsi="Times New Roman"/>
        </w:rPr>
        <w:t xml:space="preserve"> 429</w:t>
      </w:r>
      <w:r w:rsidR="00AE2798">
        <w:rPr>
          <w:rFonts w:ascii="Times New Roman" w:hAnsi="Times New Roman"/>
        </w:rPr>
        <w:t>, 429a and 429b</w:t>
      </w:r>
      <w:r w:rsidR="00AE2798" w:rsidRPr="00FE002E">
        <w:rPr>
          <w:rFonts w:ascii="Times New Roman" w:hAnsi="Times New Roman"/>
        </w:rPr>
        <w:t xml:space="preserve"> of the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18.</w:t>
      </w:r>
      <w:r w:rsidRPr="00FE002E">
        <w:rPr>
          <w:rFonts w:ascii="Times New Roman" w:hAnsi="Times New Roman"/>
        </w:rPr>
        <w:tab/>
      </w:r>
      <w:r w:rsidR="00B011A0">
        <w:rPr>
          <w:rFonts w:ascii="Times New Roman" w:hAnsi="Times New Roman"/>
        </w:rPr>
        <w:t xml:space="preserve">Institutions shall </w:t>
      </w:r>
      <w:r w:rsidR="00C151ED">
        <w:rPr>
          <w:rFonts w:ascii="Times New Roman" w:hAnsi="Times New Roman"/>
        </w:rPr>
        <w:t>report</w:t>
      </w:r>
      <w:r w:rsidR="00B011A0" w:rsidRPr="00F36D5B">
        <w:rPr>
          <w:rFonts w:ascii="Times New Roman" w:hAnsi="Times New Roman"/>
        </w:rPr>
        <w:t xml:space="preserve"> </w:t>
      </w:r>
      <w:r w:rsidR="00C151ED">
        <w:rPr>
          <w:rFonts w:ascii="Times New Roman" w:hAnsi="Times New Roman"/>
        </w:rPr>
        <w:t>{</w:t>
      </w:r>
      <w:r w:rsidR="00F71479">
        <w:rPr>
          <w:rFonts w:ascii="Times New Roman" w:hAnsi="Times New Roman"/>
        </w:rPr>
        <w:t>0</w:t>
      </w:r>
      <w:r w:rsidR="00B011A0">
        <w:rPr>
          <w:rFonts w:ascii="Times New Roman" w:hAnsi="Times New Roman"/>
        </w:rPr>
        <w:t>10</w:t>
      </w:r>
      <w:r w:rsidR="00B011A0" w:rsidRPr="00F36D5B">
        <w:rPr>
          <w:rFonts w:ascii="Times New Roman" w:hAnsi="Times New Roman"/>
        </w:rPr>
        <w:t>;</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to {</w:t>
      </w:r>
      <w:r w:rsidR="00F71479">
        <w:rPr>
          <w:rFonts w:ascii="Times New Roman" w:hAnsi="Times New Roman"/>
        </w:rPr>
        <w:t>0</w:t>
      </w:r>
      <w:r w:rsidR="003264FC">
        <w:rPr>
          <w:rFonts w:ascii="Times New Roman" w:hAnsi="Times New Roman"/>
        </w:rPr>
        <w:t>3</w:t>
      </w:r>
      <w:r w:rsidR="00B011A0" w:rsidRPr="00F36D5B">
        <w:rPr>
          <w:rFonts w:ascii="Times New Roman" w:hAnsi="Times New Roman"/>
        </w:rPr>
        <w:t>0;</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60;</w:t>
      </w:r>
      <w:r w:rsidR="00361101">
        <w:rPr>
          <w:rFonts w:ascii="Times New Roman" w:hAnsi="Times New Roman"/>
        </w:rPr>
        <w:t>0</w:t>
      </w:r>
      <w:r w:rsidR="00B011A0">
        <w:rPr>
          <w:rFonts w:ascii="Times New Roman" w:hAnsi="Times New Roman"/>
        </w:rPr>
        <w:t>1</w:t>
      </w:r>
      <w:r w:rsidR="00361101">
        <w:rPr>
          <w:rFonts w:ascii="Times New Roman" w:hAnsi="Times New Roman"/>
        </w:rPr>
        <w:t>0</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9</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B011A0">
        <w:rPr>
          <w:rFonts w:ascii="Times New Roman" w:hAnsi="Times New Roman"/>
        </w:rPr>
        <w:t xml:space="preserve">, </w:t>
      </w:r>
      <w:r w:rsidR="001D1678">
        <w:rPr>
          <w:rFonts w:ascii="Times New Roman" w:hAnsi="Times New Roman"/>
        </w:rPr>
        <w:t>{110;</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1D1678">
        <w:rPr>
          <w:rFonts w:ascii="Times New Roman" w:hAnsi="Times New Roman"/>
        </w:rPr>
        <w:t xml:space="preserve">}, and </w:t>
      </w:r>
      <w:r w:rsidR="00B011A0">
        <w:rPr>
          <w:rFonts w:ascii="Times New Roman" w:hAnsi="Times New Roman"/>
        </w:rPr>
        <w:t>{1</w:t>
      </w:r>
      <w:r w:rsidR="001D1678">
        <w:rPr>
          <w:rFonts w:ascii="Times New Roman" w:hAnsi="Times New Roman"/>
        </w:rPr>
        <w:t>5</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C151ED">
        <w:rPr>
          <w:rFonts w:ascii="Times New Roman" w:hAnsi="Times New Roman"/>
        </w:rPr>
        <w:t xml:space="preserve"> to {</w:t>
      </w:r>
      <w:r w:rsidR="001D1678">
        <w:rPr>
          <w:rFonts w:ascii="Times New Roman" w:hAnsi="Times New Roman"/>
        </w:rPr>
        <w:t>190</w:t>
      </w:r>
      <w:r w:rsidR="00B011A0">
        <w:rPr>
          <w:rFonts w:ascii="Times New Roman" w:hAnsi="Times New Roman"/>
        </w:rPr>
        <w:t>;</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B011A0">
        <w:rPr>
          <w:rFonts w:ascii="Times New Roman" w:hAnsi="Times New Roman"/>
        </w:rPr>
        <w:t>}</w:t>
      </w:r>
      <w:r w:rsidR="00B011A0" w:rsidRPr="00F36D5B">
        <w:rPr>
          <w:rFonts w:ascii="Times New Roman" w:hAnsi="Times New Roman"/>
        </w:rPr>
        <w:t xml:space="preserve"> as if </w:t>
      </w:r>
      <w:r w:rsidR="00B011A0">
        <w:rPr>
          <w:rFonts w:ascii="Times New Roman" w:hAnsi="Times New Roman"/>
        </w:rPr>
        <w:t>the</w:t>
      </w:r>
      <w:r w:rsidR="00B011A0" w:rsidRPr="00F36D5B">
        <w:rPr>
          <w:rFonts w:ascii="Times New Roman" w:hAnsi="Times New Roman"/>
        </w:rPr>
        <w:t xml:space="preserve"> exemption</w:t>
      </w:r>
      <w:r w:rsidR="00B011A0">
        <w:rPr>
          <w:rFonts w:ascii="Times New Roman" w:hAnsi="Times New Roman"/>
        </w:rPr>
        <w:t xml:space="preserve">s referred to in </w:t>
      </w:r>
      <w:r w:rsidR="00C151ED">
        <w:rPr>
          <w:rFonts w:ascii="Times New Roman" w:hAnsi="Times New Roman"/>
        </w:rPr>
        <w:t>{</w:t>
      </w:r>
      <w:r w:rsidR="00F71479">
        <w:rPr>
          <w:rFonts w:ascii="Times New Roman" w:hAnsi="Times New Roman"/>
        </w:rPr>
        <w:t>0</w:t>
      </w:r>
      <w:r w:rsidR="00C151ED">
        <w:rPr>
          <w:rFonts w:ascii="Times New Roman" w:hAnsi="Times New Roman"/>
        </w:rPr>
        <w:t>5</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w:t>
      </w:r>
      <w:r w:rsidR="00F71479">
        <w:rPr>
          <w:rFonts w:ascii="Times New Roman" w:hAnsi="Times New Roman"/>
        </w:rPr>
        <w:t>0</w:t>
      </w:r>
      <w:r w:rsidR="00C151ED">
        <w:rPr>
          <w:rFonts w:ascii="Times New Roman" w:hAnsi="Times New Roman"/>
        </w:rPr>
        <w:t>8</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{1</w:t>
      </w:r>
      <w:r w:rsidR="00C151ED">
        <w:rPr>
          <w:rFonts w:ascii="Times New Roman" w:hAnsi="Times New Roman"/>
        </w:rPr>
        <w:t>0</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{12</w:t>
      </w:r>
      <w:r w:rsidR="00C151ED" w:rsidRPr="00C151ED">
        <w:rPr>
          <w:rFonts w:ascii="Times New Roman" w:hAnsi="Times New Roman"/>
        </w:rPr>
        <w:t>0;</w:t>
      </w:r>
      <w:r w:rsidR="00361101">
        <w:rPr>
          <w:rFonts w:ascii="Times New Roman" w:hAnsi="Times New Roman"/>
        </w:rPr>
        <w:t>0</w:t>
      </w:r>
      <w:r w:rsidR="00F71479">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xml:space="preserve">, and </w:t>
      </w:r>
      <w:r w:rsidR="00B011A0" w:rsidRPr="00B95087">
        <w:rPr>
          <w:rFonts w:ascii="Times New Roman" w:hAnsi="Times New Roman"/>
        </w:rPr>
        <w:t>{2</w:t>
      </w:r>
      <w:r w:rsidR="00C151ED">
        <w:rPr>
          <w:rFonts w:ascii="Times New Roman" w:hAnsi="Times New Roman"/>
        </w:rPr>
        <w:t>2</w:t>
      </w:r>
      <w:r w:rsidR="00B011A0" w:rsidRPr="00B95087">
        <w:rPr>
          <w:rFonts w:ascii="Times New Roman" w:hAnsi="Times New Roman"/>
        </w:rPr>
        <w:t>0;</w:t>
      </w:r>
      <w:r w:rsidR="00361101">
        <w:rPr>
          <w:rFonts w:ascii="Times New Roman" w:hAnsi="Times New Roman"/>
        </w:rPr>
        <w:t>0</w:t>
      </w:r>
      <w:r w:rsidR="00B011A0" w:rsidRPr="00B95087">
        <w:rPr>
          <w:rFonts w:ascii="Times New Roman" w:hAnsi="Times New Roman"/>
        </w:rPr>
        <w:t>1</w:t>
      </w:r>
      <w:r w:rsidR="00361101">
        <w:rPr>
          <w:rFonts w:ascii="Times New Roman" w:hAnsi="Times New Roman"/>
        </w:rPr>
        <w:t>0</w:t>
      </w:r>
      <w:r w:rsidR="00B011A0" w:rsidRPr="00B95087">
        <w:rPr>
          <w:rFonts w:ascii="Times New Roman" w:hAnsi="Times New Roman"/>
        </w:rPr>
        <w:t>}</w:t>
      </w:r>
      <w:r w:rsidR="00C151ED">
        <w:rPr>
          <w:rFonts w:ascii="Times New Roman" w:hAnsi="Times New Roman"/>
        </w:rPr>
        <w:t xml:space="preserve"> </w:t>
      </w:r>
      <w:r w:rsidR="008E7068">
        <w:rPr>
          <w:rFonts w:ascii="Times New Roman" w:hAnsi="Times New Roman"/>
        </w:rPr>
        <w:t xml:space="preserve">did </w:t>
      </w:r>
      <w:r w:rsidR="00B011A0">
        <w:rPr>
          <w:rFonts w:ascii="Times New Roman" w:hAnsi="Times New Roman"/>
        </w:rPr>
        <w:t>not apply</w:t>
      </w:r>
      <w:r w:rsidR="00B011A0" w:rsidRPr="00F36D5B">
        <w:rPr>
          <w:rFonts w:ascii="Times New Roman" w:hAnsi="Times New Roman"/>
        </w:rPr>
        <w:t>.</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rPr>
          <w:rFonts w:ascii="Times New Roman" w:hAnsi="Times New Roman"/>
        </w:rPr>
        <w:tab/>
      </w:r>
      <w:r w:rsidR="00F36D5B">
        <w:rPr>
          <w:rFonts w:ascii="Times New Roman" w:hAnsi="Times New Roman"/>
        </w:rPr>
        <w:t xml:space="preserve">Institutions shall </w:t>
      </w:r>
      <w:r w:rsidR="00C151ED">
        <w:rPr>
          <w:rFonts w:ascii="Times New Roman" w:hAnsi="Times New Roman"/>
        </w:rPr>
        <w:t>report</w:t>
      </w:r>
      <w:r w:rsidR="00F36D5B" w:rsidRPr="00F36D5B">
        <w:rPr>
          <w:rFonts w:ascii="Times New Roman" w:hAnsi="Times New Roman"/>
        </w:rPr>
        <w:t xml:space="preserve"> {</w:t>
      </w:r>
      <w:r w:rsidR="00F71479">
        <w:rPr>
          <w:rFonts w:ascii="Times New Roman" w:hAnsi="Times New Roman"/>
        </w:rPr>
        <w:t>0</w:t>
      </w:r>
      <w:r w:rsidR="00F36D5B">
        <w:rPr>
          <w:rFonts w:ascii="Times New Roman" w:hAnsi="Times New Roman"/>
        </w:rPr>
        <w:t>10</w:t>
      </w:r>
      <w:r w:rsidR="00F36D5B" w:rsidRPr="00F36D5B">
        <w:rPr>
          <w:rFonts w:ascii="Times New Roman" w:hAnsi="Times New Roman"/>
        </w:rPr>
        <w:t>;</w:t>
      </w:r>
      <w:r w:rsidR="00361101">
        <w:rPr>
          <w:rFonts w:ascii="Times New Roman" w:hAnsi="Times New Roman"/>
        </w:rPr>
        <w:t>0</w:t>
      </w:r>
      <w:r w:rsidR="00F36D5B" w:rsidRPr="00F36D5B">
        <w:rPr>
          <w:rFonts w:ascii="Times New Roman" w:hAnsi="Times New Roman"/>
        </w:rPr>
        <w:t>1</w:t>
      </w:r>
      <w:r w:rsidR="00361101">
        <w:rPr>
          <w:rFonts w:ascii="Times New Roman" w:hAnsi="Times New Roman"/>
        </w:rPr>
        <w:t>0</w:t>
      </w:r>
      <w:r w:rsidR="00F36D5B" w:rsidRPr="00F36D5B">
        <w:rPr>
          <w:rFonts w:ascii="Times New Roman" w:hAnsi="Times New Roman"/>
        </w:rPr>
        <w:t>}</w:t>
      </w:r>
      <w:r w:rsidR="00F36D5B">
        <w:rPr>
          <w:rFonts w:ascii="Times New Roman" w:hAnsi="Times New Roman"/>
        </w:rPr>
        <w:t xml:space="preserve"> to </w:t>
      </w:r>
      <w:r w:rsidR="00F36D5B" w:rsidRPr="00F36D5B">
        <w:rPr>
          <w:rFonts w:ascii="Times New Roman" w:hAnsi="Times New Roman"/>
        </w:rPr>
        <w:t>{2</w:t>
      </w:r>
      <w:r w:rsidR="00F36D5B">
        <w:rPr>
          <w:rFonts w:ascii="Times New Roman" w:hAnsi="Times New Roman"/>
        </w:rPr>
        <w:t>4</w:t>
      </w:r>
      <w:r w:rsidR="00F36D5B" w:rsidRPr="00F36D5B">
        <w:rPr>
          <w:rFonts w:ascii="Times New Roman" w:hAnsi="Times New Roman"/>
        </w:rPr>
        <w:t>0;</w:t>
      </w:r>
      <w:r w:rsidR="00C700A2">
        <w:rPr>
          <w:rFonts w:ascii="Times New Roman" w:hAnsi="Times New Roman"/>
        </w:rPr>
        <w:t>0</w:t>
      </w:r>
      <w:r w:rsidR="00F36D5B" w:rsidRPr="00F36D5B">
        <w:rPr>
          <w:rFonts w:ascii="Times New Roman" w:hAnsi="Times New Roman"/>
        </w:rPr>
        <w:t>1</w:t>
      </w:r>
      <w:r w:rsidR="00C700A2">
        <w:rPr>
          <w:rFonts w:ascii="Times New Roman" w:hAnsi="Times New Roman"/>
        </w:rPr>
        <w:t>0</w:t>
      </w:r>
      <w:r w:rsidR="00F36D5B" w:rsidRPr="00F36D5B">
        <w:rPr>
          <w:rFonts w:ascii="Times New Roman" w:hAnsi="Times New Roman"/>
        </w:rPr>
        <w:t xml:space="preserve">} as if </w:t>
      </w:r>
      <w:r w:rsidR="00B95087">
        <w:rPr>
          <w:rFonts w:ascii="Times New Roman" w:hAnsi="Times New Roman"/>
        </w:rPr>
        <w:t>the</w:t>
      </w:r>
      <w:r w:rsidR="00F36D5B" w:rsidRPr="00F36D5B">
        <w:rPr>
          <w:rFonts w:ascii="Times New Roman" w:hAnsi="Times New Roman"/>
        </w:rPr>
        <w:t xml:space="preserve"> exemption</w:t>
      </w:r>
      <w:r w:rsidR="00B95087">
        <w:rPr>
          <w:rFonts w:ascii="Times New Roman" w:hAnsi="Times New Roman"/>
        </w:rPr>
        <w:t xml:space="preserve">s referred to in </w:t>
      </w:r>
      <w:r w:rsidR="00B95087" w:rsidRPr="00B95087">
        <w:rPr>
          <w:rFonts w:ascii="Times New Roman" w:hAnsi="Times New Roman"/>
        </w:rPr>
        <w:t>{250;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 and {260;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w:t>
      </w:r>
      <w:r w:rsidR="00B95087">
        <w:rPr>
          <w:rFonts w:ascii="Times New Roman" w:hAnsi="Times New Roman"/>
        </w:rPr>
        <w:t xml:space="preserve"> </w:t>
      </w:r>
      <w:r w:rsidR="008E7068">
        <w:rPr>
          <w:rFonts w:ascii="Times New Roman" w:hAnsi="Times New Roman"/>
        </w:rPr>
        <w:t xml:space="preserve">did </w:t>
      </w:r>
      <w:r w:rsidR="00B95087">
        <w:rPr>
          <w:rFonts w:ascii="Times New Roman" w:hAnsi="Times New Roman"/>
        </w:rPr>
        <w:t>not apply</w:t>
      </w:r>
      <w:r w:rsidR="00F36D5B" w:rsidRPr="00F36D5B">
        <w:rPr>
          <w:rFonts w:ascii="Times New Roman" w:hAnsi="Times New Roman"/>
        </w:rPr>
        <w:t>.</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B811B0">
        <w:t>20.</w:t>
      </w:r>
      <w:r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shd w:val="clear" w:color="auto" w:fill="D9D9D9"/>
          </w:tcPr>
          <w:p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D85101">
              <w:rPr>
                <w:rFonts w:ascii="Times New Roman" w:hAnsi="Times New Roman"/>
                <w:b/>
                <w:bCs/>
              </w:rPr>
              <w:t>in accordance with</w:t>
            </w:r>
            <w:r w:rsidRPr="007B2662">
              <w:rPr>
                <w:rFonts w:ascii="Times New Roman" w:hAnsi="Times New Roman"/>
                <w:b/>
                <w:bCs/>
              </w:rPr>
              <w:t xml:space="preserve"> </w:t>
            </w:r>
            <w:r w:rsidR="007A001B">
              <w:rPr>
                <w:rFonts w:ascii="Times New Roman" w:hAnsi="Times New Roman"/>
                <w:b/>
                <w:bCs/>
              </w:rPr>
              <w:t xml:space="preserve">Articles </w:t>
            </w:r>
            <w:r w:rsidRPr="007B2662">
              <w:rPr>
                <w:rFonts w:ascii="Times New Roman" w:hAnsi="Times New Roman"/>
                <w:b/>
                <w:bCs/>
              </w:rPr>
              <w:t>429(5) and 429(8)</w:t>
            </w:r>
            <w:r w:rsidR="007A001B">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 xml:space="preserve">and 429(8)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Article </w:t>
            </w:r>
            <w:r>
              <w:rPr>
                <w:rFonts w:ascii="Times New Roman" w:hAnsi="Times New Roman"/>
                <w:bCs/>
              </w:rPr>
              <w:t>429</w:t>
            </w:r>
            <w:r w:rsidRPr="00FE002E">
              <w:rPr>
                <w:rFonts w:ascii="Times New Roman" w:hAnsi="Times New Roman"/>
                <w:bCs/>
              </w:rPr>
              <w:t>(</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and</w:t>
            </w:r>
            <w:r w:rsidRPr="00FE002E">
              <w:rPr>
                <w:rFonts w:ascii="Times New Roman" w:hAnsi="Times New Roman"/>
                <w:bCs/>
              </w:rPr>
              <w:t xml:space="preserve"> (</w:t>
            </w:r>
            <w:r>
              <w:rPr>
                <w:rFonts w:ascii="Times New Roman" w:hAnsi="Times New Roman"/>
                <w:bCs/>
              </w:rPr>
              <w:t>8</w:t>
            </w:r>
            <w:r w:rsidRPr="00FE002E">
              <w:rPr>
                <w:rFonts w:ascii="Times New Roman" w:hAnsi="Times New Roman"/>
                <w:bCs/>
              </w:rPr>
              <w:t>)</w:t>
            </w:r>
            <w:r>
              <w:rPr>
                <w:rFonts w:ascii="Times New Roman" w:hAnsi="Times New Roman"/>
                <w:bCs/>
              </w:rPr>
              <w:t xml:space="preserve"> of the CRR</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the </w:t>
            </w:r>
            <w:r w:rsidRPr="00FE002E">
              <w:rPr>
                <w:rFonts w:ascii="Times New Roman" w:hAnsi="Times New Roman"/>
                <w:bCs/>
              </w:rPr>
              <w:lastRenderedPageBreak/>
              <w:t>accounting criteria for derecognition are not met).</w:t>
            </w:r>
            <w:r>
              <w:rPr>
                <w:rFonts w:ascii="Times New Roman" w:hAnsi="Times New Roman"/>
                <w:bCs/>
              </w:rPr>
              <w:t xml:space="preserve"> Institutions shall instead include those items in </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BB4B8A" w:rsidRPr="00FE002E">
              <w:rPr>
                <w:rFonts w:ascii="Times New Roman" w:hAnsi="Times New Roman"/>
                <w:bCs/>
              </w:rPr>
              <w:t>,</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{020;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Pr>
                <w:rFonts w:ascii="Times New Roman" w:hAnsi="Times New Roman"/>
                <w:bCs/>
              </w:rPr>
              <w:t>Article 429b</w:t>
            </w:r>
            <w:r w:rsidR="007C68B3">
              <w:rPr>
                <w:rFonts w:ascii="Times New Roman" w:hAnsi="Times New Roman"/>
                <w:bCs/>
              </w:rPr>
              <w:t>(2) or (3)</w:t>
            </w:r>
            <w:r>
              <w:rPr>
                <w:rFonts w:ascii="Times New Roman" w:hAnsi="Times New Roman"/>
                <w:bCs/>
              </w:rPr>
              <w:t xml:space="preserve">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Institutions shall instead include those items in {040</w:t>
            </w:r>
            <w:r w:rsidR="00BB4B8A">
              <w:rPr>
                <w:rFonts w:ascii="Times New Roman" w:hAnsi="Times New Roman"/>
                <w:bCs/>
              </w:rPr>
              <w:t>;010}</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Pr>
                <w:rFonts w:ascii="Times New Roman" w:hAnsi="Times New Roman"/>
                <w:b/>
                <w:bCs/>
              </w:rPr>
              <w:t xml:space="preserve">429b(4) and </w:t>
            </w:r>
            <w:r w:rsidRPr="00FE002E">
              <w:rPr>
                <w:rFonts w:ascii="Times New Roman" w:hAnsi="Times New Roman"/>
                <w:b/>
                <w:bCs/>
              </w:rPr>
              <w:t>222</w:t>
            </w:r>
            <w:r w:rsidR="009B2324">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b</w:t>
            </w:r>
            <w:r w:rsidRPr="00FE002E">
              <w:rPr>
                <w:rFonts w:ascii="Times New Roman" w:hAnsi="Times New Roman"/>
                <w:bCs/>
              </w:rPr>
              <w:t>(</w:t>
            </w:r>
            <w:r>
              <w:rPr>
                <w:rFonts w:ascii="Times New Roman" w:hAnsi="Times New Roman"/>
                <w:bCs/>
              </w:rPr>
              <w:t>4</w:t>
            </w:r>
            <w:r w:rsidRPr="00FE002E">
              <w:rPr>
                <w:rFonts w:ascii="Times New Roman" w:hAnsi="Times New Roman"/>
                <w:bCs/>
              </w:rPr>
              <w:t xml:space="preserve">) </w:t>
            </w:r>
            <w:r w:rsidR="009B2324">
              <w:rPr>
                <w:rFonts w:ascii="Times New Roman" w:hAnsi="Times New Roman"/>
                <w:bCs/>
              </w:rPr>
              <w:t xml:space="preserve">and 222 </w:t>
            </w:r>
            <w:r w:rsidRPr="00FE002E">
              <w:rPr>
                <w:rFonts w:ascii="Times New Roman" w:hAnsi="Times New Roman"/>
                <w:bCs/>
              </w:rPr>
              <w:t>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of the 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r w:rsidR="009B2324">
              <w:rPr>
                <w:rFonts w:ascii="Times New Roman" w:hAnsi="Times New Roman"/>
                <w:bCs/>
              </w:rPr>
              <w:t xml:space="preserve"> of the CRR</w:t>
            </w:r>
            <w:r>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defined in Article </w:t>
            </w:r>
            <w:r>
              <w:rPr>
                <w:rFonts w:ascii="Times New Roman" w:hAnsi="Times New Roman"/>
                <w:bCs/>
              </w:rPr>
              <w:t>429b(1)</w:t>
            </w:r>
            <w:r w:rsidRPr="00FE002E">
              <w:rPr>
                <w:rFonts w:ascii="Times New Roman" w:hAnsi="Times New Roman"/>
                <w:bCs/>
              </w:rPr>
              <w:t xml:space="preserve"> </w:t>
            </w:r>
            <w:r w:rsidR="00D63B0D">
              <w:rPr>
                <w:rFonts w:ascii="Times New Roman" w:hAnsi="Times New Roman"/>
                <w:bCs/>
              </w:rPr>
              <w:t>of the CRR</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{040;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r w:rsidR="00D85101">
              <w:rPr>
                <w:rFonts w:ascii="Times New Roman" w:hAnsi="Times New Roman"/>
                <w:b/>
                <w:bCs/>
              </w:rPr>
              <w:t>in accordance with</w:t>
            </w:r>
            <w:r w:rsidRPr="002600C6">
              <w:rPr>
                <w:rFonts w:ascii="Times New Roman" w:hAnsi="Times New Roman"/>
                <w:b/>
                <w:bCs/>
              </w:rPr>
              <w:t xml:space="preserve"> </w:t>
            </w:r>
            <w:r w:rsidR="009B2324">
              <w:rPr>
                <w:rFonts w:ascii="Times New Roman" w:hAnsi="Times New Roman"/>
                <w:b/>
                <w:bCs/>
              </w:rPr>
              <w:t xml:space="preserve">Article </w:t>
            </w:r>
            <w:r w:rsidRPr="002600C6">
              <w:rPr>
                <w:rFonts w:ascii="Times New Roman" w:hAnsi="Times New Roman"/>
                <w:b/>
                <w:bCs/>
              </w:rPr>
              <w:t>429b(6)</w:t>
            </w:r>
            <w:r w:rsidR="009B2324">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429b(6)(a), (2)</w:t>
            </w:r>
            <w:r w:rsidR="009B2324">
              <w:rPr>
                <w:rFonts w:ascii="Times New Roman" w:hAnsi="Times New Roman"/>
                <w:bCs/>
              </w:rPr>
              <w:t xml:space="preserve"> and</w:t>
            </w:r>
            <w:r>
              <w:rPr>
                <w:rFonts w:ascii="Times New Roman" w:hAnsi="Times New Roman"/>
                <w:bCs/>
              </w:rPr>
              <w:t xml:space="preserve"> (3)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consists only of the add-on determined in accordance with Article 429b(2) or (3)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 Institutions shall instead include those items in {010</w:t>
            </w:r>
            <w:r w:rsidR="00BB4B8A">
              <w:rPr>
                <w:rFonts w:ascii="Times New Roman" w:hAnsi="Times New Roman"/>
                <w:bCs/>
              </w:rPr>
              <w:t>;010}</w:t>
            </w:r>
            <w:r w:rsidR="000E62A7">
              <w:rPr>
                <w:rFonts w:ascii="Times New Roman" w:hAnsi="Times New Roman"/>
                <w:bCs/>
              </w:rPr>
              <w:t xml:space="preserve"> and</w:t>
            </w:r>
            <w:r>
              <w:rPr>
                <w:rFonts w:ascii="Times New Roman" w:hAnsi="Times New Roman"/>
                <w:bCs/>
              </w:rPr>
              <w:t xml:space="preserve"> {020</w:t>
            </w:r>
            <w:r w:rsidR="00BB4B8A">
              <w:rPr>
                <w:rFonts w:ascii="Times New Roman" w:hAnsi="Times New Roman"/>
                <w:bCs/>
              </w:rPr>
              <w:t>;010}</w:t>
            </w:r>
            <w:r>
              <w:rPr>
                <w:rFonts w:ascii="Times New Roman" w:hAnsi="Times New Roman"/>
                <w:bCs/>
              </w:rPr>
              <w:t xml:space="preserve"> or </w:t>
            </w:r>
            <w:r w:rsidR="000E62A7">
              <w:rPr>
                <w:rFonts w:ascii="Times New Roman" w:hAnsi="Times New Roman"/>
                <w:bCs/>
              </w:rPr>
              <w:t xml:space="preserve">{010;010} and </w:t>
            </w:r>
            <w:r>
              <w:rPr>
                <w:rFonts w:ascii="Times New Roman" w:hAnsi="Times New Roman"/>
                <w:bCs/>
              </w:rPr>
              <w:t>{030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429(11)</w:t>
            </w:r>
            <w:r w:rsidR="009B2324">
              <w:rPr>
                <w:rFonts w:ascii="Times New Roman" w:hAnsi="Times New Roman"/>
                <w:bCs/>
              </w:rPr>
              <w:t xml:space="preserve"> and</w:t>
            </w:r>
            <w:r>
              <w:rPr>
                <w:rFonts w:ascii="Times New Roman" w:hAnsi="Times New Roman"/>
                <w:bCs/>
              </w:rPr>
              <w:t xml:space="preserv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provided that those items meet the conditions laid down in Article 306(1)(c) of the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bCs/>
              </w:rPr>
              <w:lastRenderedPageBreak/>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of the CRR</w:t>
            </w:r>
            <w:r w:rsidR="001B3BF0">
              <w:rPr>
                <w:rFonts w:ascii="Times New Roman" w:hAnsi="Times New Roman"/>
                <w:bCs/>
              </w:rPr>
              <w:t>) is included at full value</w:t>
            </w:r>
            <w:r>
              <w:rPr>
                <w:rFonts w:ascii="Times New Roman" w:hAnsi="Times New Roman"/>
                <w:bCs/>
              </w:rPr>
              <w:t>.</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bCs/>
              </w:rPr>
              <w:t>Institutions shall</w:t>
            </w:r>
            <w:r w:rsidR="00B011A0">
              <w:rPr>
                <w:rFonts w:ascii="Times New Roman" w:hAnsi="Times New Roman"/>
                <w:bCs/>
              </w:rPr>
              <w:t>, as if no exemption applies,</w:t>
            </w:r>
            <w:r>
              <w:rPr>
                <w:rFonts w:ascii="Times New Roman" w:hAnsi="Times New Roman"/>
                <w:bCs/>
              </w:rPr>
              <w:t xml:space="preserve"> also include the amount reported in this cell</w:t>
            </w:r>
            <w:r w:rsidR="001B3BF0">
              <w:rPr>
                <w:rFonts w:ascii="Times New Roman" w:hAnsi="Times New Roman"/>
                <w:bCs/>
              </w:rPr>
              <w:t xml:space="preserve"> </w:t>
            </w:r>
            <w:r>
              <w:rPr>
                <w:rFonts w:ascii="Times New Roman" w:hAnsi="Times New Roman"/>
                <w:bCs/>
              </w:rPr>
              <w:t xml:space="preserve">in </w:t>
            </w:r>
            <w:r w:rsidRPr="00FE002E">
              <w:rPr>
                <w:rFonts w:ascii="Times New Roman" w:hAnsi="Times New Roman"/>
                <w:bCs/>
              </w:rPr>
              <w:t>{010</w:t>
            </w:r>
            <w:r w:rsidR="00BB4B8A">
              <w:rPr>
                <w:rFonts w:ascii="Times New Roman" w:hAnsi="Times New Roman"/>
                <w:bCs/>
              </w:rPr>
              <w:t>;010}</w:t>
            </w:r>
            <w:r w:rsidR="00595A81">
              <w:rPr>
                <w:rFonts w:ascii="Times New Roman" w:hAnsi="Times New Roman"/>
                <w:bCs/>
              </w:rPr>
              <w:t xml:space="preserve">, </w:t>
            </w:r>
            <w:r w:rsidR="00595A81" w:rsidRPr="00FE002E">
              <w:rPr>
                <w:rFonts w:ascii="Times New Roman" w:hAnsi="Times New Roman"/>
                <w:bCs/>
              </w:rPr>
              <w:t>{0</w:t>
            </w:r>
            <w:r w:rsidR="00595A81">
              <w:rPr>
                <w:rFonts w:ascii="Times New Roman" w:hAnsi="Times New Roman"/>
                <w:bCs/>
              </w:rPr>
              <w:t>2</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and </w:t>
            </w:r>
            <w:r w:rsidR="00595A81" w:rsidRPr="00FE002E">
              <w:rPr>
                <w:rFonts w:ascii="Times New Roman" w:hAnsi="Times New Roman"/>
                <w:bCs/>
              </w:rPr>
              <w:t>{0</w:t>
            </w:r>
            <w:r w:rsidR="00595A81">
              <w:rPr>
                <w:rFonts w:ascii="Times New Roman" w:hAnsi="Times New Roman"/>
                <w:bCs/>
              </w:rPr>
              <w:t>3</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w:t>
            </w:r>
            <w:r>
              <w:rPr>
                <w:rFonts w:ascii="Times New Roman" w:hAnsi="Times New Roman"/>
                <w:bCs/>
              </w:rPr>
              <w:t>and</w:t>
            </w:r>
            <w:r w:rsidR="009479A1">
              <w:rPr>
                <w:rFonts w:ascii="Times New Roman" w:hAnsi="Times New Roman"/>
                <w:bCs/>
              </w:rPr>
              <w:t>,</w:t>
            </w:r>
            <w:r>
              <w:rPr>
                <w:rFonts w:ascii="Times New Roman" w:hAnsi="Times New Roman"/>
                <w:bCs/>
              </w:rPr>
              <w:t xml:space="preserve"> </w:t>
            </w:r>
            <w:r w:rsidR="009479A1">
              <w:rPr>
                <w:rFonts w:ascii="Times New Roman" w:hAnsi="Times New Roman"/>
                <w:bCs/>
              </w:rPr>
              <w:t xml:space="preserve">if the condition in the second half of the previous sentence is met, in </w:t>
            </w:r>
            <w:r w:rsidRPr="004052F0">
              <w:rPr>
                <w:rFonts w:ascii="Times New Roman" w:hAnsi="Times New Roman"/>
                <w:bCs/>
              </w:rPr>
              <w:t>{190</w:t>
            </w:r>
            <w:r w:rsidR="00BB4B8A">
              <w:rPr>
                <w:rFonts w:ascii="Times New Roman" w:hAnsi="Times New Roman"/>
                <w:bCs/>
              </w:rPr>
              <w:t>;010}</w:t>
            </w:r>
            <w:r w:rsidR="009479A1">
              <w:rPr>
                <w:rFonts w:ascii="Times New Roman" w:hAnsi="Times New Roman"/>
                <w:bCs/>
              </w:rPr>
              <w:t>.</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{190</w:t>
            </w:r>
            <w:r w:rsidR="00BB4B8A">
              <w:rPr>
                <w:rFonts w:ascii="Times New Roman" w:hAnsi="Times New Roman"/>
                <w:bCs/>
              </w:rPr>
              <w:t>;010}</w:t>
            </w:r>
            <w:r>
              <w:rPr>
                <w:rFonts w:ascii="Times New Roman" w:hAnsi="Times New Roman"/>
                <w:bCs/>
              </w:rPr>
              <w:t xml:space="preserve"> and not reported in </w:t>
            </w:r>
            <w:r w:rsidRPr="00AF6C6D">
              <w:rPr>
                <w:rFonts w:ascii="Times New Roman" w:hAnsi="Times New Roman"/>
                <w:bCs/>
              </w:rPr>
              <w:t>{020</w:t>
            </w:r>
            <w:r w:rsidR="00BB4B8A">
              <w:rPr>
                <w:rFonts w:ascii="Times New Roman" w:hAnsi="Times New Roman"/>
                <w:bCs/>
              </w:rPr>
              <w:t>;010}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{030</w:t>
            </w:r>
            <w:r w:rsidR="00BB4B8A">
              <w:rPr>
                <w:rFonts w:ascii="Times New Roman" w:hAnsi="Times New Roman"/>
                <w:bCs/>
              </w:rPr>
              <w:t>;010}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{0</w:t>
            </w:r>
            <w:r>
              <w:rPr>
                <w:rFonts w:ascii="Times New Roman" w:hAnsi="Times New Roman"/>
                <w:bCs/>
              </w:rPr>
              <w:t>6</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w:t>
            </w:r>
            <w:r>
              <w:rPr>
                <w:rFonts w:ascii="Times New Roman" w:hAnsi="Times New Roman"/>
                <w:b/>
                <w:bCs/>
              </w:rPr>
              <w:t>Current replacement cost</w:t>
            </w:r>
            <w:r w:rsidRPr="00FE002E">
              <w:rPr>
                <w:rFonts w:ascii="Times New Roman" w:hAnsi="Times New Roman"/>
                <w:b/>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FE002E">
              <w:rPr>
                <w:rFonts w:ascii="Times New Roman" w:hAnsi="Times New Roman"/>
                <w:bCs/>
              </w:rPr>
              <w:t>429</w:t>
            </w:r>
            <w:r w:rsidR="00877186">
              <w:rPr>
                <w:rFonts w:ascii="Times New Roman" w:hAnsi="Times New Roman"/>
                <w:bCs/>
              </w:rPr>
              <w:t>a,</w:t>
            </w:r>
            <w:r w:rsidR="00877186" w:rsidRPr="00FE002E">
              <w:rPr>
                <w:rFonts w:ascii="Times New Roman" w:hAnsi="Times New Roman"/>
                <w:bCs/>
              </w:rPr>
              <w:t xml:space="preserve"> </w:t>
            </w:r>
            <w:r w:rsidRPr="00FE002E">
              <w:rPr>
                <w:rFonts w:ascii="Times New Roman" w:hAnsi="Times New Roman"/>
                <w:bCs/>
              </w:rPr>
              <w:t xml:space="preserve">274, 295, 296, 297 </w:t>
            </w:r>
            <w:r w:rsidR="00877186">
              <w:rPr>
                <w:rFonts w:ascii="Times New Roman" w:hAnsi="Times New Roman"/>
                <w:bCs/>
              </w:rPr>
              <w:t xml:space="preserve">and </w:t>
            </w:r>
            <w:r w:rsidRPr="00FE002E">
              <w:rPr>
                <w:rFonts w:ascii="Times New Roman" w:hAnsi="Times New Roman"/>
                <w:bCs/>
              </w:rPr>
              <w:t xml:space="preserve">298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274(1) </w:t>
            </w:r>
            <w:r>
              <w:rPr>
                <w:rFonts w:ascii="Times New Roman" w:hAnsi="Times New Roman"/>
                <w:bCs/>
              </w:rPr>
              <w:t xml:space="preserve">of the CRR </w:t>
            </w:r>
            <w:r w:rsidRPr="00FE002E">
              <w:rPr>
                <w:rFonts w:ascii="Times New Roman" w:hAnsi="Times New Roman"/>
                <w:bCs/>
              </w:rPr>
              <w:t>of contracts listed in Annex II of the CRR and credit derivatives</w:t>
            </w:r>
            <w:r>
              <w:rPr>
                <w:rFonts w:ascii="Times New Roman" w:hAnsi="Times New Roman"/>
                <w:bCs/>
              </w:rPr>
              <w:t xml:space="preserve"> including those that are off-balance sheet reported gross of variation margin</w:t>
            </w:r>
            <w:r w:rsidR="00DE0F90">
              <w:rPr>
                <w:rFonts w:ascii="Times New Roman" w:hAnsi="Times New Roman"/>
                <w:bCs/>
              </w:rPr>
              <w:t xml:space="preserve"> received</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As determined by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w:t>
            </w:r>
            <w:r w:rsidRPr="00FE002E">
              <w:rPr>
                <w:rFonts w:ascii="Times New Roman" w:hAnsi="Times New Roman"/>
              </w:rPr>
              <w:t xml:space="preserve"> in accordance with Article 295 of the CRR.</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{070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Eligible cash variation margin received offset against derivatives market value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V</w:t>
            </w:r>
            <w:r w:rsidRPr="00491758">
              <w:rPr>
                <w:rFonts w:ascii="Times New Roman" w:hAnsi="Times New Roman"/>
                <w:bCs/>
              </w:rPr>
              <w:t>ariation margin received in cash from the counterparty</w:t>
            </w:r>
            <w:r>
              <w:rPr>
                <w:rFonts w:ascii="Times New Roman" w:hAnsi="Times New Roman"/>
                <w:bCs/>
              </w:rPr>
              <w:t xml:space="preserve"> eligible for offsetting against the replacement cost portion of the derivatives exposure </w:t>
            </w:r>
            <w:r w:rsidR="00D85101">
              <w:rPr>
                <w:rFonts w:ascii="Times New Roman" w:hAnsi="Times New Roman"/>
                <w:bCs/>
              </w:rPr>
              <w:t>in accordance with</w:t>
            </w:r>
            <w:r>
              <w:rPr>
                <w:rFonts w:ascii="Times New Roman" w:hAnsi="Times New Roman"/>
                <w:bCs/>
              </w:rPr>
              <w:t xml:space="preserve"> Article 429a(3) of the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bCs/>
              </w:rPr>
              <w:t xml:space="preserve">Any cash variation margin received on an exempted CCP leg </w:t>
            </w:r>
            <w:r w:rsidR="00D85101">
              <w:rPr>
                <w:rFonts w:ascii="Times New Roman" w:hAnsi="Times New Roman"/>
                <w:bCs/>
              </w:rPr>
              <w:t>in accordance with</w:t>
            </w:r>
            <w:r>
              <w:rPr>
                <w:rFonts w:ascii="Times New Roman" w:hAnsi="Times New Roman"/>
                <w:bCs/>
              </w:rPr>
              <w:t xml:space="preserve"> Article 429(11) of the CRR shall not be reported.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{080;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Exempted CCP leg of client-cleared trade exposures (replacement costs)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 Article 306(1)(c) of the CRR.</w:t>
            </w:r>
            <w:r w:rsidR="006A0010">
              <w:rPr>
                <w:rFonts w:ascii="Times New Roman" w:hAnsi="Times New Roman"/>
                <w:bCs/>
              </w:rPr>
              <w:t xml:space="preserve"> This amount shall be reported gross of cash variation margin</w:t>
            </w:r>
            <w:r w:rsidR="00DE0F90">
              <w:rPr>
                <w:rFonts w:ascii="Times New Roman" w:hAnsi="Times New Roman"/>
                <w:bCs/>
              </w:rPr>
              <w:t xml:space="preserve"> received</w:t>
            </w:r>
            <w:r w:rsidR="00A51BD1">
              <w:rPr>
                <w:rFonts w:ascii="Times New Roman" w:hAnsi="Times New Roman"/>
                <w:bCs/>
              </w:rPr>
              <w:t xml:space="preserve"> on this leg</w:t>
            </w:r>
            <w:r w:rsidR="006A0010">
              <w:rPr>
                <w:rFonts w:ascii="Times New Roman" w:hAnsi="Times New Roman"/>
                <w:bCs/>
              </w:rPr>
              <w:t>.</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{06</w:t>
            </w:r>
            <w:r w:rsidRPr="001B3BF0">
              <w:rPr>
                <w:rFonts w:ascii="Times New Roman" w:hAnsi="Times New Roman"/>
                <w:bCs/>
              </w:rPr>
              <w:t>0</w:t>
            </w:r>
            <w:r w:rsidR="00BB4B8A">
              <w:rPr>
                <w:rFonts w:ascii="Times New Roman" w:hAnsi="Times New Roman"/>
                <w:bCs/>
              </w:rPr>
              <w:t>;010}</w:t>
            </w:r>
            <w:r>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9</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Add-on </w:t>
            </w:r>
            <w:r w:rsidR="003F598C">
              <w:rPr>
                <w:rFonts w:ascii="Times New Roman" w:hAnsi="Times New Roman"/>
                <w:b/>
                <w:bCs/>
              </w:rPr>
              <w:t>under the mark-to-market 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877186">
              <w:rPr>
                <w:rFonts w:ascii="Times New Roman" w:hAnsi="Times New Roman"/>
                <w:bCs/>
              </w:rPr>
              <w:t>429a</w:t>
            </w:r>
            <w:r w:rsidR="00877186">
              <w:rPr>
                <w:rFonts w:ascii="Times New Roman" w:hAnsi="Times New Roman"/>
                <w:bCs/>
              </w:rPr>
              <w:t xml:space="preserve">, </w:t>
            </w:r>
            <w:r w:rsidRPr="00FE002E">
              <w:rPr>
                <w:rFonts w:ascii="Times New Roman" w:hAnsi="Times New Roman"/>
                <w:bCs/>
              </w:rPr>
              <w:t>274, 295, 296, 297, 298</w:t>
            </w:r>
            <w:r w:rsidR="00877186">
              <w:rPr>
                <w:rFonts w:ascii="Times New Roman" w:hAnsi="Times New Roman"/>
                <w:bCs/>
              </w:rPr>
              <w:t xml:space="preserve"> and</w:t>
            </w:r>
            <w:r w:rsidRPr="00FE002E">
              <w:rPr>
                <w:rFonts w:ascii="Times New Roman" w:hAnsi="Times New Roman"/>
                <w:bCs/>
              </w:rPr>
              <w:t xml:space="preserve"> 299(2)</w:t>
            </w:r>
            <w:r w:rsidR="009B2324">
              <w:rPr>
                <w:rFonts w:ascii="Times New Roman" w:hAnsi="Times New Roman"/>
                <w:bCs/>
              </w:rPr>
              <w:t xml:space="preserve">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add-on for the potential future exposure of contracts listed in Annex II of the CRR and of credit derivatives</w:t>
            </w:r>
            <w:r>
              <w:rPr>
                <w:rFonts w:ascii="Times New Roman" w:hAnsi="Times New Roman"/>
                <w:bCs/>
              </w:rPr>
              <w:t xml:space="preserve"> including those that are off-balance sheet</w:t>
            </w:r>
            <w:r w:rsidRPr="00FE002E">
              <w:rPr>
                <w:rFonts w:ascii="Times New Roman" w:hAnsi="Times New Roman"/>
                <w:bCs/>
              </w:rPr>
              <w:t xml:space="preserve"> cal</w:t>
            </w:r>
            <w:r w:rsidR="003F598C">
              <w:rPr>
                <w:rFonts w:ascii="Times New Roman" w:hAnsi="Times New Roman"/>
                <w:bCs/>
              </w:rPr>
              <w:t xml:space="preserve">culated in </w:t>
            </w:r>
            <w:r w:rsidR="003F598C">
              <w:rPr>
                <w:rFonts w:ascii="Times New Roman" w:hAnsi="Times New Roman"/>
                <w:bCs/>
              </w:rPr>
              <w:lastRenderedPageBreak/>
              <w:t>accordance with the m</w:t>
            </w:r>
            <w:r w:rsidRPr="00FE002E">
              <w:rPr>
                <w:rFonts w:ascii="Times New Roman" w:hAnsi="Times New Roman"/>
                <w:bCs/>
              </w:rPr>
              <w:t xml:space="preserve">ark-to-market Method (Article 274 of the CRR for contracts listed in Annex II of the CRR and Article 299(2) of the CRR for credit derivatives) and applying netting rules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 determining the exposure value of those contracts,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 in accordance with Article 295 of the CRR</w:t>
            </w:r>
            <w:r>
              <w:rPr>
                <w:rFonts w:ascii="Times New Roman" w:hAnsi="Times New Roman"/>
                <w:bCs/>
              </w:rPr>
              <w:t>.</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 accordance with </w:t>
            </w:r>
            <w:r w:rsidR="00C62E9A">
              <w:rPr>
                <w:rFonts w:ascii="Times New Roman" w:hAnsi="Times New Roman"/>
                <w:bCs/>
              </w:rPr>
              <w:t xml:space="preserve">the second subparagraph of </w:t>
            </w:r>
            <w:r w:rsidRPr="00FE002E">
              <w:rPr>
                <w:rFonts w:ascii="Times New Roman" w:hAnsi="Times New Roman"/>
                <w:bCs/>
              </w:rPr>
              <w:t>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of the CRR, when determining the potential future credit exposure of credit derivatives, institutions shall apply the principles laid down in Article 299(2)</w:t>
            </w:r>
            <w:r>
              <w:rPr>
                <w:rFonts w:ascii="Times New Roman" w:hAnsi="Times New Roman"/>
                <w:bCs/>
              </w:rPr>
              <w:t>(a)</w:t>
            </w:r>
            <w:r w:rsidRPr="00FE002E">
              <w:rPr>
                <w:rFonts w:ascii="Times New Roman" w:hAnsi="Times New Roman"/>
                <w:bCs/>
              </w:rPr>
              <w:t xml:space="preserve"> of the CRR to all their credit derivatives, not just those assigned to the trading book.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original exposure 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{100;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client-cleared trade exposures (potential future exposure)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potential future exposure</w:t>
            </w:r>
            <w:r w:rsidRPr="00696866">
              <w:rPr>
                <w:rFonts w:ascii="Times New Roman" w:hAnsi="Times New Roman"/>
                <w:bCs/>
              </w:rPr>
              <w:t xml:space="preserve"> of exempted trade exposures to a QCCP from client-cleared derivatives transactions, </w:t>
            </w:r>
            <w:r>
              <w:rPr>
                <w:rFonts w:ascii="Times New Roman" w:hAnsi="Times New Roman"/>
                <w:bCs/>
              </w:rPr>
              <w:t>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184D76">
              <w:rPr>
                <w:rFonts w:ascii="Times New Roman" w:hAnsi="Times New Roman"/>
                <w:bCs/>
              </w:rPr>
              <w:t>0</w:t>
            </w:r>
            <w:r>
              <w:rPr>
                <w:rFonts w:ascii="Times New Roman" w:hAnsi="Times New Roman"/>
                <w:bCs/>
              </w:rPr>
              <w:t>9</w:t>
            </w:r>
            <w:r w:rsidRPr="001B3BF0">
              <w:rPr>
                <w:rFonts w:ascii="Times New Roman" w:hAnsi="Times New Roman"/>
                <w:bCs/>
              </w:rPr>
              <w:t>0</w:t>
            </w:r>
            <w:r w:rsidR="00BB4B8A">
              <w:rPr>
                <w:rFonts w:ascii="Times New Roman" w:hAnsi="Times New Roman"/>
                <w:bCs/>
              </w:rPr>
              <w:t>;010}</w:t>
            </w:r>
            <w:r w:rsidR="00B011A0">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11</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w:t>
            </w:r>
            <w:r w:rsidR="003F598C">
              <w:rPr>
                <w:rFonts w:ascii="Times New Roman" w:hAnsi="Times New Roman"/>
                <w:b/>
                <w:bCs/>
              </w:rPr>
              <w:t>erivatives: o</w:t>
            </w:r>
            <w:r w:rsidRPr="00FE002E">
              <w:rPr>
                <w:rFonts w:ascii="Times New Roman" w:hAnsi="Times New Roman"/>
                <w:b/>
                <w:bCs/>
              </w:rPr>
              <w:t xml:space="preserve">riginal </w:t>
            </w:r>
            <w:r w:rsidR="003F598C">
              <w:rPr>
                <w:rFonts w:ascii="Times New Roman" w:hAnsi="Times New Roman"/>
                <w:b/>
                <w:bCs/>
              </w:rPr>
              <w:t>e</w:t>
            </w:r>
            <w:r w:rsidRPr="00FE002E">
              <w:rPr>
                <w:rFonts w:ascii="Times New Roman" w:hAnsi="Times New Roman"/>
                <w:b/>
                <w:bCs/>
              </w:rPr>
              <w:t xml:space="preserve">xposure </w:t>
            </w:r>
            <w:r w:rsidR="003F598C">
              <w:rPr>
                <w:rFonts w:ascii="Times New Roman" w:hAnsi="Times New Roman"/>
                <w:b/>
                <w:bCs/>
              </w:rPr>
              <w:t>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00500508">
              <w:rPr>
                <w:rFonts w:ascii="Times New Roman" w:hAnsi="Times New Roman"/>
                <w:bCs/>
              </w:rPr>
              <w:t xml:space="preserve"> </w:t>
            </w:r>
            <w:r w:rsidRPr="00FE002E">
              <w:rPr>
                <w:rFonts w:ascii="Times New Roman" w:hAnsi="Times New Roman"/>
                <w:bCs/>
              </w:rPr>
              <w:t>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w:t>
            </w:r>
            <w:r w:rsidR="00C62E9A">
              <w:rPr>
                <w:rFonts w:ascii="Times New Roman" w:hAnsi="Times New Roman"/>
                <w:bCs/>
              </w:rPr>
              <w:t xml:space="preserve"> and</w:t>
            </w:r>
            <w:r>
              <w:rPr>
                <w:rFonts w:ascii="Times New Roman" w:hAnsi="Times New Roman"/>
                <w:bCs/>
              </w:rPr>
              <w:t xml:space="preserve"> 275</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of the CRR</w:t>
            </w:r>
            <w:r w:rsidRPr="00FE002E">
              <w:rPr>
                <w:rFonts w:ascii="Times New Roman" w:hAnsi="Times New Roman"/>
                <w:bCs/>
              </w:rPr>
              <w:t xml:space="preserve"> calculated </w:t>
            </w:r>
            <w:r w:rsidR="00D85101">
              <w:rPr>
                <w:rFonts w:ascii="Times New Roman" w:hAnsi="Times New Roman"/>
                <w:bCs/>
              </w:rPr>
              <w:t>in accordance with</w:t>
            </w:r>
            <w:r w:rsidRPr="00FE002E">
              <w:rPr>
                <w:rFonts w:ascii="Times New Roman" w:hAnsi="Times New Roman"/>
                <w:bCs/>
              </w:rPr>
              <w:t xml:space="preserv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set out in Article 275 of the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bCs/>
              </w:rPr>
              <w:t>Institutions that apply the o</w:t>
            </w:r>
            <w:r w:rsidR="00AE2798">
              <w:rPr>
                <w:rFonts w:ascii="Times New Roman" w:hAnsi="Times New Roman"/>
                <w:bCs/>
              </w:rPr>
              <w:t xml:space="preserve">riginal </w:t>
            </w:r>
            <w:r>
              <w:rPr>
                <w:rFonts w:ascii="Times New Roman" w:hAnsi="Times New Roman"/>
                <w:bCs/>
              </w:rPr>
              <w:t>e</w:t>
            </w:r>
            <w:r w:rsidR="00AE2798">
              <w:rPr>
                <w:rFonts w:ascii="Times New Roman" w:hAnsi="Times New Roman"/>
                <w:bCs/>
              </w:rPr>
              <w:t xml:space="preserve">xposure </w:t>
            </w:r>
            <w:r>
              <w:rPr>
                <w:rFonts w:ascii="Times New Roman" w:hAnsi="Times New Roman"/>
                <w:bCs/>
              </w:rPr>
              <w:t>m</w:t>
            </w:r>
            <w:r w:rsidR="00AE2798">
              <w:rPr>
                <w:rFonts w:ascii="Times New Roman" w:hAnsi="Times New Roman"/>
                <w:bCs/>
              </w:rPr>
              <w:t xml:space="preserve">ethod shall not reduce the exposure measure by the amount of variation margin received in cash </w:t>
            </w:r>
            <w:r w:rsidR="00D85101">
              <w:rPr>
                <w:rFonts w:ascii="Times New Roman" w:hAnsi="Times New Roman"/>
                <w:bCs/>
              </w:rPr>
              <w:t>in accordance with</w:t>
            </w:r>
            <w:r w:rsidR="00AE2798">
              <w:rPr>
                <w:rFonts w:ascii="Times New Roman" w:hAnsi="Times New Roman"/>
                <w:bCs/>
              </w:rPr>
              <w:t xml:space="preserve"> Article 429a(8)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shall not report this </w:t>
            </w:r>
            <w:r w:rsidR="00E8206D">
              <w:rPr>
                <w:rFonts w:ascii="Times New Roman" w:hAnsi="Times New Roman"/>
                <w:bCs/>
              </w:rPr>
              <w:t>cell</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contracts </w:t>
            </w:r>
            <w:r w:rsidR="003F598C">
              <w:rPr>
                <w:rFonts w:ascii="Times New Roman" w:hAnsi="Times New Roman"/>
                <w:bCs/>
              </w:rPr>
              <w:t>measured by application of the m</w:t>
            </w:r>
            <w:r w:rsidRPr="00FE002E">
              <w:rPr>
                <w:rFonts w:ascii="Times New Roman" w:hAnsi="Times New Roman"/>
                <w:bCs/>
              </w:rPr>
              <w:t>ark-to-market method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and 274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{120;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w:t>
            </w:r>
            <w:r w:rsidR="003F598C">
              <w:rPr>
                <w:rFonts w:ascii="Times New Roman" w:hAnsi="Times New Roman"/>
                <w:b/>
                <w:bCs/>
              </w:rPr>
              <w:t>lient-cleared trade exposures (o</w:t>
            </w:r>
            <w:r w:rsidR="00AE2798" w:rsidRPr="00BB34AA">
              <w:rPr>
                <w:rFonts w:ascii="Times New Roman" w:hAnsi="Times New Roman"/>
                <w:b/>
                <w:bCs/>
              </w:rPr>
              <w:t xml:space="preserve">riginal </w:t>
            </w:r>
            <w:r w:rsidR="003F598C">
              <w:rPr>
                <w:rFonts w:ascii="Times New Roman" w:hAnsi="Times New Roman"/>
                <w:b/>
                <w:bCs/>
              </w:rPr>
              <w:t>e</w:t>
            </w:r>
            <w:r w:rsidR="00AE2798" w:rsidRPr="00BB34AA">
              <w:rPr>
                <w:rFonts w:ascii="Times New Roman" w:hAnsi="Times New Roman"/>
                <w:b/>
                <w:bCs/>
              </w:rPr>
              <w:t xml:space="preserve">xposure </w:t>
            </w:r>
            <w:r w:rsidR="003F598C">
              <w:rPr>
                <w:rFonts w:ascii="Times New Roman" w:hAnsi="Times New Roman"/>
                <w:b/>
                <w:bCs/>
              </w:rPr>
              <w:t>m</w:t>
            </w:r>
            <w:r w:rsidR="00AE2798" w:rsidRPr="00BB34AA">
              <w:rPr>
                <w:rFonts w:ascii="Times New Roman" w:hAnsi="Times New Roman"/>
                <w:b/>
                <w:bCs/>
              </w:rPr>
              <w:t>ethod)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w:t>
            </w:r>
            <w:r w:rsidR="003F598C">
              <w:rPr>
                <w:rFonts w:ascii="Times New Roman" w:hAnsi="Times New Roman"/>
                <w:bCs/>
              </w:rPr>
              <w:t>o</w:t>
            </w:r>
            <w:r>
              <w:rPr>
                <w:rFonts w:ascii="Times New Roman" w:hAnsi="Times New Roman"/>
                <w:bCs/>
              </w:rPr>
              <w:t xml:space="preserve">riginal </w:t>
            </w:r>
            <w:r w:rsidR="003F598C">
              <w:rPr>
                <w:rFonts w:ascii="Times New Roman" w:hAnsi="Times New Roman"/>
                <w:bCs/>
              </w:rPr>
              <w:t>e</w:t>
            </w:r>
            <w:r>
              <w:rPr>
                <w:rFonts w:ascii="Times New Roman" w:hAnsi="Times New Roman"/>
                <w:bCs/>
              </w:rPr>
              <w:t xml:space="preserve">xposure </w:t>
            </w:r>
            <w:r w:rsidR="003F598C">
              <w:rPr>
                <w:rFonts w:ascii="Times New Roman" w:hAnsi="Times New Roman"/>
                <w:bCs/>
              </w:rPr>
              <w:t>m</w:t>
            </w:r>
            <w:r>
              <w:rPr>
                <w:rFonts w:ascii="Times New Roman" w:hAnsi="Times New Roman"/>
                <w:bCs/>
              </w:rPr>
              <w:t>ethod as set out in Article 275 of the CRR, 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Pr>
                <w:rFonts w:ascii="Times New Roman" w:hAnsi="Times New Roman"/>
                <w:bCs/>
              </w:rPr>
              <w:t>1</w:t>
            </w:r>
            <w:r w:rsidRPr="001B3BF0">
              <w:rPr>
                <w:rFonts w:ascii="Times New Roman" w:hAnsi="Times New Roman"/>
                <w:bCs/>
              </w:rPr>
              <w:t>10</w:t>
            </w:r>
            <w:r w:rsidR="00BB4B8A">
              <w:rPr>
                <w:rFonts w:ascii="Times New Roman" w:hAnsi="Times New Roman"/>
                <w:bCs/>
              </w:rPr>
              <w:t>;010}</w:t>
            </w:r>
            <w:r w:rsidR="00B011A0">
              <w:rPr>
                <w:rFonts w:ascii="Times New Roman" w:hAnsi="Times New Roman"/>
                <w:bCs/>
              </w:rPr>
              <w:t xml:space="preserve"> as if no exemption applie</w:t>
            </w:r>
            <w:r w:rsidR="00433E1A">
              <w:rPr>
                <w:rFonts w:ascii="Times New Roman" w:hAnsi="Times New Roman"/>
                <w:bCs/>
              </w:rPr>
              <w:t>d</w:t>
            </w:r>
            <w:r w:rsidR="00B011A0"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t>{130</w:t>
            </w:r>
            <w:r w:rsidR="00F71081">
              <w:rPr>
                <w:rFonts w:ascii="Times New Roman" w:hAnsi="Times New Roman"/>
                <w:bCs/>
              </w:rPr>
              <w:t>;010}</w:t>
            </w:r>
          </w:p>
        </w:tc>
        <w:tc>
          <w:tcPr>
            <w:tcW w:w="7590" w:type="dxa"/>
          </w:tcPr>
          <w:p w:rsidR="00AE2798" w:rsidRDefault="00AE2798" w:rsidP="00FE0FF1">
            <w:pPr>
              <w:pStyle w:val="BodyText1"/>
              <w:spacing w:line="240" w:lineRule="auto"/>
              <w:rPr>
                <w:rFonts w:ascii="Times New Roman" w:hAnsi="Times New Roman"/>
                <w:bCs/>
              </w:rPr>
            </w:pPr>
            <w:r w:rsidRPr="00BB34AA">
              <w:rPr>
                <w:rFonts w:ascii="Times New Roman" w:hAnsi="Times New Roman"/>
                <w:b/>
                <w:bCs/>
              </w:rPr>
              <w:t>Capped notional amount of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lastRenderedPageBreak/>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written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 xml:space="preserve">is providing credit protection to a counterparty) as set out in </w:t>
            </w:r>
            <w:r>
              <w:rPr>
                <w:rFonts w:ascii="Times New Roman" w:hAnsi="Times New Roman"/>
                <w:bCs/>
              </w:rPr>
              <w:t>Article 429a</w:t>
            </w:r>
            <w:r w:rsidR="00C62E9A">
              <w:rPr>
                <w:rFonts w:ascii="Times New Roman" w:hAnsi="Times New Roman"/>
                <w:bCs/>
              </w:rPr>
              <w:t>(5) to (7)</w:t>
            </w:r>
            <w:r>
              <w:rPr>
                <w:rFonts w:ascii="Times New Roman" w:hAnsi="Times New Roman"/>
                <w:bCs/>
              </w:rPr>
              <w:t xml:space="preserve"> of the CRR</w:t>
            </w:r>
            <w:r w:rsidRPr="00F23061">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lastRenderedPageBreak/>
              <w:t>{140</w:t>
            </w:r>
            <w:r w:rsidR="00F71081">
              <w:rPr>
                <w:rFonts w:ascii="Times New Roman" w:hAnsi="Times New Roman"/>
                <w:bCs/>
              </w:rPr>
              <w:t>;010}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Eligible purchased credit derivatives offset against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purchased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is buying credit protection from a count</w:t>
            </w:r>
            <w:r>
              <w:rPr>
                <w:rFonts w:ascii="Times New Roman" w:hAnsi="Times New Roman"/>
                <w:bCs/>
              </w:rPr>
              <w:t xml:space="preserve">erparty) on the same </w:t>
            </w:r>
            <w:r w:rsidRPr="00F23061">
              <w:rPr>
                <w:rFonts w:ascii="Times New Roman" w:hAnsi="Times New Roman"/>
                <w:bCs/>
              </w:rPr>
              <w:t xml:space="preserve">reference names as those credit derivatives written by the </w:t>
            </w:r>
            <w:r w:rsidR="00703D5A">
              <w:rPr>
                <w:rFonts w:ascii="Times New Roman" w:hAnsi="Times New Roman"/>
                <w:bCs/>
              </w:rPr>
              <w:t>institution</w:t>
            </w:r>
            <w:r w:rsidRPr="00F23061">
              <w:rPr>
                <w:rFonts w:ascii="Times New Roman" w:hAnsi="Times New Roman"/>
                <w:bCs/>
              </w:rPr>
              <w:t xml:space="preserve">, where the </w:t>
            </w:r>
            <w:r>
              <w:rPr>
                <w:rFonts w:ascii="Times New Roman" w:hAnsi="Times New Roman"/>
                <w:bCs/>
              </w:rPr>
              <w:t xml:space="preserve">remaining </w:t>
            </w:r>
            <w:r w:rsidRPr="00F23061">
              <w:rPr>
                <w:rFonts w:ascii="Times New Roman" w:hAnsi="Times New Roman"/>
                <w:bCs/>
              </w:rPr>
              <w:t xml:space="preserve">maturity of the purchased protection is equal to or greater than the </w:t>
            </w:r>
            <w:r>
              <w:rPr>
                <w:rFonts w:ascii="Times New Roman" w:hAnsi="Times New Roman"/>
                <w:bCs/>
              </w:rPr>
              <w:t xml:space="preserve">remaining </w:t>
            </w:r>
            <w:r w:rsidRPr="00F23061">
              <w:rPr>
                <w:rFonts w:ascii="Times New Roman" w:hAnsi="Times New Roman"/>
                <w:bCs/>
              </w:rPr>
              <w:t xml:space="preserve">maturity of the sold protection. Hence, the value </w:t>
            </w:r>
            <w:r>
              <w:rPr>
                <w:rFonts w:ascii="Times New Roman" w:hAnsi="Times New Roman"/>
                <w:bCs/>
              </w:rPr>
              <w:t>shall</w:t>
            </w:r>
            <w:r w:rsidRPr="00F23061">
              <w:rPr>
                <w:rFonts w:ascii="Times New Roman" w:hAnsi="Times New Roman"/>
                <w:bCs/>
              </w:rPr>
              <w:t xml:space="preserve"> not be greater than the value entered in </w:t>
            </w:r>
            <w:r>
              <w:rPr>
                <w:rFonts w:ascii="Times New Roman" w:hAnsi="Times New Roman"/>
                <w:bCs/>
              </w:rPr>
              <w:t>{130</w:t>
            </w:r>
            <w:r w:rsidR="00BB4B8A">
              <w:rPr>
                <w:rFonts w:ascii="Times New Roman" w:hAnsi="Times New Roman"/>
                <w:bCs/>
              </w:rPr>
              <w:t>;010}</w:t>
            </w:r>
            <w:r w:rsidRPr="00F23061">
              <w:rPr>
                <w:rFonts w:ascii="Times New Roman" w:hAnsi="Times New Roman"/>
                <w:bCs/>
              </w:rPr>
              <w:t xml:space="preserve"> for each reference name.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15</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sidR="00D85101">
              <w:rPr>
                <w:rFonts w:ascii="Times New Roman" w:hAnsi="Times New Roman"/>
                <w:b/>
                <w:bCs/>
              </w:rPr>
              <w:t>in accordance with</w:t>
            </w:r>
            <w:r w:rsidRPr="00D83A7F">
              <w:rPr>
                <w:rFonts w:ascii="Times New Roman" w:hAnsi="Times New Roman"/>
                <w:b/>
                <w:bCs/>
              </w:rPr>
              <w:t xml:space="preserve"> </w:t>
            </w:r>
            <w:r w:rsidR="00C62E9A">
              <w:rPr>
                <w:rFonts w:ascii="Times New Roman" w:hAnsi="Times New Roman"/>
                <w:b/>
                <w:bCs/>
              </w:rPr>
              <w:t>Article</w:t>
            </w:r>
            <w:r w:rsidR="00C62E9A" w:rsidRPr="00D83A7F">
              <w:rPr>
                <w:rFonts w:ascii="Times New Roman" w:hAnsi="Times New Roman"/>
                <w:b/>
                <w:bCs/>
              </w:rPr>
              <w:t xml:space="preserve"> </w:t>
            </w:r>
            <w:r w:rsidRPr="00D83A7F">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111(1)(d)</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111(1)(d) </w:t>
            </w:r>
            <w:r w:rsidRPr="00FE002E">
              <w:rPr>
                <w:rFonts w:ascii="Times New Roman" w:hAnsi="Times New Roman"/>
                <w:bCs/>
              </w:rPr>
              <w:t xml:space="preserve">of the CRR,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of the CRR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w:t>
            </w:r>
            <w:r w:rsidR="00703D5A">
              <w:rPr>
                <w:rFonts w:ascii="Times New Roman" w:hAnsi="Times New Roman"/>
                <w:iCs/>
                <w:lang w:val="en-US"/>
              </w:rPr>
              <w:t xml:space="preserve">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rsidR="00AA7A07">
              <w:t xml:space="preserve"> </w:t>
            </w:r>
            <w:r w:rsidR="00AA7A07" w:rsidRPr="00AA7A07">
              <w:rPr>
                <w:rFonts w:ascii="Times New Roman" w:hAnsi="Times New Roman"/>
                <w:bCs/>
              </w:rPr>
              <w:t>As a reminder the nominal value shall not be reduced by specific credit risk adjustments</w:t>
            </w:r>
            <w:r w:rsidR="006F6EA7">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w:t>
            </w:r>
            <w:r w:rsidR="00AA005C">
              <w:rPr>
                <w:rFonts w:ascii="Times New Roman" w:hAnsi="Times New Roman"/>
                <w:bCs/>
              </w:rPr>
              <w:t>Article 429(10)</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16</w:t>
            </w:r>
            <w:r w:rsidRPr="00FE002E">
              <w:rPr>
                <w:rFonts w:ascii="Times New Roman" w:hAnsi="Times New Roman"/>
                <w:bCs/>
              </w:rPr>
              <w:t>0</w:t>
            </w:r>
            <w:r w:rsidR="00F71081">
              <w:rPr>
                <w:rFonts w:ascii="Times New Roman" w:hAnsi="Times New Roman"/>
                <w:bCs/>
              </w:rPr>
              <w:t>;010}</w:t>
            </w: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111(1)(c)</w:t>
            </w:r>
            <w:r w:rsidR="006D3F98">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111(1)(c) </w:t>
            </w:r>
            <w:r w:rsidRPr="00FE002E">
              <w:rPr>
                <w:rFonts w:ascii="Times New Roman" w:hAnsi="Times New Roman"/>
                <w:bCs/>
              </w:rPr>
              <w:t xml:space="preserve">of the CRR,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of the CRR </w:t>
            </w:r>
            <w:r w:rsidRPr="00FE002E">
              <w:rPr>
                <w:rFonts w:ascii="Times New Roman" w:hAnsi="Times New Roman"/>
                <w:bCs/>
              </w:rPr>
              <w:t>(as a reminder the exposure value here shall be 20% of the nominal value).</w:t>
            </w:r>
            <w:r w:rsidR="008C7B98">
              <w:t xml:space="preserve"> </w:t>
            </w:r>
            <w:r w:rsidR="008C7B98" w:rsidRPr="006A32F5">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433E1A">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17</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111(1)(b)</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111(1)(b)</w:t>
            </w:r>
            <w:r w:rsidRPr="00FE002E">
              <w:rPr>
                <w:rFonts w:ascii="Times New Roman" w:hAnsi="Times New Roman"/>
                <w:bCs/>
              </w:rPr>
              <w:t xml:space="preserve"> of the CRR,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sidR="00433E1A">
              <w:rPr>
                <w:rFonts w:ascii="Times New Roman" w:hAnsi="Times New Roman"/>
                <w:bCs/>
              </w:rPr>
              <w:t>S</w:t>
            </w:r>
            <w:r w:rsidRPr="00221ADB">
              <w:rPr>
                <w:rFonts w:ascii="Times New Roman" w:hAnsi="Times New Roman"/>
                <w:bCs/>
              </w:rPr>
              <w:t xml:space="preserve">tandardised </w:t>
            </w:r>
            <w:r w:rsidR="00433E1A">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sidR="00433E1A">
              <w:rPr>
                <w:rFonts w:ascii="Times New Roman" w:hAnsi="Times New Roman"/>
                <w:iCs/>
                <w:lang w:val="en-US"/>
              </w:rPr>
              <w:t xml:space="preserve"> </w:t>
            </w:r>
            <w:r w:rsidRPr="00FE002E">
              <w:rPr>
                <w:rFonts w:ascii="Times New Roman" w:hAnsi="Times New Roman"/>
                <w:iCs/>
                <w:lang w:val="en-US"/>
              </w:rPr>
              <w:t xml:space="preserve">and (b) of Annex I of the CRR </w:t>
            </w:r>
            <w:r w:rsidRPr="00FE002E">
              <w:rPr>
                <w:rFonts w:ascii="Times New Roman" w:hAnsi="Times New Roman"/>
                <w:bCs/>
              </w:rPr>
              <w:t xml:space="preserve">(as a reminder the exposure value here shall be 50% of the nominal </w:t>
            </w:r>
            <w:r w:rsidRPr="00FE002E">
              <w:rPr>
                <w:rFonts w:ascii="Times New Roman" w:hAnsi="Times New Roman"/>
                <w:bCs/>
              </w:rPr>
              <w:lastRenderedPageBreak/>
              <w:t>value).</w:t>
            </w:r>
            <w:r w:rsidR="008C7B98">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221ADB">
              <w:rPr>
                <w:rFonts w:ascii="Times New Roman" w:hAnsi="Times New Roman"/>
                <w:bCs/>
              </w:rPr>
              <w:t>This</w:t>
            </w:r>
            <w:r w:rsidR="008C7B98">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sidR="006D7B47">
              <w:rPr>
                <w:rFonts w:ascii="Times New Roman" w:hAnsi="Times New Roman"/>
                <w:bCs/>
              </w:rPr>
              <w:t>In other words</w:t>
            </w:r>
            <w:r w:rsidRPr="00221ADB">
              <w:rPr>
                <w:rFonts w:ascii="Times New Roman" w:hAnsi="Times New Roman"/>
                <w:bCs/>
              </w:rPr>
              <w:t xml:space="preserve"> the CCF for all </w:t>
            </w:r>
            <w:r w:rsidR="00064698" w:rsidRPr="00064698">
              <w:rPr>
                <w:rFonts w:ascii="Times New Roman" w:hAnsi="Times New Roman"/>
                <w:bCs/>
              </w:rPr>
              <w:t xml:space="preserve">liquidity facilities in accordance with Article 255 </w:t>
            </w:r>
            <w:r w:rsidR="00C62E9A">
              <w:rPr>
                <w:rFonts w:ascii="Times New Roman" w:hAnsi="Times New Roman"/>
                <w:bCs/>
              </w:rPr>
              <w:t xml:space="preserve">of the </w:t>
            </w:r>
            <w:r w:rsidR="00064698" w:rsidRPr="00064698">
              <w:rPr>
                <w:rFonts w:ascii="Times New Roman" w:hAnsi="Times New Roman"/>
                <w:bCs/>
              </w:rPr>
              <w:t>CRR</w:t>
            </w:r>
            <w:r w:rsidR="00064698"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w:t>
            </w:r>
            <w:r w:rsidRPr="0044777F">
              <w:rPr>
                <w:rFonts w:ascii="Times New Roman" w:hAnsi="Times New Roman"/>
                <w:bCs/>
              </w:rPr>
              <w:t>the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sidR="00E8206D">
              <w:rPr>
                <w:rFonts w:ascii="Times New Roman" w:hAnsi="Times New Roman"/>
                <w:bCs/>
              </w:rPr>
              <w:t>cell</w:t>
            </w:r>
            <w:r w:rsidRPr="0044777F">
              <w:rPr>
                <w:rFonts w:ascii="Times New Roman" w:hAnsi="Times New Roman"/>
                <w:bCs/>
              </w:rPr>
              <w:t xml:space="preserve"> contracts listed in Annex II of the CRR,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18</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sidR="00D85101">
              <w:rPr>
                <w:rFonts w:ascii="Times New Roman" w:hAnsi="Times New Roman"/>
                <w:b/>
                <w:bCs/>
              </w:rPr>
              <w:t>in accordance with</w:t>
            </w:r>
            <w:r w:rsidRPr="00874A45">
              <w:rPr>
                <w:rFonts w:ascii="Times New Roman" w:hAnsi="Times New Roman"/>
                <w:b/>
                <w:bCs/>
              </w:rPr>
              <w:t xml:space="preserve"> CRR 429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111(1)(a)</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111(1)(a)</w:t>
            </w:r>
            <w:r w:rsidRPr="00FE002E">
              <w:rPr>
                <w:rFonts w:ascii="Times New Roman" w:hAnsi="Times New Roman"/>
                <w:bCs/>
              </w:rPr>
              <w:t xml:space="preserve"> of the CRR,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of the CRR (as a reminder the exposure value here shall be 100% of the nominal value).</w:t>
            </w:r>
            <w:r>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 xml:space="preserve">.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5F0F28">
              <w:rPr>
                <w:rFonts w:ascii="Times New Roman" w:hAnsi="Times New Roman"/>
                <w:bCs/>
              </w:rPr>
              <w:t>This</w:t>
            </w:r>
            <w:r w:rsidR="008C7B98">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Other assets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(5)</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All assets other than contracts listed in Annex II of the CRR, credit derivatives</w:t>
            </w:r>
            <w:r w:rsidR="00E91D94">
              <w:rPr>
                <w:rFonts w:ascii="Times New Roman" w:hAnsi="Times New Roman"/>
                <w:bCs/>
              </w:rPr>
              <w:t xml:space="preserve"> and SFTs</w:t>
            </w:r>
            <w:r>
              <w:rPr>
                <w:rFonts w:ascii="Times New Roman" w:hAnsi="Times New Roman"/>
                <w:bCs/>
              </w:rPr>
              <w:t xml:space="preserve"> (</w:t>
            </w:r>
            <w:r w:rsidRPr="00D2624F">
              <w:rPr>
                <w:rFonts w:ascii="Times New Roman" w:hAnsi="Times New Roman"/>
                <w:bCs/>
              </w:rPr>
              <w:t>e</w:t>
            </w:r>
            <w:r>
              <w:rPr>
                <w:rFonts w:ascii="Times New Roman" w:hAnsi="Times New Roman"/>
                <w:bCs/>
              </w:rPr>
              <w:t>.</w:t>
            </w:r>
            <w:r w:rsidRPr="00D2624F">
              <w:rPr>
                <w:rFonts w:ascii="Times New Roman" w:hAnsi="Times New Roman"/>
                <w:bCs/>
              </w:rPr>
              <w:t>g</w:t>
            </w:r>
            <w:r>
              <w:rPr>
                <w:rFonts w:ascii="Times New Roman" w:hAnsi="Times New Roman"/>
                <w:bCs/>
              </w:rPr>
              <w:t>.</w:t>
            </w:r>
            <w:r w:rsidRPr="00D2624F">
              <w:rPr>
                <w:rFonts w:ascii="Times New Roman" w:hAnsi="Times New Roman"/>
                <w:bCs/>
              </w:rPr>
              <w:t xml:space="preserve"> </w:t>
            </w:r>
            <w:r w:rsidR="008C4E32">
              <w:rPr>
                <w:rFonts w:ascii="Times New Roman" w:hAnsi="Times New Roman"/>
                <w:bCs/>
              </w:rPr>
              <w:t xml:space="preserve">amongst others assets to be reported in this </w:t>
            </w:r>
            <w:r w:rsidR="00E8206D">
              <w:rPr>
                <w:rFonts w:ascii="Times New Roman" w:hAnsi="Times New Roman"/>
                <w:bCs/>
              </w:rPr>
              <w:t>cell</w:t>
            </w:r>
            <w:r w:rsidR="008C4E32">
              <w:rPr>
                <w:rFonts w:ascii="Times New Roman" w:hAnsi="Times New Roman"/>
                <w:bCs/>
              </w:rPr>
              <w:t xml:space="preserve"> are </w:t>
            </w:r>
            <w:r w:rsidRPr="00D2624F">
              <w:rPr>
                <w:rFonts w:ascii="Times New Roman" w:hAnsi="Times New Roman"/>
                <w:bCs/>
              </w:rPr>
              <w:t xml:space="preserve">accounting receivables for cash variation margin provided where recognised under </w:t>
            </w:r>
            <w:r>
              <w:rPr>
                <w:rFonts w:ascii="Times New Roman" w:hAnsi="Times New Roman"/>
                <w:bCs/>
              </w:rPr>
              <w:t xml:space="preserve">the </w:t>
            </w:r>
            <w:r w:rsidRPr="00D2624F">
              <w:rPr>
                <w:rFonts w:ascii="Times New Roman" w:hAnsi="Times New Roman"/>
                <w:bCs/>
              </w:rPr>
              <w:t>operative accounting framework, liquid assets as defined under the liquidity coverage ratio, failed and unsettled transactions)</w:t>
            </w:r>
            <w:r w:rsidRPr="00FE002E">
              <w:rPr>
                <w:rFonts w:ascii="Times New Roman" w:hAnsi="Times New Roman"/>
                <w:bCs/>
              </w:rPr>
              <w:t>. Institutions shall base valuation on the principles set out in Article 429(5)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w:t>
            </w:r>
            <w:r w:rsidR="00E91D94">
              <w:rPr>
                <w:rFonts w:ascii="Times New Roman" w:hAnsi="Times New Roman"/>
                <w:bCs/>
              </w:rPr>
              <w:t>SFTs</w:t>
            </w:r>
            <w:r w:rsidRPr="00FE002E">
              <w:rPr>
                <w:rFonts w:ascii="Times New Roman" w:hAnsi="Times New Roman"/>
                <w:bCs/>
              </w:rPr>
              <w:t xml:space="preserve"> and that is retained on the balance sheet (i.e. the accounting criteria for derecognition are not met).</w:t>
            </w:r>
            <w:r>
              <w:rPr>
                <w:rFonts w:ascii="Times New Roman" w:hAnsi="Times New Roman"/>
                <w:bCs/>
              </w:rPr>
              <w:t xml:space="preserve"> Furthermore, institutions shall recognise items that are deducted from </w:t>
            </w:r>
            <w:r w:rsidR="006D3F98">
              <w:rPr>
                <w:rFonts w:ascii="Times New Roman" w:hAnsi="Times New Roman"/>
                <w:bCs/>
              </w:rPr>
              <w:t xml:space="preserve">CET1 and Additional Tier 1 items </w:t>
            </w:r>
            <w:r>
              <w:rPr>
                <w:rFonts w:ascii="Times New Roman" w:hAnsi="Times New Roman"/>
                <w:bCs/>
              </w:rPr>
              <w:t>(e.g. intangibles, deferred tax assets etc.) here.</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{200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as set out in 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lastRenderedPageBreak/>
              <w:t xml:space="preserve">Institutions shall not include in this </w:t>
            </w:r>
            <w:r w:rsidR="00E8206D">
              <w:rPr>
                <w:rFonts w:ascii="Times New Roman" w:hAnsi="Times New Roman"/>
                <w:bCs/>
              </w:rPr>
              <w:t>cell</w:t>
            </w:r>
            <w:r>
              <w:rPr>
                <w:rFonts w:ascii="Times New Roman" w:hAnsi="Times New Roman"/>
                <w:bCs/>
              </w:rPr>
              <w:t xml:space="preserve">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Article 429a(3) of the CRR</w:t>
            </w:r>
            <w:r w:rsidRPr="00C03D54">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lastRenderedPageBreak/>
              <w:t>{210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4307B9">
              <w:rPr>
                <w:rFonts w:ascii="Times New Roman" w:hAnsi="Times New Roman"/>
                <w:b/>
                <w:bCs/>
              </w:rPr>
              <w:t>Receivables for cash variation margin provided in derivatives transactions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bCs/>
              </w:rPr>
              <w:t xml:space="preserve">Third subparagraph of </w:t>
            </w:r>
            <w:r w:rsidR="00AE2798">
              <w:rPr>
                <w:rFonts w:ascii="Times New Roman" w:hAnsi="Times New Roman"/>
                <w:bCs/>
              </w:rPr>
              <w:t>Article 429a(3)</w:t>
            </w:r>
            <w:r w:rsidR="00A51BD1" w:rsidRPr="00A51BD1">
              <w:rPr>
                <w:rFonts w:ascii="Times New Roman" w:hAnsi="Times New Roman"/>
                <w:bCs/>
              </w:rPr>
              <w:t xml:space="preserve"> </w:t>
            </w:r>
            <w:r w:rsidR="00AE2798">
              <w:rPr>
                <w:rFonts w:ascii="Times New Roman" w:hAnsi="Times New Roman"/>
                <w:bCs/>
              </w:rPr>
              <w:t>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provided that the conditions in points (a) to (e) of Article 429a(3) of the CRR are met.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{220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15641F">
              <w:rPr>
                <w:rFonts w:ascii="Times New Roman" w:hAnsi="Times New Roman"/>
                <w:b/>
                <w:bCs/>
              </w:rPr>
              <w:t>Exempted CCP leg of client-cleared trade exposures (initial margin)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sidR="00A51BD1">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 Article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{230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429b(5)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{240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721469">
              <w:rPr>
                <w:rFonts w:ascii="Times New Roman" w:hAnsi="Times New Roman"/>
                <w:b/>
                <w:bCs/>
              </w:rPr>
              <w:t>Fiduciary assets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that meet the IAS 39 criteria for derecognition and, where applicable, IFRS 10 for deconsolidation</w:t>
            </w:r>
            <w:r>
              <w:rPr>
                <w:rFonts w:ascii="Times New Roman" w:hAnsi="Times New Roman"/>
                <w:bCs/>
              </w:rPr>
              <w:t>,</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(13</w:t>
            </w:r>
            <w:r w:rsidRPr="00FE002E">
              <w:rPr>
                <w:rFonts w:ascii="Times New Roman" w:hAnsi="Times New Roman"/>
                <w:bCs/>
              </w:rPr>
              <w:t>) of the CRR</w:t>
            </w:r>
            <w:r>
              <w:rPr>
                <w:rFonts w:ascii="Times New Roman" w:hAnsi="Times New Roman"/>
                <w:bCs/>
              </w:rPr>
              <w:t>,</w:t>
            </w:r>
            <w:r w:rsidRPr="00FE002E">
              <w:rPr>
                <w:rFonts w:ascii="Times New Roman" w:hAnsi="Times New Roman"/>
                <w:bCs/>
              </w:rPr>
              <w:t xml:space="preserve"> assuming no accounting netting or</w:t>
            </w:r>
            <w:r w:rsidR="00500508">
              <w:rPr>
                <w:rFonts w:ascii="Times New Roman" w:hAnsi="Times New Roman"/>
                <w:bCs/>
              </w:rPr>
              <w:t xml:space="preserve"> </w:t>
            </w:r>
            <w:r w:rsidR="00E91D94">
              <w:rPr>
                <w:rFonts w:ascii="Times New Roman" w:hAnsi="Times New Roman"/>
                <w:bCs/>
              </w:rPr>
              <w:t>other CRM</w:t>
            </w:r>
            <w:r w:rsidRPr="00FE002E">
              <w:rPr>
                <w:rFonts w:ascii="Times New Roman" w:hAnsi="Times New Roman"/>
                <w:bCs/>
              </w:rPr>
              <w:t xml:space="preserve"> effects (i.e. </w:t>
            </w:r>
            <w:r w:rsidR="00E91D94">
              <w:rPr>
                <w:rFonts w:ascii="Times New Roman" w:hAnsi="Times New Roman"/>
                <w:bCs/>
              </w:rPr>
              <w:t>any</w:t>
            </w:r>
            <w:r w:rsidRPr="00FE002E">
              <w:rPr>
                <w:rFonts w:ascii="Times New Roman" w:hAnsi="Times New Roman"/>
                <w:bCs/>
              </w:rPr>
              <w:t xml:space="preserve"> effects of accounting netting or </w:t>
            </w:r>
            <w:r w:rsidR="00E91D94">
              <w:rPr>
                <w:rFonts w:ascii="Times New Roman" w:hAnsi="Times New Roman"/>
                <w:bCs/>
              </w:rPr>
              <w:t>CRM that have affected the accounting value shall be reversed</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{250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E052C6">
              <w:rPr>
                <w:rFonts w:ascii="Times New Roman" w:hAnsi="Times New Roman"/>
                <w:b/>
                <w:bCs/>
              </w:rPr>
              <w:t>I</w:t>
            </w:r>
            <w:r w:rsidR="00AE2798" w:rsidRPr="00721469">
              <w:rPr>
                <w:rFonts w:ascii="Times New Roman" w:hAnsi="Times New Roman"/>
                <w:b/>
                <w:bCs/>
              </w:rPr>
              <w:t>ntragroup exposures (solo basis)</w:t>
            </w:r>
            <w:r w:rsidR="00E61562" w:rsidRPr="00E61562">
              <w:rPr>
                <w:rFonts w:ascii="Times New Roman" w:hAnsi="Times New Roman"/>
                <w:b/>
                <w:bCs/>
              </w:rPr>
              <w:t xml:space="preserve"> </w:t>
            </w:r>
            <w:r w:rsidR="00E052C6">
              <w:rPr>
                <w:rFonts w:ascii="Times New Roman" w:hAnsi="Times New Roman"/>
                <w:b/>
                <w:bCs/>
              </w:rPr>
              <w:t xml:space="preserve">exempted </w:t>
            </w:r>
            <w:r w:rsidR="00D85101">
              <w:rPr>
                <w:rFonts w:ascii="Times New Roman" w:hAnsi="Times New Roman"/>
                <w:b/>
                <w:bCs/>
              </w:rPr>
              <w:t>in accordance with</w:t>
            </w:r>
            <w:r w:rsidR="00E61562" w:rsidRPr="00E61562">
              <w:rPr>
                <w:rFonts w:ascii="Times New Roman" w:hAnsi="Times New Roman"/>
                <w:b/>
                <w:bCs/>
              </w:rPr>
              <w:t xml:space="preserve"> </w:t>
            </w:r>
            <w:r w:rsidR="006D3F98">
              <w:rPr>
                <w:rFonts w:ascii="Times New Roman" w:hAnsi="Times New Roman"/>
                <w:b/>
                <w:bCs/>
              </w:rPr>
              <w:t>Article</w:t>
            </w:r>
            <w:r w:rsidR="00E61562" w:rsidRPr="00E61562">
              <w:rPr>
                <w:rFonts w:ascii="Times New Roman" w:hAnsi="Times New Roman"/>
                <w:b/>
                <w:bCs/>
              </w:rPr>
              <w:t xml:space="preserve"> 429(7)</w:t>
            </w:r>
            <w:r w:rsidR="006D3F98">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429(7)</w:t>
            </w:r>
            <w:r w:rsidR="006D3F98">
              <w:rPr>
                <w:rFonts w:ascii="Times New Roman" w:hAnsi="Times New Roman"/>
                <w:bCs/>
              </w:rPr>
              <w:t xml:space="preserve"> and</w:t>
            </w:r>
            <w:r>
              <w:rPr>
                <w:rFonts w:ascii="Times New Roman" w:hAnsi="Times New Roman"/>
                <w:bCs/>
              </w:rPr>
              <w:t xml:space="preserve"> 113(6)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Exposures that have not been consolidated on the applicable level of consolidation, that can benefit from the treatment laid down in Article 113(6) of the CRR, provided that all the conditions set out in points (a) to (e) of Article 113(6) of the CRR are met and where the competent authorities have given their approval.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bCs/>
              </w:rPr>
              <w:t>{260</w:t>
            </w:r>
            <w:r w:rsidR="00F71081">
              <w:rPr>
                <w:rFonts w:ascii="Times New Roman" w:hAnsi="Times New Roman"/>
                <w:bCs/>
              </w:rPr>
              <w:t>;010}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bCs/>
              </w:rPr>
              <w:t xml:space="preserve">(-) </w:t>
            </w:r>
            <w:r w:rsidR="004A1A27">
              <w:rPr>
                <w:rFonts w:ascii="Times New Roman" w:hAnsi="Times New Roman"/>
                <w:b/>
                <w:bCs/>
              </w:rPr>
              <w:t xml:space="preserve">Exposures exempted </w:t>
            </w:r>
            <w:r w:rsidR="00D85101">
              <w:rPr>
                <w:rFonts w:ascii="Times New Roman" w:hAnsi="Times New Roman"/>
                <w:b/>
                <w:bCs/>
              </w:rPr>
              <w:t>in accordance with</w:t>
            </w:r>
            <w:r w:rsidR="004A1A27">
              <w:rPr>
                <w:rFonts w:ascii="Times New Roman" w:hAnsi="Times New Roman"/>
                <w:b/>
                <w:bCs/>
              </w:rPr>
              <w:t xml:space="preserve"> </w:t>
            </w:r>
            <w:r w:rsidR="003F598C">
              <w:rPr>
                <w:rFonts w:ascii="Times New Roman" w:hAnsi="Times New Roman"/>
                <w:b/>
                <w:bCs/>
              </w:rPr>
              <w:t xml:space="preserve">Article </w:t>
            </w:r>
            <w:r w:rsidR="003418AD">
              <w:rPr>
                <w:rFonts w:ascii="Times New Roman" w:hAnsi="Times New Roman"/>
                <w:b/>
                <w:bCs/>
              </w:rPr>
              <w:t>429(14)</w:t>
            </w:r>
            <w:r w:rsidR="003F598C">
              <w:rPr>
                <w:rFonts w:ascii="Times New Roman" w:hAnsi="Times New Roman"/>
                <w:b/>
                <w:bCs/>
              </w:rPr>
              <w:t xml:space="preserve">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Article 429(</w:t>
            </w:r>
            <w:r w:rsidR="003418AD">
              <w:rPr>
                <w:rFonts w:ascii="Times New Roman" w:hAnsi="Times New Roman"/>
                <w:bCs/>
              </w:rPr>
              <w:t>14</w:t>
            </w:r>
            <w:r>
              <w:rPr>
                <w:rFonts w:ascii="Times New Roman" w:hAnsi="Times New Roman"/>
                <w:bCs/>
              </w:rPr>
              <w:t>)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 xml:space="preserve">Exposures </w:t>
            </w:r>
            <w:r w:rsidR="003418AD">
              <w:rPr>
                <w:rFonts w:ascii="Times New Roman" w:hAnsi="Times New Roman"/>
                <w:bCs/>
              </w:rPr>
              <w:t xml:space="preserve">exempted </w:t>
            </w:r>
            <w:r w:rsidR="00D85101">
              <w:rPr>
                <w:rFonts w:ascii="Times New Roman" w:hAnsi="Times New Roman"/>
                <w:bCs/>
              </w:rPr>
              <w:t>in accordance with</w:t>
            </w:r>
            <w:r w:rsidR="003418AD">
              <w:rPr>
                <w:rFonts w:ascii="Times New Roman" w:hAnsi="Times New Roman"/>
                <w:bCs/>
              </w:rPr>
              <w:t xml:space="preserve"> 429(14) of the CRR subject to the therein stated conditions being met</w:t>
            </w:r>
            <w:r w:rsidR="00AB2BDD">
              <w:rPr>
                <w:rFonts w:ascii="Times New Roman" w:hAnsi="Times New Roman"/>
                <w:bCs/>
              </w:rPr>
              <w:t xml:space="preserve"> and where the competent authorities have given their approval.</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27</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bCs/>
              </w:rPr>
              <w:t>(-) Asset amount deducted</w:t>
            </w:r>
            <w:r w:rsidRPr="00FE002E">
              <w:rPr>
                <w:rFonts w:ascii="Times New Roman" w:hAnsi="Times New Roman"/>
                <w:b/>
                <w:bCs/>
              </w:rPr>
              <w:t xml:space="preserve"> - Tier 1</w:t>
            </w:r>
            <w:r w:rsidR="00CC11CA">
              <w:rPr>
                <w:rFonts w:ascii="Times New Roman" w:hAnsi="Times New Roman"/>
                <w:b/>
                <w:bCs/>
              </w:rPr>
              <w:t xml:space="preserve"> capital</w:t>
            </w:r>
            <w:r w:rsidR="00500508">
              <w:rPr>
                <w:rFonts w:ascii="Times New Roman" w:hAnsi="Times New Roman"/>
                <w:b/>
                <w:bCs/>
              </w:rPr>
              <w:t xml:space="preserve"> </w:t>
            </w:r>
            <w:r w:rsidRPr="00FE002E">
              <w:rPr>
                <w:rFonts w:ascii="Times New Roman" w:hAnsi="Times New Roman"/>
                <w:b/>
                <w:bCs/>
              </w:rPr>
              <w:t>- fully phased-in definition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w:t>
            </w:r>
            <w:r w:rsidR="00F2347A">
              <w:rPr>
                <w:rFonts w:ascii="Times New Roman" w:hAnsi="Times New Roman"/>
                <w:bCs/>
              </w:rPr>
              <w:t>and 499(1)(a</w:t>
            </w:r>
            <w:r w:rsidR="00F2347A" w:rsidRPr="00FE002E">
              <w:rPr>
                <w:rFonts w:ascii="Times New Roman" w:hAnsi="Times New Roman"/>
                <w:bCs/>
              </w:rPr>
              <w:t>)</w:t>
            </w:r>
            <w:r w:rsidR="00F2347A">
              <w:rPr>
                <w:rFonts w:ascii="Times New Roman" w:hAnsi="Times New Roman"/>
                <w:bCs/>
              </w:rPr>
              <w:t xml:space="preserve"> </w:t>
            </w:r>
            <w:r w:rsidRPr="00FE002E">
              <w:rPr>
                <w:rFonts w:ascii="Times New Roman" w:hAnsi="Times New Roman"/>
                <w:bCs/>
              </w:rPr>
              <w:t>of the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target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Pr>
                <w:rFonts w:ascii="Times New Roman" w:hAnsi="Times New Roman"/>
                <w:bCs/>
              </w:rPr>
              <w:t>A</w:t>
            </w:r>
            <w:r w:rsidR="009264ED" w:rsidRPr="00FE002E">
              <w:rPr>
                <w:rFonts w:ascii="Times New Roman" w:hAnsi="Times New Roman"/>
                <w:bCs/>
              </w:rPr>
              <w:t>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or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6D3F98">
              <w:rPr>
                <w:rFonts w:ascii="Times New Roman" w:hAnsi="Times New Roman"/>
                <w:bCs/>
              </w:rPr>
              <w:t>,</w:t>
            </w:r>
          </w:p>
          <w:p w:rsidR="006D3F98" w:rsidRDefault="006D3F98" w:rsidP="002573FC">
            <w:pPr>
              <w:pStyle w:val="BodyText1"/>
              <w:spacing w:line="240" w:lineRule="auto"/>
              <w:rPr>
                <w:rFonts w:ascii="Times New Roman" w:hAnsi="Times New Roman"/>
                <w:bCs/>
              </w:rPr>
            </w:pPr>
            <w:r>
              <w:rPr>
                <w:rFonts w:ascii="Times New Roman" w:hAnsi="Times New Roman"/>
                <w:bCs/>
              </w:rPr>
              <w:t>as applicable.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w:t>
            </w:r>
            <w:r w:rsidRPr="00FE002E">
              <w:rPr>
                <w:rFonts w:ascii="Times New Roman" w:hAnsi="Times New Roman"/>
                <w:bCs/>
              </w:rPr>
              <w:t xml:space="preserve"> into account the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without taking into account the derogation laid down in Chapters 1 and 2 </w:t>
            </w:r>
            <w:r>
              <w:rPr>
                <w:rFonts w:ascii="Times New Roman" w:hAnsi="Times New Roman"/>
                <w:bCs/>
              </w:rPr>
              <w:t xml:space="preserve">of Title I </w:t>
            </w:r>
            <w:r w:rsidRPr="00FE002E">
              <w:rPr>
                <w:rFonts w:ascii="Times New Roman" w:hAnsi="Times New Roman"/>
                <w:bCs/>
              </w:rPr>
              <w:t xml:space="preserve">of Part Ten of the CRR. To avoid double counting, institutions shall not report adjustments already applied pursuant to Article 111 of the CRR when calculating the exposure value in </w:t>
            </w:r>
            <w:r w:rsidR="002573FC">
              <w:rPr>
                <w:rFonts w:ascii="Times New Roman" w:hAnsi="Times New Roman"/>
                <w:bCs/>
              </w:rPr>
              <w:t xml:space="preserve">{010;010} </w:t>
            </w:r>
            <w:r>
              <w:rPr>
                <w:rFonts w:ascii="Times New Roman" w:hAnsi="Times New Roman"/>
                <w:bCs/>
              </w:rPr>
              <w:t>to</w:t>
            </w:r>
            <w:r w:rsidRPr="00FE002E">
              <w:rPr>
                <w:rFonts w:ascii="Times New Roman" w:hAnsi="Times New Roman"/>
                <w:bCs/>
              </w:rPr>
              <w:t xml:space="preserve"> </w:t>
            </w:r>
            <w:r w:rsidR="002573FC">
              <w:rPr>
                <w:rFonts w:ascii="Times New Roman" w:hAnsi="Times New Roman"/>
                <w:bCs/>
              </w:rPr>
              <w:t>{</w:t>
            </w:r>
            <w:r>
              <w:rPr>
                <w:rFonts w:ascii="Times New Roman" w:hAnsi="Times New Roman"/>
                <w:bCs/>
              </w:rPr>
              <w:t>260</w:t>
            </w:r>
            <w:r w:rsidR="002573FC">
              <w:rPr>
                <w:rFonts w:ascii="Times New Roman" w:hAnsi="Times New Roman"/>
                <w:bCs/>
              </w:rPr>
              <w:t>;010}</w:t>
            </w:r>
            <w:r>
              <w:rPr>
                <w:rFonts w:ascii="Times New Roman" w:hAnsi="Times New Roman"/>
                <w:bCs/>
              </w:rPr>
              <w:t>,</w:t>
            </w:r>
            <w:r>
              <w:t xml:space="preserve"> </w:t>
            </w:r>
            <w:r w:rsidRPr="00AC2CA3">
              <w:rPr>
                <w:rFonts w:ascii="Times New Roman" w:hAnsi="Times New Roman"/>
                <w:bCs/>
              </w:rPr>
              <w:t>nor shall they report any adjustment that does not deduct the value of a specific asset.</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 xml:space="preserve">s these </w:t>
            </w:r>
            <w:r w:rsidR="00F2347A">
              <w:rPr>
                <w:rFonts w:ascii="Times New Roman" w:hAnsi="Times New Roman"/>
                <w:bCs/>
              </w:rPr>
              <w:t xml:space="preserve">amounts are already deducted from the capital measure, </w:t>
            </w:r>
            <w:r>
              <w:rPr>
                <w:rFonts w:ascii="Times New Roman" w:hAnsi="Times New Roman"/>
                <w:bCs/>
              </w:rPr>
              <w:t>they</w:t>
            </w:r>
            <w:r w:rsidRPr="00FE002E">
              <w:rPr>
                <w:rFonts w:ascii="Times New Roman" w:hAnsi="Times New Roman"/>
                <w:bCs/>
              </w:rPr>
              <w:t xml:space="preserve"> </w:t>
            </w:r>
            <w:r w:rsidR="00F2347A">
              <w:rPr>
                <w:rFonts w:ascii="Times New Roman" w:hAnsi="Times New Roman"/>
                <w:bCs/>
              </w:rPr>
              <w:t xml:space="preserve">reduce the leverage ratio exposure and </w:t>
            </w:r>
            <w:r>
              <w:rPr>
                <w:rFonts w:ascii="Times New Roman" w:hAnsi="Times New Roman"/>
                <w:bCs/>
              </w:rPr>
              <w:t>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28</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bCs/>
              </w:rPr>
              <w:t>(-) Asset amount deducted</w:t>
            </w:r>
            <w:r w:rsidRPr="00FE002E">
              <w:rPr>
                <w:rFonts w:ascii="Times New Roman" w:hAnsi="Times New Roman"/>
                <w:b/>
                <w:bCs/>
              </w:rPr>
              <w:t xml:space="preserve"> - Tier 1 </w:t>
            </w:r>
            <w:r w:rsidR="00316050">
              <w:rPr>
                <w:rFonts w:ascii="Times New Roman" w:hAnsi="Times New Roman"/>
                <w:b/>
                <w:bCs/>
              </w:rPr>
              <w:t>capital</w:t>
            </w:r>
            <w:r w:rsidRPr="00FE002E">
              <w:rPr>
                <w:rFonts w:ascii="Times New Roman" w:hAnsi="Times New Roman"/>
                <w:b/>
                <w:bCs/>
              </w:rPr>
              <w:t xml:space="preserve"> - transitional 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and 499(1)(b) of the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adjust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316050">
              <w:rPr>
                <w:rFonts w:ascii="Times New Roman" w:hAnsi="Times New Roman"/>
                <w:bCs/>
              </w:rPr>
              <w:t>'</w:t>
            </w:r>
          </w:p>
          <w:p w:rsidR="009264ED" w:rsidRDefault="00316050" w:rsidP="002573FC">
            <w:pPr>
              <w:pStyle w:val="BodyText1"/>
              <w:spacing w:line="240" w:lineRule="auto"/>
              <w:rPr>
                <w:rFonts w:ascii="Times New Roman" w:hAnsi="Times New Roman"/>
                <w:bCs/>
              </w:rPr>
            </w:pPr>
            <w:r>
              <w:rPr>
                <w:rFonts w:ascii="Times New Roman" w:hAnsi="Times New Roman"/>
                <w:bCs/>
              </w:rPr>
              <w:t>as applicable</w:t>
            </w:r>
            <w:r w:rsidR="009264ED">
              <w:rPr>
                <w:rFonts w:ascii="Times New Roman" w:hAnsi="Times New Roman"/>
                <w:bCs/>
              </w:rPr>
              <w: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 into account</w:t>
            </w:r>
            <w:r w:rsidRPr="00FE002E">
              <w:rPr>
                <w:rFonts w:ascii="Times New Roman" w:hAnsi="Times New Roman"/>
                <w:bCs/>
              </w:rPr>
              <w:t xml:space="preserv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in addition to taking into account the derogations laid down in Chapter 1 and 2 </w:t>
            </w:r>
            <w:r>
              <w:rPr>
                <w:rFonts w:ascii="Times New Roman" w:hAnsi="Times New Roman"/>
                <w:bCs/>
              </w:rPr>
              <w:t xml:space="preserve">of Title I </w:t>
            </w:r>
            <w:r w:rsidRPr="00FE002E">
              <w:rPr>
                <w:rFonts w:ascii="Times New Roman" w:hAnsi="Times New Roman"/>
                <w:bCs/>
              </w:rPr>
              <w:t>of Part Ten of the CRR. To avoid double counting, institutions shall not report adjustments already applied pursuant to Article 111 of the CRR when calculating the exposure value in</w:t>
            </w:r>
            <w:r w:rsidR="002573FC">
              <w:rPr>
                <w:rFonts w:ascii="Times New Roman" w:hAnsi="Times New Roman"/>
                <w:bCs/>
              </w:rPr>
              <w:t xml:space="preserve"> {010;010} to {260;010}</w:t>
            </w:r>
            <w:r>
              <w:rPr>
                <w:rFonts w:ascii="Times New Roman" w:hAnsi="Times New Roman"/>
                <w:bCs/>
              </w:rPr>
              <w:t xml:space="preserve">, </w:t>
            </w:r>
            <w:r w:rsidRPr="00AF70A5">
              <w:rPr>
                <w:rFonts w:ascii="Times New Roman" w:hAnsi="Times New Roman"/>
                <w:bCs/>
              </w:rPr>
              <w:t xml:space="preserve">nor shall they report any adjustment that </w:t>
            </w:r>
            <w:r>
              <w:rPr>
                <w:rFonts w:ascii="Times New Roman" w:hAnsi="Times New Roman"/>
                <w:bCs/>
              </w:rPr>
              <w:t>does</w:t>
            </w:r>
            <w:r w:rsidRPr="00AF70A5">
              <w:rPr>
                <w:rFonts w:ascii="Times New Roman" w:hAnsi="Times New Roman"/>
                <w:bCs/>
              </w:rPr>
              <w:t xml:space="preserve"> not </w:t>
            </w:r>
            <w:r>
              <w:rPr>
                <w:rFonts w:ascii="Times New Roman" w:hAnsi="Times New Roman"/>
                <w:bCs/>
              </w:rPr>
              <w:t>deduct the</w:t>
            </w:r>
            <w:r w:rsidRPr="00AF70A5">
              <w:rPr>
                <w:rFonts w:ascii="Times New Roman" w:hAnsi="Times New Roman"/>
                <w:bCs/>
              </w:rPr>
              <w:t xml:space="preserve"> value of a</w:t>
            </w:r>
            <w:r>
              <w:rPr>
                <w:rFonts w:ascii="Times New Roman" w:hAnsi="Times New Roman"/>
                <w:bCs/>
              </w:rPr>
              <w:t xml:space="preserve"> specific</w:t>
            </w:r>
            <w:r w:rsidRPr="00AF70A5">
              <w:rPr>
                <w:rFonts w:ascii="Times New Roman" w:hAnsi="Times New Roman"/>
                <w:bCs/>
              </w:rPr>
              <w:t xml:space="preserve"> asset</w:t>
            </w:r>
            <w:r>
              <w:rPr>
                <w:rFonts w:ascii="Times New Roman" w:hAnsi="Times New Roman"/>
                <w:bCs/>
              </w:rPr>
              <w:t>.</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s these amounts are already deducted from the capital measure, they</w:t>
            </w:r>
            <w:r w:rsidRPr="00FE002E">
              <w:rPr>
                <w:rFonts w:ascii="Times New Roman" w:hAnsi="Times New Roman"/>
                <w:bCs/>
              </w:rPr>
              <w:t xml:space="preserve"> </w:t>
            </w:r>
            <w:r>
              <w:rPr>
                <w:rFonts w:ascii="Times New Roman" w:hAnsi="Times New Roman"/>
                <w:bCs/>
              </w:rPr>
              <w:t>reduce the leverage ratio exposure and 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29</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fully phased-in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w:t>
            </w:r>
            <w:r w:rsidRPr="009264ED">
              <w:rPr>
                <w:rFonts w:ascii="Times New Roman" w:hAnsi="Times New Roman"/>
                <w:bCs/>
              </w:rPr>
              <w:t>{LRCalc;260</w:t>
            </w:r>
            <w:r w:rsidR="00F71081">
              <w:rPr>
                <w:rFonts w:ascii="Times New Roman" w:hAnsi="Times New Roman"/>
                <w:bCs/>
              </w:rPr>
              <w:t>;010}</w:t>
            </w:r>
            <w:r w:rsidRPr="009264ED">
              <w:rPr>
                <w:rFonts w:ascii="Times New Roman" w:hAnsi="Times New Roman"/>
                <w:bCs/>
              </w:rPr>
              <w:t xml:space="preserve"> + {LRCalc;2</w:t>
            </w:r>
            <w:r>
              <w:rPr>
                <w:rFonts w:ascii="Times New Roman" w:hAnsi="Times New Roman"/>
                <w:bCs/>
              </w:rPr>
              <w:t>7</w:t>
            </w:r>
            <w:r w:rsidRPr="009264ED">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30</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transitional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{LRCalc;260</w:t>
            </w:r>
            <w:r w:rsidR="00F71081">
              <w:rPr>
                <w:rFonts w:ascii="Times New Roman" w:hAnsi="Times New Roman"/>
                <w:bCs/>
              </w:rPr>
              <w:t>;010}</w:t>
            </w:r>
            <w:r w:rsidRPr="006A32F5">
              <w:rPr>
                <w:rFonts w:ascii="Times New Roman" w:hAnsi="Times New Roman"/>
                <w:bCs/>
              </w:rPr>
              <w:t xml:space="preserve"> + {LRCalc;</w:t>
            </w:r>
            <w:r>
              <w:rPr>
                <w:rFonts w:ascii="Times New Roman" w:hAnsi="Times New Roman"/>
                <w:bCs/>
              </w:rPr>
              <w:t>28</w:t>
            </w:r>
            <w:r w:rsidRPr="006A32F5">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31</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without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32</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after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sidRPr="00FE002E">
              <w:rPr>
                <w:rFonts w:ascii="Times New Roman" w:hAnsi="Times New Roman"/>
                <w:bCs/>
              </w:rPr>
              <w:t>{</w:t>
            </w:r>
            <w:r>
              <w:rPr>
                <w:rFonts w:ascii="Times New Roman" w:hAnsi="Times New Roman"/>
                <w:bCs/>
              </w:rPr>
              <w:t>33</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C558B4">
              <w:rPr>
                <w:rFonts w:ascii="Times New Roman" w:hAnsi="Times New Roman"/>
                <w:bCs/>
              </w:rPr>
              <w:t xml:space="preserve">paragraph </w:t>
            </w:r>
            <w:r w:rsidR="003B3015">
              <w:rPr>
                <w:rFonts w:ascii="Times New Roman" w:hAnsi="Times New Roman"/>
                <w:bCs/>
              </w:rPr>
              <w:t>4</w:t>
            </w:r>
            <w:r w:rsidR="003B3015" w:rsidRPr="00C558B4">
              <w:rPr>
                <w:rFonts w:ascii="Times New Roman" w:hAnsi="Times New Roman"/>
                <w:bCs/>
              </w:rPr>
              <w:t xml:space="preserve"> </w:t>
            </w:r>
            <w:r w:rsidRPr="00C558B4">
              <w:rPr>
                <w:rFonts w:ascii="Times New Roman" w:hAnsi="Times New Roman"/>
                <w:bCs/>
              </w:rPr>
              <w:t>of Part II of this Annex</w:t>
            </w:r>
            <w:r w:rsidRPr="00FE002E">
              <w:rPr>
                <w:rFonts w:ascii="Times New Roman" w:hAnsi="Times New Roman"/>
                <w:bCs/>
              </w:rPr>
              <w:t xml:space="preserv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34</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paragraph </w:t>
            </w:r>
            <w:r w:rsidR="003B3015">
              <w:rPr>
                <w:rFonts w:ascii="Times New Roman" w:hAnsi="Times New Roman"/>
              </w:rPr>
              <w:t>5</w:t>
            </w:r>
            <w:r w:rsidR="003B3015" w:rsidRPr="00C558B4">
              <w:rPr>
                <w:rFonts w:ascii="Times New Roman" w:hAnsi="Times New Roman"/>
              </w:rPr>
              <w:t xml:space="preserve"> </w:t>
            </w:r>
            <w:r w:rsidRPr="00C558B4">
              <w:rPr>
                <w:rFonts w:ascii="Times New Roman" w:hAnsi="Times New Roman"/>
              </w:rPr>
              <w:t>of Part II of this Annex</w:t>
            </w:r>
            <w:r w:rsidRPr="00FE002E">
              <w:rPr>
                <w:rFonts w:ascii="Times New Roman" w:hAnsi="Times New Roman"/>
              </w:rPr>
              <w:t>.</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48" w:name="_Toc351048507"/>
      <w:bookmarkStart w:id="49" w:name="_Toc359414286"/>
      <w:bookmarkStart w:id="50" w:name="_Toc423089071"/>
      <w:r w:rsidRPr="00FE002E">
        <w:rPr>
          <w:rFonts w:ascii="Times New Roman" w:hAnsi="Times New Roman"/>
          <w:b/>
        </w:rPr>
        <w:t>5.</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44"/>
      <w:bookmarkEnd w:id="48"/>
      <w:bookmarkEnd w:id="49"/>
      <w:r w:rsidR="00481854">
        <w:rPr>
          <w:rFonts w:ascii="Times New Roman" w:hAnsi="Times New Roman"/>
          <w:b/>
        </w:rPr>
        <w:t xml:space="preserve"> (LR1)</w:t>
      </w:r>
      <w:bookmarkEnd w:id="50"/>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21.</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r w:rsidR="006C0C0A" w:rsidRPr="00FE002E">
        <w:rPr>
          <w:rFonts w:ascii="Times New Roman" w:hAnsi="Times New Roman"/>
        </w:rPr>
        <w:t xml:space="preserve"> </w:t>
      </w:r>
      <w:r w:rsidR="00F4754B"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t>22.</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E052C6">
        <w:rPr>
          <w:rFonts w:ascii="Times New Roman" w:hAnsi="Times New Roman"/>
        </w:rPr>
        <w:t>(1)</w:t>
      </w:r>
      <w:r w:rsidR="0077565E" w:rsidRPr="00FE002E">
        <w:rPr>
          <w:rFonts w:ascii="Times New Roman" w:hAnsi="Times New Roman"/>
        </w:rPr>
        <w:t>(</w:t>
      </w:r>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23.</w:t>
      </w:r>
      <w:r w:rsidRPr="00FE002E">
        <w:rPr>
          <w:rFonts w:ascii="Times New Roman" w:hAnsi="Times New Roman"/>
        </w:rPr>
        <w:tab/>
      </w:r>
      <w:r w:rsidR="007625FE">
        <w:rPr>
          <w:rFonts w:ascii="Times New Roman" w:hAnsi="Times New Roman"/>
        </w:rPr>
        <w:t xml:space="preserve">Apart from </w:t>
      </w:r>
      <w:r w:rsidR="007625FE" w:rsidRPr="007625FE">
        <w:rPr>
          <w:rFonts w:ascii="Times New Roman" w:hAnsi="Times New Roman"/>
        </w:rPr>
        <w:t>{2</w:t>
      </w:r>
      <w:r w:rsidR="007625FE">
        <w:rPr>
          <w:rFonts w:ascii="Times New Roman" w:hAnsi="Times New Roman"/>
        </w:rPr>
        <w:t>5</w:t>
      </w:r>
      <w:r w:rsidR="007625FE" w:rsidRPr="007625FE">
        <w:rPr>
          <w:rFonts w:ascii="Times New Roman" w:hAnsi="Times New Roman"/>
        </w:rPr>
        <w:t>0;120}</w:t>
      </w:r>
      <w:r w:rsidR="007625FE">
        <w:rPr>
          <w:rFonts w:ascii="Times New Roman" w:hAnsi="Times New Roman"/>
        </w:rPr>
        <w:t xml:space="preserve"> </w:t>
      </w:r>
      <w:r w:rsidR="00E052C6">
        <w:rPr>
          <w:rFonts w:ascii="Times New Roman" w:hAnsi="Times New Roman"/>
        </w:rPr>
        <w:t xml:space="preserve">and </w:t>
      </w:r>
      <w:r w:rsidR="007625FE" w:rsidRPr="007625FE">
        <w:rPr>
          <w:rFonts w:ascii="Times New Roman" w:hAnsi="Times New Roman"/>
        </w:rPr>
        <w:t>{260;120}</w:t>
      </w:r>
      <w:r w:rsidR="007625FE">
        <w:rPr>
          <w:rFonts w:ascii="Times New Roman" w:hAnsi="Times New Roman"/>
        </w:rPr>
        <w:t>, i</w:t>
      </w:r>
      <w:r w:rsidR="005556DC">
        <w:rPr>
          <w:rFonts w:ascii="Times New Roman" w:hAnsi="Times New Roman"/>
        </w:rPr>
        <w:t>nstitutions shall report</w:t>
      </w:r>
      <w:r w:rsidR="005556DC" w:rsidRPr="00F36D5B">
        <w:rPr>
          <w:rFonts w:ascii="Times New Roman" w:hAnsi="Times New Roman"/>
        </w:rPr>
        <w:t xml:space="preserve"> </w:t>
      </w:r>
      <w:r w:rsidR="005556DC">
        <w:rPr>
          <w:rFonts w:ascii="Times New Roman" w:hAnsi="Times New Roman"/>
        </w:rPr>
        <w:t>LR1</w:t>
      </w:r>
      <w:r w:rsidR="005556DC" w:rsidRPr="00F36D5B">
        <w:rPr>
          <w:rFonts w:ascii="Times New Roman" w:hAnsi="Times New Roman"/>
        </w:rPr>
        <w:t xml:space="preserve"> as if </w:t>
      </w:r>
      <w:r w:rsidR="005556DC">
        <w:rPr>
          <w:rFonts w:ascii="Times New Roman" w:hAnsi="Times New Roman"/>
        </w:rPr>
        <w:t>the</w:t>
      </w:r>
      <w:r w:rsidR="005556DC" w:rsidRPr="00F36D5B">
        <w:rPr>
          <w:rFonts w:ascii="Times New Roman" w:hAnsi="Times New Roman"/>
        </w:rPr>
        <w:t xml:space="preserve"> exemption</w:t>
      </w:r>
      <w:r w:rsidR="00E34F87">
        <w:rPr>
          <w:rFonts w:ascii="Times New Roman" w:hAnsi="Times New Roman"/>
        </w:rPr>
        <w:t>s referred to in L</w:t>
      </w:r>
      <w:r w:rsidR="005556DC">
        <w:rPr>
          <w:rFonts w:ascii="Times New Roman" w:hAnsi="Times New Roman"/>
        </w:rPr>
        <w:t>RCalc cells {05</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w:t>
      </w:r>
      <w:r w:rsidR="005556DC">
        <w:rPr>
          <w:rFonts w:ascii="Times New Roman" w:hAnsi="Times New Roman"/>
        </w:rPr>
        <w:t>08</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{1</w:t>
      </w:r>
      <w:r w:rsidR="005556DC">
        <w:rPr>
          <w:rFonts w:ascii="Times New Roman" w:hAnsi="Times New Roman"/>
        </w:rPr>
        <w:t>0</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{12</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B95087">
        <w:rPr>
          <w:rFonts w:ascii="Times New Roman" w:hAnsi="Times New Roman"/>
        </w:rPr>
        <w:t>{2</w:t>
      </w:r>
      <w:r w:rsidR="005556DC">
        <w:rPr>
          <w:rFonts w:ascii="Times New Roman" w:hAnsi="Times New Roman"/>
        </w:rPr>
        <w:t>2</w:t>
      </w:r>
      <w:r w:rsidR="005556DC" w:rsidRPr="00B95087">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5556DC">
        <w:rPr>
          <w:rFonts w:ascii="Times New Roman" w:hAnsi="Times New Roman"/>
        </w:rPr>
        <w:t>{250</w:t>
      </w:r>
      <w:r w:rsidR="00F71081">
        <w:rPr>
          <w:rFonts w:ascii="Times New Roman" w:hAnsi="Times New Roman"/>
        </w:rPr>
        <w:t>;010}</w:t>
      </w:r>
      <w:r w:rsidR="005556DC" w:rsidRPr="005556DC">
        <w:rPr>
          <w:rFonts w:ascii="Times New Roman" w:hAnsi="Times New Roman"/>
        </w:rPr>
        <w:t xml:space="preserve"> and {260</w:t>
      </w:r>
      <w:r w:rsidR="00F71081">
        <w:rPr>
          <w:rFonts w:ascii="Times New Roman" w:hAnsi="Times New Roman"/>
        </w:rPr>
        <w:t>;010}</w:t>
      </w:r>
      <w:r w:rsidR="005556DC">
        <w:rPr>
          <w:rFonts w:ascii="Times New Roman" w:hAnsi="Times New Roman"/>
        </w:rPr>
        <w:t xml:space="preserve"> </w:t>
      </w:r>
      <w:r w:rsidR="00E052C6">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{060;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w:t>
            </w:r>
            <w:r w:rsidRPr="00FE002E">
              <w:rPr>
                <w:rFonts w:ascii="Times New Roman" w:hAnsi="Times New Roman"/>
                <w:b/>
                <w:bCs/>
              </w:rPr>
              <w:t xml:space="preserve">ethod </w:t>
            </w:r>
            <w:r w:rsidR="003F598C">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method (a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{030;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{030;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{020; </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{030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1005A7">
              <w:rPr>
                <w:rFonts w:ascii="Times New Roman" w:hAnsi="Times New Roman"/>
                <w:b/>
                <w:bCs/>
              </w:rPr>
              <w:t xml:space="preserve">a </w:t>
            </w:r>
            <w:r w:rsidRPr="00FE002E">
              <w:rPr>
                <w:rFonts w:ascii="Times New Roman" w:hAnsi="Times New Roman"/>
                <w:b/>
                <w:bCs/>
              </w:rPr>
              <w:t xml:space="preserve">close-out clause – Add-on </w:t>
            </w:r>
            <w:r w:rsidR="003F598C">
              <w:rPr>
                <w:rFonts w:ascii="Times New Roman" w:hAnsi="Times New Roman"/>
                <w:b/>
                <w:bCs/>
              </w:rPr>
              <w:t>under the mark-to-market m</w:t>
            </w:r>
            <w:r w:rsidRPr="00FE002E">
              <w:rPr>
                <w:rFonts w:ascii="Times New Roman" w:hAnsi="Times New Roman"/>
                <w:b/>
                <w:bCs/>
              </w:rPr>
              <w:t xml:space="preserve">ethod </w:t>
            </w:r>
            <w:r w:rsidR="00406605">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406605">
              <w:rPr>
                <w:rFonts w:ascii="Times New Roman" w:hAnsi="Times New Roman"/>
                <w:b/>
                <w:bCs/>
              </w:rPr>
              <w: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 assuming no netting or </w:t>
            </w:r>
            <w:r w:rsidR="00994DCE">
              <w:rPr>
                <w:rFonts w:ascii="Times New Roman" w:hAnsi="Times New Roman"/>
              </w:rPr>
              <w:t>other CRM</w:t>
            </w:r>
            <w:r w:rsidRPr="00FE002E">
              <w:rPr>
                <w:rFonts w:ascii="Times New Roman" w:hAnsi="Times New Roman"/>
                <w:bCs/>
              </w:rPr>
              <w:t xml:space="preserve">. Institutions shall not include in this </w:t>
            </w:r>
            <w:r w:rsidR="00E8206D">
              <w:rPr>
                <w:rFonts w:ascii="Times New Roman" w:hAnsi="Times New Roman"/>
                <w:bCs/>
              </w:rPr>
              <w:t>cell</w:t>
            </w:r>
            <w:r w:rsidRPr="00FE002E">
              <w:rPr>
                <w:rFonts w:ascii="Times New Roman" w:hAnsi="Times New Roman"/>
                <w:bCs/>
              </w:rPr>
              <w:t xml:space="preserve"> the add-on for credit derivatives where the institution is selling credit protection to a counterparty not subject to a close-out clause. Institutions shall instead include this in </w:t>
            </w:r>
            <w:r w:rsidRPr="00FE002E">
              <w:rPr>
                <w:rFonts w:ascii="Times New Roman" w:hAnsi="Times New Roman"/>
              </w:rPr>
              <w:t>{LR1;040;</w:t>
            </w:r>
            <w:r w:rsidR="002E3FD6">
              <w:rPr>
                <w:rFonts w:ascii="Times New Roman" w:hAnsi="Times New Roman"/>
              </w:rPr>
              <w:t>0</w:t>
            </w:r>
            <w:r w:rsidR="00F70A83">
              <w:rPr>
                <w:rFonts w:ascii="Times New Roman" w:hAnsi="Times New Roman"/>
              </w:rPr>
              <w:t>5</w:t>
            </w:r>
            <w:r w:rsidR="002E3FD6">
              <w:rPr>
                <w:rFonts w:ascii="Times New Roman" w:hAnsi="Times New Roman"/>
              </w:rPr>
              <w:t>0</w:t>
            </w:r>
            <w:r w:rsidRPr="00FE002E">
              <w:rPr>
                <w:rFonts w:ascii="Times New Roman" w:hAnsi="Times New Roman"/>
              </w:rPr>
              <w:t>}</w:t>
            </w:r>
            <w:r w:rsidRPr="00FE002E">
              <w:rPr>
                <w:rFonts w:ascii="Times New Roman" w:hAnsi="Times New Roman"/>
                <w:bCs/>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{030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406605">
              <w:rPr>
                <w:rFonts w:ascii="Times New Roman" w:hAnsi="Times New Roman"/>
                <w:b/>
                <w:bCs/>
              </w:rPr>
              <w:t xml:space="preserve">a </w:t>
            </w:r>
            <w:r w:rsidRPr="00FE002E">
              <w:rPr>
                <w:rFonts w:ascii="Times New Roman" w:hAnsi="Times New Roman"/>
                <w:b/>
                <w:bCs/>
              </w:rPr>
              <w:t xml:space="preserve">close-out clause </w:t>
            </w:r>
            <w:r w:rsidR="0007729E" w:rsidRPr="00FE002E">
              <w:rPr>
                <w:rFonts w:ascii="Times New Roman" w:hAnsi="Times New Roman"/>
                <w:b/>
                <w:bCs/>
              </w:rPr>
              <w:t>–</w:t>
            </w:r>
            <w:r w:rsidRPr="00FE002E">
              <w:rPr>
                <w:rFonts w:ascii="Times New Roman" w:hAnsi="Times New Roman"/>
                <w:b/>
                <w:bCs/>
              </w:rPr>
              <w:t xml:space="preserve"> </w:t>
            </w:r>
            <w:r w:rsidR="0007729E">
              <w:rPr>
                <w:rFonts w:ascii="Times New Roman" w:hAnsi="Times New Roman"/>
                <w:b/>
                <w:bCs/>
              </w:rPr>
              <w:t>N</w:t>
            </w:r>
            <w:r w:rsidRPr="00FE002E">
              <w:rPr>
                <w:rFonts w:ascii="Times New Roman" w:hAnsi="Times New Roman"/>
                <w:b/>
                <w:bCs/>
              </w:rPr>
              <w:t>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w:t>
            </w: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EC2827">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EC2827">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 assuming no netting or </w:t>
            </w:r>
            <w:r w:rsidR="00994DCE">
              <w:rPr>
                <w:rFonts w:ascii="Times New Roman" w:hAnsi="Times New Roman"/>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lang w:val="en-U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{050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 Add-on </w:t>
            </w:r>
            <w:r w:rsidR="003F598C">
              <w:rPr>
                <w:rFonts w:ascii="Times New Roman" w:hAnsi="Times New Roman"/>
                <w:b/>
                <w:bCs/>
              </w:rPr>
              <w:t>under the mark-to-market m</w:t>
            </w:r>
            <w:r w:rsidRPr="00FE002E">
              <w:rPr>
                <w:rFonts w:ascii="Times New Roman" w:hAnsi="Times New Roman"/>
                <w:b/>
                <w:bCs/>
              </w:rPr>
              <w:t xml:space="preserve">ethod </w:t>
            </w:r>
            <w:r w:rsidR="003F598C">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potential future exposure of credit derivatives where the institution is buying credit protection from a counterparty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{050;</w:t>
            </w:r>
            <w:r w:rsidR="00CC11CA">
              <w:rPr>
                <w:rFonts w:ascii="Times New Roman" w:hAnsi="Times New Roman"/>
                <w:bCs/>
              </w:rPr>
              <w:t>0</w:t>
            </w:r>
            <w:r>
              <w:rPr>
                <w:rFonts w:ascii="Times New Roman" w:hAnsi="Times New Roman"/>
                <w:bCs/>
              </w:rPr>
              <w:t>5</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85</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{020;</w:t>
            </w:r>
            <w:r w:rsidR="002E3FD6">
              <w:rPr>
                <w:rFonts w:ascii="Times New Roman" w:hAnsi="Times New Roman"/>
              </w:rPr>
              <w:t>0</w:t>
            </w:r>
            <w:r w:rsidR="00F70A83">
              <w:rPr>
                <w:rFonts w:ascii="Times New Roman" w:hAnsi="Times New Roman"/>
              </w:rPr>
              <w:t>75</w:t>
            </w:r>
            <w:r w:rsidRPr="00FE002E">
              <w:rPr>
                <w:rFonts w:ascii="Times New Roman" w:hAnsi="Times New Roman"/>
              </w:rPr>
              <w:t>} and {050;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{060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CRR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 xml:space="preserve">erivatives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605108">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605108">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274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4</w:t>
            </w:r>
            <w:r w:rsidR="00A36A43">
              <w:rPr>
                <w:rFonts w:ascii="Times New Roman" w:hAnsi="Times New Roman"/>
                <w:bCs/>
              </w:rPr>
              <w:t>(1)</w:t>
            </w:r>
            <w:r w:rsidRPr="00FE002E">
              <w:rPr>
                <w:rFonts w:ascii="Times New Roman" w:hAnsi="Times New Roman"/>
                <w:bCs/>
              </w:rPr>
              <w:t>(77)</w:t>
            </w:r>
            <w:r w:rsidRPr="00FE002E">
              <w:rPr>
                <w:rFonts w:ascii="Times New Roman" w:hAnsi="Times New Roman"/>
                <w:b/>
                <w:bCs/>
              </w:rPr>
              <w:t xml:space="preserve"> </w:t>
            </w:r>
            <w:r w:rsidRPr="00FE002E">
              <w:rPr>
                <w:rFonts w:ascii="Times New Roman" w:hAnsi="Times New Roman"/>
                <w:bCs/>
              </w:rPr>
              <w:t xml:space="preserve">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w:t>
            </w:r>
            <w:r w:rsidR="00A36A43">
              <w:rPr>
                <w:rFonts w:ascii="Times New Roman" w:hAnsi="Times New Roman"/>
                <w:bCs/>
              </w:rPr>
              <w:t>SFTs</w:t>
            </w:r>
            <w:r w:rsidRPr="00FE002E">
              <w:rPr>
                <w:rFonts w:ascii="Times New Roman" w:hAnsi="Times New Roman"/>
                <w:bCs/>
              </w:rPr>
              <w:t xml:space="preserve"> under the applicable accounting framework that are covered by a master netting agreement eligible under Article 206</w:t>
            </w:r>
            <w:r w:rsidR="001005A7">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Articles 4(77) 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A36A43">
              <w:rPr>
                <w:rFonts w:ascii="Times New Roman" w:hAnsi="Times New Roman"/>
                <w:bCs/>
              </w:rPr>
              <w:t xml:space="preserve">SFTs </w:t>
            </w:r>
            <w:r w:rsidRPr="00FE002E">
              <w:rPr>
                <w:rFonts w:ascii="Times New Roman" w:hAnsi="Times New Roman"/>
                <w:bCs/>
              </w:rPr>
              <w:t xml:space="preserve">that are covered by a master netting agreement eligible under Article 206 </w:t>
            </w:r>
            <w:r w:rsidR="001005A7">
              <w:rPr>
                <w:rFonts w:ascii="Times New Roman" w:hAnsi="Times New Roman"/>
                <w:bCs/>
              </w:rPr>
              <w:t xml:space="preserve">of the CRR </w:t>
            </w:r>
            <w:r w:rsidRPr="00FE002E">
              <w:rPr>
                <w:rFonts w:ascii="Times New Roman" w:hAnsi="Times New Roman"/>
                <w:bCs/>
              </w:rPr>
              <w:t xml:space="preserve">where the contracts are recognised as an asset on the balance sheet assuming no prudential or accounting netting or </w:t>
            </w:r>
            <w:r w:rsidR="00A36A43">
              <w:rPr>
                <w:rFonts w:ascii="Times New Roman" w:hAnsi="Times New Roman"/>
                <w:bCs/>
              </w:rPr>
              <w:t xml:space="preserve">other CRM </w:t>
            </w:r>
            <w:r w:rsidRPr="00FE002E">
              <w:rPr>
                <w:rFonts w:ascii="Times New Roman" w:hAnsi="Times New Roman"/>
                <w:bCs/>
              </w:rPr>
              <w:t xml:space="preserve">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 xml:space="preserve">CRM that have affected </w:t>
            </w:r>
            <w:r w:rsidR="00A36A43">
              <w:rPr>
                <w:rFonts w:ascii="Times New Roman" w:hAnsi="Times New Roman"/>
                <w:bCs/>
              </w:rPr>
              <w:lastRenderedPageBreak/>
              <w:t>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A36A43">
              <w:rPr>
                <w:rFonts w:ascii="Times New Roman" w:hAnsi="Times New Roman"/>
              </w:rPr>
              <w:t>n SFT</w:t>
            </w:r>
            <w:r w:rsidR="00865326" w:rsidRPr="00FE002E">
              <w:rPr>
                <w:rFonts w:ascii="Times New Roman" w:hAnsi="Times New Roman"/>
              </w:rPr>
              <w:t xml:space="preserve"> </w:t>
            </w:r>
            <w:r w:rsidRPr="00FE002E">
              <w:rPr>
                <w:rFonts w:ascii="Times New Roman" w:hAnsi="Times New Roman"/>
              </w:rPr>
              <w:t>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{070;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w:t>
            </w:r>
            <w:r w:rsidR="00605108">
              <w:rPr>
                <w:rFonts w:ascii="Times New Roman" w:hAnsi="Times New Roman"/>
                <w:b/>
                <w:bCs/>
              </w:rPr>
              <w:t xml:space="preserve"> –</w:t>
            </w:r>
            <w:r w:rsidRPr="00FE002E">
              <w:rPr>
                <w:rFonts w:ascii="Times New Roman" w:hAnsi="Times New Roman"/>
                <w:b/>
                <w:bCs/>
              </w:rPr>
              <w:t xml:space="preserve"> Add-on</w:t>
            </w:r>
            <w:r w:rsidR="002E3FD6">
              <w:rPr>
                <w:rFonts w:ascii="Times New Roman" w:hAnsi="Times New Roman"/>
                <w:b/>
                <w:bCs/>
              </w:rPr>
              <w:t xml:space="preserve"> </w:t>
            </w:r>
            <w:r w:rsidR="001005A7">
              <w:rPr>
                <w:rFonts w:ascii="Times New Roman" w:hAnsi="Times New Roman"/>
                <w:b/>
                <w:bCs/>
              </w:rPr>
              <w:t xml:space="preserve">for </w:t>
            </w:r>
            <w:r w:rsidRPr="00FE002E">
              <w:rPr>
                <w:rFonts w:ascii="Times New Roman" w:hAnsi="Times New Roman"/>
                <w:b/>
                <w:bCs/>
              </w:rPr>
              <w:t>SFT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For </w:t>
            </w:r>
            <w:r w:rsidR="00A36A43">
              <w:rPr>
                <w:rFonts w:ascii="Times New Roman" w:hAnsi="Times New Roman"/>
                <w:bCs/>
              </w:rPr>
              <w:t>SFTs,</w:t>
            </w:r>
            <w:r w:rsidRPr="00FE002E">
              <w:rPr>
                <w:rFonts w:ascii="Times New Roman" w:hAnsi="Times New Roman"/>
                <w:bCs/>
              </w:rPr>
              <w:t xml:space="preserve"> including those that are off-balance sheet, that are covered by a netting agreement that meets the requirements in </w:t>
            </w:r>
            <w:r w:rsidR="001005A7">
              <w:rPr>
                <w:rFonts w:ascii="Times New Roman" w:hAnsi="Times New Roman"/>
                <w:bCs/>
              </w:rPr>
              <w:t>Article 206 of the CRR</w:t>
            </w:r>
            <w:r w:rsidRPr="00FE002E">
              <w:rPr>
                <w:rFonts w:ascii="Times New Roman" w:hAnsi="Times New Roman"/>
                <w:bCs/>
              </w:rPr>
              <w:t>, institutions shall form netting sets. For each netting set, institutions shall calculate the add-on for current counterparty exposure (CCE) in accordance with the formula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 = each transaction included in the netting set</w:t>
            </w:r>
            <w:r w:rsidR="00CF66B5">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Pr="00FE002E">
              <w:rPr>
                <w:rFonts w:ascii="Times New Roman" w:hAnsi="Times New Roman"/>
                <w:bCs/>
                <w:vertAlign w:val="subscript"/>
              </w:rPr>
              <w:t>i</w:t>
            </w:r>
            <w:r w:rsidRPr="00FE002E">
              <w:rPr>
                <w:rFonts w:ascii="Times New Roman" w:hAnsi="Times New Roman"/>
                <w:bCs/>
              </w:rPr>
              <w:t xml:space="preserve"> = for transaction i,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w:t>
            </w:r>
            <w:r w:rsidRPr="00FE002E">
              <w:rPr>
                <w:rFonts w:ascii="Times New Roman" w:hAnsi="Times New Roman"/>
                <w:bCs/>
                <w:vertAlign w:val="subscript"/>
              </w:rPr>
              <w:t>i</w:t>
            </w:r>
            <w:r w:rsidRPr="00FE002E">
              <w:rPr>
                <w:rFonts w:ascii="Times New Roman" w:hAnsi="Times New Roman"/>
                <w:bCs/>
              </w:rPr>
              <w:t xml:space="preserve"> = for transaction i,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SFTs</w:t>
            </w:r>
            <w:r w:rsidR="00410E47" w:rsidRPr="00FE002E">
              <w:rPr>
                <w:rFonts w:ascii="Times New Roman" w:hAnsi="Times New Roman"/>
                <w:b/>
                <w:bCs/>
              </w:rPr>
              <w:t xml:space="preserve">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CF66B5">
              <w:rPr>
                <w:rFonts w:ascii="Times New Roman" w:hAnsi="Times New Roman"/>
              </w:rPr>
              <w:t>n SFT</w:t>
            </w:r>
            <w:r w:rsidRPr="00FE002E">
              <w:rPr>
                <w:rFonts w:ascii="Times New Roman" w:hAnsi="Times New Roman"/>
              </w:rPr>
              <w:t xml:space="preserve"> 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2</w:t>
            </w:r>
            <w:r w:rsidR="00BB4B8A">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{080;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Add-on</w:t>
            </w:r>
            <w:r w:rsidR="002E3FD6">
              <w:rPr>
                <w:rFonts w:ascii="Times New Roman" w:hAnsi="Times New Roman"/>
                <w:b/>
                <w:bCs/>
              </w:rPr>
              <w:t xml:space="preserve"> </w:t>
            </w:r>
            <w:r w:rsidR="001B2D84">
              <w:rPr>
                <w:rFonts w:ascii="Times New Roman" w:hAnsi="Times New Roman"/>
                <w:b/>
                <w:bCs/>
              </w:rPr>
              <w:t>for</w:t>
            </w:r>
            <w:r w:rsidR="00410E47" w:rsidRPr="00FE002E">
              <w:rPr>
                <w:rFonts w:ascii="Times New Roman" w:hAnsi="Times New Roman"/>
                <w:b/>
                <w:bCs/>
              </w:rPr>
              <w:t xml:space="preserve">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lang w:eastAsia="fr-BE"/>
              </w:rPr>
            </w:pPr>
            <w:r w:rsidRPr="00FE002E">
              <w:rPr>
                <w:rFonts w:ascii="Times New Roman" w:hAnsi="Times New Roman"/>
                <w:bCs/>
              </w:rPr>
              <w:t xml:space="preserve">For </w:t>
            </w:r>
            <w:r w:rsidR="00CF66B5">
              <w:rPr>
                <w:rFonts w:ascii="Times New Roman" w:hAnsi="Times New Roman"/>
                <w:bCs/>
              </w:rPr>
              <w:t>SFTs,</w:t>
            </w:r>
            <w:r w:rsidRPr="00FE002E">
              <w:rPr>
                <w:rFonts w:ascii="Times New Roman" w:hAnsi="Times New Roman"/>
                <w:bCs/>
              </w:rPr>
              <w:t xml:space="preserve"> including those that are off-balance sheet</w:t>
            </w:r>
            <w:r w:rsidR="00CF66B5">
              <w:rPr>
                <w:rFonts w:ascii="Times New Roman" w:hAnsi="Times New Roman"/>
                <w:bCs/>
              </w:rPr>
              <w:t>,</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institutions shall form sets that consist of all assets included in a transaction (i</w:t>
            </w:r>
            <w:r w:rsidR="00CF66B5">
              <w:rPr>
                <w:rFonts w:ascii="Times New Roman" w:hAnsi="Times New Roman"/>
                <w:bCs/>
              </w:rPr>
              <w:t>.</w:t>
            </w:r>
            <w:r w:rsidRPr="00FE002E">
              <w:rPr>
                <w:rFonts w:ascii="Times New Roman" w:hAnsi="Times New Roman"/>
                <w:bCs/>
              </w:rPr>
              <w:t>e</w:t>
            </w:r>
            <w:r w:rsidR="00CF66B5">
              <w:rPr>
                <w:rFonts w:ascii="Times New Roman" w:hAnsi="Times New Roman"/>
                <w:bCs/>
              </w:rPr>
              <w:t>.</w:t>
            </w:r>
            <w:r w:rsidRPr="00FE002E">
              <w:rPr>
                <w:rFonts w:ascii="Times New Roman" w:hAnsi="Times New Roman"/>
                <w:bCs/>
              </w:rPr>
              <w:t xml:space="preserve"> each </w:t>
            </w:r>
            <w:r w:rsidR="00CF66B5">
              <w:rPr>
                <w:rFonts w:ascii="Times New Roman" w:hAnsi="Times New Roman"/>
                <w:bCs/>
              </w:rPr>
              <w:t>SFT</w:t>
            </w:r>
            <w:r w:rsidRPr="00FE002E">
              <w:rPr>
                <w:rFonts w:ascii="Times New Roman" w:hAnsi="Times New Roman"/>
                <w:bCs/>
              </w:rPr>
              <w:t xml:space="preserve"> is treated as its own set), and shall determine for each set the add-on for current counterparty exposure (CCE) </w:t>
            </w:r>
            <w:r w:rsidR="00D85101">
              <w:rPr>
                <w:rFonts w:ascii="Times New Roman" w:hAnsi="Times New Roman"/>
                <w:bCs/>
              </w:rPr>
              <w:t>in accordance with</w:t>
            </w:r>
            <w:r w:rsidRPr="00FE002E">
              <w:rPr>
                <w:rFonts w:ascii="Times New Roman" w:hAnsi="Times New Roman"/>
                <w:bCs/>
              </w:rPr>
              <w:t xml:space="preserve"> the formula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00500508">
              <w:rPr>
                <w:rFonts w:ascii="Times New Roman" w:hAnsi="Times New Roman"/>
                <w:bCs/>
              </w:rPr>
              <w:t xml:space="preserve"> </w:t>
            </w:r>
            <w:r w:rsidRPr="00FE002E">
              <w:rPr>
                <w:rFonts w:ascii="Times New Roman" w:hAnsi="Times New Roman"/>
                <w:bCs/>
              </w:rPr>
              <w:t>= ,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 = ,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{100;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Low risk off-balance sheet items </w:t>
            </w:r>
            <w:r w:rsidR="009865E6">
              <w:rPr>
                <w:rFonts w:ascii="Times New Roman" w:hAnsi="Times New Roman"/>
                <w:b/>
                <w:bCs/>
              </w:rPr>
              <w:t>in</w:t>
            </w:r>
            <w:r w:rsidR="009865E6" w:rsidRPr="00FE002E">
              <w:rPr>
                <w:rFonts w:ascii="Times New Roman" w:hAnsi="Times New Roman"/>
                <w:b/>
                <w:bCs/>
              </w:rPr>
              <w:t xml:space="preserve"> </w:t>
            </w:r>
            <w:r w:rsidRPr="00FE002E">
              <w:rPr>
                <w:rFonts w:ascii="Times New Roman" w:hAnsi="Times New Roman"/>
                <w:b/>
                <w:bCs/>
              </w:rPr>
              <w:t>the RSA; of which</w:t>
            </w:r>
            <w:r w:rsidR="00605108">
              <w:rPr>
                <w:rFonts w:ascii="Times New Roman" w:hAnsi="Times New Roman"/>
                <w:b/>
                <w:bCs/>
              </w:rPr>
              <w:t xml:space="preserve"> – nominal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0% credit</w:t>
            </w:r>
            <w:r w:rsidR="006C0659">
              <w:rPr>
                <w:rFonts w:ascii="Times New Roman" w:hAnsi="Times New Roman"/>
                <w:bCs/>
              </w:rPr>
              <w:t xml:space="preserve"> conversion factor under the S</w:t>
            </w:r>
            <w:r w:rsidRPr="00FE002E">
              <w:rPr>
                <w:rFonts w:ascii="Times New Roman" w:hAnsi="Times New Roman"/>
                <w:bCs/>
              </w:rPr>
              <w:t xml:space="preserve">tandardised </w:t>
            </w:r>
            <w:r w:rsidR="006C0659">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6C0659">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w:t>
            </w:r>
            <w:r w:rsidR="00A51BD1">
              <w:rPr>
                <w:rFonts w:ascii="Times New Roman" w:hAnsi="Times New Roman"/>
                <w:bCs/>
              </w:rPr>
              <w:t xml:space="preserve"> </w:t>
            </w:r>
            <w:r w:rsidRPr="00FE002E">
              <w:rPr>
                <w:rFonts w:ascii="Times New Roman" w:hAnsi="Times New Roman"/>
                <w:bCs/>
              </w:rPr>
              <w:t xml:space="preserve">of off-balance sheet qualifying revolving retail exposures that meet the conditions set in points (a) to (c) of Article 154(4) of the CRR. </w:t>
            </w:r>
            <w:r w:rsidR="00CF66B5" w:rsidRPr="00A51BD1">
              <w:rPr>
                <w:rFonts w:ascii="Times New Roman" w:hAnsi="Times New Roman"/>
                <w:bCs/>
              </w:rPr>
              <w:t>This value shall not be reduced by specific credit risk adjustments.</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This covers all exposures that are to individuals, are revolving and unconditionally cancellable as described in point (b) of Article 149 of the CRR, and are in total limited to EUR 100 000 per obligor.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lastRenderedPageBreak/>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bCs/>
              </w:rPr>
              <w:t>This cell</w:t>
            </w:r>
            <w:r w:rsidRPr="00FE002E">
              <w:rPr>
                <w:rFonts w:ascii="Times New Roman" w:hAnsi="Times New Roman"/>
                <w:bCs/>
              </w:rPr>
              <w:t xml:space="preserve"> </w:t>
            </w:r>
            <w:r w:rsidR="00410E47" w:rsidRPr="00FE002E">
              <w:rPr>
                <w:rFonts w:ascii="Times New Roman" w:hAnsi="Times New Roman"/>
                <w:bCs/>
              </w:rPr>
              <w:t>provides the nominal value of credit cards commitments that are unconditionally cancellable at any time by the institution without prior notice (UCC) that would receive a 0% cred</w:t>
            </w:r>
            <w:r w:rsidR="006C07C1">
              <w:rPr>
                <w:rFonts w:ascii="Times New Roman" w:hAnsi="Times New Roman"/>
                <w:bCs/>
              </w:rPr>
              <w:t>it conversion factor under the S</w:t>
            </w:r>
            <w:r w:rsidR="00410E47" w:rsidRPr="00FE002E">
              <w:rPr>
                <w:rFonts w:ascii="Times New Roman" w:hAnsi="Times New Roman"/>
                <w:bCs/>
              </w:rPr>
              <w:t xml:space="preserve">tandardised </w:t>
            </w:r>
            <w:r w:rsidR="006C07C1">
              <w:rPr>
                <w:rFonts w:ascii="Times New Roman" w:hAnsi="Times New Roman"/>
                <w:bCs/>
              </w:rPr>
              <w:t>A</w:t>
            </w:r>
            <w:r w:rsidR="00410E47"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{130;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other commitments that are unconditionally cancellable at any time by the institution without prior notice (UCC) and that would receive a 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 xml:space="preserve">pproach to credit risk.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20%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{150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50%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{160;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Full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sidRPr="00FE002E">
              <w:rPr>
                <w:rFonts w:ascii="Times New Roman" w:hAnsi="Times New Roman"/>
                <w:bCs/>
              </w:rPr>
              <w:lastRenderedPageBreak/>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100%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{170;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w:t>
            </w:r>
            <w:r w:rsidR="002E3FD6">
              <w:rPr>
                <w:rFonts w:ascii="Times New Roman" w:hAnsi="Times New Roman"/>
                <w:b/>
                <w:bCs/>
              </w:rPr>
              <w:t>f</w:t>
            </w:r>
            <w:r w:rsidRPr="00FE002E">
              <w:rPr>
                <w:rFonts w:ascii="Times New Roman" w:hAnsi="Times New Roman"/>
                <w:b/>
                <w:bCs/>
              </w:rPr>
              <w:t xml:space="preserve"> revolving retail exposures </w:t>
            </w:r>
            <w:r w:rsidR="00605108">
              <w:rPr>
                <w:rFonts w:ascii="Times New Roman" w:hAnsi="Times New Roman"/>
                <w:b/>
                <w:bCs/>
              </w:rPr>
              <w:t xml:space="preserve">–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off-balance sheet revolving retail exposures.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{180;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on unconditionally cancellable credit card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unconditionally cancellable credit card commitments.</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{190;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 xml:space="preserve">emo item) Drawn amounts on </w:t>
            </w:r>
            <w:r w:rsidR="00A46F6B" w:rsidRPr="00FE002E">
              <w:rPr>
                <w:rFonts w:ascii="Times New Roman" w:hAnsi="Times New Roman"/>
                <w:b/>
                <w:bCs/>
              </w:rPr>
              <w:t>non</w:t>
            </w:r>
            <w:r w:rsidR="00A46F6B">
              <w:rPr>
                <w:rFonts w:ascii="Times New Roman" w:hAnsi="Times New Roman"/>
                <w:b/>
                <w:bCs/>
              </w:rPr>
              <w:t>-</w:t>
            </w:r>
            <w:r w:rsidRPr="00FE002E">
              <w:rPr>
                <w:rFonts w:ascii="Times New Roman" w:hAnsi="Times New Roman"/>
                <w:b/>
                <w:bCs/>
              </w:rPr>
              <w:t>revolving unconditionally cancellable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w:t>
            </w:r>
            <w:r w:rsidR="00A46F6B">
              <w:rPr>
                <w:rFonts w:ascii="Times New Roman" w:hAnsi="Times New Roman"/>
                <w:bCs/>
              </w:rPr>
              <w:t xml:space="preserve">non-revolving </w:t>
            </w:r>
            <w:r w:rsidRPr="00FE002E">
              <w:rPr>
                <w:rFonts w:ascii="Times New Roman" w:hAnsi="Times New Roman"/>
                <w:bCs/>
              </w:rPr>
              <w:t>unconditionally cancellable commitments.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lastRenderedPageBreak/>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51" w:name="_Toc322687882"/>
            <w:bookmarkEnd w:id="45"/>
            <w:r w:rsidRPr="00FE002E">
              <w:rPr>
                <w:rFonts w:ascii="Times New Roman" w:hAnsi="Times New Roman"/>
                <w:bCs/>
              </w:rPr>
              <w:t>{2</w:t>
            </w:r>
            <w:r>
              <w:rPr>
                <w:rFonts w:ascii="Times New Roman" w:hAnsi="Times New Roman"/>
                <w:bCs/>
              </w:rPr>
              <w:t>5</w:t>
            </w:r>
            <w:r w:rsidRPr="00FE002E">
              <w:rPr>
                <w:rFonts w:ascii="Times New Roman" w:hAnsi="Times New Roman"/>
                <w:bCs/>
              </w:rPr>
              <w:t>0;</w:t>
            </w:r>
            <w:r>
              <w:rPr>
                <w:rFonts w:ascii="Times New Roman" w:hAnsi="Times New Roman"/>
                <w:bCs/>
              </w:rPr>
              <w:t>12</w:t>
            </w:r>
            <w:r w:rsidR="00F71081">
              <w:rPr>
                <w:rFonts w:ascii="Times New Roman" w:hAnsi="Times New Roman"/>
                <w:bCs/>
              </w:rPr>
              <w:t>0</w:t>
            </w:r>
            <w:r w:rsidRPr="00FE002E">
              <w:rPr>
                <w:rFonts w:ascii="Times New Roman" w:hAnsi="Times New Roman"/>
                <w:bCs/>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sidRPr="004B5877">
              <w:rPr>
                <w:rFonts w:ascii="Times New Roman" w:hAnsi="Times New Roman"/>
                <w:b/>
                <w:bCs/>
              </w:rPr>
              <w:t xml:space="preserve">Exposures that can benefit from treatment </w:t>
            </w:r>
            <w:r w:rsidR="001005A7">
              <w:rPr>
                <w:rFonts w:ascii="Times New Roman" w:hAnsi="Times New Roman"/>
                <w:b/>
                <w:bCs/>
              </w:rPr>
              <w:t xml:space="preserve">under Article </w:t>
            </w:r>
            <w:r w:rsidRPr="004B5877">
              <w:rPr>
                <w:rFonts w:ascii="Times New Roman" w:hAnsi="Times New Roman"/>
                <w:b/>
                <w:bCs/>
              </w:rPr>
              <w:t xml:space="preserve">113(6) </w:t>
            </w:r>
            <w:r w:rsidR="001005A7">
              <w:rPr>
                <w:rFonts w:ascii="Times New Roman" w:hAnsi="Times New Roman"/>
                <w:b/>
                <w:bCs/>
              </w:rPr>
              <w:t xml:space="preserve">of the CRR </w:t>
            </w:r>
            <w:r w:rsidR="00836521">
              <w:rPr>
                <w:rFonts w:ascii="Times New Roman" w:hAnsi="Times New Roman"/>
                <w:b/>
                <w:bCs/>
              </w:rPr>
              <w:t>– Leverage ratio exposure amount hypothetically exempted</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sidRPr="00FE002E">
              <w:rPr>
                <w:rFonts w:ascii="Times New Roman" w:hAnsi="Times New Roman"/>
                <w:bCs/>
              </w:rPr>
              <w:t>The</w:t>
            </w:r>
            <w:r>
              <w:rPr>
                <w:rFonts w:ascii="Times New Roman" w:hAnsi="Times New Roman"/>
                <w:bCs/>
              </w:rPr>
              <w:t xml:space="preserve"> amount of total leverage ratio exposure that would be exempted if competent authorities would to the </w:t>
            </w:r>
            <w:r w:rsidR="00214D62">
              <w:rPr>
                <w:rFonts w:ascii="Times New Roman" w:hAnsi="Times New Roman"/>
                <w:bCs/>
              </w:rPr>
              <w:t>fullest</w:t>
            </w:r>
            <w:r>
              <w:rPr>
                <w:rFonts w:ascii="Times New Roman" w:hAnsi="Times New Roman"/>
                <w:bCs/>
              </w:rPr>
              <w:t xml:space="preserve"> extent grant permission </w:t>
            </w:r>
            <w:r w:rsidR="00214D62">
              <w:rPr>
                <w:rFonts w:ascii="Times New Roman" w:hAnsi="Times New Roman"/>
                <w:bCs/>
              </w:rPr>
              <w:t xml:space="preserve">to </w:t>
            </w:r>
            <w:r>
              <w:rPr>
                <w:rFonts w:ascii="Times New Roman" w:hAnsi="Times New Roman"/>
                <w:bCs/>
              </w:rPr>
              <w:t xml:space="preserve">exempt exposures </w:t>
            </w:r>
            <w:r w:rsidR="00214D62">
              <w:rPr>
                <w:rFonts w:ascii="Times New Roman" w:hAnsi="Times New Roman"/>
                <w:bCs/>
              </w:rPr>
              <w:t>for which</w:t>
            </w:r>
            <w:r w:rsidRPr="004B5877">
              <w:rPr>
                <w:rFonts w:ascii="Times New Roman" w:hAnsi="Times New Roman"/>
                <w:bCs/>
              </w:rPr>
              <w:t xml:space="preserve"> all the conditions set</w:t>
            </w:r>
            <w:r>
              <w:rPr>
                <w:rFonts w:ascii="Times New Roman" w:hAnsi="Times New Roman"/>
                <w:bCs/>
              </w:rPr>
              <w:t xml:space="preserve"> </w:t>
            </w:r>
            <w:r w:rsidRPr="004B5877">
              <w:rPr>
                <w:rFonts w:ascii="Times New Roman" w:hAnsi="Times New Roman"/>
                <w:bCs/>
              </w:rPr>
              <w:t>out in points (</w:t>
            </w:r>
            <w:r w:rsidR="00214D62">
              <w:rPr>
                <w:rFonts w:ascii="Times New Roman" w:hAnsi="Times New Roman"/>
                <w:bCs/>
              </w:rPr>
              <w:t xml:space="preserve">a) to (e) of Article 113(6) </w:t>
            </w:r>
            <w:r w:rsidR="00E052C6">
              <w:rPr>
                <w:rFonts w:ascii="Times New Roman" w:hAnsi="Times New Roman"/>
                <w:bCs/>
              </w:rPr>
              <w:t xml:space="preserve">of the CRR are met </w:t>
            </w:r>
            <w:r w:rsidR="00214D62">
              <w:rPr>
                <w:rFonts w:ascii="Times New Roman" w:hAnsi="Times New Roman"/>
                <w:bCs/>
              </w:rPr>
              <w:t xml:space="preserve">and for which </w:t>
            </w:r>
            <w:r w:rsidRPr="004B5877">
              <w:rPr>
                <w:rFonts w:ascii="Times New Roman" w:hAnsi="Times New Roman"/>
                <w:bCs/>
              </w:rPr>
              <w:t>approval laid down in Article 113(6)</w:t>
            </w:r>
            <w:r w:rsidR="00214D62">
              <w:rPr>
                <w:rFonts w:ascii="Times New Roman" w:hAnsi="Times New Roman"/>
                <w:bCs/>
              </w:rPr>
              <w:t xml:space="preserve"> </w:t>
            </w:r>
            <w:r w:rsidR="00E052C6">
              <w:rPr>
                <w:rFonts w:ascii="Times New Roman" w:hAnsi="Times New Roman"/>
                <w:bCs/>
              </w:rPr>
              <w:t xml:space="preserve">of the CRR </w:t>
            </w:r>
            <w:r w:rsidR="00214D62">
              <w:rPr>
                <w:rFonts w:ascii="Times New Roman" w:hAnsi="Times New Roman"/>
                <w:bCs/>
              </w:rPr>
              <w:t>has been provided</w:t>
            </w:r>
            <w:r w:rsidRPr="004B5877">
              <w:rPr>
                <w:rFonts w:ascii="Times New Roman" w:hAnsi="Times New Roman"/>
                <w:bCs/>
              </w:rPr>
              <w:t>.</w:t>
            </w:r>
            <w:r w:rsidR="00214D62">
              <w:rPr>
                <w:rFonts w:ascii="Times New Roman" w:hAnsi="Times New Roman"/>
                <w:bCs/>
              </w:rPr>
              <w:t xml:space="preserve"> If the competent authority already grants permission to the fullest extent then the value in this cell equals that</w:t>
            </w:r>
            <w:r w:rsidR="00022D49">
              <w:rPr>
                <w:rFonts w:ascii="Times New Roman" w:hAnsi="Times New Roman"/>
                <w:bCs/>
              </w:rPr>
              <w:t xml:space="preserve"> in</w:t>
            </w:r>
            <w:r w:rsidR="00214D62">
              <w:rPr>
                <w:rFonts w:ascii="Times New Roman" w:hAnsi="Times New Roman"/>
                <w:bCs/>
              </w:rPr>
              <w:t xml:space="preserve"> {LRCalc;250;</w:t>
            </w:r>
            <w:r w:rsidR="00BB4B8A">
              <w:rPr>
                <w:rFonts w:ascii="Times New Roman" w:hAnsi="Times New Roman"/>
                <w:bCs/>
              </w:rPr>
              <w:t>0</w:t>
            </w:r>
            <w:r w:rsidR="00214D62">
              <w:rPr>
                <w:rFonts w:ascii="Times New Roman" w:hAnsi="Times New Roman"/>
                <w:bCs/>
              </w:rPr>
              <w:t>1</w:t>
            </w:r>
            <w:r w:rsidR="00BB4B8A">
              <w:rPr>
                <w:rFonts w:ascii="Times New Roman" w:hAnsi="Times New Roman"/>
                <w:bCs/>
              </w:rPr>
              <w:t>0</w:t>
            </w:r>
            <w:r w:rsid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sidRPr="00FE002E">
              <w:rPr>
                <w:rFonts w:ascii="Times New Roman" w:hAnsi="Times New Roman"/>
                <w:bCs/>
              </w:rPr>
              <w:t>{2</w:t>
            </w:r>
            <w:r w:rsidR="00214D62">
              <w:rPr>
                <w:rFonts w:ascii="Times New Roman" w:hAnsi="Times New Roman"/>
                <w:bCs/>
              </w:rPr>
              <w:t>6</w:t>
            </w:r>
            <w:r w:rsidRPr="00FE002E">
              <w:rPr>
                <w:rFonts w:ascii="Times New Roman" w:hAnsi="Times New Roman"/>
                <w:bCs/>
              </w:rPr>
              <w:t>0;</w:t>
            </w:r>
            <w:r w:rsidR="00214D62">
              <w:rPr>
                <w:rFonts w:ascii="Times New Roman" w:hAnsi="Times New Roman"/>
                <w:bCs/>
              </w:rPr>
              <w:t>1</w:t>
            </w:r>
            <w:r w:rsidRPr="00FE002E">
              <w:rPr>
                <w:rFonts w:ascii="Times New Roman" w:hAnsi="Times New Roman"/>
                <w:bCs/>
              </w:rPr>
              <w:t>2</w:t>
            </w:r>
            <w:r w:rsidR="00F71081">
              <w:rPr>
                <w:rFonts w:ascii="Times New Roman" w:hAnsi="Times New Roman"/>
                <w:bCs/>
              </w:rPr>
              <w:t>0</w:t>
            </w:r>
            <w:r w:rsidRPr="00FE002E">
              <w:rPr>
                <w:rFonts w:ascii="Times New Roman" w:hAnsi="Times New Roman"/>
                <w:bCs/>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sidRPr="004B5877">
              <w:rPr>
                <w:rFonts w:ascii="Times New Roman" w:hAnsi="Times New Roman"/>
                <w:b/>
                <w:bCs/>
              </w:rPr>
              <w:t xml:space="preserve">Exposures that meet conditions </w:t>
            </w:r>
            <w:r w:rsidR="001005A7">
              <w:rPr>
                <w:rFonts w:ascii="Times New Roman" w:hAnsi="Times New Roman"/>
                <w:b/>
                <w:bCs/>
              </w:rPr>
              <w:t>in points (</w:t>
            </w:r>
            <w:r w:rsidRPr="004B5877">
              <w:rPr>
                <w:rFonts w:ascii="Times New Roman" w:hAnsi="Times New Roman"/>
                <w:b/>
                <w:bCs/>
              </w:rPr>
              <w:t>a)</w:t>
            </w:r>
            <w:r w:rsidR="00A46F6B">
              <w:rPr>
                <w:rFonts w:ascii="Times New Roman" w:hAnsi="Times New Roman"/>
                <w:b/>
                <w:bCs/>
              </w:rPr>
              <w:t xml:space="preserve"> to</w:t>
            </w:r>
            <w:r w:rsidRPr="004B5877">
              <w:rPr>
                <w:rFonts w:ascii="Times New Roman" w:hAnsi="Times New Roman"/>
                <w:b/>
                <w:bCs/>
              </w:rPr>
              <w:t xml:space="preserve"> </w:t>
            </w:r>
            <w:r w:rsidR="001005A7">
              <w:rPr>
                <w:rFonts w:ascii="Times New Roman" w:hAnsi="Times New Roman"/>
                <w:b/>
                <w:bCs/>
              </w:rPr>
              <w:t>(</w:t>
            </w:r>
            <w:r w:rsidRPr="004B5877">
              <w:rPr>
                <w:rFonts w:ascii="Times New Roman" w:hAnsi="Times New Roman"/>
                <w:b/>
                <w:bCs/>
              </w:rPr>
              <w:t xml:space="preserve">c) of </w:t>
            </w:r>
            <w:r w:rsidR="001005A7">
              <w:rPr>
                <w:rFonts w:ascii="Times New Roman" w:hAnsi="Times New Roman"/>
                <w:b/>
                <w:bCs/>
              </w:rPr>
              <w:t xml:space="preserve">Article </w:t>
            </w:r>
            <w:r w:rsidRPr="004B5877">
              <w:rPr>
                <w:rFonts w:ascii="Times New Roman" w:hAnsi="Times New Roman"/>
                <w:b/>
                <w:bCs/>
              </w:rPr>
              <w:t>429(14)</w:t>
            </w:r>
            <w:r w:rsidR="001005A7">
              <w:rPr>
                <w:rFonts w:ascii="Times New Roman" w:hAnsi="Times New Roman"/>
                <w:b/>
                <w:bCs/>
              </w:rPr>
              <w:t xml:space="preserve"> of the CRR</w:t>
            </w:r>
            <w:r w:rsidR="00836521">
              <w:rPr>
                <w:rFonts w:ascii="Times New Roman" w:hAnsi="Times New Roman"/>
                <w:b/>
                <w:bCs/>
              </w:rPr>
              <w:t xml:space="preserve"> – Leverage ratio exposure amount hypothetically exempted</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sidRPr="00214D62">
              <w:rPr>
                <w:rFonts w:ascii="Times New Roman" w:hAnsi="Times New Roman"/>
                <w:bCs/>
              </w:rPr>
              <w:t xml:space="preserve">The amount of total leverage ratio exposure that would be exempted if competent authorities would to the </w:t>
            </w:r>
            <w:r>
              <w:rPr>
                <w:rFonts w:ascii="Times New Roman" w:hAnsi="Times New Roman"/>
                <w:bCs/>
              </w:rPr>
              <w:t>fullest</w:t>
            </w:r>
            <w:r w:rsidRPr="00214D62">
              <w:rPr>
                <w:rFonts w:ascii="Times New Roman" w:hAnsi="Times New Roman"/>
                <w:bCs/>
              </w:rPr>
              <w:t xml:space="preserve"> extent grant permission </w:t>
            </w:r>
            <w:r>
              <w:rPr>
                <w:rFonts w:ascii="Times New Roman" w:hAnsi="Times New Roman"/>
                <w:bCs/>
              </w:rPr>
              <w:t>to</w:t>
            </w:r>
            <w:r w:rsidRPr="00214D62">
              <w:rPr>
                <w:rFonts w:ascii="Times New Roman" w:hAnsi="Times New Roman"/>
                <w:bCs/>
              </w:rPr>
              <w:t xml:space="preserve"> exempt</w:t>
            </w:r>
            <w:r>
              <w:rPr>
                <w:rFonts w:ascii="Times New Roman" w:hAnsi="Times New Roman"/>
                <w:bCs/>
              </w:rPr>
              <w:t xml:space="preserve"> e</w:t>
            </w:r>
            <w:r w:rsidRPr="00214D62">
              <w:rPr>
                <w:rFonts w:ascii="Times New Roman" w:hAnsi="Times New Roman"/>
                <w:bCs/>
              </w:rPr>
              <w:t xml:space="preserve">xposures that meet conditions </w:t>
            </w:r>
            <w:r w:rsidR="00A46F6B">
              <w:rPr>
                <w:rFonts w:ascii="Times New Roman" w:hAnsi="Times New Roman"/>
                <w:bCs/>
              </w:rPr>
              <w:t>in point</w:t>
            </w:r>
            <w:r w:rsidR="00883C1E">
              <w:rPr>
                <w:rFonts w:ascii="Times New Roman" w:hAnsi="Times New Roman"/>
                <w:bCs/>
              </w:rPr>
              <w:t>s</w:t>
            </w:r>
            <w:r w:rsidR="00A46F6B">
              <w:rPr>
                <w:rFonts w:ascii="Times New Roman" w:hAnsi="Times New Roman"/>
                <w:bCs/>
              </w:rPr>
              <w:t xml:space="preserve"> </w:t>
            </w:r>
            <w:r w:rsidR="001005A7">
              <w:rPr>
                <w:rFonts w:ascii="Times New Roman" w:hAnsi="Times New Roman"/>
                <w:bCs/>
              </w:rPr>
              <w:t>(</w:t>
            </w:r>
            <w:r w:rsidRPr="00214D62">
              <w:rPr>
                <w:rFonts w:ascii="Times New Roman" w:hAnsi="Times New Roman"/>
                <w:bCs/>
              </w:rPr>
              <w:t>a)</w:t>
            </w:r>
            <w:r w:rsidR="00A46F6B">
              <w:rPr>
                <w:rFonts w:ascii="Times New Roman" w:hAnsi="Times New Roman"/>
                <w:bCs/>
              </w:rPr>
              <w:t xml:space="preserve"> to</w:t>
            </w:r>
            <w:r w:rsidRPr="00214D62">
              <w:rPr>
                <w:rFonts w:ascii="Times New Roman" w:hAnsi="Times New Roman"/>
                <w:bCs/>
              </w:rPr>
              <w:t xml:space="preserve"> </w:t>
            </w:r>
            <w:r w:rsidR="001005A7">
              <w:rPr>
                <w:rFonts w:ascii="Times New Roman" w:hAnsi="Times New Roman"/>
                <w:bCs/>
              </w:rPr>
              <w:t>(</w:t>
            </w:r>
            <w:r w:rsidRPr="00214D62">
              <w:rPr>
                <w:rFonts w:ascii="Times New Roman" w:hAnsi="Times New Roman"/>
                <w:bCs/>
              </w:rPr>
              <w:t xml:space="preserve">c) of </w:t>
            </w:r>
            <w:r w:rsidR="001005A7">
              <w:rPr>
                <w:rFonts w:ascii="Times New Roman" w:hAnsi="Times New Roman"/>
                <w:bCs/>
              </w:rPr>
              <w:t>Article</w:t>
            </w:r>
            <w:r w:rsidR="001005A7" w:rsidRPr="00214D62">
              <w:rPr>
                <w:rFonts w:ascii="Times New Roman" w:hAnsi="Times New Roman"/>
                <w:bCs/>
              </w:rPr>
              <w:t xml:space="preserve"> </w:t>
            </w:r>
            <w:r w:rsidRPr="00214D62">
              <w:rPr>
                <w:rFonts w:ascii="Times New Roman" w:hAnsi="Times New Roman"/>
                <w:bCs/>
              </w:rPr>
              <w:t>429(14)</w:t>
            </w:r>
            <w:r w:rsidR="001005A7">
              <w:rPr>
                <w:rFonts w:ascii="Times New Roman" w:hAnsi="Times New Roman"/>
                <w:bCs/>
              </w:rPr>
              <w:t xml:space="preserve"> of the CRR</w:t>
            </w:r>
            <w:r>
              <w:rPr>
                <w:rFonts w:ascii="Times New Roman" w:hAnsi="Times New Roman"/>
                <w:bCs/>
              </w:rPr>
              <w:t xml:space="preserve">. </w:t>
            </w:r>
            <w:r w:rsidRPr="00214D62">
              <w:rPr>
                <w:rFonts w:ascii="Times New Roman" w:hAnsi="Times New Roman"/>
                <w:bCs/>
              </w:rPr>
              <w:t>If the competent authority already grants permission to the fullest extent then the value in t</w:t>
            </w:r>
            <w:r>
              <w:rPr>
                <w:rFonts w:ascii="Times New Roman" w:hAnsi="Times New Roman"/>
                <w:bCs/>
              </w:rPr>
              <w:t xml:space="preserve">his cell equals </w:t>
            </w:r>
            <w:r w:rsidR="00022D49">
              <w:rPr>
                <w:rFonts w:ascii="Times New Roman" w:hAnsi="Times New Roman"/>
                <w:bCs/>
              </w:rPr>
              <w:t xml:space="preserve">that in </w:t>
            </w:r>
            <w:r>
              <w:rPr>
                <w:rFonts w:ascii="Times New Roman" w:hAnsi="Times New Roman"/>
                <w:bCs/>
              </w:rPr>
              <w:t>{LRCalc;26</w:t>
            </w:r>
            <w:r w:rsidRPr="00214D62">
              <w:rPr>
                <w:rFonts w:ascii="Times New Roman" w:hAnsi="Times New Roman"/>
                <w:bCs/>
              </w:rPr>
              <w:t>0;</w:t>
            </w:r>
            <w:r w:rsidR="00BB4B8A">
              <w:rPr>
                <w:rFonts w:ascii="Times New Roman" w:hAnsi="Times New Roman"/>
                <w:bCs/>
              </w:rPr>
              <w:t>0</w:t>
            </w:r>
            <w:r w:rsidRPr="00214D62">
              <w:rPr>
                <w:rFonts w:ascii="Times New Roman" w:hAnsi="Times New Roman"/>
                <w:bCs/>
              </w:rPr>
              <w:t>1</w:t>
            </w:r>
            <w:r w:rsidR="00BB4B8A">
              <w:rPr>
                <w:rFonts w:ascii="Times New Roman" w:hAnsi="Times New Roman"/>
                <w:bCs/>
              </w:rPr>
              <w:t>0</w:t>
            </w:r>
            <w:r w:rsidRP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52" w:name="_Toc338669914"/>
      <w:bookmarkStart w:id="53" w:name="_Toc338669915"/>
      <w:bookmarkStart w:id="54" w:name="_Toc338669918"/>
      <w:bookmarkStart w:id="55" w:name="_Toc351048508"/>
      <w:bookmarkStart w:id="56" w:name="_Toc359414287"/>
      <w:bookmarkStart w:id="57" w:name="_Toc423089072"/>
      <w:bookmarkEnd w:id="52"/>
      <w:bookmarkEnd w:id="53"/>
      <w:bookmarkEnd w:id="54"/>
      <w:r w:rsidRPr="00FE002E">
        <w:rPr>
          <w:rFonts w:ascii="Times New Roman" w:hAnsi="Times New Roman"/>
          <w:b/>
        </w:rPr>
        <w:t>6.</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41.00</w:t>
      </w:r>
      <w:r w:rsidR="00B86FAE">
        <w:rPr>
          <w:rFonts w:ascii="Times New Roman" w:hAnsi="Times New Roman"/>
          <w:b/>
        </w:rPr>
        <w:t xml:space="preserve"> –</w:t>
      </w:r>
      <w:r w:rsidR="00F4754B" w:rsidRPr="00FE002E">
        <w:rPr>
          <w:rFonts w:ascii="Times New Roman" w:hAnsi="Times New Roman"/>
          <w:b/>
        </w:rPr>
        <w:t xml:space="preserve"> On- and off-balance sheet items – additional breakdown of exposures</w:t>
      </w:r>
      <w:bookmarkEnd w:id="55"/>
      <w:bookmarkEnd w:id="56"/>
      <w:r w:rsidR="00481854">
        <w:rPr>
          <w:rFonts w:ascii="Times New Roman" w:hAnsi="Times New Roman"/>
          <w:b/>
        </w:rPr>
        <w:t xml:space="preserve"> (LR2)</w:t>
      </w:r>
      <w:bookmarkEnd w:id="57"/>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lastRenderedPageBreak/>
        <w:t>24.</w:t>
      </w:r>
      <w:r w:rsidRPr="00FE002E">
        <w:rPr>
          <w:rFonts w:ascii="Times New Roman" w:hAnsi="Times New Roman"/>
          <w:bCs/>
        </w:rPr>
        <w:tab/>
      </w:r>
      <w:r w:rsidR="00F0756A">
        <w:rPr>
          <w:rFonts w:ascii="Times New Roman" w:hAnsi="Times New Roman"/>
          <w:bCs/>
        </w:rPr>
        <w:t>Template</w:t>
      </w:r>
      <w:r w:rsidR="00F0756A" w:rsidRPr="00FE002E">
        <w:rPr>
          <w:rFonts w:ascii="Times New Roman" w:hAnsi="Times New Roman"/>
          <w:bCs/>
        </w:rPr>
        <w:t xml:space="preserve"> </w:t>
      </w:r>
      <w:r w:rsidR="00F4754B" w:rsidRPr="00FE002E">
        <w:rPr>
          <w:rFonts w:ascii="Times New Roman" w:hAnsi="Times New Roman"/>
          <w:bCs/>
        </w:rPr>
        <w:t>LR2 provides information on additional breakdown items of all on</w:t>
      </w:r>
      <w:r w:rsidR="004C2CFB">
        <w:rPr>
          <w:rFonts w:ascii="Times New Roman" w:hAnsi="Times New Roman"/>
          <w:bCs/>
        </w:rPr>
        <w:t>-</w:t>
      </w:r>
      <w:r w:rsidR="00F4754B" w:rsidRPr="00FE002E">
        <w:rPr>
          <w:rFonts w:ascii="Times New Roman" w:hAnsi="Times New Roman"/>
          <w:bCs/>
        </w:rPr>
        <w:t xml:space="preserve"> and off</w:t>
      </w:r>
      <w:r w:rsidR="004C2CFB">
        <w:rPr>
          <w:rFonts w:ascii="Times New Roman" w:hAnsi="Times New Roman"/>
          <w:bCs/>
        </w:rPr>
        <w:t>-</w:t>
      </w:r>
      <w:r w:rsidR="00F4754B" w:rsidRPr="00FE002E">
        <w:rPr>
          <w:rFonts w:ascii="Times New Roman" w:hAnsi="Times New Roman"/>
          <w:bCs/>
        </w:rPr>
        <w:t>balance sheet exposures</w: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t xml:space="preserve"> </w:t>
      </w:r>
      <w:r w:rsidR="00F4754B" w:rsidRPr="00FE002E">
        <w:rPr>
          <w:rFonts w:ascii="Times New Roman" w:hAnsi="Times New Roman"/>
          <w:bCs/>
        </w:rPr>
        <w:t>belonging to the non-trading book</w:t>
      </w:r>
      <w:r w:rsidR="0057624C" w:rsidRPr="00FE002E">
        <w:rPr>
          <w:rFonts w:ascii="Times New Roman" w:hAnsi="Times New Roman"/>
          <w:bCs/>
        </w:rPr>
        <w:t xml:space="preserve"> and of all exposures of the trading book subject to counterparty credit risk. The breakdown is</w:t>
      </w:r>
      <w:r w:rsidR="00F4754B" w:rsidRPr="00FE002E">
        <w:rPr>
          <w:rFonts w:ascii="Times New Roman" w:hAnsi="Times New Roman"/>
          <w:bCs/>
        </w:rPr>
        <w:t xml:space="preserve"> </w:t>
      </w:r>
      <w:r w:rsidR="00D85101">
        <w:rPr>
          <w:rFonts w:ascii="Times New Roman" w:hAnsi="Times New Roman"/>
          <w:bCs/>
        </w:rPr>
        <w:t>in accordance with</w:t>
      </w:r>
      <w:r w:rsidR="00F4754B" w:rsidRPr="00FE002E">
        <w:rPr>
          <w:rFonts w:ascii="Times New Roman" w:hAnsi="Times New Roman"/>
          <w:bCs/>
        </w:rPr>
        <w:t xml:space="preserve"> the risk weights applied under the credit risk section of the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The information is derived differently for exposures under respectively the </w:t>
      </w:r>
      <w:r w:rsidR="006C07C1">
        <w:rPr>
          <w:rFonts w:ascii="Times New Roman" w:hAnsi="Times New Roman"/>
          <w:bCs/>
        </w:rPr>
        <w:t>S</w:t>
      </w:r>
      <w:r w:rsidR="00F4754B" w:rsidRPr="00FE002E">
        <w:rPr>
          <w:rFonts w:ascii="Times New Roman" w:hAnsi="Times New Roman"/>
          <w:bCs/>
        </w:rPr>
        <w:t xml:space="preserve">tandardised and the IRB </w:t>
      </w:r>
      <w:r w:rsidR="00F0756A">
        <w:rPr>
          <w:rFonts w:ascii="Times New Roman" w:hAnsi="Times New Roman"/>
          <w:bCs/>
        </w:rPr>
        <w:t>A</w:t>
      </w:r>
      <w:r w:rsidR="00F4754B" w:rsidRPr="00FE002E">
        <w:rPr>
          <w:rFonts w:ascii="Times New Roman" w:hAnsi="Times New Roman"/>
          <w:bCs/>
        </w:rPr>
        <w:t xml:space="preserve">pproach.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25.</w:t>
      </w:r>
      <w:r w:rsidRPr="00FE002E">
        <w:rPr>
          <w:rFonts w:ascii="Times New Roman" w:hAnsi="Times New Roman"/>
        </w:rPr>
        <w:tab/>
      </w:r>
      <w:r w:rsidR="00F4754B" w:rsidRPr="00FE002E" w:rsidDel="00274237">
        <w:rPr>
          <w:rFonts w:ascii="Times New Roman" w:hAnsi="Times New Roman"/>
        </w:rPr>
        <w:t xml:space="preserve">For exposures supported by </w:t>
      </w:r>
      <w:r w:rsidR="00F0756A">
        <w:rPr>
          <w:rFonts w:ascii="Times New Roman" w:hAnsi="Times New Roman"/>
        </w:rPr>
        <w:t>CRM</w:t>
      </w:r>
      <w:r w:rsidR="00F4754B" w:rsidRPr="00FE002E" w:rsidDel="00274237">
        <w:rPr>
          <w:rFonts w:ascii="Times New Roman" w:hAnsi="Times New Roman"/>
        </w:rPr>
        <w:t xml:space="preserve"> techniques implying the substitution of the risk weighting of the counterparty with the risk weighting of the guarantee, institutions </w:t>
      </w:r>
      <w:r w:rsidR="00FF2091" w:rsidRPr="00FE002E">
        <w:rPr>
          <w:rFonts w:ascii="Times New Roman" w:hAnsi="Times New Roman"/>
        </w:rPr>
        <w:t>shall</w:t>
      </w:r>
      <w:r w:rsidR="00F4754B"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00F4754B" w:rsidRPr="00FE002E">
        <w:rPr>
          <w:rFonts w:ascii="Times New Roman" w:hAnsi="Times New Roman"/>
        </w:rPr>
        <w:t xml:space="preserve">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institutions </w:t>
      </w:r>
      <w:r w:rsidR="00FF2091" w:rsidRPr="00FE002E">
        <w:rPr>
          <w:rFonts w:ascii="Times New Roman" w:hAnsi="Times New Roman"/>
        </w:rPr>
        <w:t>shall</w:t>
      </w:r>
      <w:r w:rsidR="00F4754B" w:rsidRPr="00FE002E">
        <w:rPr>
          <w:rFonts w:ascii="Times New Roman" w:hAnsi="Times New Roman"/>
        </w:rPr>
        <w:t xml:space="preserve"> proceed with the following calculation</w:t>
      </w:r>
      <w:r w:rsidR="00EA630C" w:rsidRPr="00FE002E">
        <w:rPr>
          <w:rFonts w:ascii="Times New Roman" w:hAnsi="Times New Roman"/>
        </w:rPr>
        <w:t>:</w:t>
      </w:r>
      <w:r w:rsidR="00F4754B" w:rsidRPr="00FE002E">
        <w:rPr>
          <w:rFonts w:ascii="Times New Roman" w:hAnsi="Times New Roman"/>
        </w:rPr>
        <w:t xml:space="preserve"> </w:t>
      </w:r>
      <w:r w:rsidR="00EA630C" w:rsidRPr="00FE002E">
        <w:rPr>
          <w:rFonts w:ascii="Times New Roman" w:hAnsi="Times New Roman"/>
        </w:rPr>
        <w:t>f</w:t>
      </w:r>
      <w:r w:rsidR="00F4754B"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00F4754B"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exposures classified as in default </w:t>
      </w:r>
      <w:r w:rsidR="00FF2091" w:rsidRPr="00FE002E">
        <w:rPr>
          <w:rFonts w:ascii="Times New Roman" w:hAnsi="Times New Roman"/>
        </w:rPr>
        <w:t>shall</w:t>
      </w:r>
      <w:r w:rsidR="00F4754B" w:rsidRPr="00FE002E">
        <w:rPr>
          <w:rFonts w:ascii="Times New Roman" w:hAnsi="Times New Roman"/>
        </w:rPr>
        <w:t xml:space="preserve"> be excluded from </w:t>
      </w:r>
      <w:r w:rsidR="00E830AC">
        <w:rPr>
          <w:rFonts w:ascii="Times New Roman" w:hAnsi="Times New Roman"/>
        </w:rPr>
        <w:t>{020;010} to {090;010}</w:t>
      </w:r>
      <w:r w:rsidR="00F4754B" w:rsidRPr="00FE002E">
        <w:rPr>
          <w:rFonts w:ascii="Times New Roman" w:hAnsi="Times New Roman"/>
        </w:rPr>
        <w:t xml:space="preserve"> and included in </w:t>
      </w:r>
      <w:r w:rsidR="00E830AC">
        <w:rPr>
          <w:rFonts w:ascii="Times New Roman" w:hAnsi="Times New Roman"/>
        </w:rPr>
        <w:t>{100;010}</w:t>
      </w:r>
      <w:r w:rsidR="00F4754B" w:rsidRPr="00FE002E">
        <w:rPr>
          <w:rFonts w:ascii="Times New Roman" w:hAnsi="Times New Roman"/>
        </w:rPr>
        <w:t>.</w:t>
      </w:r>
      <w:r w:rsidR="009370D9">
        <w:rPr>
          <w:rFonts w:ascii="Times New Roman" w:hAnsi="Times New Roman"/>
        </w:rPr>
        <w:t xml:space="preserve"> Under the </w:t>
      </w:r>
      <w:r w:rsidR="00F0756A">
        <w:rPr>
          <w:rFonts w:ascii="Times New Roman" w:hAnsi="Times New Roman"/>
        </w:rPr>
        <w:t>S</w:t>
      </w:r>
      <w:r w:rsidR="009370D9">
        <w:rPr>
          <w:rFonts w:ascii="Times New Roman" w:hAnsi="Times New Roman"/>
        </w:rPr>
        <w:t xml:space="preserve">tandardised </w:t>
      </w:r>
      <w:r w:rsidR="00F0756A">
        <w:rPr>
          <w:rFonts w:ascii="Times New Roman" w:hAnsi="Times New Roman"/>
        </w:rPr>
        <w:t>A</w:t>
      </w:r>
      <w:r w:rsidR="009370D9">
        <w:rPr>
          <w:rFonts w:ascii="Times New Roman" w:hAnsi="Times New Roman"/>
        </w:rPr>
        <w:t>pproach, exposures falling under Article 112(j) of the CRR shall be excluded from</w:t>
      </w:r>
      <w:r w:rsidR="00E830AC">
        <w:rPr>
          <w:rFonts w:ascii="Times New Roman" w:hAnsi="Times New Roman"/>
        </w:rPr>
        <w:t xml:space="preserve"> {020;020} to {090;020}</w:t>
      </w:r>
      <w:r w:rsidR="009370D9">
        <w:rPr>
          <w:rFonts w:ascii="Times New Roman" w:hAnsi="Times New Roman"/>
        </w:rPr>
        <w:t xml:space="preserve"> and included in </w:t>
      </w:r>
      <w:r w:rsidR="00E830AC">
        <w:rPr>
          <w:rFonts w:ascii="Times New Roman" w:hAnsi="Times New Roman"/>
        </w:rPr>
        <w:t>{100;020}</w:t>
      </w:r>
      <w:r w:rsidR="009370D9">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26.</w:t>
      </w:r>
      <w:r w:rsidRPr="00FE002E">
        <w:rPr>
          <w:rFonts w:ascii="Times New Roman" w:hAnsi="Times New Roman"/>
        </w:rPr>
        <w:tab/>
      </w:r>
      <w:r w:rsidR="00F4754B" w:rsidRPr="00FE002E">
        <w:rPr>
          <w:rFonts w:ascii="Times New Roman" w:hAnsi="Times New Roman"/>
        </w:rPr>
        <w:t>Under both approaches,</w:t>
      </w:r>
      <w:r w:rsidR="00FF2091" w:rsidRPr="00FE002E">
        <w:rPr>
          <w:rFonts w:ascii="Times New Roman" w:hAnsi="Times New Roman"/>
        </w:rPr>
        <w:t xml:space="preserve"> institutions shall consider</w:t>
      </w:r>
      <w:r w:rsidR="00F4754B" w:rsidRPr="00FE002E">
        <w:rPr>
          <w:rFonts w:ascii="Times New Roman" w:hAnsi="Times New Roman"/>
        </w:rPr>
        <w:t xml:space="preserve"> exposures deducted from the regulatory capital </w:t>
      </w:r>
      <w:r w:rsidR="00FF2091" w:rsidRPr="00FE002E">
        <w:rPr>
          <w:rFonts w:ascii="Times New Roman" w:hAnsi="Times New Roman"/>
        </w:rPr>
        <w:t>a</w:t>
      </w:r>
      <w:r w:rsidR="00F4754B"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sidRPr="00FE002E">
              <w:rPr>
                <w:rFonts w:ascii="Times New Roman" w:hAnsi="Times New Roman"/>
                <w:b/>
              </w:rPr>
              <w:t xml:space="preserve">Row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Total on- and off-balance sheet exposures belonging to the </w:t>
            </w:r>
            <w:r w:rsidR="007A0E3A">
              <w:rPr>
                <w:rFonts w:ascii="Times New Roman" w:hAnsi="Times New Roman"/>
                <w:b/>
                <w:bCs/>
              </w:rPr>
              <w:t>non-trading</w:t>
            </w:r>
            <w:r w:rsidR="007A0E3A" w:rsidRPr="00FE002E">
              <w:rPr>
                <w:rFonts w:ascii="Times New Roman" w:hAnsi="Times New Roman"/>
                <w:b/>
                <w:bCs/>
              </w:rPr>
              <w:t xml:space="preserve"> </w:t>
            </w:r>
            <w:r w:rsidRPr="00FE002E">
              <w:rPr>
                <w:rFonts w:ascii="Times New Roman" w:hAnsi="Times New Roman"/>
                <w:b/>
                <w:bCs/>
              </w:rPr>
              <w:t xml:space="preserve">book </w:t>
            </w:r>
            <w:r w:rsidR="007E52B2">
              <w:rPr>
                <w:rFonts w:ascii="Times New Roman" w:hAnsi="Times New Roman"/>
                <w:b/>
                <w:bCs/>
              </w:rPr>
              <w:t xml:space="preserve">as well as exposures of the trading book subject to counterparty credit risk </w:t>
            </w:r>
            <w:r w:rsidRPr="00FE002E">
              <w:rPr>
                <w:rFonts w:ascii="Times New Roman" w:hAnsi="Times New Roman"/>
                <w:b/>
                <w:bCs/>
              </w:rPr>
              <w:t xml:space="preserve">(breakdown </w:t>
            </w:r>
            <w:r w:rsidR="00D85101">
              <w:rPr>
                <w:rFonts w:ascii="Times New Roman" w:hAnsi="Times New Roman"/>
                <w:b/>
                <w:bCs/>
              </w:rPr>
              <w:t>in accordance with</w:t>
            </w:r>
            <w:r w:rsidRPr="00FE002E">
              <w:rPr>
                <w:rFonts w:ascii="Times New Roman" w:hAnsi="Times New Roman"/>
                <w:b/>
                <w:bCs/>
              </w:rPr>
              <w:t xml:space="preserve"> the risk weight)</w:t>
            </w:r>
            <w:r w:rsidR="00F0756A">
              <w:rPr>
                <w:rFonts w:ascii="Times New Roman" w:hAnsi="Times New Roman"/>
                <w:b/>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w:t>
            </w:r>
            <w:r w:rsidR="00500508">
              <w:rPr>
                <w:rFonts w:ascii="Times New Roman" w:hAnsi="Times New Roman"/>
                <w:bCs/>
              </w:rPr>
              <w:t xml:space="preserve"> </w:t>
            </w:r>
            <w:r w:rsidR="008934D6">
              <w:rPr>
                <w:rFonts w:ascii="Times New Roman" w:hAnsi="Times New Roman"/>
                <w:bCs/>
              </w:rPr>
              <w:t>{</w:t>
            </w:r>
            <w:r w:rsidRPr="00FE002E">
              <w:rPr>
                <w:rFonts w:ascii="Times New Roman" w:hAnsi="Times New Roman"/>
                <w:bCs/>
              </w:rPr>
              <w:t>020</w:t>
            </w:r>
            <w:r w:rsidR="008934D6">
              <w:rPr>
                <w:rFonts w:ascii="Times New Roman" w:hAnsi="Times New Roman"/>
                <w:bCs/>
              </w:rPr>
              <w:t>:*}</w:t>
            </w:r>
            <w:r w:rsidRPr="00FE002E">
              <w:rPr>
                <w:rFonts w:ascii="Times New Roman" w:hAnsi="Times New Roman"/>
                <w:bCs/>
              </w:rPr>
              <w:t xml:space="preserve"> to </w:t>
            </w:r>
            <w:r w:rsidR="008934D6">
              <w:rPr>
                <w:rFonts w:ascii="Times New Roman" w:hAnsi="Times New Roman"/>
                <w:bCs/>
              </w:rPr>
              <w:t>{</w:t>
            </w:r>
            <w:r w:rsidRPr="00FE002E">
              <w:rPr>
                <w:rFonts w:ascii="Times New Roman" w:hAnsi="Times New Roman"/>
                <w:bCs/>
              </w:rPr>
              <w:t>100</w:t>
            </w:r>
            <w:r w:rsidR="008934D6">
              <w:rPr>
                <w:rFonts w:ascii="Times New Roman" w:hAnsi="Times New Roman"/>
                <w:bCs/>
              </w:rPr>
              <w:t>;*}</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r w:rsidR="00F0756A">
              <w:rPr>
                <w:rFonts w:ascii="Times New Roman" w:hAnsi="Times New Roman"/>
                <w:bCs/>
              </w:rPr>
              <w: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w:t>
            </w:r>
            <w:r w:rsidR="006C07C1">
              <w:rPr>
                <w:rFonts w:ascii="Times New Roman" w:hAnsi="Times New Roman"/>
                <w:bCs/>
              </w:rPr>
              <w:t>S</w:t>
            </w:r>
            <w:r w:rsidR="002E6BEF">
              <w:rPr>
                <w:rFonts w:ascii="Times New Roman" w:hAnsi="Times New Roman"/>
                <w:bCs/>
              </w:rPr>
              <w:t>tandardised</w:t>
            </w:r>
            <w:r w:rsidR="002E6BEF" w:rsidRPr="00FE002E">
              <w:rPr>
                <w:rFonts w:ascii="Times New Roman" w:hAnsi="Times New Roman"/>
                <w:bCs/>
              </w:rPr>
              <w:t xml:space="preserve"> </w:t>
            </w:r>
            <w:r w:rsidR="006C07C1">
              <w:rPr>
                <w:rFonts w:ascii="Times New Roman" w:hAnsi="Times New Roman"/>
                <w:bCs/>
              </w:rPr>
              <w:t>A</w:t>
            </w:r>
            <w:r w:rsidRPr="00FE002E">
              <w:rPr>
                <w:rFonts w:ascii="Times New Roman" w:hAnsi="Times New Roman"/>
                <w:bCs/>
              </w:rPr>
              <w:t xml:space="preserve">pproach, exposures falling under Article </w:t>
            </w:r>
            <w:r w:rsidR="00B9736E" w:rsidRPr="00FE002E">
              <w:rPr>
                <w:rFonts w:ascii="Times New Roman" w:hAnsi="Times New Roman"/>
                <w:bCs/>
              </w:rPr>
              <w:t>112</w:t>
            </w:r>
            <w:r w:rsidRPr="00FE002E">
              <w:rPr>
                <w:rFonts w:ascii="Times New Roman" w:hAnsi="Times New Roman"/>
                <w:bCs/>
              </w:rPr>
              <w:t>(j) of the CRR</w:t>
            </w:r>
            <w:r w:rsidR="007A0E3A">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Under the IRB approach, all exposures with a PD of 100% are exposures</w:t>
            </w:r>
            <w:r w:rsidR="007A0E3A">
              <w:rPr>
                <w:rFonts w:ascii="Times New Roman" w:hAnsi="Times New Roman"/>
                <w:bCs/>
              </w:rPr>
              <w:t xml:space="preserve"> in default</w:t>
            </w:r>
            <w:r w:rsidRPr="00FE002E">
              <w:rPr>
                <w:rFonts w:ascii="Times New Roman" w:hAnsi="Times New Roman"/>
                <w:bCs/>
              </w:rPr>
              <w:t>.</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bCs/>
              </w:rPr>
              <w:t xml:space="preserve">(memo item) </w:t>
            </w:r>
            <w:r w:rsidR="00F4754B" w:rsidRPr="00FE002E">
              <w:rPr>
                <w:rFonts w:ascii="Times New Roman" w:hAnsi="Times New Roman"/>
                <w:b/>
                <w:bCs/>
              </w:rPr>
              <w:t>Low-risk off-balance sheet items or off-balance sheet items attracting a 0% conversion factor under the solvency ratio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sidRPr="00FE002E">
              <w:rPr>
                <w:rFonts w:ascii="Times New Roman" w:hAnsi="Times New Roman"/>
                <w:b/>
                <w:bCs/>
              </w:rPr>
              <w:t>Column</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1</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w:t>
            </w:r>
            <w:r w:rsidR="002E6BEF">
              <w:rPr>
                <w:rFonts w:ascii="Times New Roman" w:hAnsi="Times New Roman"/>
                <w:b/>
                <w:bCs/>
              </w:rPr>
              <w:t>-</w:t>
            </w:r>
            <w:r w:rsidRPr="00FE002E">
              <w:rPr>
                <w:rFonts w:ascii="Times New Roman" w:hAnsi="Times New Roman"/>
                <w:b/>
                <w:bCs/>
              </w:rPr>
              <w:t xml:space="preserve">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w:t>
            </w:r>
            <w:r w:rsidR="00F0756A">
              <w:rPr>
                <w:rFonts w:ascii="Times New Roman" w:hAnsi="Times New Roman"/>
              </w:rPr>
              <w:t>CRM</w:t>
            </w:r>
            <w:r w:rsidRPr="00FE002E">
              <w:rPr>
                <w:rFonts w:ascii="Times New Roman" w:hAnsi="Times New Roman"/>
              </w:rPr>
              <w:t xml:space="preserve"> and credit conversion factors, as calculated under Title II, Chapter 2</w:t>
            </w:r>
            <w:r w:rsidR="00B9736E" w:rsidRPr="00FE002E">
              <w:rPr>
                <w:rFonts w:ascii="Times New Roman" w:hAnsi="Times New Roman"/>
              </w:rPr>
              <w:t>, Part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2</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w:t>
            </w:r>
            <w:r w:rsidR="002E6BEF" w:rsidRPr="00FE002E">
              <w:rPr>
                <w:rFonts w:ascii="Times New Roman" w:hAnsi="Times New Roman"/>
              </w:rPr>
              <w:t>off</w:t>
            </w:r>
            <w:r w:rsidR="002E6BEF">
              <w:rPr>
                <w:rFonts w:ascii="Times New Roman" w:hAnsi="Times New Roman"/>
              </w:rPr>
              <w:t>-</w:t>
            </w:r>
            <w:r w:rsidRPr="00FE002E">
              <w:rPr>
                <w:rFonts w:ascii="Times New Roman" w:hAnsi="Times New Roman"/>
              </w:rPr>
              <w:t xml:space="preserve">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w:t>
            </w:r>
            <w:r w:rsidR="007129B2" w:rsidRPr="007129B2">
              <w:rPr>
                <w:rFonts w:ascii="Times New Roman" w:hAnsi="Times New Roman"/>
              </w:rPr>
              <w:t>the first sentence of the second subparagraph o</w:t>
            </w:r>
            <w:r w:rsidR="007129B2">
              <w:rPr>
                <w:rFonts w:ascii="Times New Roman" w:hAnsi="Times New Roman"/>
              </w:rPr>
              <w:t>f</w:t>
            </w:r>
            <w:r w:rsidR="007A0E3A">
              <w:rPr>
                <w:rFonts w:ascii="Times New Roman" w:hAnsi="Times New Roman"/>
              </w:rPr>
              <w:t xml:space="preserve"> </w:t>
            </w:r>
            <w:r w:rsidRPr="00FE002E">
              <w:rPr>
                <w:rFonts w:ascii="Times New Roman" w:hAnsi="Times New Roman"/>
              </w:rPr>
              <w:t xml:space="preserve">Article </w:t>
            </w:r>
            <w:r w:rsidR="00B9736E" w:rsidRPr="00FE002E">
              <w:rPr>
                <w:rFonts w:ascii="Times New Roman" w:hAnsi="Times New Roman"/>
              </w:rPr>
              <w:t>230</w:t>
            </w:r>
            <w:r w:rsidRPr="00FE002E">
              <w:rPr>
                <w:rFonts w:ascii="Times New Roman" w:hAnsi="Times New Roman"/>
              </w:rPr>
              <w:t>(1)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166</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3</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Nominal </w:t>
            </w:r>
            <w:r w:rsidR="00513244">
              <w:rPr>
                <w:rFonts w:ascii="Times New Roman" w:hAnsi="Times New Roman"/>
                <w:b/>
                <w:bCs/>
              </w:rPr>
              <w:t>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 values of off-balance sheet items as defined in Article</w:t>
            </w:r>
            <w:r w:rsidR="007A0E3A">
              <w:rPr>
                <w:rFonts w:ascii="Times New Roman" w:hAnsi="Times New Roman"/>
                <w:bCs/>
              </w:rPr>
              <w:t>s</w:t>
            </w:r>
            <w:r w:rsidRPr="00FE002E">
              <w:rPr>
                <w:rFonts w:ascii="Times New Roman" w:hAnsi="Times New Roman"/>
                <w:bCs/>
              </w:rPr>
              <w:t xml:space="preserv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Start w:id="65" w:name="_Toc351048509"/>
      <w:bookmarkStart w:id="66" w:name="_Toc359414288"/>
      <w:bookmarkStart w:id="67" w:name="_Toc423089073"/>
      <w:bookmarkStart w:id="68" w:name="_Toc322687894"/>
      <w:bookmarkEnd w:id="51"/>
      <w:bookmarkEnd w:id="58"/>
      <w:bookmarkEnd w:id="59"/>
      <w:bookmarkEnd w:id="60"/>
      <w:bookmarkEnd w:id="61"/>
      <w:bookmarkEnd w:id="62"/>
      <w:bookmarkEnd w:id="63"/>
      <w:bookmarkEnd w:id="64"/>
      <w:r w:rsidRPr="00FE002E">
        <w:rPr>
          <w:rFonts w:ascii="Times New Roman" w:hAnsi="Times New Roman"/>
          <w:b/>
        </w:rPr>
        <w:t>7.</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42.00 –</w:t>
      </w:r>
      <w:r w:rsidR="00F4754B" w:rsidRPr="00FE002E">
        <w:rPr>
          <w:rFonts w:ascii="Times New Roman" w:hAnsi="Times New Roman"/>
          <w:b/>
        </w:rPr>
        <w:t xml:space="preserve"> Alternative definition of capital</w:t>
      </w:r>
      <w:bookmarkEnd w:id="65"/>
      <w:bookmarkEnd w:id="66"/>
      <w:r w:rsidR="00481854">
        <w:rPr>
          <w:rFonts w:ascii="Times New Roman" w:hAnsi="Times New Roman"/>
          <w:b/>
        </w:rPr>
        <w:t xml:space="preserve"> (LR3)</w:t>
      </w:r>
      <w:bookmarkEnd w:id="67"/>
      <w:r w:rsidR="00F4754B" w:rsidRPr="00FE002E">
        <w:rPr>
          <w:rFonts w:ascii="Times New Roman" w:hAnsi="Times New Roman"/>
          <w:b/>
        </w:rPr>
        <w:t xml:space="preserve"> </w:t>
      </w:r>
      <w:bookmarkEnd w:id="68"/>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27.</w:t>
      </w:r>
      <w:r w:rsidRPr="00FE002E">
        <w:rPr>
          <w:rFonts w:ascii="Times New Roman" w:hAnsi="Times New Roman"/>
        </w:rPr>
        <w:tab/>
      </w:r>
      <w:r w:rsidR="00F4754B" w:rsidRPr="00FE002E">
        <w:rPr>
          <w:rFonts w:ascii="Times New Roman" w:hAnsi="Times New Roman"/>
          <w:bCs/>
        </w:rPr>
        <w:t xml:space="preserve">Template LR3 provides </w:t>
      </w:r>
      <w:r w:rsidR="00F0756A">
        <w:rPr>
          <w:rFonts w:ascii="Times New Roman" w:hAnsi="Times New Roman"/>
          <w:bCs/>
        </w:rPr>
        <w:t xml:space="preserve">information on </w:t>
      </w:r>
      <w:r w:rsidR="00F4754B" w:rsidRPr="00FE002E">
        <w:rPr>
          <w:rFonts w:ascii="Times New Roman" w:hAnsi="Times New Roman"/>
          <w:bCs/>
        </w:rPr>
        <w:t xml:space="preserve">the capital measures needed for the review of Article </w:t>
      </w:r>
      <w:r w:rsidR="00B9736E" w:rsidRPr="00FE002E">
        <w:rPr>
          <w:rFonts w:ascii="Times New Roman" w:hAnsi="Times New Roman"/>
          <w:bCs/>
        </w:rPr>
        <w:t xml:space="preserve">511 </w:t>
      </w:r>
      <w:r w:rsidR="00F4754B"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{010;</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w:t>
            </w:r>
            <w:r w:rsidR="00513244">
              <w:rPr>
                <w:rFonts w:ascii="Times New Roman" w:hAnsi="Times New Roman"/>
                <w:b/>
                <w:bCs/>
              </w:rPr>
              <w:t>1 capital</w:t>
            </w:r>
            <w:r w:rsidR="00513244" w:rsidRPr="00FE002E">
              <w:rPr>
                <w:rFonts w:ascii="Times New Roman" w:hAnsi="Times New Roman"/>
                <w:b/>
                <w:bCs/>
              </w:rPr>
              <w:t xml:space="preserve"> </w:t>
            </w:r>
            <w:r w:rsidRPr="00FE002E">
              <w:rPr>
                <w:rFonts w:ascii="Times New Roman" w:hAnsi="Times New Roman"/>
                <w:b/>
                <w:bCs/>
              </w:rPr>
              <w:t xml:space="preserve">–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w:t>
            </w:r>
            <w:r w:rsidR="007A0E3A">
              <w:rPr>
                <w:rFonts w:ascii="Times New Roman" w:hAnsi="Times New Roman"/>
                <w:bCs/>
              </w:rPr>
              <w:t>defined in</w:t>
            </w:r>
            <w:r w:rsidRPr="00FE002E">
              <w:rPr>
                <w:rFonts w:ascii="Times New Roman" w:hAnsi="Times New Roman"/>
                <w:bCs/>
              </w:rPr>
              <w:t xml:space="preserve">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513244">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 xml:space="preserve">Common Equity Tier </w:t>
            </w:r>
            <w:r w:rsidR="00513244">
              <w:rPr>
                <w:rFonts w:ascii="Times New Roman" w:hAnsi="Times New Roman"/>
                <w:b/>
                <w:bCs/>
              </w:rPr>
              <w:t xml:space="preserve">1 capital </w:t>
            </w:r>
            <w:r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calculated </w:t>
            </w:r>
            <w:r w:rsidR="007A0E3A">
              <w:rPr>
                <w:rFonts w:ascii="Times New Roman" w:hAnsi="Times New Roman"/>
                <w:bCs/>
              </w:rPr>
              <w:t>defined in</w:t>
            </w:r>
            <w:r w:rsidR="007A0E3A" w:rsidRPr="00FE002E">
              <w:rPr>
                <w:rFonts w:ascii="Times New Roman" w:hAnsi="Times New Roman"/>
                <w:bCs/>
              </w:rPr>
              <w:t xml:space="preserve"> </w:t>
            </w: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w:t>
            </w:r>
            <w:r w:rsidR="00F0756A">
              <w:rPr>
                <w:rFonts w:ascii="Times New Roman" w:hAnsi="Times New Roman"/>
                <w:b/>
                <w:bCs/>
              </w:rPr>
              <w:t xml:space="preserve"> </w:t>
            </w:r>
            <w:r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w:t>
            </w:r>
            <w:r w:rsidR="007A0E3A">
              <w:rPr>
                <w:rFonts w:ascii="Times New Roman" w:hAnsi="Times New Roman"/>
                <w:bCs/>
              </w:rPr>
              <w:t>own funds</w:t>
            </w:r>
            <w:r w:rsidR="007A0E3A" w:rsidRPr="00FE002E">
              <w:rPr>
                <w:rFonts w:ascii="Times New Roman" w:hAnsi="Times New Roman"/>
                <w:bCs/>
              </w:rPr>
              <w:t xml:space="preserve"> </w:t>
            </w:r>
            <w:r w:rsidRPr="00FE002E">
              <w:rPr>
                <w:rFonts w:ascii="Times New Roman" w:hAnsi="Times New Roman"/>
                <w:bCs/>
              </w:rPr>
              <w:t xml:space="preserve">as </w:t>
            </w:r>
            <w:r w:rsidR="007A0E3A">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own fund</w:t>
            </w:r>
            <w:r w:rsidR="007A0E3A" w:rsidRPr="00FE002E">
              <w:rPr>
                <w:rFonts w:ascii="Times New Roman" w:hAnsi="Times New Roman"/>
                <w:bCs/>
              </w:rPr>
              <w:t xml:space="preserve"> </w:t>
            </w:r>
            <w:r w:rsidRPr="00FE002E">
              <w:rPr>
                <w:rFonts w:ascii="Times New Roman" w:hAnsi="Times New Roman"/>
              </w:rPr>
              <w:t xml:space="preserve">as </w:t>
            </w:r>
            <w:r w:rsidR="00D01084">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05</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w:t>
            </w:r>
            <w:r w:rsidR="00D01084">
              <w:rPr>
                <w:rFonts w:ascii="Times New Roman" w:hAnsi="Times New Roman"/>
                <w:bCs/>
              </w:rPr>
              <w:t>to</w:t>
            </w:r>
            <w:r w:rsidR="00D01084" w:rsidRPr="00FE002E">
              <w:rPr>
                <w:rFonts w:ascii="Times New Roman" w:hAnsi="Times New Roman"/>
                <w:bCs/>
              </w:rPr>
              <w:t xml:space="preserve"> </w:t>
            </w:r>
            <w:r w:rsidRPr="00FE002E">
              <w:rPr>
                <w:rFonts w:ascii="Times New Roman" w:hAnsi="Times New Roman"/>
                <w:bCs/>
              </w:rPr>
              <w:t>CET1</w:t>
            </w:r>
            <w:r w:rsidR="00C81710">
              <w:rPr>
                <w:rFonts w:ascii="Times New Roman" w:hAnsi="Times New Roman"/>
                <w:bCs/>
              </w:rPr>
              <w:t xml:space="preserve"> </w:t>
            </w:r>
            <w:r w:rsidR="00D01084">
              <w:rPr>
                <w:rFonts w:ascii="Times New Roman" w:hAnsi="Times New Roman"/>
                <w:bCs/>
              </w:rPr>
              <w:t xml:space="preserve">items </w:t>
            </w:r>
            <w:r w:rsidR="00C81710">
              <w:rPr>
                <w:rFonts w:ascii="Times New Roman" w:hAnsi="Times New Roman"/>
                <w:bCs/>
              </w:rPr>
              <w:t>that adjust the value of an asset and which are required by:</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F4754B" w:rsidRPr="005556DC">
              <w:rPr>
                <w:rFonts w:ascii="Times New Roman" w:hAnsi="Times New Roman"/>
                <w:bCs/>
              </w:rPr>
              <w:t xml:space="preserve">Articles </w:t>
            </w:r>
            <w:r w:rsidR="000E6617" w:rsidRPr="00422C76">
              <w:rPr>
                <w:rFonts w:ascii="Times New Roman" w:hAnsi="Times New Roman"/>
                <w:bCs/>
              </w:rPr>
              <w:t xml:space="preserve">32 </w:t>
            </w:r>
            <w:r w:rsidR="00F4754B" w:rsidRPr="00422C76">
              <w:rPr>
                <w:rFonts w:ascii="Times New Roman" w:hAnsi="Times New Roman"/>
                <w:bCs/>
              </w:rPr>
              <w:t xml:space="preserve">to </w:t>
            </w:r>
            <w:r w:rsidR="000E6617" w:rsidRPr="00422C76">
              <w:rPr>
                <w:rFonts w:ascii="Times New Roman" w:hAnsi="Times New Roman"/>
                <w:bCs/>
              </w:rPr>
              <w:t>35</w:t>
            </w:r>
            <w:r w:rsidR="00F4754B" w:rsidRPr="00422C76">
              <w:rPr>
                <w:rFonts w:ascii="Times New Roman" w:hAnsi="Times New Roman"/>
                <w:bCs/>
              </w:rPr>
              <w:t xml:space="preserve">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F4754B" w:rsidRPr="00422C76">
              <w:rPr>
                <w:rFonts w:ascii="Times New Roman" w:hAnsi="Times New Roman"/>
                <w:bCs/>
              </w:rPr>
              <w:t>Article</w:t>
            </w:r>
            <w:r w:rsidR="00171C76" w:rsidRPr="00422C76">
              <w:rPr>
                <w:rFonts w:ascii="Times New Roman" w:hAnsi="Times New Roman"/>
                <w:bCs/>
              </w:rPr>
              <w:t>s</w:t>
            </w:r>
            <w:r w:rsidR="00F4754B" w:rsidRPr="00422C76">
              <w:rPr>
                <w:rFonts w:ascii="Times New Roman" w:hAnsi="Times New Roman"/>
                <w:bCs/>
              </w:rPr>
              <w:t xml:space="preserve"> </w:t>
            </w:r>
            <w:r w:rsidR="000E6617" w:rsidRPr="00422C76">
              <w:rPr>
                <w:rFonts w:ascii="Times New Roman" w:hAnsi="Times New Roman"/>
                <w:bCs/>
              </w:rPr>
              <w:t>36</w:t>
            </w:r>
            <w:r w:rsidR="00394D11" w:rsidRPr="00422C76">
              <w:rPr>
                <w:rFonts w:ascii="Times New Roman" w:hAnsi="Times New Roman"/>
                <w:bCs/>
              </w:rPr>
              <w:t xml:space="preserve"> to 47</w:t>
            </w:r>
            <w:r w:rsidR="00C81710">
              <w:rPr>
                <w:rFonts w:ascii="Times New Roman" w:hAnsi="Times New Roman"/>
                <w:bCs/>
              </w:rPr>
              <w:t xml:space="preserve"> of the CRR</w:t>
            </w:r>
            <w:r w:rsidR="007A0E3A">
              <w:rPr>
                <w:rFonts w:ascii="Times New Roman" w:hAnsi="Times New Roman"/>
                <w:bCs/>
              </w:rPr>
              <w:t>,</w:t>
            </w:r>
          </w:p>
          <w:p w:rsidR="007A0E3A" w:rsidRPr="00FD2C06"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bCs/>
              </w:rPr>
              <w:t>Institutions shall take i</w:t>
            </w:r>
            <w:r w:rsidR="006E7944" w:rsidRPr="005556DC">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006E7944" w:rsidRPr="005556DC">
              <w:rPr>
                <w:rFonts w:ascii="Times New Roman" w:hAnsi="Times New Roman"/>
                <w:bCs/>
              </w:rPr>
              <w:t>,</w:t>
            </w:r>
            <w:r w:rsidR="00F4754B" w:rsidRPr="00422C76">
              <w:rPr>
                <w:rFonts w:ascii="Times New Roman" w:hAnsi="Times New Roman"/>
                <w:bCs/>
              </w:rPr>
              <w:t xml:space="preserve"> without taking into account the derogation laid down in Chapters 1 and 2 of Part Ten of the CRR.</w:t>
            </w:r>
            <w:r w:rsidR="004B331D" w:rsidRPr="00422C76">
              <w:rPr>
                <w:rFonts w:ascii="Times New Roman" w:hAnsi="Times New Roman"/>
                <w:bCs/>
              </w:rPr>
              <w:t xml:space="preserve"> </w:t>
            </w:r>
            <w:r w:rsidR="00CD3CAD" w:rsidRPr="00422C76">
              <w:rPr>
                <w:rFonts w:ascii="Times New Roman" w:hAnsi="Times New Roman"/>
                <w:bCs/>
              </w:rPr>
              <w:t>To avoid double counting, institutions shall not report adjustments already applied pursuant to Article 111 of the CRR when calculating the exposure value in</w:t>
            </w:r>
            <w:r w:rsidR="004B331D" w:rsidRPr="00422C76">
              <w:rPr>
                <w:rFonts w:ascii="Times New Roman" w:hAnsi="Times New Roman"/>
                <w:bCs/>
              </w:rPr>
              <w:t xml:space="preserve"> </w:t>
            </w:r>
            <w:r w:rsidR="006914A2">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00661667" w:rsidRPr="005556DC">
              <w:rPr>
                <w:rFonts w:ascii="Times New Roman" w:hAnsi="Times New Roman"/>
                <w:bCs/>
              </w:rPr>
              <w:t>.</w:t>
            </w:r>
            <w:r w:rsidR="00661667" w:rsidRPr="00422C76">
              <w:rPr>
                <w:rFonts w:ascii="Times New Roman" w:hAnsi="Times New Roman"/>
                <w:b/>
                <w:bCs/>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w:t>
            </w:r>
            <w:r w:rsidRPr="00C81710">
              <w:rPr>
                <w:rFonts w:ascii="Times New Roman" w:hAnsi="Times New Roman"/>
                <w:bCs/>
              </w:rPr>
              <w:t xml:space="preserve"> </w:t>
            </w:r>
            <w:r w:rsidR="00DD0B71">
              <w:rPr>
                <w:rFonts w:ascii="Times New Roman" w:hAnsi="Times New Roman"/>
                <w:bCs/>
              </w:rPr>
              <w:t>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06</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It includes the amount of regulatory adjustments from CET1</w:t>
            </w:r>
            <w:r>
              <w:rPr>
                <w:rFonts w:ascii="Times New Roman" w:hAnsi="Times New Roman"/>
                <w:bCs/>
              </w:rPr>
              <w:t xml:space="preserve"> 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w:t>
            </w:r>
            <w:r w:rsidR="007A0E3A">
              <w:rPr>
                <w:rFonts w:ascii="Times New Roman" w:hAnsi="Times New Roman"/>
                <w:bCs/>
              </w:rPr>
              <w:t>,</w:t>
            </w:r>
          </w:p>
          <w:p w:rsidR="007A0E3A" w:rsidRPr="00D74CC1"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07</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 xml:space="preserve">own funds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without taking into account the derogation laid down in Chapters 1 and 2 of Part Ten of the CRR. To avoid double counting, institutions shall not report adjustments already applied pursuant to Article 111 of the CRR when calculating the exposure value in rows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08</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own funds</w:t>
            </w:r>
            <w:r w:rsidR="00D01084">
              <w:rPr>
                <w:rFonts w:ascii="Times New Roman" w:hAnsi="Times New Roman"/>
                <w:b/>
                <w:bCs/>
              </w:rPr>
              <w:t xml:space="preserve"> items</w:t>
            </w:r>
            <w:r w:rsidR="00F4754B" w:rsidRPr="00FE002E">
              <w:rPr>
                <w:rFonts w:ascii="Times New Roman" w:hAnsi="Times New Roman"/>
                <w:b/>
                <w:bCs/>
              </w:rPr>
              <w:t xml:space="preserve"> – transitional 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69" w:name="_Toc322687900"/>
      <w:bookmarkStart w:id="70" w:name="_Toc322533879"/>
    </w:p>
    <w:p w:rsidR="00217D1F" w:rsidRPr="00FE002E" w:rsidRDefault="00500508" w:rsidP="00500508">
      <w:pPr>
        <w:pStyle w:val="BodyText1"/>
        <w:ind w:left="357" w:hanging="357"/>
        <w:outlineLvl w:val="1"/>
        <w:rPr>
          <w:rFonts w:ascii="Times New Roman" w:hAnsi="Times New Roman"/>
          <w:b/>
        </w:rPr>
      </w:pPr>
      <w:bookmarkStart w:id="71" w:name="_Toc351048510"/>
      <w:bookmarkStart w:id="72" w:name="_Toc359414289"/>
      <w:bookmarkStart w:id="73" w:name="_Toc423089074"/>
      <w:r w:rsidRPr="00FE002E">
        <w:rPr>
          <w:rFonts w:ascii="Times New Roman" w:hAnsi="Times New Roman"/>
          <w:b/>
        </w:rPr>
        <w:t>8.</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69"/>
      <w:bookmarkEnd w:id="71"/>
      <w:bookmarkEnd w:id="72"/>
      <w:r w:rsidR="00481854">
        <w:rPr>
          <w:rFonts w:ascii="Times New Roman" w:hAnsi="Times New Roman"/>
          <w:b/>
        </w:rPr>
        <w:t xml:space="preserve"> (LR4)</w:t>
      </w:r>
      <w:bookmarkEnd w:id="73"/>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t>28.</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in LR4 after the application of exemptions, </w:t>
      </w:r>
      <w:r w:rsidR="00D01084">
        <w:rPr>
          <w:rFonts w:ascii="Times New Roman" w:hAnsi="Times New Roman"/>
        </w:rPr>
        <w:t>as applicable</w:t>
      </w:r>
      <w:r w:rsidR="004E437E">
        <w:rPr>
          <w:rFonts w:ascii="Times New Roman" w:hAnsi="Times New Roman"/>
        </w:rPr>
        <w:t xml:space="preserve">, </w:t>
      </w:r>
      <w:r w:rsidR="004E437E" w:rsidRPr="004E437E">
        <w:rPr>
          <w:rFonts w:ascii="Times New Roman" w:hAnsi="Times New Roman"/>
        </w:rPr>
        <w:t>referred to in</w:t>
      </w:r>
      <w:r w:rsidR="004E437E">
        <w:rPr>
          <w:rFonts w:ascii="Times New Roman" w:hAnsi="Times New Roman"/>
        </w:rPr>
        <w:t xml:space="preserve"> the following LRCalc cells:</w:t>
      </w:r>
      <w:r w:rsidR="004E437E" w:rsidRPr="004E437E">
        <w:rPr>
          <w:rFonts w:ascii="Times New Roman" w:hAnsi="Times New Roman"/>
        </w:rPr>
        <w:t xml:space="preserve"> {050;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{080;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{100;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{120;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xml:space="preserve">}, {220; </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w:t>
      </w:r>
      <w:r w:rsidR="004E437E">
        <w:rPr>
          <w:rFonts w:ascii="Times New Roman" w:hAnsi="Times New Roman"/>
        </w:rPr>
        <w:t>,</w:t>
      </w:r>
      <w:r w:rsidR="004E437E" w:rsidRPr="004E437E">
        <w:rPr>
          <w:rFonts w:ascii="Times New Roman" w:hAnsi="Times New Roman"/>
        </w:rPr>
        <w:t xml:space="preserve"> {2</w:t>
      </w:r>
      <w:r w:rsidR="004E437E">
        <w:rPr>
          <w:rFonts w:ascii="Times New Roman" w:hAnsi="Times New Roman"/>
        </w:rPr>
        <w:t>50;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 and {260;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w:t>
      </w:r>
      <w:r w:rsidR="004E437E" w:rsidRPr="004E437E">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29.</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equation referred to in the following paragraph</w:t>
      </w:r>
      <w:r w:rsidR="00F4754B"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30.</w:t>
      </w:r>
      <w:r w:rsidRPr="00FE002E">
        <w:rPr>
          <w:rFonts w:ascii="Times New Roman" w:hAnsi="Times New Roman"/>
        </w:rPr>
        <w:tab/>
      </w:r>
      <w:r w:rsidR="007129B2">
        <w:rPr>
          <w:rFonts w:ascii="Times New Roman" w:hAnsi="Times New Roman"/>
        </w:rPr>
        <w:t xml:space="preserve">The equation that institutions shall uphold according to paragraph 29 is: </w:t>
      </w:r>
      <w:r w:rsidR="006C69BD" w:rsidRPr="00FE002E">
        <w:rPr>
          <w:rFonts w:ascii="Times New Roman" w:hAnsi="Times New Roman"/>
        </w:rPr>
        <w:t>[{LRCalc;010;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 </w:t>
      </w:r>
      <w:r w:rsidR="006C69BD" w:rsidRPr="00FE002E">
        <w:rPr>
          <w:rFonts w:ascii="Times New Roman" w:hAnsi="Times New Roman"/>
        </w:rPr>
        <w:t>{LRCalc;080;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LRCalc;100;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F36D5B">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422C76">
        <w:rPr>
          <w:rFonts w:ascii="Times New Roman" w:hAnsi="Times New Roman"/>
        </w:rPr>
        <w:t xml:space="preserve">} + </w:t>
      </w:r>
      <w:r w:rsidR="00F36D5B">
        <w:rPr>
          <w:rFonts w:ascii="Times New Roman" w:hAnsi="Times New Roman"/>
        </w:rPr>
        <w:t>{</w:t>
      </w:r>
      <w:r w:rsidR="000C6AAC">
        <w:rPr>
          <w:rFonts w:ascii="Times New Roman" w:hAnsi="Times New Roman"/>
        </w:rPr>
        <w:t>LRCalc;1</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5A23B9" w:rsidRPr="00FE002E">
        <w:rPr>
          <w:rFonts w:ascii="Times New Roman" w:hAnsi="Times New Roman"/>
        </w:rPr>
        <w:lastRenderedPageBreak/>
        <w:t>{LRCalc;</w:t>
      </w:r>
      <w:r w:rsidR="005A23B9">
        <w:rPr>
          <w:rFonts w:ascii="Times New Roman" w:hAnsi="Times New Roman"/>
        </w:rPr>
        <w:t>26</w:t>
      </w:r>
      <w:r w:rsidR="005A23B9" w:rsidRPr="00FE002E">
        <w:rPr>
          <w:rFonts w:ascii="Times New Roman" w:hAnsi="Times New Roman"/>
        </w:rPr>
        <w:t>0;</w:t>
      </w:r>
      <w:r w:rsidR="00FA1A9C">
        <w:rPr>
          <w:rFonts w:ascii="Times New Roman" w:hAnsi="Times New Roman"/>
        </w:rPr>
        <w:t>0</w:t>
      </w:r>
      <w:r w:rsidR="005A23B9">
        <w:rPr>
          <w:rFonts w:ascii="Times New Roman" w:hAnsi="Times New Roman"/>
        </w:rPr>
        <w:t>1</w:t>
      </w:r>
      <w:r w:rsidR="00FA1A9C">
        <w:rPr>
          <w:rFonts w:ascii="Times New Roman" w:hAnsi="Times New Roman"/>
        </w:rPr>
        <w:t>0</w:t>
      </w:r>
      <w:r w:rsidR="005A23B9">
        <w:rPr>
          <w:rFonts w:ascii="Times New Roman" w:hAnsi="Times New Roman"/>
        </w:rPr>
        <w:t>}</w:t>
      </w:r>
      <w:r w:rsidR="006C69BD" w:rsidRPr="00FE002E">
        <w:rPr>
          <w:rFonts w:ascii="Times New Roman" w:hAnsi="Times New Roman"/>
        </w:rPr>
        <w:t>]</w:t>
      </w:r>
      <w:r w:rsidR="00A867EB">
        <w:rPr>
          <w:rFonts w:ascii="Times New Roman" w:hAnsi="Times New Roman"/>
        </w:rPr>
        <w:t xml:space="preserve"> </w:t>
      </w:r>
      <w:r w:rsidR="006C69BD" w:rsidRPr="00FE002E">
        <w:rPr>
          <w:rFonts w:ascii="Times New Roman" w:hAnsi="Times New Roman"/>
        </w:rPr>
        <w:t>=</w:t>
      </w:r>
      <w:r w:rsidR="006C69BD" w:rsidRPr="00FE002E" w:rsidDel="00EA38F7">
        <w:rPr>
          <w:rFonts w:ascii="Times New Roman" w:hAnsi="Times New Roman"/>
        </w:rPr>
        <w:t xml:space="preserve"> </w:t>
      </w:r>
      <w:r w:rsidR="00F4754B" w:rsidRPr="00FE002E">
        <w:rPr>
          <w:rFonts w:ascii="Times New Roman" w:hAnsi="Times New Roman"/>
        </w:rPr>
        <w:t>[{LR4;010;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{LR4;040;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{LR4;050;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{LR4;060;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sidRPr="00FE002E">
        <w:rPr>
          <w:rFonts w:ascii="Times New Roman" w:hAnsi="Times New Roman"/>
        </w:rPr>
        <w:t>0</w:t>
      </w:r>
      <w:r w:rsidR="00F70A83">
        <w:rPr>
          <w:rFonts w:ascii="Times New Roman" w:hAnsi="Times New Roman"/>
        </w:rPr>
        <w:t>65</w:t>
      </w:r>
      <w:r w:rsidR="00F4754B" w:rsidRPr="00FE002E">
        <w:rPr>
          <w:rFonts w:ascii="Times New Roman" w:hAnsi="Times New Roman"/>
        </w:rPr>
        <w:t>;</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794935">
        <w:rPr>
          <w:rFonts w:ascii="Times New Roman" w:hAnsi="Times New Roman"/>
        </w:rPr>
        <w:t>{LR4;0</w:t>
      </w:r>
      <w:r w:rsidR="00F70A83">
        <w:rPr>
          <w:rFonts w:ascii="Times New Roman" w:hAnsi="Times New Roman"/>
        </w:rPr>
        <w:t>7</w:t>
      </w:r>
      <w:r w:rsidR="00794935" w:rsidRPr="00794935">
        <w:rPr>
          <w:rFonts w:ascii="Times New Roman" w:hAnsi="Times New Roman"/>
        </w:rPr>
        <w:t>0;</w:t>
      </w:r>
      <w:r w:rsidR="00FA1A9C">
        <w:rPr>
          <w:rFonts w:ascii="Times New Roman" w:hAnsi="Times New Roman"/>
        </w:rPr>
        <w:t>0</w:t>
      </w:r>
      <w:r w:rsidR="00794935" w:rsidRPr="00794935">
        <w:rPr>
          <w:rFonts w:ascii="Times New Roman" w:hAnsi="Times New Roman"/>
        </w:rPr>
        <w:t>1</w:t>
      </w:r>
      <w:r w:rsidR="00FA1A9C">
        <w:rPr>
          <w:rFonts w:ascii="Times New Roman" w:hAnsi="Times New Roman"/>
        </w:rPr>
        <w:t>0</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7D4B43">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 Leverage Ratio Exposure Value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3E1D33">
              <w:rPr>
                <w:rFonts w:ascii="Times New Roman" w:hAnsi="Times New Roman"/>
                <w:bCs/>
              </w:rPr>
              <w:t>160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3E1D33">
              <w:rPr>
                <w:rFonts w:ascii="Times New Roman" w:hAnsi="Times New Roman"/>
                <w:bCs/>
              </w:rPr>
              <w:t>170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7D4B43">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w:t>
            </w:r>
            <w:r w:rsidR="00D50BF9">
              <w:rPr>
                <w:rFonts w:ascii="Times New Roman" w:hAnsi="Times New Roman"/>
                <w:b/>
              </w:rPr>
              <w:t>– RWA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Part Three</w:t>
            </w:r>
            <w:r w:rsidRPr="00FE002E">
              <w:rPr>
                <w:rFonts w:ascii="Times New Roman" w:hAnsi="Times New Roman"/>
                <w:bCs/>
              </w:rPr>
              <w:t xml:space="preserve"> of the CRR.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Part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B02080">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D50BF9">
              <w:rPr>
                <w:rFonts w:ascii="Times New Roman" w:hAnsi="Times New Roman"/>
                <w:b/>
                <w:bCs/>
              </w:rPr>
              <w:t xml:space="preserve"> – RWA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;130;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{LRCalc;140;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DB61A5">
              <w:rPr>
                <w:rFonts w:ascii="Times New Roman" w:hAnsi="Times New Roman"/>
                <w:bCs/>
              </w:rPr>
              <w:t>.</w:t>
            </w:r>
            <w:r w:rsidR="004968DF">
              <w:rPr>
                <w:rFonts w:ascii="Times New Roman" w:hAnsi="Times New Roman"/>
                <w:b/>
                <w:bCs/>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r w:rsidR="002E6BEF">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(d)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(d) of the CRR.</w:t>
            </w:r>
            <w:r w:rsidR="00706750"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 xml:space="preserve">(2) and (4)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(3)(a) of the CRR</w:t>
            </w:r>
            <w:r w:rsidR="00706750">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(3)(a</w:t>
            </w:r>
            <w:r w:rsidR="00424A0A" w:rsidRPr="00FE002E">
              <w:rPr>
                <w:rFonts w:ascii="Times New Roman" w:hAnsi="Times New Roman"/>
                <w:bCs/>
              </w:rPr>
              <w:t>) of the CRR</w:t>
            </w:r>
            <w:r w:rsidR="0086471C">
              <w:rPr>
                <w:rFonts w:ascii="Times New Roman" w:hAnsi="Times New Roman"/>
                <w:bCs/>
              </w:rPr>
              <w:t>.</w:t>
            </w:r>
            <w:r w:rsidR="00706750">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315160">
              <w:rPr>
                <w:rFonts w:ascii="Times New Roman" w:hAnsi="Times New Roman"/>
                <w:b/>
                <w:bCs/>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w:t>
            </w:r>
            <w:r w:rsidR="0031516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 xml:space="preserve">(1),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(4)(a) of the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w:t>
            </w:r>
            <w:r w:rsidR="0086471C">
              <w:rPr>
                <w:rFonts w:ascii="Times New Roman" w:hAnsi="Times New Roman"/>
                <w:bCs/>
              </w:rPr>
              <w:t>.</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(1), (2),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Institutions</w:t>
            </w:r>
            <w:r w:rsidR="00D50BF9" w:rsidRPr="00706750">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EA3F88">
              <w:rPr>
                <w:rFonts w:ascii="Times New Roman" w:hAnsi="Times New Roman"/>
                <w:bCs/>
              </w:rPr>
              <w:t>19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 IRB exposures</w:t>
            </w:r>
            <w:r w:rsidR="00706750">
              <w:rPr>
                <w:rFonts w:ascii="Times New Roman" w:hAnsi="Times New Roman"/>
                <w:b/>
                <w:bCs/>
              </w:rP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7022DC" w:rsidRPr="00FE002E">
              <w:rPr>
                <w:rFonts w:ascii="Times New Roman" w:hAnsi="Times New Roman"/>
                <w:bCs/>
              </w:rPr>
              <w:t>147</w:t>
            </w:r>
            <w:r w:rsidRPr="00FE002E">
              <w:rPr>
                <w:rFonts w:ascii="Times New Roman" w:hAnsi="Times New Roman"/>
                <w:bCs/>
              </w:rPr>
              <w:t xml:space="preserve">(2)(c)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967213" w:rsidRPr="00967213">
              <w:rPr>
                <w:rFonts w:ascii="Times New Roman" w:hAnsi="Times New Roman"/>
                <w:b/>
                <w:bCs/>
              </w:rPr>
              <w:t>; of which</w:t>
            </w:r>
            <w:r w:rsidR="00D50BF9" w:rsidRPr="00967213">
              <w:rPr>
                <w:rFonts w:ascii="Times New Roman" w:hAnsi="Times New Roman"/>
                <w:b/>
                <w:bCs/>
              </w:rPr>
              <w:t xml:space="preserve"> </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 xml:space="preserve">Retail SME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w:t>
            </w:r>
          </w:p>
          <w:p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Financial</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BB5324" w:rsidP="007E2A41">
            <w:pPr>
              <w:pStyle w:val="BodyText1"/>
              <w:spacing w:line="240" w:lineRule="auto"/>
              <w:rPr>
                <w:rFonts w:ascii="Times New Roman" w:hAnsi="Times New Roman"/>
                <w:bCs/>
              </w:rPr>
            </w:pPr>
            <w:r>
              <w:rPr>
                <w:rFonts w:ascii="Times New Roman" w:hAnsi="Times New Roman"/>
                <w:bCs/>
              </w:rPr>
              <w:t>.</w:t>
            </w: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as well as undertakings as defined in Article 4</w:t>
            </w:r>
            <w:r w:rsidR="00CA6A32">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BE6AC4" w:rsidRPr="00BE6AC4">
              <w:rPr>
                <w:rFonts w:ascii="Times New Roman" w:hAnsi="Times New Roman"/>
                <w:b/>
                <w:bCs/>
              </w:rPr>
              <w:t>; of which</w:t>
            </w:r>
            <w:r w:rsidR="00D50BF9" w:rsidRPr="00BE6AC4">
              <w:rPr>
                <w:rFonts w:ascii="Times New Roman" w:hAnsi="Times New Roman"/>
                <w:b/>
                <w:bCs/>
              </w:rPr>
              <w:t xml:space="preserve"> </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w:t>
            </w:r>
            <w:r w:rsidRPr="00FE002E">
              <w:rPr>
                <w:rFonts w:ascii="Times New Roman" w:hAnsi="Times New Roman"/>
                <w:b/>
                <w:bCs/>
              </w:rPr>
              <w:t>non</w:t>
            </w:r>
            <w:r w:rsidR="00BE6AC4">
              <w:rPr>
                <w:rFonts w:ascii="Times New Roman" w:hAnsi="Times New Roman"/>
                <w:b/>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SME</w:t>
            </w:r>
            <w:r w:rsidR="00684A92" w:rsidRPr="006F6EA7">
              <w:rPr>
                <w:rFonts w:ascii="Times New Roman" w:hAnsi="Times New Roman"/>
                <w:b/>
                <w:bCs/>
                <w:lang w:val="fr-BE"/>
              </w:rPr>
              <w:t xml:space="preserve"> exposures</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w:t>
            </w:r>
            <w:r w:rsidR="00315160">
              <w:rPr>
                <w:rFonts w:ascii="Times New Roman" w:hAnsi="Times New Roman"/>
                <w:bCs/>
              </w:rPr>
              <w:t>RR and that are not reported in {230;040}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DC2C28" w:rsidRDefault="00F4754B" w:rsidP="007E2A41">
            <w:pPr>
              <w:pStyle w:val="BodyText1"/>
              <w:spacing w:line="240" w:lineRule="auto"/>
              <w:rPr>
                <w:rFonts w:ascii="Times New Roman" w:hAnsi="Times New Roman"/>
                <w:b/>
                <w:bCs/>
                <w:lang w:val="fr-BE"/>
              </w:rPr>
            </w:pPr>
            <w:r w:rsidRPr="00DC2C28">
              <w:rPr>
                <w:rFonts w:ascii="Times New Roman" w:hAnsi="Times New Roman"/>
                <w:b/>
                <w:bCs/>
                <w:lang w:val="fr-BE"/>
              </w:rPr>
              <w:t>Exposures in default</w:t>
            </w:r>
            <w:r w:rsidR="00D50BF9" w:rsidRPr="00DC2C28">
              <w:rPr>
                <w:rFonts w:ascii="Times New Roman" w:hAnsi="Times New Roman"/>
                <w:b/>
                <w:bCs/>
                <w:lang w:val="fr-BE"/>
              </w:rPr>
              <w:t xml:space="preserve"> – RWA</w:t>
            </w:r>
            <w:r w:rsidR="00706750" w:rsidRPr="00DC2C28">
              <w:rPr>
                <w:rFonts w:ascii="Times New Roman" w:hAnsi="Times New Roman"/>
                <w:b/>
                <w:bCs/>
                <w:lang w:val="fr-BE"/>
              </w:rPr>
              <w:t xml:space="preserve"> – SA exposures</w:t>
            </w:r>
          </w:p>
          <w:p w:rsidR="002509B1" w:rsidRPr="00DC2C28" w:rsidRDefault="002509B1" w:rsidP="007E2A41">
            <w:pPr>
              <w:pStyle w:val="BodyText1"/>
              <w:spacing w:line="240" w:lineRule="auto"/>
              <w:rPr>
                <w:rFonts w:ascii="Times New Roman" w:hAnsi="Times New Roman"/>
                <w:b/>
                <w:bCs/>
                <w:lang w:val="fr-B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of which</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xml:space="preserve">) of the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Pr="0062777A">
              <w:rPr>
                <w:rFonts w:ascii="Times New Roman" w:hAnsi="Times New Roman"/>
                <w:b/>
              </w:rPr>
              <w:t>;</w:t>
            </w:r>
            <w:r w:rsidRPr="0062777A">
              <w:rPr>
                <w:rFonts w:ascii="Times New Roman" w:hAnsi="Times New Roman"/>
                <w:b/>
                <w:bCs/>
              </w:rPr>
              <w:t xml:space="preserve"> of</w:t>
            </w:r>
            <w:r w:rsidRPr="006604D8">
              <w:rPr>
                <w:rFonts w:ascii="Times New Roman" w:hAnsi="Times New Roman"/>
                <w:b/>
                <w:bCs/>
              </w:rPr>
              <w:t xml:space="preserve"> w</w:t>
            </w:r>
            <w:r w:rsidRPr="00FE002E">
              <w:rPr>
                <w:rFonts w:ascii="Times New Roman" w:hAnsi="Times New Roman"/>
                <w:b/>
                <w:bCs/>
              </w:rPr>
              <w:t>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147(2)(e), (f) and (g)</w:t>
            </w:r>
            <w:r w:rsidR="00C263AA" w:rsidRPr="00FE002E">
              <w:rPr>
                <w:rFonts w:ascii="Times New Roman" w:hAnsi="Times New Roman"/>
                <w:bCs/>
              </w:rPr>
              <w:t xml:space="preserve"> </w:t>
            </w:r>
            <w:r w:rsidRPr="00FE002E">
              <w:rPr>
                <w:rFonts w:ascii="Times New Roman" w:hAnsi="Times New Roman"/>
                <w:bCs/>
              </w:rPr>
              <w:t xml:space="preserve">of the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(2)(e), (f) and (g) of the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Securitisation exposures</w:t>
            </w:r>
            <w:r w:rsidR="00500508">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bCs/>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w:t>
            </w:r>
            <w:r w:rsidR="00315160">
              <w:rPr>
                <w:rFonts w:ascii="Times New Roman" w:hAnsi="Times New Roman"/>
                <w:bCs/>
              </w:rPr>
              <w:t>.</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lastRenderedPageBreak/>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bookmarkEnd w:id="70"/>
    </w:tbl>
    <w:p w:rsidR="00217D1F" w:rsidRPr="00FE002E" w:rsidRDefault="00F4754B" w:rsidP="00500508">
      <w:pPr>
        <w:pStyle w:val="BodyText1"/>
        <w:ind w:left="357" w:hanging="357"/>
        <w:outlineLvl w:val="1"/>
        <w:rPr>
          <w:rFonts w:ascii="Times New Roman" w:hAnsi="Times New Roman"/>
          <w:b/>
        </w:rPr>
      </w:pPr>
      <w:r w:rsidRPr="00FE002E">
        <w:rPr>
          <w:rFonts w:ascii="Times New Roman" w:hAnsi="Times New Roman"/>
          <w:b/>
        </w:rPr>
        <w:br w:type="page"/>
      </w:r>
      <w:bookmarkStart w:id="74" w:name="_Toc351048511"/>
      <w:bookmarkStart w:id="75" w:name="_Toc359414290"/>
      <w:bookmarkStart w:id="76" w:name="_Toc423089075"/>
      <w:r w:rsidR="00875832" w:rsidRPr="00FE002E">
        <w:rPr>
          <w:rFonts w:ascii="Times New Roman" w:hAnsi="Times New Roman"/>
          <w:b/>
        </w:rPr>
        <w:lastRenderedPageBreak/>
        <w:t>9.</w:t>
      </w:r>
      <w:r w:rsidR="00875832"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Pr="00FE002E">
        <w:rPr>
          <w:rFonts w:ascii="Times New Roman" w:hAnsi="Times New Roman"/>
          <w:b/>
        </w:rPr>
        <w:t>General information</w:t>
      </w:r>
      <w:bookmarkEnd w:id="74"/>
      <w:bookmarkEnd w:id="75"/>
      <w:r w:rsidR="00481854">
        <w:rPr>
          <w:rFonts w:ascii="Times New Roman" w:hAnsi="Times New Roman"/>
          <w:b/>
        </w:rPr>
        <w:t xml:space="preserve"> (LR5)</w:t>
      </w:r>
      <w:bookmarkEnd w:id="76"/>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31.</w:t>
      </w:r>
      <w:r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Mutual/cooperative</w:t>
            </w:r>
            <w:r w:rsidR="00BE6AC4">
              <w:rPr>
                <w:rFonts w:ascii="Times New Roman" w:hAnsi="Times New Roman"/>
                <w:bCs/>
              </w:rPr>
              <w:t>;</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Other non-joint stock company</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Mark-to-market method</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rsidR="00875832"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rsidR="00F4754B" w:rsidRDefault="00875832"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t>Other business model</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bl>
    <w:p w:rsidR="00565261" w:rsidRPr="001F3810" w:rsidRDefault="00CE594E" w:rsidP="008717E3">
      <w:pPr>
        <w:pStyle w:val="BodyText1"/>
        <w:ind w:left="567"/>
        <w:rPr>
          <w:rFonts w:ascii="Times New Roman" w:hAnsi="Times New Roman"/>
          <w:b/>
        </w:rPr>
      </w:pPr>
      <w:r>
        <w:rPr>
          <w:rFonts w:ascii="Times New Roman" w:hAnsi="Times New Roman"/>
          <w:b/>
        </w:rPr>
        <w:t>'</w:t>
      </w:r>
      <w:r w:rsidR="00F4754B" w:rsidRPr="00FE002E">
        <w:rPr>
          <w:rFonts w:ascii="Times New Roman" w:hAnsi="Times New Roman"/>
          <w:b/>
        </w:rPr>
        <w:br w:type="page"/>
      </w:r>
    </w:p>
    <w:sectPr w:rsidR="00565261" w:rsidRPr="001F3810"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77269C">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77269C">
          <w:rPr>
            <w:rFonts w:ascii="Times New Roman" w:hAnsi="Times New Roman"/>
            <w:noProof/>
            <w:sz w:val="20"/>
          </w:rPr>
          <w:t>44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sidRPr="00AD756F">
        <w:rPr>
          <w:sz w:val="12"/>
          <w:szCs w:val="12"/>
          <w:lang w:val="en-US"/>
        </w:rPr>
        <w:t>This includes securitisations and equity exposures</w:t>
      </w:r>
      <w:r>
        <w:rPr>
          <w:sz w:val="12"/>
          <w:szCs w:val="12"/>
          <w:lang w:val="en-US"/>
        </w:rPr>
        <w:t xml:space="preserve"> subject to credit risk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Default="00BE6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Default="00BE6AC4">
    <w:pPr>
      <w:pStyle w:val="Header"/>
    </w:pPr>
    <w:r>
      <w:rPr>
        <w:noProof/>
        <w:lang w:eastAsia="zh-CN"/>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42D745"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C4" w:rsidRDefault="00BE6AC4">
    <w:pPr>
      <w:pStyle w:val="Header"/>
      <w:tabs>
        <w:tab w:val="clear" w:pos="8306"/>
        <w:tab w:val="right" w:pos="9072"/>
      </w:tabs>
      <w:jc w:val="right"/>
      <w:rPr>
        <w:noProof/>
        <w:lang w:eastAsia="en-GB"/>
      </w:rPr>
    </w:pPr>
    <w:r>
      <w:rPr>
        <w:noProof/>
        <w:lang w:eastAsia="zh-CN"/>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BB0DC1"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2179"/>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69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5297" fill="f" fillcolor="white" stroke="f">
      <v:fill color="white" on="f"/>
      <v:stroke on="f"/>
      <v:textbox inset="0,0,0,0"/>
    </o:shapedefaults>
    <o:shapelayout v:ext="edit">
      <o:idmap v:ext="edit" data="1"/>
    </o:shapelayout>
  </w:shapeDefaults>
  <w:decimalSymbol w:val="."/>
  <w:listSeparator w:val=","/>
  <w15:docId w15:val="{7EAE46D2-223B-468D-B187-26915F27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FE59CF-1280-4ECB-9A40-34394B51E061}">
  <ds:schemaRefs>
    <ds:schemaRef ds:uri="http://schemas.openxmlformats.org/officeDocument/2006/bibliography"/>
  </ds:schemaRefs>
</ds:datastoreItem>
</file>

<file path=customXml/itemProps2.xml><?xml version="1.0" encoding="utf-8"?>
<ds:datastoreItem xmlns:ds="http://schemas.openxmlformats.org/officeDocument/2006/customXml" ds:itemID="{026F38B1-AE78-44E7-B3B2-893E85CB4E44}">
  <ds:schemaRefs>
    <ds:schemaRef ds:uri="http://schemas.openxmlformats.org/officeDocument/2006/bibliography"/>
  </ds:schemaRefs>
</ds:datastoreItem>
</file>

<file path=customXml/itemProps3.xml><?xml version="1.0" encoding="utf-8"?>
<ds:datastoreItem xmlns:ds="http://schemas.openxmlformats.org/officeDocument/2006/customXml" ds:itemID="{CDB807CA-4FD7-462F-88A1-91881B503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16585</Words>
  <Characters>94558</Characters>
  <Application>Microsoft Office Word</Application>
  <DocSecurity>0</DocSecurity>
  <Lines>787</Lines>
  <Paragraphs>221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110922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3</cp:revision>
  <cp:lastPrinted>2015-04-10T08:05:00Z</cp:lastPrinted>
  <dcterms:created xsi:type="dcterms:W3CDTF">2018-02-06T16:20:00Z</dcterms:created>
  <dcterms:modified xsi:type="dcterms:W3CDTF">2018-02-06T16:20:00Z</dcterms:modified>
</cp:coreProperties>
</file>