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PL</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ZAŁĄCZNIK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„ZAŁĄCZNIK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INSTRUKCJE DOTYCZĄCE SPRAWOZDAWCZOŚCI W ZAKRESIE FUNDUSZY WŁASNYCH ORAZ WYMOGÓW W ZAKRESIE FUNDUSZY WŁASNYCH</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Spis treści</w:t>
      </w:r>
    </w:p>
    <w:p w14:paraId="53492FFD" w14:textId="44CD48FC" w:rsidR="0043455E" w:rsidRDefault="00745369">
      <w:pPr>
        <w:pStyle w:val="TOC2"/>
        <w:rPr>
          <w:rFonts w:asciiTheme="minorHAnsi" w:eastAsiaTheme="minorEastAsia" w:hAnsiTheme="minorHAnsi" w:cstheme="minorBidi"/>
          <w:b w:val="0"/>
          <w:smallCaps w:val="0"/>
          <w:sz w:val="22"/>
          <w:lang w:eastAsia="pl-P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64763" w:history="1">
        <w:r w:rsidR="0043455E" w:rsidRPr="00A71A3B">
          <w:rPr>
            <w:rStyle w:val="Hyperlink"/>
            <w:rFonts w:ascii="Times New Roman" w:hAnsi="Times New Roman"/>
          </w:rPr>
          <w:t>CZĘŚĆ I: INSTRUKCJE OGÓLNE</w:t>
        </w:r>
        <w:r w:rsidR="0043455E">
          <w:rPr>
            <w:webHidden/>
          </w:rPr>
          <w:tab/>
        </w:r>
        <w:r w:rsidR="0043455E">
          <w:rPr>
            <w:webHidden/>
          </w:rPr>
          <w:fldChar w:fldCharType="begin"/>
        </w:r>
        <w:r w:rsidR="0043455E">
          <w:rPr>
            <w:webHidden/>
          </w:rPr>
          <w:instrText xml:space="preserve"> PAGEREF _Toc119064763 \h </w:instrText>
        </w:r>
        <w:r w:rsidR="0043455E">
          <w:rPr>
            <w:webHidden/>
          </w:rPr>
        </w:r>
        <w:r w:rsidR="0043455E">
          <w:rPr>
            <w:webHidden/>
          </w:rPr>
          <w:fldChar w:fldCharType="separate"/>
        </w:r>
        <w:r w:rsidR="0043455E">
          <w:rPr>
            <w:webHidden/>
          </w:rPr>
          <w:t>7</w:t>
        </w:r>
        <w:r w:rsidR="0043455E">
          <w:rPr>
            <w:webHidden/>
          </w:rPr>
          <w:fldChar w:fldCharType="end"/>
        </w:r>
      </w:hyperlink>
    </w:p>
    <w:p w14:paraId="39C2CE6F" w14:textId="6ACA65B1" w:rsidR="0043455E" w:rsidRDefault="0043455E">
      <w:pPr>
        <w:pStyle w:val="TOC2"/>
        <w:rPr>
          <w:rFonts w:asciiTheme="minorHAnsi" w:eastAsiaTheme="minorEastAsia" w:hAnsiTheme="minorHAnsi" w:cstheme="minorBidi"/>
          <w:b w:val="0"/>
          <w:smallCaps w:val="0"/>
          <w:sz w:val="22"/>
          <w:lang w:eastAsia="pl-PL"/>
        </w:rPr>
      </w:pPr>
      <w:hyperlink w:anchor="_Toc119064764" w:history="1">
        <w:r w:rsidRPr="00A71A3B">
          <w:rPr>
            <w:rStyle w:val="Hyperlink"/>
            <w:rFonts w:ascii="Times New Roman" w:hAnsi="Times New Roman"/>
          </w:rPr>
          <w:t>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STRUKTURA I KONWENCJE</w:t>
        </w:r>
        <w:r>
          <w:rPr>
            <w:webHidden/>
          </w:rPr>
          <w:tab/>
        </w:r>
        <w:r>
          <w:rPr>
            <w:webHidden/>
          </w:rPr>
          <w:fldChar w:fldCharType="begin"/>
        </w:r>
        <w:r>
          <w:rPr>
            <w:webHidden/>
          </w:rPr>
          <w:instrText xml:space="preserve"> PAGEREF _Toc119064764 \h </w:instrText>
        </w:r>
        <w:r>
          <w:rPr>
            <w:webHidden/>
          </w:rPr>
        </w:r>
        <w:r>
          <w:rPr>
            <w:webHidden/>
          </w:rPr>
          <w:fldChar w:fldCharType="separate"/>
        </w:r>
        <w:r>
          <w:rPr>
            <w:webHidden/>
          </w:rPr>
          <w:t>7</w:t>
        </w:r>
        <w:r>
          <w:rPr>
            <w:webHidden/>
          </w:rPr>
          <w:fldChar w:fldCharType="end"/>
        </w:r>
      </w:hyperlink>
    </w:p>
    <w:p w14:paraId="017643C8" w14:textId="4F82DE7F" w:rsidR="0043455E" w:rsidRDefault="0043455E">
      <w:pPr>
        <w:pStyle w:val="TOC2"/>
        <w:rPr>
          <w:rFonts w:asciiTheme="minorHAnsi" w:eastAsiaTheme="minorEastAsia" w:hAnsiTheme="minorHAnsi" w:cstheme="minorBidi"/>
          <w:b w:val="0"/>
          <w:smallCaps w:val="0"/>
          <w:sz w:val="22"/>
          <w:lang w:eastAsia="pl-PL"/>
        </w:rPr>
      </w:pPr>
      <w:hyperlink w:anchor="_Toc119064765" w:history="1">
        <w:r w:rsidRPr="00A71A3B">
          <w:rPr>
            <w:rStyle w:val="Hyperlink"/>
            <w:rFonts w:ascii="Times New Roman" w:hAnsi="Times New Roman"/>
          </w:rPr>
          <w:t>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STRUKTURA</w:t>
        </w:r>
        <w:r>
          <w:rPr>
            <w:webHidden/>
          </w:rPr>
          <w:tab/>
        </w:r>
        <w:r>
          <w:rPr>
            <w:webHidden/>
          </w:rPr>
          <w:fldChar w:fldCharType="begin"/>
        </w:r>
        <w:r>
          <w:rPr>
            <w:webHidden/>
          </w:rPr>
          <w:instrText xml:space="preserve"> PAGEREF _Toc119064765 \h </w:instrText>
        </w:r>
        <w:r>
          <w:rPr>
            <w:webHidden/>
          </w:rPr>
        </w:r>
        <w:r>
          <w:rPr>
            <w:webHidden/>
          </w:rPr>
          <w:fldChar w:fldCharType="separate"/>
        </w:r>
        <w:r>
          <w:rPr>
            <w:webHidden/>
          </w:rPr>
          <w:t>7</w:t>
        </w:r>
        <w:r>
          <w:rPr>
            <w:webHidden/>
          </w:rPr>
          <w:fldChar w:fldCharType="end"/>
        </w:r>
      </w:hyperlink>
    </w:p>
    <w:p w14:paraId="3112FFC3" w14:textId="2DE425DC" w:rsidR="0043455E" w:rsidRDefault="0043455E">
      <w:pPr>
        <w:pStyle w:val="TOC2"/>
        <w:rPr>
          <w:rFonts w:asciiTheme="minorHAnsi" w:eastAsiaTheme="minorEastAsia" w:hAnsiTheme="minorHAnsi" w:cstheme="minorBidi"/>
          <w:b w:val="0"/>
          <w:smallCaps w:val="0"/>
          <w:sz w:val="22"/>
          <w:lang w:eastAsia="pl-PL"/>
        </w:rPr>
      </w:pPr>
      <w:hyperlink w:anchor="_Toc119064766" w:history="1">
        <w:r w:rsidRPr="00A71A3B">
          <w:rPr>
            <w:rStyle w:val="Hyperlink"/>
            <w:rFonts w:ascii="Times New Roman" w:hAnsi="Times New Roman"/>
          </w:rPr>
          <w:t>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Konwencja numerowania</w:t>
        </w:r>
        <w:r>
          <w:rPr>
            <w:webHidden/>
          </w:rPr>
          <w:tab/>
        </w:r>
        <w:r>
          <w:rPr>
            <w:webHidden/>
          </w:rPr>
          <w:fldChar w:fldCharType="begin"/>
        </w:r>
        <w:r>
          <w:rPr>
            <w:webHidden/>
          </w:rPr>
          <w:instrText xml:space="preserve"> PAGEREF _Toc119064766 \h </w:instrText>
        </w:r>
        <w:r>
          <w:rPr>
            <w:webHidden/>
          </w:rPr>
        </w:r>
        <w:r>
          <w:rPr>
            <w:webHidden/>
          </w:rPr>
          <w:fldChar w:fldCharType="separate"/>
        </w:r>
        <w:r>
          <w:rPr>
            <w:webHidden/>
          </w:rPr>
          <w:t>7</w:t>
        </w:r>
        <w:r>
          <w:rPr>
            <w:webHidden/>
          </w:rPr>
          <w:fldChar w:fldCharType="end"/>
        </w:r>
      </w:hyperlink>
    </w:p>
    <w:p w14:paraId="40EAA6D8" w14:textId="5BA067CF" w:rsidR="0043455E" w:rsidRDefault="0043455E">
      <w:pPr>
        <w:pStyle w:val="TOC2"/>
        <w:rPr>
          <w:rFonts w:asciiTheme="minorHAnsi" w:eastAsiaTheme="minorEastAsia" w:hAnsiTheme="minorHAnsi" w:cstheme="minorBidi"/>
          <w:b w:val="0"/>
          <w:smallCaps w:val="0"/>
          <w:sz w:val="22"/>
          <w:lang w:eastAsia="pl-PL"/>
        </w:rPr>
      </w:pPr>
      <w:hyperlink w:anchor="_Toc119064767" w:history="1">
        <w:r w:rsidRPr="00A71A3B">
          <w:rPr>
            <w:rStyle w:val="Hyperlink"/>
            <w:rFonts w:ascii="Times New Roman" w:hAnsi="Times New Roman"/>
          </w:rPr>
          <w:t>1.3.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Konwencja znaku</w:t>
        </w:r>
        <w:r>
          <w:rPr>
            <w:webHidden/>
          </w:rPr>
          <w:tab/>
        </w:r>
        <w:r>
          <w:rPr>
            <w:webHidden/>
          </w:rPr>
          <w:fldChar w:fldCharType="begin"/>
        </w:r>
        <w:r>
          <w:rPr>
            <w:webHidden/>
          </w:rPr>
          <w:instrText xml:space="preserve"> PAGEREF _Toc119064767 \h </w:instrText>
        </w:r>
        <w:r>
          <w:rPr>
            <w:webHidden/>
          </w:rPr>
        </w:r>
        <w:r>
          <w:rPr>
            <w:webHidden/>
          </w:rPr>
          <w:fldChar w:fldCharType="separate"/>
        </w:r>
        <w:r>
          <w:rPr>
            <w:webHidden/>
          </w:rPr>
          <w:t>8</w:t>
        </w:r>
        <w:r>
          <w:rPr>
            <w:webHidden/>
          </w:rPr>
          <w:fldChar w:fldCharType="end"/>
        </w:r>
      </w:hyperlink>
    </w:p>
    <w:p w14:paraId="050F8AFF" w14:textId="022DD8CC" w:rsidR="0043455E" w:rsidRDefault="0043455E">
      <w:pPr>
        <w:pStyle w:val="TOC2"/>
        <w:rPr>
          <w:rFonts w:asciiTheme="minorHAnsi" w:eastAsiaTheme="minorEastAsia" w:hAnsiTheme="minorHAnsi" w:cstheme="minorBidi"/>
          <w:b w:val="0"/>
          <w:smallCaps w:val="0"/>
          <w:sz w:val="22"/>
          <w:lang w:eastAsia="pl-PL"/>
        </w:rPr>
      </w:pPr>
      <w:hyperlink w:anchor="_Toc119064768" w:history="1">
        <w:r w:rsidRPr="00A71A3B">
          <w:rPr>
            <w:rStyle w:val="Hyperlink"/>
            <w:rFonts w:ascii="Times New Roman" w:hAnsi="Times New Roman"/>
          </w:rPr>
          <w:t>CZĘŚĆ II: INSTRUKCJE DOTYCZĄCE WZORÓW</w:t>
        </w:r>
        <w:r>
          <w:rPr>
            <w:webHidden/>
          </w:rPr>
          <w:tab/>
        </w:r>
        <w:r>
          <w:rPr>
            <w:webHidden/>
          </w:rPr>
          <w:fldChar w:fldCharType="begin"/>
        </w:r>
        <w:r>
          <w:rPr>
            <w:webHidden/>
          </w:rPr>
          <w:instrText xml:space="preserve"> PAGEREF _Toc119064768 \h </w:instrText>
        </w:r>
        <w:r>
          <w:rPr>
            <w:webHidden/>
          </w:rPr>
        </w:r>
        <w:r>
          <w:rPr>
            <w:webHidden/>
          </w:rPr>
          <w:fldChar w:fldCharType="separate"/>
        </w:r>
        <w:r>
          <w:rPr>
            <w:webHidden/>
          </w:rPr>
          <w:t>9</w:t>
        </w:r>
        <w:r>
          <w:rPr>
            <w:webHidden/>
          </w:rPr>
          <w:fldChar w:fldCharType="end"/>
        </w:r>
      </w:hyperlink>
    </w:p>
    <w:p w14:paraId="4053FE40" w14:textId="46604378" w:rsidR="0043455E" w:rsidRDefault="0043455E">
      <w:pPr>
        <w:pStyle w:val="TOC2"/>
        <w:rPr>
          <w:rFonts w:asciiTheme="minorHAnsi" w:eastAsiaTheme="minorEastAsia" w:hAnsiTheme="minorHAnsi" w:cstheme="minorBidi"/>
          <w:b w:val="0"/>
          <w:smallCaps w:val="0"/>
          <w:sz w:val="22"/>
          <w:lang w:eastAsia="pl-PL"/>
        </w:rPr>
      </w:pPr>
      <w:hyperlink w:anchor="_Toc119064769" w:history="1">
        <w:r w:rsidRPr="00A71A3B">
          <w:rPr>
            <w:rStyle w:val="Hyperlink"/>
            <w:rFonts w:ascii="Times New Roman" w:hAnsi="Times New Roman"/>
          </w:rPr>
          <w:t>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Przegląd adekwatności kapitałowej („CA”)</w:t>
        </w:r>
        <w:r>
          <w:rPr>
            <w:webHidden/>
          </w:rPr>
          <w:tab/>
        </w:r>
        <w:r>
          <w:rPr>
            <w:webHidden/>
          </w:rPr>
          <w:fldChar w:fldCharType="begin"/>
        </w:r>
        <w:r>
          <w:rPr>
            <w:webHidden/>
          </w:rPr>
          <w:instrText xml:space="preserve"> PAGEREF _Toc119064769 \h </w:instrText>
        </w:r>
        <w:r>
          <w:rPr>
            <w:webHidden/>
          </w:rPr>
        </w:r>
        <w:r>
          <w:rPr>
            <w:webHidden/>
          </w:rPr>
          <w:fldChar w:fldCharType="separate"/>
        </w:r>
        <w:r>
          <w:rPr>
            <w:webHidden/>
          </w:rPr>
          <w:t>9</w:t>
        </w:r>
        <w:r>
          <w:rPr>
            <w:webHidden/>
          </w:rPr>
          <w:fldChar w:fldCharType="end"/>
        </w:r>
      </w:hyperlink>
    </w:p>
    <w:p w14:paraId="714DBE21" w14:textId="76294DB4" w:rsidR="0043455E" w:rsidRDefault="0043455E">
      <w:pPr>
        <w:pStyle w:val="TOC2"/>
        <w:rPr>
          <w:rFonts w:asciiTheme="minorHAnsi" w:eastAsiaTheme="minorEastAsia" w:hAnsiTheme="minorHAnsi" w:cstheme="minorBidi"/>
          <w:b w:val="0"/>
          <w:smallCaps w:val="0"/>
          <w:sz w:val="22"/>
          <w:lang w:eastAsia="pl-PL"/>
        </w:rPr>
      </w:pPr>
      <w:hyperlink w:anchor="_Toc119064770" w:history="1">
        <w:r w:rsidRPr="00A71A3B">
          <w:rPr>
            <w:rStyle w:val="Hyperlink"/>
            <w:rFonts w:ascii="Times New Roman" w:hAnsi="Times New Roman"/>
          </w:rPr>
          <w:t>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_Toc119064770 \h </w:instrText>
        </w:r>
        <w:r>
          <w:rPr>
            <w:webHidden/>
          </w:rPr>
        </w:r>
        <w:r>
          <w:rPr>
            <w:webHidden/>
          </w:rPr>
          <w:fldChar w:fldCharType="separate"/>
        </w:r>
        <w:r>
          <w:rPr>
            <w:webHidden/>
          </w:rPr>
          <w:t>9</w:t>
        </w:r>
        <w:r>
          <w:rPr>
            <w:webHidden/>
          </w:rPr>
          <w:fldChar w:fldCharType="end"/>
        </w:r>
      </w:hyperlink>
    </w:p>
    <w:p w14:paraId="4E83F2DF" w14:textId="647F1620" w:rsidR="0043455E" w:rsidRDefault="0043455E">
      <w:pPr>
        <w:pStyle w:val="TOC2"/>
        <w:rPr>
          <w:rFonts w:asciiTheme="minorHAnsi" w:eastAsiaTheme="minorEastAsia" w:hAnsiTheme="minorHAnsi" w:cstheme="minorBidi"/>
          <w:b w:val="0"/>
          <w:smallCaps w:val="0"/>
          <w:sz w:val="22"/>
          <w:lang w:eastAsia="pl-PL"/>
        </w:rPr>
      </w:pPr>
      <w:hyperlink w:anchor="_Toc119064771" w:history="1">
        <w:r w:rsidRPr="00A71A3B">
          <w:rPr>
            <w:rStyle w:val="Hyperlink"/>
            <w:rFonts w:ascii="Times New Roman" w:hAnsi="Times New Roman"/>
          </w:rPr>
          <w:t>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01.00 – FUNDUSZE WŁASNE (CA1)</w:t>
        </w:r>
        <w:r>
          <w:rPr>
            <w:webHidden/>
          </w:rPr>
          <w:tab/>
        </w:r>
        <w:r>
          <w:rPr>
            <w:webHidden/>
          </w:rPr>
          <w:fldChar w:fldCharType="begin"/>
        </w:r>
        <w:r>
          <w:rPr>
            <w:webHidden/>
          </w:rPr>
          <w:instrText xml:space="preserve"> PAGEREF _Toc119064771 \h </w:instrText>
        </w:r>
        <w:r>
          <w:rPr>
            <w:webHidden/>
          </w:rPr>
        </w:r>
        <w:r>
          <w:rPr>
            <w:webHidden/>
          </w:rPr>
          <w:fldChar w:fldCharType="separate"/>
        </w:r>
        <w:r>
          <w:rPr>
            <w:webHidden/>
          </w:rPr>
          <w:t>10</w:t>
        </w:r>
        <w:r>
          <w:rPr>
            <w:webHidden/>
          </w:rPr>
          <w:fldChar w:fldCharType="end"/>
        </w:r>
      </w:hyperlink>
    </w:p>
    <w:p w14:paraId="37092AA8" w14:textId="264EC527" w:rsidR="0043455E" w:rsidRDefault="0043455E">
      <w:pPr>
        <w:pStyle w:val="TOC2"/>
        <w:rPr>
          <w:rFonts w:asciiTheme="minorHAnsi" w:eastAsiaTheme="minorEastAsia" w:hAnsiTheme="minorHAnsi" w:cstheme="minorBidi"/>
          <w:b w:val="0"/>
          <w:smallCaps w:val="0"/>
          <w:sz w:val="22"/>
          <w:lang w:eastAsia="pl-PL"/>
        </w:rPr>
      </w:pPr>
      <w:hyperlink w:anchor="_Toc119064772" w:history="1">
        <w:r w:rsidRPr="00A71A3B">
          <w:rPr>
            <w:rStyle w:val="Hyperlink"/>
            <w:rFonts w:ascii="Times New Roman" w:hAnsi="Times New Roman"/>
          </w:rPr>
          <w:t>1.2.1.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_Toc119064772 \h </w:instrText>
        </w:r>
        <w:r>
          <w:rPr>
            <w:webHidden/>
          </w:rPr>
        </w:r>
        <w:r>
          <w:rPr>
            <w:webHidden/>
          </w:rPr>
          <w:fldChar w:fldCharType="separate"/>
        </w:r>
        <w:r>
          <w:rPr>
            <w:webHidden/>
          </w:rPr>
          <w:t>10</w:t>
        </w:r>
        <w:r>
          <w:rPr>
            <w:webHidden/>
          </w:rPr>
          <w:fldChar w:fldCharType="end"/>
        </w:r>
      </w:hyperlink>
    </w:p>
    <w:p w14:paraId="75B63A1B" w14:textId="492ECD67" w:rsidR="0043455E" w:rsidRDefault="0043455E">
      <w:pPr>
        <w:pStyle w:val="TOC2"/>
        <w:rPr>
          <w:rFonts w:asciiTheme="minorHAnsi" w:eastAsiaTheme="minorEastAsia" w:hAnsiTheme="minorHAnsi" w:cstheme="minorBidi"/>
          <w:b w:val="0"/>
          <w:smallCaps w:val="0"/>
          <w:sz w:val="22"/>
          <w:lang w:eastAsia="pl-PL"/>
        </w:rPr>
      </w:pPr>
      <w:hyperlink w:anchor="_Toc119064773" w:history="1">
        <w:r w:rsidRPr="00A71A3B">
          <w:rPr>
            <w:rStyle w:val="Hyperlink"/>
            <w:rFonts w:ascii="Times New Roman" w:hAnsi="Times New Roman"/>
          </w:rPr>
          <w:t>1.3.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02.00 – WYMOGI W ZAKRESIE FUNDUSZY WŁASNYCH (CA2)</w:t>
        </w:r>
        <w:r>
          <w:rPr>
            <w:webHidden/>
          </w:rPr>
          <w:tab/>
        </w:r>
        <w:r>
          <w:rPr>
            <w:webHidden/>
          </w:rPr>
          <w:fldChar w:fldCharType="begin"/>
        </w:r>
        <w:r>
          <w:rPr>
            <w:webHidden/>
          </w:rPr>
          <w:instrText xml:space="preserve"> PAGEREF _Toc119064773 \h </w:instrText>
        </w:r>
        <w:r>
          <w:rPr>
            <w:webHidden/>
          </w:rPr>
        </w:r>
        <w:r>
          <w:rPr>
            <w:webHidden/>
          </w:rPr>
          <w:fldChar w:fldCharType="separate"/>
        </w:r>
        <w:r>
          <w:rPr>
            <w:webHidden/>
          </w:rPr>
          <w:t>30</w:t>
        </w:r>
        <w:r>
          <w:rPr>
            <w:webHidden/>
          </w:rPr>
          <w:fldChar w:fldCharType="end"/>
        </w:r>
      </w:hyperlink>
    </w:p>
    <w:p w14:paraId="6AE01E29" w14:textId="3D79BD5F" w:rsidR="0043455E" w:rsidRDefault="0043455E">
      <w:pPr>
        <w:pStyle w:val="TOC2"/>
        <w:rPr>
          <w:rFonts w:asciiTheme="minorHAnsi" w:eastAsiaTheme="minorEastAsia" w:hAnsiTheme="minorHAnsi" w:cstheme="minorBidi"/>
          <w:b w:val="0"/>
          <w:smallCaps w:val="0"/>
          <w:sz w:val="22"/>
          <w:lang w:eastAsia="pl-PL"/>
        </w:rPr>
      </w:pPr>
      <w:hyperlink w:anchor="_Toc119064774" w:history="1">
        <w:r w:rsidRPr="00A71A3B">
          <w:rPr>
            <w:rStyle w:val="Hyperlink"/>
            <w:rFonts w:ascii="Times New Roman" w:hAnsi="Times New Roman"/>
          </w:rPr>
          <w:t>1.3.1.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_Toc119064774 \h </w:instrText>
        </w:r>
        <w:r>
          <w:rPr>
            <w:webHidden/>
          </w:rPr>
        </w:r>
        <w:r>
          <w:rPr>
            <w:webHidden/>
          </w:rPr>
          <w:fldChar w:fldCharType="separate"/>
        </w:r>
        <w:r>
          <w:rPr>
            <w:webHidden/>
          </w:rPr>
          <w:t>30</w:t>
        </w:r>
        <w:r>
          <w:rPr>
            <w:webHidden/>
          </w:rPr>
          <w:fldChar w:fldCharType="end"/>
        </w:r>
      </w:hyperlink>
    </w:p>
    <w:p w14:paraId="32F1EA94" w14:textId="1759CBC9" w:rsidR="0043455E" w:rsidRDefault="0043455E">
      <w:pPr>
        <w:pStyle w:val="TOC2"/>
        <w:rPr>
          <w:rFonts w:asciiTheme="minorHAnsi" w:eastAsiaTheme="minorEastAsia" w:hAnsiTheme="minorHAnsi" w:cstheme="minorBidi"/>
          <w:b w:val="0"/>
          <w:smallCaps w:val="0"/>
          <w:sz w:val="22"/>
          <w:lang w:eastAsia="pl-PL"/>
        </w:rPr>
      </w:pPr>
      <w:hyperlink w:anchor="_Toc119064775" w:history="1">
        <w:r w:rsidRPr="00A71A3B">
          <w:rPr>
            <w:rStyle w:val="Hyperlink"/>
            <w:rFonts w:ascii="Times New Roman" w:hAnsi="Times New Roman"/>
          </w:rPr>
          <w:t>1.4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03.00 – WSPÓŁCZYNNIKI KAPITAŁOWE ORAZ POZIOMY KAPITAŁU (CA3)</w:t>
        </w:r>
        <w:r>
          <w:rPr>
            <w:webHidden/>
          </w:rPr>
          <w:tab/>
        </w:r>
        <w:r>
          <w:rPr>
            <w:webHidden/>
          </w:rPr>
          <w:fldChar w:fldCharType="begin"/>
        </w:r>
        <w:r>
          <w:rPr>
            <w:webHidden/>
          </w:rPr>
          <w:instrText xml:space="preserve"> PAGEREF _Toc119064775 \h </w:instrText>
        </w:r>
        <w:r>
          <w:rPr>
            <w:webHidden/>
          </w:rPr>
        </w:r>
        <w:r>
          <w:rPr>
            <w:webHidden/>
          </w:rPr>
          <w:fldChar w:fldCharType="separate"/>
        </w:r>
        <w:r>
          <w:rPr>
            <w:webHidden/>
          </w:rPr>
          <w:t>38</w:t>
        </w:r>
        <w:r>
          <w:rPr>
            <w:webHidden/>
          </w:rPr>
          <w:fldChar w:fldCharType="end"/>
        </w:r>
      </w:hyperlink>
    </w:p>
    <w:p w14:paraId="05C107F6" w14:textId="502A7A11" w:rsidR="0043455E" w:rsidRDefault="0043455E">
      <w:pPr>
        <w:pStyle w:val="TOC2"/>
        <w:rPr>
          <w:rFonts w:asciiTheme="minorHAnsi" w:eastAsiaTheme="minorEastAsia" w:hAnsiTheme="minorHAnsi" w:cstheme="minorBidi"/>
          <w:b w:val="0"/>
          <w:smallCaps w:val="0"/>
          <w:sz w:val="22"/>
          <w:lang w:eastAsia="pl-PL"/>
        </w:rPr>
      </w:pPr>
      <w:hyperlink w:anchor="_Toc119064776" w:history="1">
        <w:r w:rsidRPr="00A71A3B">
          <w:rPr>
            <w:rStyle w:val="Hyperlink"/>
            <w:rFonts w:ascii="Times New Roman" w:hAnsi="Times New Roman"/>
          </w:rPr>
          <w:t>1.4.1.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_Toc119064776 \h </w:instrText>
        </w:r>
        <w:r>
          <w:rPr>
            <w:webHidden/>
          </w:rPr>
        </w:r>
        <w:r>
          <w:rPr>
            <w:webHidden/>
          </w:rPr>
          <w:fldChar w:fldCharType="separate"/>
        </w:r>
        <w:r>
          <w:rPr>
            <w:webHidden/>
          </w:rPr>
          <w:t>38</w:t>
        </w:r>
        <w:r>
          <w:rPr>
            <w:webHidden/>
          </w:rPr>
          <w:fldChar w:fldCharType="end"/>
        </w:r>
      </w:hyperlink>
    </w:p>
    <w:p w14:paraId="595B13D3" w14:textId="3C18E924" w:rsidR="0043455E" w:rsidRDefault="0043455E">
      <w:pPr>
        <w:pStyle w:val="TOC2"/>
        <w:rPr>
          <w:rFonts w:asciiTheme="minorHAnsi" w:eastAsiaTheme="minorEastAsia" w:hAnsiTheme="minorHAnsi" w:cstheme="minorBidi"/>
          <w:b w:val="0"/>
          <w:smallCaps w:val="0"/>
          <w:sz w:val="22"/>
          <w:lang w:eastAsia="pl-PL"/>
        </w:rPr>
      </w:pPr>
      <w:hyperlink w:anchor="_Toc119064777" w:history="1">
        <w:r w:rsidRPr="00A71A3B">
          <w:rPr>
            <w:rStyle w:val="Hyperlink"/>
            <w:rFonts w:ascii="Times New Roman" w:hAnsi="Times New Roman"/>
          </w:rPr>
          <w:t>1.5.</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04.00 – POZYCJE UZUPEŁNIAJĄCE (CA4)</w:t>
        </w:r>
        <w:r>
          <w:rPr>
            <w:webHidden/>
          </w:rPr>
          <w:tab/>
        </w:r>
        <w:r>
          <w:rPr>
            <w:webHidden/>
          </w:rPr>
          <w:fldChar w:fldCharType="begin"/>
        </w:r>
        <w:r>
          <w:rPr>
            <w:webHidden/>
          </w:rPr>
          <w:instrText xml:space="preserve"> PAGEREF _Toc119064777 \h </w:instrText>
        </w:r>
        <w:r>
          <w:rPr>
            <w:webHidden/>
          </w:rPr>
        </w:r>
        <w:r>
          <w:rPr>
            <w:webHidden/>
          </w:rPr>
          <w:fldChar w:fldCharType="separate"/>
        </w:r>
        <w:r>
          <w:rPr>
            <w:webHidden/>
          </w:rPr>
          <w:t>42</w:t>
        </w:r>
        <w:r>
          <w:rPr>
            <w:webHidden/>
          </w:rPr>
          <w:fldChar w:fldCharType="end"/>
        </w:r>
      </w:hyperlink>
    </w:p>
    <w:p w14:paraId="16146CFB" w14:textId="14F0EA52" w:rsidR="0043455E" w:rsidRDefault="0043455E">
      <w:pPr>
        <w:pStyle w:val="TOC2"/>
        <w:rPr>
          <w:rFonts w:asciiTheme="minorHAnsi" w:eastAsiaTheme="minorEastAsia" w:hAnsiTheme="minorHAnsi" w:cstheme="minorBidi"/>
          <w:b w:val="0"/>
          <w:smallCaps w:val="0"/>
          <w:sz w:val="22"/>
          <w:lang w:eastAsia="pl-PL"/>
        </w:rPr>
      </w:pPr>
      <w:hyperlink w:anchor="_Toc119064778" w:history="1">
        <w:r w:rsidRPr="00A71A3B">
          <w:rPr>
            <w:rStyle w:val="Hyperlink"/>
            <w:rFonts w:ascii="Times New Roman" w:hAnsi="Times New Roman"/>
          </w:rPr>
          <w:t>1.5.1.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_Toc119064778 \h </w:instrText>
        </w:r>
        <w:r>
          <w:rPr>
            <w:webHidden/>
          </w:rPr>
        </w:r>
        <w:r>
          <w:rPr>
            <w:webHidden/>
          </w:rPr>
          <w:fldChar w:fldCharType="separate"/>
        </w:r>
        <w:r>
          <w:rPr>
            <w:webHidden/>
          </w:rPr>
          <w:t>42</w:t>
        </w:r>
        <w:r>
          <w:rPr>
            <w:webHidden/>
          </w:rPr>
          <w:fldChar w:fldCharType="end"/>
        </w:r>
      </w:hyperlink>
    </w:p>
    <w:p w14:paraId="28A59F2B" w14:textId="5A9D6B65" w:rsidR="0043455E" w:rsidRDefault="0043455E">
      <w:pPr>
        <w:pStyle w:val="TOC2"/>
        <w:rPr>
          <w:rFonts w:asciiTheme="minorHAnsi" w:eastAsiaTheme="minorEastAsia" w:hAnsiTheme="minorHAnsi" w:cstheme="minorBidi"/>
          <w:b w:val="0"/>
          <w:smallCaps w:val="0"/>
          <w:sz w:val="22"/>
          <w:lang w:eastAsia="pl-PL"/>
        </w:rPr>
      </w:pPr>
      <w:hyperlink w:anchor="_Toc119064779" w:history="1">
        <w:r w:rsidRPr="00A71A3B">
          <w:rPr>
            <w:rStyle w:val="Hyperlink"/>
            <w:rFonts w:ascii="Times New Roman" w:hAnsi="Times New Roman"/>
          </w:rPr>
          <w:t>1.6</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PRZEPISY PRZEJŚCIOWE oraz INSTRUMENTY PODLEGAJĄCE ZASADZIE PRAW NABYTYCH: INSTRUMENTY NIESTANOWIĄCE POMOCY PAŃSTWA (CA5)</w:t>
        </w:r>
        <w:r>
          <w:rPr>
            <w:webHidden/>
          </w:rPr>
          <w:tab/>
        </w:r>
        <w:r>
          <w:rPr>
            <w:webHidden/>
          </w:rPr>
          <w:fldChar w:fldCharType="begin"/>
        </w:r>
        <w:r>
          <w:rPr>
            <w:webHidden/>
          </w:rPr>
          <w:instrText xml:space="preserve"> PAGEREF _Toc119064779 \h </w:instrText>
        </w:r>
        <w:r>
          <w:rPr>
            <w:webHidden/>
          </w:rPr>
        </w:r>
        <w:r>
          <w:rPr>
            <w:webHidden/>
          </w:rPr>
          <w:fldChar w:fldCharType="separate"/>
        </w:r>
        <w:r>
          <w:rPr>
            <w:webHidden/>
          </w:rPr>
          <w:t>62</w:t>
        </w:r>
        <w:r>
          <w:rPr>
            <w:webHidden/>
          </w:rPr>
          <w:fldChar w:fldCharType="end"/>
        </w:r>
      </w:hyperlink>
    </w:p>
    <w:p w14:paraId="74D8011F" w14:textId="30F40BE3" w:rsidR="0043455E" w:rsidRDefault="0043455E">
      <w:pPr>
        <w:pStyle w:val="TOC2"/>
        <w:rPr>
          <w:rFonts w:asciiTheme="minorHAnsi" w:eastAsiaTheme="minorEastAsia" w:hAnsiTheme="minorHAnsi" w:cstheme="minorBidi"/>
          <w:b w:val="0"/>
          <w:smallCaps w:val="0"/>
          <w:sz w:val="22"/>
          <w:lang w:eastAsia="pl-PL"/>
        </w:rPr>
      </w:pPr>
      <w:hyperlink w:anchor="_Toc119064780" w:history="1">
        <w:r w:rsidRPr="00A71A3B">
          <w:rPr>
            <w:rStyle w:val="Hyperlink"/>
            <w:rFonts w:ascii="Times New Roman" w:hAnsi="Times New Roman"/>
          </w:rPr>
          <w:t>1.6.1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_Toc119064780 \h </w:instrText>
        </w:r>
        <w:r>
          <w:rPr>
            <w:webHidden/>
          </w:rPr>
        </w:r>
        <w:r>
          <w:rPr>
            <w:webHidden/>
          </w:rPr>
          <w:fldChar w:fldCharType="separate"/>
        </w:r>
        <w:r>
          <w:rPr>
            <w:webHidden/>
          </w:rPr>
          <w:t>62</w:t>
        </w:r>
        <w:r>
          <w:rPr>
            <w:webHidden/>
          </w:rPr>
          <w:fldChar w:fldCharType="end"/>
        </w:r>
      </w:hyperlink>
    </w:p>
    <w:p w14:paraId="1DAFED90" w14:textId="7C6847B4" w:rsidR="0043455E" w:rsidRDefault="0043455E">
      <w:pPr>
        <w:pStyle w:val="TOC2"/>
        <w:rPr>
          <w:rFonts w:asciiTheme="minorHAnsi" w:eastAsiaTheme="minorEastAsia" w:hAnsiTheme="minorHAnsi" w:cstheme="minorBidi"/>
          <w:b w:val="0"/>
          <w:smallCaps w:val="0"/>
          <w:sz w:val="22"/>
          <w:lang w:eastAsia="pl-PL"/>
        </w:rPr>
      </w:pPr>
      <w:hyperlink w:anchor="_Toc119064781" w:history="1">
        <w:r w:rsidRPr="00A71A3B">
          <w:rPr>
            <w:rStyle w:val="Hyperlink"/>
            <w:rFonts w:ascii="Times New Roman" w:hAnsi="Times New Roman"/>
          </w:rPr>
          <w:t>1.6.2.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05.01 – PRZEPISY PRZEJŚCIOWE (CA5.1)</w:t>
        </w:r>
        <w:r>
          <w:rPr>
            <w:webHidden/>
          </w:rPr>
          <w:tab/>
        </w:r>
        <w:r>
          <w:rPr>
            <w:webHidden/>
          </w:rPr>
          <w:fldChar w:fldCharType="begin"/>
        </w:r>
        <w:r>
          <w:rPr>
            <w:webHidden/>
          </w:rPr>
          <w:instrText xml:space="preserve"> PAGEREF _Toc119064781 \h </w:instrText>
        </w:r>
        <w:r>
          <w:rPr>
            <w:webHidden/>
          </w:rPr>
        </w:r>
        <w:r>
          <w:rPr>
            <w:webHidden/>
          </w:rPr>
          <w:fldChar w:fldCharType="separate"/>
        </w:r>
        <w:r>
          <w:rPr>
            <w:webHidden/>
          </w:rPr>
          <w:t>63</w:t>
        </w:r>
        <w:r>
          <w:rPr>
            <w:webHidden/>
          </w:rPr>
          <w:fldChar w:fldCharType="end"/>
        </w:r>
      </w:hyperlink>
    </w:p>
    <w:p w14:paraId="013964FD" w14:textId="433D7ED7" w:rsidR="0043455E" w:rsidRDefault="0043455E">
      <w:pPr>
        <w:pStyle w:val="TOC2"/>
        <w:rPr>
          <w:rFonts w:asciiTheme="minorHAnsi" w:eastAsiaTheme="minorEastAsia" w:hAnsiTheme="minorHAnsi" w:cstheme="minorBidi"/>
          <w:b w:val="0"/>
          <w:smallCaps w:val="0"/>
          <w:sz w:val="22"/>
          <w:lang w:eastAsia="pl-PL"/>
        </w:rPr>
      </w:pPr>
      <w:hyperlink w:anchor="_Toc119064782" w:history="1">
        <w:r w:rsidRPr="00A71A3B">
          <w:rPr>
            <w:rStyle w:val="Hyperlink"/>
            <w:rFonts w:ascii="Times New Roman" w:hAnsi="Times New Roman"/>
          </w:rPr>
          <w:t>1.6.2.1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_Toc119064782 \h </w:instrText>
        </w:r>
        <w:r>
          <w:rPr>
            <w:webHidden/>
          </w:rPr>
        </w:r>
        <w:r>
          <w:rPr>
            <w:webHidden/>
          </w:rPr>
          <w:fldChar w:fldCharType="separate"/>
        </w:r>
        <w:r>
          <w:rPr>
            <w:webHidden/>
          </w:rPr>
          <w:t>64</w:t>
        </w:r>
        <w:r>
          <w:rPr>
            <w:webHidden/>
          </w:rPr>
          <w:fldChar w:fldCharType="end"/>
        </w:r>
      </w:hyperlink>
    </w:p>
    <w:p w14:paraId="11E3EFD1" w14:textId="70820261" w:rsidR="0043455E" w:rsidRDefault="0043455E">
      <w:pPr>
        <w:pStyle w:val="TOC2"/>
        <w:rPr>
          <w:rFonts w:asciiTheme="minorHAnsi" w:eastAsiaTheme="minorEastAsia" w:hAnsiTheme="minorHAnsi" w:cstheme="minorBidi"/>
          <w:b w:val="0"/>
          <w:smallCaps w:val="0"/>
          <w:sz w:val="22"/>
          <w:lang w:eastAsia="pl-PL"/>
        </w:rPr>
      </w:pPr>
      <w:hyperlink w:anchor="_Toc119064783" w:history="1">
        <w:r w:rsidRPr="00A71A3B">
          <w:rPr>
            <w:rStyle w:val="Hyperlink"/>
            <w:rFonts w:ascii="Times New Roman" w:hAnsi="Times New Roman"/>
          </w:rPr>
          <w:t>1.6.3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05.02 – INSTRUMENTY PODLEGAJĄCE ZASADZIE PRAW NABYTYCH: INSTRUMENTY NIESTANOWIĄCE POMOCY PAŃSTWA (CA5.2)</w:t>
        </w:r>
        <w:r>
          <w:rPr>
            <w:webHidden/>
          </w:rPr>
          <w:tab/>
        </w:r>
        <w:r>
          <w:rPr>
            <w:webHidden/>
          </w:rPr>
          <w:fldChar w:fldCharType="begin"/>
        </w:r>
        <w:r>
          <w:rPr>
            <w:webHidden/>
          </w:rPr>
          <w:instrText xml:space="preserve"> PAGEREF _Toc119064783 \h </w:instrText>
        </w:r>
        <w:r>
          <w:rPr>
            <w:webHidden/>
          </w:rPr>
        </w:r>
        <w:r>
          <w:rPr>
            <w:webHidden/>
          </w:rPr>
          <w:fldChar w:fldCharType="separate"/>
        </w:r>
        <w:r>
          <w:rPr>
            <w:webHidden/>
          </w:rPr>
          <w:t>69</w:t>
        </w:r>
        <w:r>
          <w:rPr>
            <w:webHidden/>
          </w:rPr>
          <w:fldChar w:fldCharType="end"/>
        </w:r>
      </w:hyperlink>
    </w:p>
    <w:p w14:paraId="7073D75A" w14:textId="26A289DF" w:rsidR="0043455E" w:rsidRDefault="0043455E">
      <w:pPr>
        <w:pStyle w:val="TOC2"/>
        <w:rPr>
          <w:rFonts w:asciiTheme="minorHAnsi" w:eastAsiaTheme="minorEastAsia" w:hAnsiTheme="minorHAnsi" w:cstheme="minorBidi"/>
          <w:b w:val="0"/>
          <w:smallCaps w:val="0"/>
          <w:sz w:val="22"/>
          <w:lang w:eastAsia="pl-PL"/>
        </w:rPr>
      </w:pPr>
      <w:hyperlink w:anchor="_Toc119064784" w:history="1">
        <w:r w:rsidRPr="00A71A3B">
          <w:rPr>
            <w:rStyle w:val="Hyperlink"/>
            <w:rFonts w:ascii="Times New Roman" w:hAnsi="Times New Roman"/>
          </w:rPr>
          <w:t>1.6.3.1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_Toc119064784 \h </w:instrText>
        </w:r>
        <w:r>
          <w:rPr>
            <w:webHidden/>
          </w:rPr>
        </w:r>
        <w:r>
          <w:rPr>
            <w:webHidden/>
          </w:rPr>
          <w:fldChar w:fldCharType="separate"/>
        </w:r>
        <w:r>
          <w:rPr>
            <w:webHidden/>
          </w:rPr>
          <w:t>69</w:t>
        </w:r>
        <w:r>
          <w:rPr>
            <w:webHidden/>
          </w:rPr>
          <w:fldChar w:fldCharType="end"/>
        </w:r>
      </w:hyperlink>
    </w:p>
    <w:p w14:paraId="27198667" w14:textId="77BD2C17" w:rsidR="0043455E" w:rsidRDefault="0043455E">
      <w:pPr>
        <w:pStyle w:val="TOC2"/>
        <w:rPr>
          <w:rFonts w:asciiTheme="minorHAnsi" w:eastAsiaTheme="minorEastAsia" w:hAnsiTheme="minorHAnsi" w:cstheme="minorBidi"/>
          <w:b w:val="0"/>
          <w:smallCaps w:val="0"/>
          <w:sz w:val="22"/>
          <w:lang w:eastAsia="pl-PL"/>
        </w:rPr>
      </w:pPr>
      <w:hyperlink w:anchor="_Toc119064785" w:history="1">
        <w:r w:rsidRPr="00A71A3B">
          <w:rPr>
            <w:rStyle w:val="Hyperlink"/>
            <w:rFonts w:ascii="Times New Roman" w:hAnsi="Times New Roman"/>
          </w:rPr>
          <w:t>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WYPŁACALNOŚĆ GRUPY: INFORMACJE NA TEMAT PODMIOTÓW POWIĄZANYCH (GS)</w:t>
        </w:r>
        <w:r>
          <w:rPr>
            <w:webHidden/>
          </w:rPr>
          <w:tab/>
        </w:r>
        <w:r>
          <w:rPr>
            <w:webHidden/>
          </w:rPr>
          <w:fldChar w:fldCharType="begin"/>
        </w:r>
        <w:r>
          <w:rPr>
            <w:webHidden/>
          </w:rPr>
          <w:instrText xml:space="preserve"> PAGEREF _Toc119064785 \h </w:instrText>
        </w:r>
        <w:r>
          <w:rPr>
            <w:webHidden/>
          </w:rPr>
        </w:r>
        <w:r>
          <w:rPr>
            <w:webHidden/>
          </w:rPr>
          <w:fldChar w:fldCharType="separate"/>
        </w:r>
        <w:r>
          <w:rPr>
            <w:webHidden/>
          </w:rPr>
          <w:t>72</w:t>
        </w:r>
        <w:r>
          <w:rPr>
            <w:webHidden/>
          </w:rPr>
          <w:fldChar w:fldCharType="end"/>
        </w:r>
      </w:hyperlink>
    </w:p>
    <w:p w14:paraId="1945F277" w14:textId="10744D00" w:rsidR="0043455E" w:rsidRDefault="0043455E">
      <w:pPr>
        <w:pStyle w:val="TOC2"/>
        <w:rPr>
          <w:rFonts w:asciiTheme="minorHAnsi" w:eastAsiaTheme="minorEastAsia" w:hAnsiTheme="minorHAnsi" w:cstheme="minorBidi"/>
          <w:b w:val="0"/>
          <w:smallCaps w:val="0"/>
          <w:sz w:val="22"/>
          <w:lang w:eastAsia="pl-PL"/>
        </w:rPr>
      </w:pPr>
      <w:hyperlink w:anchor="_Toc119064786" w:history="1">
        <w:r w:rsidRPr="00A71A3B">
          <w:rPr>
            <w:rStyle w:val="Hyperlink"/>
            <w:rFonts w:ascii="Times New Roman" w:hAnsi="Times New Roman"/>
          </w:rPr>
          <w:t>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_Toc119064786 \h </w:instrText>
        </w:r>
        <w:r>
          <w:rPr>
            <w:webHidden/>
          </w:rPr>
        </w:r>
        <w:r>
          <w:rPr>
            <w:webHidden/>
          </w:rPr>
          <w:fldChar w:fldCharType="separate"/>
        </w:r>
        <w:r>
          <w:rPr>
            <w:webHidden/>
          </w:rPr>
          <w:t>72</w:t>
        </w:r>
        <w:r>
          <w:rPr>
            <w:webHidden/>
          </w:rPr>
          <w:fldChar w:fldCharType="end"/>
        </w:r>
      </w:hyperlink>
    </w:p>
    <w:p w14:paraId="2B7378ED" w14:textId="18D61BE0" w:rsidR="0043455E" w:rsidRDefault="0043455E">
      <w:pPr>
        <w:pStyle w:val="TOC2"/>
        <w:rPr>
          <w:rFonts w:asciiTheme="minorHAnsi" w:eastAsiaTheme="minorEastAsia" w:hAnsiTheme="minorHAnsi" w:cstheme="minorBidi"/>
          <w:b w:val="0"/>
          <w:smallCaps w:val="0"/>
          <w:sz w:val="22"/>
          <w:lang w:eastAsia="pl-PL"/>
        </w:rPr>
      </w:pPr>
      <w:hyperlink w:anchor="_Toc119064787" w:history="1">
        <w:r w:rsidRPr="00A71A3B">
          <w:rPr>
            <w:rStyle w:val="Hyperlink"/>
            <w:rFonts w:ascii="Times New Roman" w:hAnsi="Times New Roman"/>
          </w:rPr>
          <w:t>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Szczegółowe informacje na temat wypłacalności grupy</w:t>
        </w:r>
        <w:r>
          <w:rPr>
            <w:webHidden/>
          </w:rPr>
          <w:tab/>
        </w:r>
        <w:r>
          <w:rPr>
            <w:webHidden/>
          </w:rPr>
          <w:fldChar w:fldCharType="begin"/>
        </w:r>
        <w:r>
          <w:rPr>
            <w:webHidden/>
          </w:rPr>
          <w:instrText xml:space="preserve"> PAGEREF _Toc119064787 \h </w:instrText>
        </w:r>
        <w:r>
          <w:rPr>
            <w:webHidden/>
          </w:rPr>
        </w:r>
        <w:r>
          <w:rPr>
            <w:webHidden/>
          </w:rPr>
          <w:fldChar w:fldCharType="separate"/>
        </w:r>
        <w:r>
          <w:rPr>
            <w:webHidden/>
          </w:rPr>
          <w:t>73</w:t>
        </w:r>
        <w:r>
          <w:rPr>
            <w:webHidden/>
          </w:rPr>
          <w:fldChar w:fldCharType="end"/>
        </w:r>
      </w:hyperlink>
    </w:p>
    <w:p w14:paraId="07F2F0B2" w14:textId="181D669E" w:rsidR="0043455E" w:rsidRDefault="0043455E">
      <w:pPr>
        <w:pStyle w:val="TOC2"/>
        <w:rPr>
          <w:rFonts w:asciiTheme="minorHAnsi" w:eastAsiaTheme="minorEastAsia" w:hAnsiTheme="minorHAnsi" w:cstheme="minorBidi"/>
          <w:b w:val="0"/>
          <w:smallCaps w:val="0"/>
          <w:sz w:val="22"/>
          <w:lang w:eastAsia="pl-PL"/>
        </w:rPr>
      </w:pPr>
      <w:hyperlink w:anchor="_Toc119064788" w:history="1">
        <w:r w:rsidRPr="00A71A3B">
          <w:rPr>
            <w:rStyle w:val="Hyperlink"/>
            <w:rFonts w:ascii="Times New Roman" w:hAnsi="Times New Roman"/>
          </w:rPr>
          <w:t>2.3.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Informacje na temat wkładów poszczególnych podmiotów na rzecz wypłacalności grupy</w:t>
        </w:r>
        <w:r>
          <w:rPr>
            <w:webHidden/>
          </w:rPr>
          <w:tab/>
        </w:r>
        <w:r>
          <w:rPr>
            <w:webHidden/>
          </w:rPr>
          <w:fldChar w:fldCharType="begin"/>
        </w:r>
        <w:r>
          <w:rPr>
            <w:webHidden/>
          </w:rPr>
          <w:instrText xml:space="preserve"> PAGEREF _Toc119064788 \h </w:instrText>
        </w:r>
        <w:r>
          <w:rPr>
            <w:webHidden/>
          </w:rPr>
        </w:r>
        <w:r>
          <w:rPr>
            <w:webHidden/>
          </w:rPr>
          <w:fldChar w:fldCharType="separate"/>
        </w:r>
        <w:r>
          <w:rPr>
            <w:webHidden/>
          </w:rPr>
          <w:t>73</w:t>
        </w:r>
        <w:r>
          <w:rPr>
            <w:webHidden/>
          </w:rPr>
          <w:fldChar w:fldCharType="end"/>
        </w:r>
      </w:hyperlink>
    </w:p>
    <w:p w14:paraId="0E0892EA" w14:textId="5139118B" w:rsidR="0043455E" w:rsidRDefault="0043455E">
      <w:pPr>
        <w:pStyle w:val="TOC2"/>
        <w:rPr>
          <w:rFonts w:asciiTheme="minorHAnsi" w:eastAsiaTheme="minorEastAsia" w:hAnsiTheme="minorHAnsi" w:cstheme="minorBidi"/>
          <w:b w:val="0"/>
          <w:smallCaps w:val="0"/>
          <w:sz w:val="22"/>
          <w:lang w:eastAsia="pl-PL"/>
        </w:rPr>
      </w:pPr>
      <w:hyperlink w:anchor="_Toc119064789" w:history="1">
        <w:r w:rsidRPr="00A71A3B">
          <w:rPr>
            <w:rStyle w:val="Hyperlink"/>
            <w:rFonts w:ascii="Times New Roman" w:hAnsi="Times New Roman"/>
          </w:rPr>
          <w:t>2.4.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06.01 – WYPŁACALNOŚĆ GRUPY: INFORMACJE NA TEMAT PODMIOTÓW POWIĄZANYCH – Razem (GS Razem)</w:t>
        </w:r>
        <w:r>
          <w:rPr>
            <w:webHidden/>
          </w:rPr>
          <w:tab/>
        </w:r>
        <w:r>
          <w:rPr>
            <w:webHidden/>
          </w:rPr>
          <w:fldChar w:fldCharType="begin"/>
        </w:r>
        <w:r>
          <w:rPr>
            <w:webHidden/>
          </w:rPr>
          <w:instrText xml:space="preserve"> PAGEREF _Toc119064789 \h </w:instrText>
        </w:r>
        <w:r>
          <w:rPr>
            <w:webHidden/>
          </w:rPr>
        </w:r>
        <w:r>
          <w:rPr>
            <w:webHidden/>
          </w:rPr>
          <w:fldChar w:fldCharType="separate"/>
        </w:r>
        <w:r>
          <w:rPr>
            <w:webHidden/>
          </w:rPr>
          <w:t>74</w:t>
        </w:r>
        <w:r>
          <w:rPr>
            <w:webHidden/>
          </w:rPr>
          <w:fldChar w:fldCharType="end"/>
        </w:r>
      </w:hyperlink>
    </w:p>
    <w:p w14:paraId="79F8E1F6" w14:textId="55D70F55" w:rsidR="0043455E" w:rsidRDefault="0043455E">
      <w:pPr>
        <w:pStyle w:val="TOC2"/>
        <w:rPr>
          <w:rFonts w:asciiTheme="minorHAnsi" w:eastAsiaTheme="minorEastAsia" w:hAnsiTheme="minorHAnsi" w:cstheme="minorBidi"/>
          <w:b w:val="0"/>
          <w:smallCaps w:val="0"/>
          <w:sz w:val="22"/>
          <w:lang w:eastAsia="pl-PL"/>
        </w:rPr>
      </w:pPr>
      <w:hyperlink w:anchor="_Toc119064790" w:history="1">
        <w:r w:rsidRPr="00A71A3B">
          <w:rPr>
            <w:rStyle w:val="Hyperlink"/>
            <w:rFonts w:ascii="Times New Roman" w:hAnsi="Times New Roman"/>
          </w:rPr>
          <w:t>2.5.</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06.02 – WYPŁACALNOŚĆ GRUPY: INFORMACJE NA TEMAT PODMIOTÓW POWIĄZANYCH (GS)</w:t>
        </w:r>
        <w:r>
          <w:rPr>
            <w:webHidden/>
          </w:rPr>
          <w:tab/>
        </w:r>
        <w:r>
          <w:rPr>
            <w:webHidden/>
          </w:rPr>
          <w:fldChar w:fldCharType="begin"/>
        </w:r>
        <w:r>
          <w:rPr>
            <w:webHidden/>
          </w:rPr>
          <w:instrText xml:space="preserve"> PAGEREF _Toc119064790 \h </w:instrText>
        </w:r>
        <w:r>
          <w:rPr>
            <w:webHidden/>
          </w:rPr>
        </w:r>
        <w:r>
          <w:rPr>
            <w:webHidden/>
          </w:rPr>
          <w:fldChar w:fldCharType="separate"/>
        </w:r>
        <w:r>
          <w:rPr>
            <w:webHidden/>
          </w:rPr>
          <w:t>75</w:t>
        </w:r>
        <w:r>
          <w:rPr>
            <w:webHidden/>
          </w:rPr>
          <w:fldChar w:fldCharType="end"/>
        </w:r>
      </w:hyperlink>
    </w:p>
    <w:p w14:paraId="5C019B18" w14:textId="160D36F3" w:rsidR="0043455E" w:rsidRDefault="0043455E">
      <w:pPr>
        <w:pStyle w:val="TOC2"/>
        <w:rPr>
          <w:rFonts w:asciiTheme="minorHAnsi" w:eastAsiaTheme="minorEastAsia" w:hAnsiTheme="minorHAnsi" w:cstheme="minorBidi"/>
          <w:b w:val="0"/>
          <w:smallCaps w:val="0"/>
          <w:sz w:val="22"/>
          <w:lang w:eastAsia="pl-PL"/>
        </w:rPr>
      </w:pPr>
      <w:hyperlink w:anchor="_Toc119064791" w:history="1">
        <w:r w:rsidRPr="00A71A3B">
          <w:rPr>
            <w:rStyle w:val="Hyperlink"/>
            <w:rFonts w:ascii="Times New Roman" w:hAnsi="Times New Roman"/>
          </w:rPr>
          <w:t>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Wzory dotyczące ryzyka kredytowego</w:t>
        </w:r>
        <w:r>
          <w:rPr>
            <w:webHidden/>
          </w:rPr>
          <w:tab/>
        </w:r>
        <w:r>
          <w:rPr>
            <w:webHidden/>
          </w:rPr>
          <w:fldChar w:fldCharType="begin"/>
        </w:r>
        <w:r>
          <w:rPr>
            <w:webHidden/>
          </w:rPr>
          <w:instrText xml:space="preserve"> PAGEREF _Toc119064791 \h </w:instrText>
        </w:r>
        <w:r>
          <w:rPr>
            <w:webHidden/>
          </w:rPr>
        </w:r>
        <w:r>
          <w:rPr>
            <w:webHidden/>
          </w:rPr>
          <w:fldChar w:fldCharType="separate"/>
        </w:r>
        <w:r>
          <w:rPr>
            <w:webHidden/>
          </w:rPr>
          <w:t>84</w:t>
        </w:r>
        <w:r>
          <w:rPr>
            <w:webHidden/>
          </w:rPr>
          <w:fldChar w:fldCharType="end"/>
        </w:r>
      </w:hyperlink>
    </w:p>
    <w:p w14:paraId="44A7C3F5" w14:textId="49124F74" w:rsidR="0043455E" w:rsidRDefault="0043455E">
      <w:pPr>
        <w:pStyle w:val="TOC2"/>
        <w:rPr>
          <w:rFonts w:asciiTheme="minorHAnsi" w:eastAsiaTheme="minorEastAsia" w:hAnsiTheme="minorHAnsi" w:cstheme="minorBidi"/>
          <w:b w:val="0"/>
          <w:smallCaps w:val="0"/>
          <w:sz w:val="22"/>
          <w:lang w:eastAsia="pl-PL"/>
        </w:rPr>
      </w:pPr>
      <w:hyperlink w:anchor="_Toc119064792" w:history="1">
        <w:r w:rsidRPr="00A71A3B">
          <w:rPr>
            <w:rStyle w:val="Hyperlink"/>
            <w:rFonts w:ascii="Times New Roman" w:hAnsi="Times New Roman"/>
          </w:rPr>
          <w:t>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_Toc119064792 \h </w:instrText>
        </w:r>
        <w:r>
          <w:rPr>
            <w:webHidden/>
          </w:rPr>
        </w:r>
        <w:r>
          <w:rPr>
            <w:webHidden/>
          </w:rPr>
          <w:fldChar w:fldCharType="separate"/>
        </w:r>
        <w:r>
          <w:rPr>
            <w:webHidden/>
          </w:rPr>
          <w:t>84</w:t>
        </w:r>
        <w:r>
          <w:rPr>
            <w:webHidden/>
          </w:rPr>
          <w:fldChar w:fldCharType="end"/>
        </w:r>
      </w:hyperlink>
    </w:p>
    <w:p w14:paraId="7315587B" w14:textId="5CF22E46" w:rsidR="0043455E" w:rsidRDefault="0043455E">
      <w:pPr>
        <w:pStyle w:val="TOC2"/>
        <w:rPr>
          <w:rFonts w:asciiTheme="minorHAnsi" w:eastAsiaTheme="minorEastAsia" w:hAnsiTheme="minorHAnsi" w:cstheme="minorBidi"/>
          <w:b w:val="0"/>
          <w:smallCaps w:val="0"/>
          <w:sz w:val="22"/>
          <w:lang w:eastAsia="pl-PL"/>
        </w:rPr>
      </w:pPr>
      <w:hyperlink w:anchor="_Toc119064793" w:history="1">
        <w:r w:rsidRPr="00A71A3B">
          <w:rPr>
            <w:rStyle w:val="Hyperlink"/>
            <w:rFonts w:ascii="Times New Roman" w:hAnsi="Times New Roman"/>
          </w:rPr>
          <w:t>3.1.1.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Sprawozdawczość w zakresie technik ograniczania ryzyka kredytowego z uwzględnieniem efektów substytucyjnych</w:t>
        </w:r>
        <w:r>
          <w:rPr>
            <w:webHidden/>
          </w:rPr>
          <w:tab/>
        </w:r>
        <w:r>
          <w:rPr>
            <w:webHidden/>
          </w:rPr>
          <w:fldChar w:fldCharType="begin"/>
        </w:r>
        <w:r>
          <w:rPr>
            <w:webHidden/>
          </w:rPr>
          <w:instrText xml:space="preserve"> PAGEREF _Toc119064793 \h </w:instrText>
        </w:r>
        <w:r>
          <w:rPr>
            <w:webHidden/>
          </w:rPr>
        </w:r>
        <w:r>
          <w:rPr>
            <w:webHidden/>
          </w:rPr>
          <w:fldChar w:fldCharType="separate"/>
        </w:r>
        <w:r>
          <w:rPr>
            <w:webHidden/>
          </w:rPr>
          <w:t>84</w:t>
        </w:r>
        <w:r>
          <w:rPr>
            <w:webHidden/>
          </w:rPr>
          <w:fldChar w:fldCharType="end"/>
        </w:r>
      </w:hyperlink>
    </w:p>
    <w:p w14:paraId="14F055A8" w14:textId="303ADFCC" w:rsidR="0043455E" w:rsidRDefault="0043455E">
      <w:pPr>
        <w:pStyle w:val="TOC2"/>
        <w:rPr>
          <w:rFonts w:asciiTheme="minorHAnsi" w:eastAsiaTheme="minorEastAsia" w:hAnsiTheme="minorHAnsi" w:cstheme="minorBidi"/>
          <w:b w:val="0"/>
          <w:smallCaps w:val="0"/>
          <w:sz w:val="22"/>
          <w:lang w:eastAsia="pl-PL"/>
        </w:rPr>
      </w:pPr>
      <w:hyperlink w:anchor="_Toc119064794" w:history="1">
        <w:r w:rsidRPr="00A71A3B">
          <w:rPr>
            <w:rStyle w:val="Hyperlink"/>
            <w:rFonts w:ascii="Times New Roman" w:hAnsi="Times New Roman"/>
          </w:rPr>
          <w:t>3.1.2.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Sprawozdawczość w zakresie ryzyka kredytowego kontrahenta</w:t>
        </w:r>
        <w:r>
          <w:rPr>
            <w:webHidden/>
          </w:rPr>
          <w:tab/>
        </w:r>
        <w:r>
          <w:rPr>
            <w:webHidden/>
          </w:rPr>
          <w:fldChar w:fldCharType="begin"/>
        </w:r>
        <w:r>
          <w:rPr>
            <w:webHidden/>
          </w:rPr>
          <w:instrText xml:space="preserve"> PAGEREF _Toc119064794 \h </w:instrText>
        </w:r>
        <w:r>
          <w:rPr>
            <w:webHidden/>
          </w:rPr>
        </w:r>
        <w:r>
          <w:rPr>
            <w:webHidden/>
          </w:rPr>
          <w:fldChar w:fldCharType="separate"/>
        </w:r>
        <w:r>
          <w:rPr>
            <w:webHidden/>
          </w:rPr>
          <w:t>85</w:t>
        </w:r>
        <w:r>
          <w:rPr>
            <w:webHidden/>
          </w:rPr>
          <w:fldChar w:fldCharType="end"/>
        </w:r>
      </w:hyperlink>
    </w:p>
    <w:p w14:paraId="6312C1F4" w14:textId="64D35D91" w:rsidR="0043455E" w:rsidRDefault="0043455E">
      <w:pPr>
        <w:pStyle w:val="TOC2"/>
        <w:rPr>
          <w:rFonts w:asciiTheme="minorHAnsi" w:eastAsiaTheme="minorEastAsia" w:hAnsiTheme="minorHAnsi" w:cstheme="minorBidi"/>
          <w:b w:val="0"/>
          <w:smallCaps w:val="0"/>
          <w:sz w:val="22"/>
          <w:lang w:eastAsia="pl-PL"/>
        </w:rPr>
      </w:pPr>
      <w:hyperlink w:anchor="_Toc119064795" w:history="1">
        <w:r w:rsidRPr="00A71A3B">
          <w:rPr>
            <w:rStyle w:val="Hyperlink"/>
            <w:rFonts w:ascii="Times New Roman" w:hAnsi="Times New Roman"/>
          </w:rPr>
          <w:t>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07.00 – Ryzyko kredytowe i ryzyko kredytowe kontrahenta oraz dostawy z późniejszym terminem rozliczenia: Wymogi kapitałowe według metody standardowej (CR SA)</w:t>
        </w:r>
        <w:r>
          <w:rPr>
            <w:webHidden/>
          </w:rPr>
          <w:tab/>
        </w:r>
        <w:r>
          <w:rPr>
            <w:webHidden/>
          </w:rPr>
          <w:fldChar w:fldCharType="begin"/>
        </w:r>
        <w:r>
          <w:rPr>
            <w:webHidden/>
          </w:rPr>
          <w:instrText xml:space="preserve"> PAGEREF _Toc119064795 \h </w:instrText>
        </w:r>
        <w:r>
          <w:rPr>
            <w:webHidden/>
          </w:rPr>
        </w:r>
        <w:r>
          <w:rPr>
            <w:webHidden/>
          </w:rPr>
          <w:fldChar w:fldCharType="separate"/>
        </w:r>
        <w:r>
          <w:rPr>
            <w:webHidden/>
          </w:rPr>
          <w:t>85</w:t>
        </w:r>
        <w:r>
          <w:rPr>
            <w:webHidden/>
          </w:rPr>
          <w:fldChar w:fldCharType="end"/>
        </w:r>
      </w:hyperlink>
    </w:p>
    <w:p w14:paraId="61A7A91F" w14:textId="56906E75" w:rsidR="0043455E" w:rsidRDefault="0043455E">
      <w:pPr>
        <w:pStyle w:val="TOC2"/>
        <w:rPr>
          <w:rFonts w:asciiTheme="minorHAnsi" w:eastAsiaTheme="minorEastAsia" w:hAnsiTheme="minorHAnsi" w:cstheme="minorBidi"/>
          <w:b w:val="0"/>
          <w:smallCaps w:val="0"/>
          <w:sz w:val="22"/>
          <w:lang w:eastAsia="pl-PL"/>
        </w:rPr>
      </w:pPr>
      <w:hyperlink w:anchor="_Toc119064796" w:history="1">
        <w:r w:rsidRPr="00A71A3B">
          <w:rPr>
            <w:rStyle w:val="Hyperlink"/>
            <w:rFonts w:ascii="Times New Roman" w:hAnsi="Times New Roman"/>
          </w:rPr>
          <w:t>3.2.1.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_Toc119064796 \h </w:instrText>
        </w:r>
        <w:r>
          <w:rPr>
            <w:webHidden/>
          </w:rPr>
        </w:r>
        <w:r>
          <w:rPr>
            <w:webHidden/>
          </w:rPr>
          <w:fldChar w:fldCharType="separate"/>
        </w:r>
        <w:r>
          <w:rPr>
            <w:webHidden/>
          </w:rPr>
          <w:t>85</w:t>
        </w:r>
        <w:r>
          <w:rPr>
            <w:webHidden/>
          </w:rPr>
          <w:fldChar w:fldCharType="end"/>
        </w:r>
      </w:hyperlink>
    </w:p>
    <w:p w14:paraId="780FF149" w14:textId="0538DFF5" w:rsidR="0043455E" w:rsidRDefault="0043455E">
      <w:pPr>
        <w:pStyle w:val="TOC2"/>
        <w:rPr>
          <w:rFonts w:asciiTheme="minorHAnsi" w:eastAsiaTheme="minorEastAsia" w:hAnsiTheme="minorHAnsi" w:cstheme="minorBidi"/>
          <w:b w:val="0"/>
          <w:smallCaps w:val="0"/>
          <w:sz w:val="22"/>
          <w:lang w:eastAsia="pl-PL"/>
        </w:rPr>
      </w:pPr>
      <w:hyperlink w:anchor="_Toc119064797" w:history="1">
        <w:r w:rsidRPr="00A71A3B">
          <w:rPr>
            <w:rStyle w:val="Hyperlink"/>
            <w:rFonts w:ascii="Times New Roman" w:hAnsi="Times New Roman"/>
          </w:rPr>
          <w:t>3.2.2.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Zakres wzoru CR SA</w:t>
        </w:r>
        <w:r>
          <w:rPr>
            <w:webHidden/>
          </w:rPr>
          <w:tab/>
        </w:r>
        <w:r>
          <w:rPr>
            <w:webHidden/>
          </w:rPr>
          <w:fldChar w:fldCharType="begin"/>
        </w:r>
        <w:r>
          <w:rPr>
            <w:webHidden/>
          </w:rPr>
          <w:instrText xml:space="preserve"> PAGEREF _Toc119064797 \h </w:instrText>
        </w:r>
        <w:r>
          <w:rPr>
            <w:webHidden/>
          </w:rPr>
        </w:r>
        <w:r>
          <w:rPr>
            <w:webHidden/>
          </w:rPr>
          <w:fldChar w:fldCharType="separate"/>
        </w:r>
        <w:r>
          <w:rPr>
            <w:webHidden/>
          </w:rPr>
          <w:t>85</w:t>
        </w:r>
        <w:r>
          <w:rPr>
            <w:webHidden/>
          </w:rPr>
          <w:fldChar w:fldCharType="end"/>
        </w:r>
      </w:hyperlink>
    </w:p>
    <w:p w14:paraId="16A8745C" w14:textId="135C1165" w:rsidR="0043455E" w:rsidRDefault="0043455E">
      <w:pPr>
        <w:pStyle w:val="TOC2"/>
        <w:rPr>
          <w:rFonts w:asciiTheme="minorHAnsi" w:eastAsiaTheme="minorEastAsia" w:hAnsiTheme="minorHAnsi" w:cstheme="minorBidi"/>
          <w:b w:val="0"/>
          <w:smallCaps w:val="0"/>
          <w:sz w:val="22"/>
          <w:lang w:eastAsia="pl-PL"/>
        </w:rPr>
      </w:pPr>
      <w:hyperlink w:anchor="_Toc119064798" w:history="1">
        <w:r w:rsidRPr="00A71A3B">
          <w:rPr>
            <w:rStyle w:val="Hyperlink"/>
            <w:rFonts w:ascii="Times New Roman" w:hAnsi="Times New Roman"/>
          </w:rPr>
          <w:t>3.2.3.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 xml:space="preserve"> Klasyfikowanie ekspozycji do kategorii ekspozycji według metody standardowej</w:t>
        </w:r>
        <w:r>
          <w:rPr>
            <w:webHidden/>
          </w:rPr>
          <w:tab/>
        </w:r>
        <w:r>
          <w:rPr>
            <w:webHidden/>
          </w:rPr>
          <w:fldChar w:fldCharType="begin"/>
        </w:r>
        <w:r>
          <w:rPr>
            <w:webHidden/>
          </w:rPr>
          <w:instrText xml:space="preserve"> PAGEREF _Toc119064798 \h </w:instrText>
        </w:r>
        <w:r>
          <w:rPr>
            <w:webHidden/>
          </w:rPr>
        </w:r>
        <w:r>
          <w:rPr>
            <w:webHidden/>
          </w:rPr>
          <w:fldChar w:fldCharType="separate"/>
        </w:r>
        <w:r>
          <w:rPr>
            <w:webHidden/>
          </w:rPr>
          <w:t>87</w:t>
        </w:r>
        <w:r>
          <w:rPr>
            <w:webHidden/>
          </w:rPr>
          <w:fldChar w:fldCharType="end"/>
        </w:r>
      </w:hyperlink>
    </w:p>
    <w:p w14:paraId="5784A431" w14:textId="19547266" w:rsidR="0043455E" w:rsidRDefault="0043455E">
      <w:pPr>
        <w:pStyle w:val="TOC2"/>
        <w:rPr>
          <w:rFonts w:asciiTheme="minorHAnsi" w:eastAsiaTheme="minorEastAsia" w:hAnsiTheme="minorHAnsi" w:cstheme="minorBidi"/>
          <w:b w:val="0"/>
          <w:smallCaps w:val="0"/>
          <w:sz w:val="22"/>
          <w:lang w:eastAsia="pl-PL"/>
        </w:rPr>
      </w:pPr>
      <w:hyperlink w:anchor="_Toc119064799" w:history="1">
        <w:r w:rsidRPr="00A71A3B">
          <w:rPr>
            <w:rStyle w:val="Hyperlink"/>
            <w:rFonts w:ascii="Times New Roman" w:hAnsi="Times New Roman"/>
          </w:rPr>
          <w:t>3.2.4.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 xml:space="preserve">Wyjaśnienia dotyczące zakresu pewnych określonych kategorii ekspozycji, o których mowa w art. 112 rozporządzenia (UE) </w:t>
        </w:r>
        <w:r w:rsidRPr="0043455E">
          <w:rPr>
            <w:rStyle w:val="Hyperlink"/>
            <w:rFonts w:ascii="Times New Roman" w:hAnsi="Times New Roman"/>
          </w:rPr>
          <w:t>nr 5</w:t>
        </w:r>
        <w:r w:rsidRPr="00A71A3B">
          <w:rPr>
            <w:rStyle w:val="Hyperlink"/>
            <w:rFonts w:ascii="Times New Roman" w:hAnsi="Times New Roman"/>
          </w:rPr>
          <w:t>75/2013</w:t>
        </w:r>
        <w:r>
          <w:rPr>
            <w:webHidden/>
          </w:rPr>
          <w:tab/>
        </w:r>
        <w:r>
          <w:rPr>
            <w:webHidden/>
          </w:rPr>
          <w:fldChar w:fldCharType="begin"/>
        </w:r>
        <w:r>
          <w:rPr>
            <w:webHidden/>
          </w:rPr>
          <w:instrText xml:space="preserve"> PAGEREF _Toc119064799 \h </w:instrText>
        </w:r>
        <w:r>
          <w:rPr>
            <w:webHidden/>
          </w:rPr>
        </w:r>
        <w:r>
          <w:rPr>
            <w:webHidden/>
          </w:rPr>
          <w:fldChar w:fldCharType="separate"/>
        </w:r>
        <w:r>
          <w:rPr>
            <w:webHidden/>
          </w:rPr>
          <w:t>93</w:t>
        </w:r>
        <w:r>
          <w:rPr>
            <w:webHidden/>
          </w:rPr>
          <w:fldChar w:fldCharType="end"/>
        </w:r>
      </w:hyperlink>
    </w:p>
    <w:p w14:paraId="169BE38A" w14:textId="1164BD7E" w:rsidR="0043455E" w:rsidRDefault="0043455E">
      <w:pPr>
        <w:pStyle w:val="TOC2"/>
        <w:rPr>
          <w:rFonts w:asciiTheme="minorHAnsi" w:eastAsiaTheme="minorEastAsia" w:hAnsiTheme="minorHAnsi" w:cstheme="minorBidi"/>
          <w:b w:val="0"/>
          <w:smallCaps w:val="0"/>
          <w:sz w:val="22"/>
          <w:lang w:eastAsia="pl-PL"/>
        </w:rPr>
      </w:pPr>
      <w:hyperlink w:anchor="_Toc119064800" w:history="1">
        <w:r w:rsidRPr="00A71A3B">
          <w:rPr>
            <w:rStyle w:val="Hyperlink"/>
            <w:rFonts w:ascii="Times New Roman" w:hAnsi="Times New Roman"/>
          </w:rPr>
          <w:t>3.2.4.1.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Kategoria ekspozycji „ekspozycje wobec instytucji”</w:t>
        </w:r>
        <w:r>
          <w:rPr>
            <w:webHidden/>
          </w:rPr>
          <w:tab/>
        </w:r>
        <w:r>
          <w:rPr>
            <w:webHidden/>
          </w:rPr>
          <w:fldChar w:fldCharType="begin"/>
        </w:r>
        <w:r>
          <w:rPr>
            <w:webHidden/>
          </w:rPr>
          <w:instrText xml:space="preserve"> PAGEREF _Toc119064800 \h </w:instrText>
        </w:r>
        <w:r>
          <w:rPr>
            <w:webHidden/>
          </w:rPr>
        </w:r>
        <w:r>
          <w:rPr>
            <w:webHidden/>
          </w:rPr>
          <w:fldChar w:fldCharType="separate"/>
        </w:r>
        <w:r>
          <w:rPr>
            <w:webHidden/>
          </w:rPr>
          <w:t>93</w:t>
        </w:r>
        <w:r>
          <w:rPr>
            <w:webHidden/>
          </w:rPr>
          <w:fldChar w:fldCharType="end"/>
        </w:r>
      </w:hyperlink>
    </w:p>
    <w:p w14:paraId="7574E2A5" w14:textId="09513EAD" w:rsidR="0043455E" w:rsidRDefault="0043455E">
      <w:pPr>
        <w:pStyle w:val="TOC2"/>
        <w:rPr>
          <w:rFonts w:asciiTheme="minorHAnsi" w:eastAsiaTheme="minorEastAsia" w:hAnsiTheme="minorHAnsi" w:cstheme="minorBidi"/>
          <w:b w:val="0"/>
          <w:smallCaps w:val="0"/>
          <w:sz w:val="22"/>
          <w:lang w:eastAsia="pl-PL"/>
        </w:rPr>
      </w:pPr>
      <w:hyperlink w:anchor="_Toc119064801" w:history="1">
        <w:r w:rsidRPr="00A71A3B">
          <w:rPr>
            <w:rStyle w:val="Hyperlink"/>
            <w:rFonts w:ascii="Times New Roman" w:hAnsi="Times New Roman"/>
          </w:rPr>
          <w:t>3.2.4.2.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Kategoria ekspozycji „ekspozycje w postaci obligacji zabezpieczonych”</w:t>
        </w:r>
        <w:r>
          <w:rPr>
            <w:webHidden/>
          </w:rPr>
          <w:tab/>
        </w:r>
        <w:r>
          <w:rPr>
            <w:webHidden/>
          </w:rPr>
          <w:fldChar w:fldCharType="begin"/>
        </w:r>
        <w:r>
          <w:rPr>
            <w:webHidden/>
          </w:rPr>
          <w:instrText xml:space="preserve"> PAGEREF _Toc119064801 \h </w:instrText>
        </w:r>
        <w:r>
          <w:rPr>
            <w:webHidden/>
          </w:rPr>
        </w:r>
        <w:r>
          <w:rPr>
            <w:webHidden/>
          </w:rPr>
          <w:fldChar w:fldCharType="separate"/>
        </w:r>
        <w:r>
          <w:rPr>
            <w:webHidden/>
          </w:rPr>
          <w:t>93</w:t>
        </w:r>
        <w:r>
          <w:rPr>
            <w:webHidden/>
          </w:rPr>
          <w:fldChar w:fldCharType="end"/>
        </w:r>
      </w:hyperlink>
    </w:p>
    <w:p w14:paraId="2027D904" w14:textId="23273DEE" w:rsidR="0043455E" w:rsidRDefault="0043455E">
      <w:pPr>
        <w:pStyle w:val="TOC2"/>
        <w:rPr>
          <w:rFonts w:asciiTheme="minorHAnsi" w:eastAsiaTheme="minorEastAsia" w:hAnsiTheme="minorHAnsi" w:cstheme="minorBidi"/>
          <w:b w:val="0"/>
          <w:smallCaps w:val="0"/>
          <w:sz w:val="22"/>
          <w:lang w:eastAsia="pl-PL"/>
        </w:rPr>
      </w:pPr>
      <w:hyperlink w:anchor="_Toc119064802" w:history="1">
        <w:r w:rsidRPr="00A71A3B">
          <w:rPr>
            <w:rStyle w:val="Hyperlink"/>
            <w:rFonts w:ascii="Times New Roman" w:hAnsi="Times New Roman"/>
          </w:rPr>
          <w:t>3.2.4.3.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Kategoria ekspozycji „ekspozycje związane z przedsiębiorstwami zbiorowego inwestowania”</w:t>
        </w:r>
        <w:r>
          <w:rPr>
            <w:webHidden/>
          </w:rPr>
          <w:tab/>
        </w:r>
        <w:r>
          <w:rPr>
            <w:webHidden/>
          </w:rPr>
          <w:fldChar w:fldCharType="begin"/>
        </w:r>
        <w:r>
          <w:rPr>
            <w:webHidden/>
          </w:rPr>
          <w:instrText xml:space="preserve"> PAGEREF _Toc119064802 \h </w:instrText>
        </w:r>
        <w:r>
          <w:rPr>
            <w:webHidden/>
          </w:rPr>
        </w:r>
        <w:r>
          <w:rPr>
            <w:webHidden/>
          </w:rPr>
          <w:fldChar w:fldCharType="separate"/>
        </w:r>
        <w:r>
          <w:rPr>
            <w:webHidden/>
          </w:rPr>
          <w:t>94</w:t>
        </w:r>
        <w:r>
          <w:rPr>
            <w:webHidden/>
          </w:rPr>
          <w:fldChar w:fldCharType="end"/>
        </w:r>
      </w:hyperlink>
    </w:p>
    <w:p w14:paraId="33BD38B5" w14:textId="5E21AC64" w:rsidR="0043455E" w:rsidRDefault="0043455E">
      <w:pPr>
        <w:pStyle w:val="TOC2"/>
        <w:rPr>
          <w:rFonts w:asciiTheme="minorHAnsi" w:eastAsiaTheme="minorEastAsia" w:hAnsiTheme="minorHAnsi" w:cstheme="minorBidi"/>
          <w:b w:val="0"/>
          <w:smallCaps w:val="0"/>
          <w:sz w:val="22"/>
          <w:lang w:eastAsia="pl-PL"/>
        </w:rPr>
      </w:pPr>
      <w:hyperlink w:anchor="_Toc119064803" w:history="1">
        <w:r w:rsidRPr="00A71A3B">
          <w:rPr>
            <w:rStyle w:val="Hyperlink"/>
            <w:rFonts w:ascii="Times New Roman" w:hAnsi="Times New Roman"/>
          </w:rPr>
          <w:t>3.2.5.</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_Toc119064803 \h </w:instrText>
        </w:r>
        <w:r>
          <w:rPr>
            <w:webHidden/>
          </w:rPr>
        </w:r>
        <w:r>
          <w:rPr>
            <w:webHidden/>
          </w:rPr>
          <w:fldChar w:fldCharType="separate"/>
        </w:r>
        <w:r>
          <w:rPr>
            <w:webHidden/>
          </w:rPr>
          <w:t>94</w:t>
        </w:r>
        <w:r>
          <w:rPr>
            <w:webHidden/>
          </w:rPr>
          <w:fldChar w:fldCharType="end"/>
        </w:r>
      </w:hyperlink>
    </w:p>
    <w:p w14:paraId="7D3551D0" w14:textId="1918CE75" w:rsidR="0043455E" w:rsidRDefault="0043455E">
      <w:pPr>
        <w:pStyle w:val="TOC2"/>
        <w:rPr>
          <w:rFonts w:asciiTheme="minorHAnsi" w:eastAsiaTheme="minorEastAsia" w:hAnsiTheme="minorHAnsi" w:cstheme="minorBidi"/>
          <w:b w:val="0"/>
          <w:smallCaps w:val="0"/>
          <w:sz w:val="22"/>
          <w:lang w:eastAsia="pl-PL"/>
        </w:rPr>
      </w:pPr>
      <w:hyperlink w:anchor="_Toc119064804" w:history="1">
        <w:r w:rsidRPr="00A71A3B">
          <w:rPr>
            <w:rStyle w:val="Hyperlink"/>
            <w:rFonts w:ascii="Times New Roman" w:hAnsi="Times New Roman"/>
          </w:rPr>
          <w:t>3.3.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Ryzyko kredytowe i ryzyko kredytowe kontrahenta oraz dostawy z późniejszym terminem rozliczenia: Wymogi kapitałowe według metody IRB (CR IRB)</w:t>
        </w:r>
        <w:r>
          <w:rPr>
            <w:webHidden/>
          </w:rPr>
          <w:tab/>
        </w:r>
        <w:r>
          <w:rPr>
            <w:webHidden/>
          </w:rPr>
          <w:fldChar w:fldCharType="begin"/>
        </w:r>
        <w:r>
          <w:rPr>
            <w:webHidden/>
          </w:rPr>
          <w:instrText xml:space="preserve"> PAGEREF _Toc119064804 \h </w:instrText>
        </w:r>
        <w:r>
          <w:rPr>
            <w:webHidden/>
          </w:rPr>
        </w:r>
        <w:r>
          <w:rPr>
            <w:webHidden/>
          </w:rPr>
          <w:fldChar w:fldCharType="separate"/>
        </w:r>
        <w:r>
          <w:rPr>
            <w:webHidden/>
          </w:rPr>
          <w:t>103</w:t>
        </w:r>
        <w:r>
          <w:rPr>
            <w:webHidden/>
          </w:rPr>
          <w:fldChar w:fldCharType="end"/>
        </w:r>
      </w:hyperlink>
    </w:p>
    <w:p w14:paraId="0190A582" w14:textId="2F7DFE1A" w:rsidR="0043455E" w:rsidRDefault="0043455E">
      <w:pPr>
        <w:pStyle w:val="TOC2"/>
        <w:rPr>
          <w:rFonts w:asciiTheme="minorHAnsi" w:eastAsiaTheme="minorEastAsia" w:hAnsiTheme="minorHAnsi" w:cstheme="minorBidi"/>
          <w:b w:val="0"/>
          <w:smallCaps w:val="0"/>
          <w:sz w:val="22"/>
          <w:lang w:eastAsia="pl-PL"/>
        </w:rPr>
      </w:pPr>
      <w:hyperlink w:anchor="_Toc119064805" w:history="1">
        <w:r w:rsidRPr="00A71A3B">
          <w:rPr>
            <w:rStyle w:val="Hyperlink"/>
            <w:rFonts w:ascii="Times New Roman" w:hAnsi="Times New Roman"/>
          </w:rPr>
          <w:t>3.3.1.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Zakres wzoru CR IRB</w:t>
        </w:r>
        <w:r>
          <w:rPr>
            <w:webHidden/>
          </w:rPr>
          <w:tab/>
        </w:r>
        <w:r>
          <w:rPr>
            <w:webHidden/>
          </w:rPr>
          <w:fldChar w:fldCharType="begin"/>
        </w:r>
        <w:r>
          <w:rPr>
            <w:webHidden/>
          </w:rPr>
          <w:instrText xml:space="preserve"> PAGEREF _Toc119064805 \h </w:instrText>
        </w:r>
        <w:r>
          <w:rPr>
            <w:webHidden/>
          </w:rPr>
        </w:r>
        <w:r>
          <w:rPr>
            <w:webHidden/>
          </w:rPr>
          <w:fldChar w:fldCharType="separate"/>
        </w:r>
        <w:r>
          <w:rPr>
            <w:webHidden/>
          </w:rPr>
          <w:t>103</w:t>
        </w:r>
        <w:r>
          <w:rPr>
            <w:webHidden/>
          </w:rPr>
          <w:fldChar w:fldCharType="end"/>
        </w:r>
      </w:hyperlink>
    </w:p>
    <w:p w14:paraId="252A12F7" w14:textId="761C9B1A" w:rsidR="0043455E" w:rsidRDefault="0043455E">
      <w:pPr>
        <w:pStyle w:val="TOC2"/>
        <w:rPr>
          <w:rFonts w:asciiTheme="minorHAnsi" w:eastAsiaTheme="minorEastAsia" w:hAnsiTheme="minorHAnsi" w:cstheme="minorBidi"/>
          <w:b w:val="0"/>
          <w:smallCaps w:val="0"/>
          <w:sz w:val="22"/>
          <w:lang w:eastAsia="pl-PL"/>
        </w:rPr>
      </w:pPr>
      <w:hyperlink w:anchor="_Toc119064806" w:history="1">
        <w:r w:rsidRPr="00A71A3B">
          <w:rPr>
            <w:rStyle w:val="Hyperlink"/>
            <w:rFonts w:ascii="Times New Roman" w:hAnsi="Times New Roman"/>
          </w:rPr>
          <w:t>3.3.2.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Podział wzoru CR IRB</w:t>
        </w:r>
        <w:r>
          <w:rPr>
            <w:webHidden/>
          </w:rPr>
          <w:tab/>
        </w:r>
        <w:r>
          <w:rPr>
            <w:webHidden/>
          </w:rPr>
          <w:fldChar w:fldCharType="begin"/>
        </w:r>
        <w:r>
          <w:rPr>
            <w:webHidden/>
          </w:rPr>
          <w:instrText xml:space="preserve"> PAGEREF _Toc119064806 \h </w:instrText>
        </w:r>
        <w:r>
          <w:rPr>
            <w:webHidden/>
          </w:rPr>
        </w:r>
        <w:r>
          <w:rPr>
            <w:webHidden/>
          </w:rPr>
          <w:fldChar w:fldCharType="separate"/>
        </w:r>
        <w:r>
          <w:rPr>
            <w:webHidden/>
          </w:rPr>
          <w:t>104</w:t>
        </w:r>
        <w:r>
          <w:rPr>
            <w:webHidden/>
          </w:rPr>
          <w:fldChar w:fldCharType="end"/>
        </w:r>
      </w:hyperlink>
    </w:p>
    <w:p w14:paraId="5A26640C" w14:textId="7DCCBE89" w:rsidR="0043455E" w:rsidRDefault="0043455E">
      <w:pPr>
        <w:pStyle w:val="TOC2"/>
        <w:rPr>
          <w:rFonts w:asciiTheme="minorHAnsi" w:eastAsiaTheme="minorEastAsia" w:hAnsiTheme="minorHAnsi" w:cstheme="minorBidi"/>
          <w:b w:val="0"/>
          <w:smallCaps w:val="0"/>
          <w:sz w:val="22"/>
          <w:lang w:eastAsia="pl-PL"/>
        </w:rPr>
      </w:pPr>
      <w:hyperlink w:anchor="_Toc119064807" w:history="1">
        <w:r w:rsidRPr="00A71A3B">
          <w:rPr>
            <w:rStyle w:val="Hyperlink"/>
            <w:rFonts w:ascii="Times New Roman" w:hAnsi="Times New Roman"/>
          </w:rPr>
          <w:t>3.3.3.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08.01 – Ryzyko kredytowe i ryzyko kredytowe kontrahenta oraz dostawy z późniejszym terminem rozliczenia: wymogi kapitałowe według metody IRB (CR IRB 1)</w:t>
        </w:r>
        <w:r>
          <w:rPr>
            <w:webHidden/>
          </w:rPr>
          <w:tab/>
        </w:r>
        <w:r>
          <w:rPr>
            <w:webHidden/>
          </w:rPr>
          <w:fldChar w:fldCharType="begin"/>
        </w:r>
        <w:r>
          <w:rPr>
            <w:webHidden/>
          </w:rPr>
          <w:instrText xml:space="preserve"> PAGEREF _Toc119064807 \h </w:instrText>
        </w:r>
        <w:r>
          <w:rPr>
            <w:webHidden/>
          </w:rPr>
        </w:r>
        <w:r>
          <w:rPr>
            <w:webHidden/>
          </w:rPr>
          <w:fldChar w:fldCharType="separate"/>
        </w:r>
        <w:r>
          <w:rPr>
            <w:webHidden/>
          </w:rPr>
          <w:t>106</w:t>
        </w:r>
        <w:r>
          <w:rPr>
            <w:webHidden/>
          </w:rPr>
          <w:fldChar w:fldCharType="end"/>
        </w:r>
      </w:hyperlink>
    </w:p>
    <w:p w14:paraId="0DD90F4B" w14:textId="74B25FB3" w:rsidR="0043455E" w:rsidRDefault="0043455E">
      <w:pPr>
        <w:pStyle w:val="TOC2"/>
        <w:rPr>
          <w:rFonts w:asciiTheme="minorHAnsi" w:eastAsiaTheme="minorEastAsia" w:hAnsiTheme="minorHAnsi" w:cstheme="minorBidi"/>
          <w:b w:val="0"/>
          <w:smallCaps w:val="0"/>
          <w:sz w:val="22"/>
          <w:lang w:eastAsia="pl-PL"/>
        </w:rPr>
      </w:pPr>
      <w:hyperlink w:anchor="_Toc119064808" w:history="1">
        <w:r w:rsidRPr="00A71A3B">
          <w:rPr>
            <w:rStyle w:val="Hyperlink"/>
            <w:rFonts w:ascii="Times New Roman" w:hAnsi="Times New Roman"/>
          </w:rPr>
          <w:t>3.3.3.1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_Toc119064808 \h </w:instrText>
        </w:r>
        <w:r>
          <w:rPr>
            <w:webHidden/>
          </w:rPr>
        </w:r>
        <w:r>
          <w:rPr>
            <w:webHidden/>
          </w:rPr>
          <w:fldChar w:fldCharType="separate"/>
        </w:r>
        <w:r>
          <w:rPr>
            <w:webHidden/>
          </w:rPr>
          <w:t>106</w:t>
        </w:r>
        <w:r>
          <w:rPr>
            <w:webHidden/>
          </w:rPr>
          <w:fldChar w:fldCharType="end"/>
        </w:r>
      </w:hyperlink>
    </w:p>
    <w:p w14:paraId="5B2C73D5" w14:textId="36834B61" w:rsidR="0043455E" w:rsidRDefault="0043455E">
      <w:pPr>
        <w:pStyle w:val="TOC2"/>
        <w:rPr>
          <w:rFonts w:asciiTheme="minorHAnsi" w:eastAsiaTheme="minorEastAsia" w:hAnsiTheme="minorHAnsi" w:cstheme="minorBidi"/>
          <w:b w:val="0"/>
          <w:smallCaps w:val="0"/>
          <w:sz w:val="22"/>
          <w:lang w:eastAsia="pl-PL"/>
        </w:rPr>
      </w:pPr>
      <w:hyperlink w:anchor="_Toc119064809" w:history="1">
        <w:r w:rsidRPr="00A71A3B">
          <w:rPr>
            <w:rStyle w:val="Hyperlink"/>
            <w:rFonts w:ascii="Times New Roman" w:hAnsi="Times New Roman"/>
          </w:rPr>
          <w:t>3.3.4.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08.02 – Ryzyko kredytowe i ryzyko kredytowe kontrahenta oraz dostawy z późniejszym terminem rozliczenia: wymogi kapitałowe według metody IRB: podział według klas jakości lub puli dłużników (wzór CR IRB 2)</w:t>
        </w:r>
        <w:r>
          <w:rPr>
            <w:webHidden/>
          </w:rPr>
          <w:tab/>
        </w:r>
        <w:r>
          <w:rPr>
            <w:webHidden/>
          </w:rPr>
          <w:fldChar w:fldCharType="begin"/>
        </w:r>
        <w:r>
          <w:rPr>
            <w:webHidden/>
          </w:rPr>
          <w:instrText xml:space="preserve"> PAGEREF _Toc119064809 \h </w:instrText>
        </w:r>
        <w:r>
          <w:rPr>
            <w:webHidden/>
          </w:rPr>
        </w:r>
        <w:r>
          <w:rPr>
            <w:webHidden/>
          </w:rPr>
          <w:fldChar w:fldCharType="separate"/>
        </w:r>
        <w:r>
          <w:rPr>
            <w:webHidden/>
          </w:rPr>
          <w:t>117</w:t>
        </w:r>
        <w:r>
          <w:rPr>
            <w:webHidden/>
          </w:rPr>
          <w:fldChar w:fldCharType="end"/>
        </w:r>
      </w:hyperlink>
    </w:p>
    <w:p w14:paraId="53648613" w14:textId="40D6FE0B" w:rsidR="0043455E" w:rsidRDefault="0043455E">
      <w:pPr>
        <w:pStyle w:val="TOC2"/>
        <w:rPr>
          <w:rFonts w:asciiTheme="minorHAnsi" w:eastAsiaTheme="minorEastAsia" w:hAnsiTheme="minorHAnsi" w:cstheme="minorBidi"/>
          <w:b w:val="0"/>
          <w:smallCaps w:val="0"/>
          <w:sz w:val="22"/>
          <w:lang w:eastAsia="pl-PL"/>
        </w:rPr>
      </w:pPr>
      <w:hyperlink w:anchor="_Toc119064810" w:history="1">
        <w:r w:rsidRPr="00A71A3B">
          <w:rPr>
            <w:rStyle w:val="Hyperlink"/>
            <w:rFonts w:ascii="Times New Roman" w:hAnsi="Times New Roman"/>
          </w:rPr>
          <w:t>3.3.1.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08.03 – Ryzyko kredytowe oraz dostawy z późniejszym terminem rozliczenia: wymogi kapitałowe według metody IRB (podział według zakresów PD (CR IRB 3))</w:t>
        </w:r>
        <w:r>
          <w:rPr>
            <w:webHidden/>
          </w:rPr>
          <w:tab/>
        </w:r>
        <w:r>
          <w:rPr>
            <w:webHidden/>
          </w:rPr>
          <w:fldChar w:fldCharType="begin"/>
        </w:r>
        <w:r>
          <w:rPr>
            <w:webHidden/>
          </w:rPr>
          <w:instrText xml:space="preserve"> PAGEREF _Toc119064810 \h </w:instrText>
        </w:r>
        <w:r>
          <w:rPr>
            <w:webHidden/>
          </w:rPr>
        </w:r>
        <w:r>
          <w:rPr>
            <w:webHidden/>
          </w:rPr>
          <w:fldChar w:fldCharType="separate"/>
        </w:r>
        <w:r>
          <w:rPr>
            <w:webHidden/>
          </w:rPr>
          <w:t>117</w:t>
        </w:r>
        <w:r>
          <w:rPr>
            <w:webHidden/>
          </w:rPr>
          <w:fldChar w:fldCharType="end"/>
        </w:r>
      </w:hyperlink>
    </w:p>
    <w:p w14:paraId="52785C9F" w14:textId="1B696D8B" w:rsidR="0043455E" w:rsidRDefault="0043455E">
      <w:pPr>
        <w:pStyle w:val="TOC2"/>
        <w:rPr>
          <w:rFonts w:asciiTheme="minorHAnsi" w:eastAsiaTheme="minorEastAsia" w:hAnsiTheme="minorHAnsi" w:cstheme="minorBidi"/>
          <w:b w:val="0"/>
          <w:smallCaps w:val="0"/>
          <w:sz w:val="22"/>
          <w:lang w:eastAsia="pl-PL"/>
        </w:rPr>
      </w:pPr>
      <w:hyperlink w:anchor="_Toc119064811" w:history="1">
        <w:r w:rsidRPr="00A71A3B">
          <w:rPr>
            <w:rStyle w:val="Hyperlink"/>
            <w:rFonts w:ascii="Times New Roman" w:hAnsi="Times New Roman"/>
          </w:rPr>
          <w:t>3.3.1.1.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_Toc119064811 \h </w:instrText>
        </w:r>
        <w:r>
          <w:rPr>
            <w:webHidden/>
          </w:rPr>
        </w:r>
        <w:r>
          <w:rPr>
            <w:webHidden/>
          </w:rPr>
          <w:fldChar w:fldCharType="separate"/>
        </w:r>
        <w:r>
          <w:rPr>
            <w:webHidden/>
          </w:rPr>
          <w:t>117</w:t>
        </w:r>
        <w:r>
          <w:rPr>
            <w:webHidden/>
          </w:rPr>
          <w:fldChar w:fldCharType="end"/>
        </w:r>
      </w:hyperlink>
    </w:p>
    <w:p w14:paraId="6E8611CE" w14:textId="489A48D3" w:rsidR="0043455E" w:rsidRDefault="0043455E">
      <w:pPr>
        <w:pStyle w:val="TOC2"/>
        <w:rPr>
          <w:rFonts w:asciiTheme="minorHAnsi" w:eastAsiaTheme="minorEastAsia" w:hAnsiTheme="minorHAnsi" w:cstheme="minorBidi"/>
          <w:b w:val="0"/>
          <w:smallCaps w:val="0"/>
          <w:sz w:val="22"/>
          <w:lang w:eastAsia="pl-PL"/>
        </w:rPr>
      </w:pPr>
      <w:hyperlink w:anchor="_Toc119064812" w:history="1">
        <w:r w:rsidRPr="00A71A3B">
          <w:rPr>
            <w:rStyle w:val="Hyperlink"/>
            <w:rFonts w:ascii="Times New Roman" w:hAnsi="Times New Roman"/>
          </w:rPr>
          <w:t>3.3.1.2.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_Toc119064812 \h </w:instrText>
        </w:r>
        <w:r>
          <w:rPr>
            <w:webHidden/>
          </w:rPr>
        </w:r>
        <w:r>
          <w:rPr>
            <w:webHidden/>
          </w:rPr>
          <w:fldChar w:fldCharType="separate"/>
        </w:r>
        <w:r>
          <w:rPr>
            <w:webHidden/>
          </w:rPr>
          <w:t>118</w:t>
        </w:r>
        <w:r>
          <w:rPr>
            <w:webHidden/>
          </w:rPr>
          <w:fldChar w:fldCharType="end"/>
        </w:r>
      </w:hyperlink>
    </w:p>
    <w:p w14:paraId="28660812" w14:textId="19CB5C92" w:rsidR="0043455E" w:rsidRDefault="0043455E">
      <w:pPr>
        <w:pStyle w:val="TOC2"/>
        <w:rPr>
          <w:rFonts w:asciiTheme="minorHAnsi" w:eastAsiaTheme="minorEastAsia" w:hAnsiTheme="minorHAnsi" w:cstheme="minorBidi"/>
          <w:b w:val="0"/>
          <w:smallCaps w:val="0"/>
          <w:sz w:val="22"/>
          <w:lang w:eastAsia="pl-PL"/>
        </w:rPr>
      </w:pPr>
      <w:hyperlink w:anchor="_Toc119064813" w:history="1">
        <w:r w:rsidRPr="00A71A3B">
          <w:rPr>
            <w:rStyle w:val="Hyperlink"/>
            <w:rFonts w:ascii="Times New Roman" w:hAnsi="Times New Roman"/>
          </w:rPr>
          <w:t>3.3.2.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08.04 – Ryzyko kredytowe oraz dostawy z późniejszym terminem rozliczenia: wymogi kapitałowe według metody IRB (rachunki przepływów kwot ekspozycji ważonych ryzykiem (CR IRB 4))</w:t>
        </w:r>
        <w:r>
          <w:rPr>
            <w:webHidden/>
          </w:rPr>
          <w:tab/>
        </w:r>
        <w:r>
          <w:rPr>
            <w:webHidden/>
          </w:rPr>
          <w:fldChar w:fldCharType="begin"/>
        </w:r>
        <w:r>
          <w:rPr>
            <w:webHidden/>
          </w:rPr>
          <w:instrText xml:space="preserve"> PAGEREF _Toc119064813 \h </w:instrText>
        </w:r>
        <w:r>
          <w:rPr>
            <w:webHidden/>
          </w:rPr>
        </w:r>
        <w:r>
          <w:rPr>
            <w:webHidden/>
          </w:rPr>
          <w:fldChar w:fldCharType="separate"/>
        </w:r>
        <w:r>
          <w:rPr>
            <w:webHidden/>
          </w:rPr>
          <w:t>120</w:t>
        </w:r>
        <w:r>
          <w:rPr>
            <w:webHidden/>
          </w:rPr>
          <w:fldChar w:fldCharType="end"/>
        </w:r>
      </w:hyperlink>
    </w:p>
    <w:p w14:paraId="6D50544E" w14:textId="29CA6A57" w:rsidR="0043455E" w:rsidRDefault="0043455E">
      <w:pPr>
        <w:pStyle w:val="TOC2"/>
        <w:rPr>
          <w:rFonts w:asciiTheme="minorHAnsi" w:eastAsiaTheme="minorEastAsia" w:hAnsiTheme="minorHAnsi" w:cstheme="minorBidi"/>
          <w:b w:val="0"/>
          <w:smallCaps w:val="0"/>
          <w:sz w:val="22"/>
          <w:lang w:eastAsia="pl-PL"/>
        </w:rPr>
      </w:pPr>
      <w:hyperlink w:anchor="_Toc119064814" w:history="1">
        <w:r w:rsidRPr="00A71A3B">
          <w:rPr>
            <w:rStyle w:val="Hyperlink"/>
            <w:rFonts w:ascii="Times New Roman" w:hAnsi="Times New Roman"/>
          </w:rPr>
          <w:t>3.3.2.1.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_Toc119064814 \h </w:instrText>
        </w:r>
        <w:r>
          <w:rPr>
            <w:webHidden/>
          </w:rPr>
        </w:r>
        <w:r>
          <w:rPr>
            <w:webHidden/>
          </w:rPr>
          <w:fldChar w:fldCharType="separate"/>
        </w:r>
        <w:r>
          <w:rPr>
            <w:webHidden/>
          </w:rPr>
          <w:t>120</w:t>
        </w:r>
        <w:r>
          <w:rPr>
            <w:webHidden/>
          </w:rPr>
          <w:fldChar w:fldCharType="end"/>
        </w:r>
      </w:hyperlink>
    </w:p>
    <w:p w14:paraId="3DBF3643" w14:textId="59445418" w:rsidR="0043455E" w:rsidRDefault="0043455E">
      <w:pPr>
        <w:pStyle w:val="TOC2"/>
        <w:rPr>
          <w:rFonts w:asciiTheme="minorHAnsi" w:eastAsiaTheme="minorEastAsia" w:hAnsiTheme="minorHAnsi" w:cstheme="minorBidi"/>
          <w:b w:val="0"/>
          <w:smallCaps w:val="0"/>
          <w:sz w:val="22"/>
          <w:lang w:eastAsia="pl-PL"/>
        </w:rPr>
      </w:pPr>
      <w:hyperlink w:anchor="_Toc119064815" w:history="1">
        <w:r w:rsidRPr="00A71A3B">
          <w:rPr>
            <w:rStyle w:val="Hyperlink"/>
            <w:rFonts w:ascii="Times New Roman" w:hAnsi="Times New Roman"/>
          </w:rPr>
          <w:t>3.3.2.2.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_Toc119064815 \h </w:instrText>
        </w:r>
        <w:r>
          <w:rPr>
            <w:webHidden/>
          </w:rPr>
        </w:r>
        <w:r>
          <w:rPr>
            <w:webHidden/>
          </w:rPr>
          <w:fldChar w:fldCharType="separate"/>
        </w:r>
        <w:r>
          <w:rPr>
            <w:webHidden/>
          </w:rPr>
          <w:t>121</w:t>
        </w:r>
        <w:r>
          <w:rPr>
            <w:webHidden/>
          </w:rPr>
          <w:fldChar w:fldCharType="end"/>
        </w:r>
      </w:hyperlink>
    </w:p>
    <w:p w14:paraId="6B9180FA" w14:textId="1AD6E1A2" w:rsidR="0043455E" w:rsidRDefault="0043455E">
      <w:pPr>
        <w:pStyle w:val="TOC2"/>
        <w:rPr>
          <w:rFonts w:asciiTheme="minorHAnsi" w:eastAsiaTheme="minorEastAsia" w:hAnsiTheme="minorHAnsi" w:cstheme="minorBidi"/>
          <w:b w:val="0"/>
          <w:smallCaps w:val="0"/>
          <w:sz w:val="22"/>
          <w:lang w:eastAsia="pl-PL"/>
        </w:rPr>
      </w:pPr>
      <w:hyperlink w:anchor="_Toc119064816" w:history="1">
        <w:r w:rsidRPr="00A71A3B">
          <w:rPr>
            <w:rStyle w:val="Hyperlink"/>
            <w:rFonts w:ascii="Times New Roman" w:hAnsi="Times New Roman"/>
          </w:rPr>
          <w:t>3.3.3.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08.05 – Ryzyko kredytowe oraz dostawy z późniejszym terminem rozliczenia: wymogi kapitałowe według metody IRB (weryfikacja historyczna PD (CR IRB 5))</w:t>
        </w:r>
        <w:r>
          <w:rPr>
            <w:webHidden/>
          </w:rPr>
          <w:tab/>
        </w:r>
        <w:r>
          <w:rPr>
            <w:webHidden/>
          </w:rPr>
          <w:fldChar w:fldCharType="begin"/>
        </w:r>
        <w:r>
          <w:rPr>
            <w:webHidden/>
          </w:rPr>
          <w:instrText xml:space="preserve"> PAGEREF _Toc119064816 \h </w:instrText>
        </w:r>
        <w:r>
          <w:rPr>
            <w:webHidden/>
          </w:rPr>
        </w:r>
        <w:r>
          <w:rPr>
            <w:webHidden/>
          </w:rPr>
          <w:fldChar w:fldCharType="separate"/>
        </w:r>
        <w:r>
          <w:rPr>
            <w:webHidden/>
          </w:rPr>
          <w:t>123</w:t>
        </w:r>
        <w:r>
          <w:rPr>
            <w:webHidden/>
          </w:rPr>
          <w:fldChar w:fldCharType="end"/>
        </w:r>
      </w:hyperlink>
    </w:p>
    <w:p w14:paraId="480DF274" w14:textId="78F82938" w:rsidR="0043455E" w:rsidRDefault="0043455E">
      <w:pPr>
        <w:pStyle w:val="TOC2"/>
        <w:rPr>
          <w:rFonts w:asciiTheme="minorHAnsi" w:eastAsiaTheme="minorEastAsia" w:hAnsiTheme="minorHAnsi" w:cstheme="minorBidi"/>
          <w:b w:val="0"/>
          <w:smallCaps w:val="0"/>
          <w:sz w:val="22"/>
          <w:lang w:eastAsia="pl-PL"/>
        </w:rPr>
      </w:pPr>
      <w:hyperlink w:anchor="_Toc119064817" w:history="1">
        <w:r w:rsidRPr="00A71A3B">
          <w:rPr>
            <w:rStyle w:val="Hyperlink"/>
            <w:rFonts w:ascii="Times New Roman" w:hAnsi="Times New Roman"/>
          </w:rPr>
          <w:t>3.3.3.1.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_Toc119064817 \h </w:instrText>
        </w:r>
        <w:r>
          <w:rPr>
            <w:webHidden/>
          </w:rPr>
        </w:r>
        <w:r>
          <w:rPr>
            <w:webHidden/>
          </w:rPr>
          <w:fldChar w:fldCharType="separate"/>
        </w:r>
        <w:r>
          <w:rPr>
            <w:webHidden/>
          </w:rPr>
          <w:t>123</w:t>
        </w:r>
        <w:r>
          <w:rPr>
            <w:webHidden/>
          </w:rPr>
          <w:fldChar w:fldCharType="end"/>
        </w:r>
      </w:hyperlink>
    </w:p>
    <w:p w14:paraId="5A1B1AE4" w14:textId="0616F98C" w:rsidR="0043455E" w:rsidRDefault="0043455E">
      <w:pPr>
        <w:pStyle w:val="TOC2"/>
        <w:rPr>
          <w:rFonts w:asciiTheme="minorHAnsi" w:eastAsiaTheme="minorEastAsia" w:hAnsiTheme="minorHAnsi" w:cstheme="minorBidi"/>
          <w:b w:val="0"/>
          <w:smallCaps w:val="0"/>
          <w:sz w:val="22"/>
          <w:lang w:eastAsia="pl-PL"/>
        </w:rPr>
      </w:pPr>
      <w:hyperlink w:anchor="_Toc119064818" w:history="1">
        <w:r w:rsidRPr="00A71A3B">
          <w:rPr>
            <w:rStyle w:val="Hyperlink"/>
            <w:rFonts w:ascii="Times New Roman" w:hAnsi="Times New Roman"/>
          </w:rPr>
          <w:t>3.3.3.2.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_Toc119064818 \h </w:instrText>
        </w:r>
        <w:r>
          <w:rPr>
            <w:webHidden/>
          </w:rPr>
        </w:r>
        <w:r>
          <w:rPr>
            <w:webHidden/>
          </w:rPr>
          <w:fldChar w:fldCharType="separate"/>
        </w:r>
        <w:r>
          <w:rPr>
            <w:webHidden/>
          </w:rPr>
          <w:t>123</w:t>
        </w:r>
        <w:r>
          <w:rPr>
            <w:webHidden/>
          </w:rPr>
          <w:fldChar w:fldCharType="end"/>
        </w:r>
      </w:hyperlink>
    </w:p>
    <w:p w14:paraId="5CE372FF" w14:textId="340C0A78" w:rsidR="0043455E" w:rsidRDefault="0043455E">
      <w:pPr>
        <w:pStyle w:val="TOC2"/>
        <w:rPr>
          <w:rFonts w:asciiTheme="minorHAnsi" w:eastAsiaTheme="minorEastAsia" w:hAnsiTheme="minorHAnsi" w:cstheme="minorBidi"/>
          <w:b w:val="0"/>
          <w:smallCaps w:val="0"/>
          <w:sz w:val="22"/>
          <w:lang w:eastAsia="pl-PL"/>
        </w:rPr>
      </w:pPr>
      <w:hyperlink w:anchor="_Toc119064819" w:history="1">
        <w:r w:rsidRPr="00A71A3B">
          <w:rPr>
            <w:rStyle w:val="Hyperlink"/>
            <w:rFonts w:ascii="Times New Roman" w:hAnsi="Times New Roman"/>
          </w:rPr>
          <w:t>3.3.4.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 xml:space="preserve">C 08.05.1 – Ryzyko kredytowe oraz dostawy z późniejszym terminem rozliczenia: wymogi kapitałowe według metody IRB: Weryfikacja historyczna PD zgodnie z </w:t>
        </w:r>
        <w:r w:rsidRPr="0043455E">
          <w:rPr>
            <w:rStyle w:val="Hyperlink"/>
            <w:rFonts w:ascii="Times New Roman" w:hAnsi="Times New Roman"/>
          </w:rPr>
          <w:t>art. 1</w:t>
        </w:r>
        <w:r w:rsidRPr="00A71A3B">
          <w:rPr>
            <w:rStyle w:val="Hyperlink"/>
            <w:rFonts w:ascii="Times New Roman" w:hAnsi="Times New Roman"/>
          </w:rPr>
          <w:t xml:space="preserve">80 </w:t>
        </w:r>
        <w:r w:rsidRPr="0043455E">
          <w:rPr>
            <w:rStyle w:val="Hyperlink"/>
            <w:rFonts w:ascii="Times New Roman" w:hAnsi="Times New Roman"/>
          </w:rPr>
          <w:t>ust. 1</w:t>
        </w:r>
        <w:r w:rsidRPr="00A71A3B">
          <w:rPr>
            <w:rStyle w:val="Hyperlink"/>
            <w:rFonts w:ascii="Times New Roman" w:hAnsi="Times New Roman"/>
          </w:rPr>
          <w:t xml:space="preserve"> </w:t>
        </w:r>
        <w:r w:rsidRPr="0043455E">
          <w:rPr>
            <w:rStyle w:val="Hyperlink"/>
            <w:rFonts w:ascii="Times New Roman" w:hAnsi="Times New Roman"/>
          </w:rPr>
          <w:t>lit. f)</w:t>
        </w:r>
        <w:r w:rsidRPr="00A71A3B">
          <w:rPr>
            <w:rStyle w:val="Hyperlink"/>
            <w:rFonts w:ascii="Times New Roman" w:hAnsi="Times New Roman"/>
          </w:rPr>
          <w:t xml:space="preserve"> rozporządzenia (UE) </w:t>
        </w:r>
        <w:r w:rsidRPr="0043455E">
          <w:rPr>
            <w:rStyle w:val="Hyperlink"/>
            <w:rFonts w:ascii="Times New Roman" w:hAnsi="Times New Roman"/>
          </w:rPr>
          <w:t>nr 5</w:t>
        </w:r>
        <w:r w:rsidRPr="00A71A3B">
          <w:rPr>
            <w:rStyle w:val="Hyperlink"/>
            <w:rFonts w:ascii="Times New Roman" w:hAnsi="Times New Roman"/>
          </w:rPr>
          <w:t>75/2013 (CR IRB 5B)</w:t>
        </w:r>
        <w:r>
          <w:rPr>
            <w:webHidden/>
          </w:rPr>
          <w:tab/>
        </w:r>
        <w:r>
          <w:rPr>
            <w:webHidden/>
          </w:rPr>
          <w:fldChar w:fldCharType="begin"/>
        </w:r>
        <w:r>
          <w:rPr>
            <w:webHidden/>
          </w:rPr>
          <w:instrText xml:space="preserve"> PAGEREF _Toc119064819 \h </w:instrText>
        </w:r>
        <w:r>
          <w:rPr>
            <w:webHidden/>
          </w:rPr>
        </w:r>
        <w:r>
          <w:rPr>
            <w:webHidden/>
          </w:rPr>
          <w:fldChar w:fldCharType="separate"/>
        </w:r>
        <w:r>
          <w:rPr>
            <w:webHidden/>
          </w:rPr>
          <w:t>124</w:t>
        </w:r>
        <w:r>
          <w:rPr>
            <w:webHidden/>
          </w:rPr>
          <w:fldChar w:fldCharType="end"/>
        </w:r>
      </w:hyperlink>
    </w:p>
    <w:p w14:paraId="1CBF7622" w14:textId="3F4D7656" w:rsidR="0043455E" w:rsidRDefault="0043455E">
      <w:pPr>
        <w:pStyle w:val="TOC2"/>
        <w:rPr>
          <w:rFonts w:asciiTheme="minorHAnsi" w:eastAsiaTheme="minorEastAsia" w:hAnsiTheme="minorHAnsi" w:cstheme="minorBidi"/>
          <w:b w:val="0"/>
          <w:smallCaps w:val="0"/>
          <w:sz w:val="22"/>
          <w:lang w:eastAsia="pl-PL"/>
        </w:rPr>
      </w:pPr>
      <w:hyperlink w:anchor="_Toc119064820" w:history="1">
        <w:r w:rsidRPr="00A71A3B">
          <w:rPr>
            <w:rStyle w:val="Hyperlink"/>
            <w:rFonts w:ascii="Times New Roman" w:hAnsi="Times New Roman"/>
          </w:rPr>
          <w:t>3.3.4.1.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_Toc119064820 \h </w:instrText>
        </w:r>
        <w:r>
          <w:rPr>
            <w:webHidden/>
          </w:rPr>
        </w:r>
        <w:r>
          <w:rPr>
            <w:webHidden/>
          </w:rPr>
          <w:fldChar w:fldCharType="separate"/>
        </w:r>
        <w:r>
          <w:rPr>
            <w:webHidden/>
          </w:rPr>
          <w:t>124</w:t>
        </w:r>
        <w:r>
          <w:rPr>
            <w:webHidden/>
          </w:rPr>
          <w:fldChar w:fldCharType="end"/>
        </w:r>
      </w:hyperlink>
    </w:p>
    <w:p w14:paraId="7823B37D" w14:textId="202B4C68" w:rsidR="0043455E" w:rsidRDefault="0043455E">
      <w:pPr>
        <w:pStyle w:val="TOC2"/>
        <w:rPr>
          <w:rFonts w:asciiTheme="minorHAnsi" w:eastAsiaTheme="minorEastAsia" w:hAnsiTheme="minorHAnsi" w:cstheme="minorBidi"/>
          <w:b w:val="0"/>
          <w:smallCaps w:val="0"/>
          <w:sz w:val="22"/>
          <w:lang w:eastAsia="pl-PL"/>
        </w:rPr>
      </w:pPr>
      <w:hyperlink w:anchor="_Toc119064821" w:history="1">
        <w:r w:rsidRPr="00A71A3B">
          <w:rPr>
            <w:rStyle w:val="Hyperlink"/>
            <w:rFonts w:ascii="Times New Roman" w:hAnsi="Times New Roman"/>
          </w:rPr>
          <w:t>3.3.5.</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08.06 – Ryzyko kredytowe oraz dostawy z późniejszym terminem rozliczenia: wymogi kapitałowe według metody IRB (metoda klasyfikacji kredytowania specjalistycznego (CR IRB 6))</w:t>
        </w:r>
        <w:r>
          <w:rPr>
            <w:webHidden/>
          </w:rPr>
          <w:tab/>
        </w:r>
        <w:r>
          <w:rPr>
            <w:webHidden/>
          </w:rPr>
          <w:fldChar w:fldCharType="begin"/>
        </w:r>
        <w:r>
          <w:rPr>
            <w:webHidden/>
          </w:rPr>
          <w:instrText xml:space="preserve"> PAGEREF _Toc119064821 \h </w:instrText>
        </w:r>
        <w:r>
          <w:rPr>
            <w:webHidden/>
          </w:rPr>
        </w:r>
        <w:r>
          <w:rPr>
            <w:webHidden/>
          </w:rPr>
          <w:fldChar w:fldCharType="separate"/>
        </w:r>
        <w:r>
          <w:rPr>
            <w:webHidden/>
          </w:rPr>
          <w:t>125</w:t>
        </w:r>
        <w:r>
          <w:rPr>
            <w:webHidden/>
          </w:rPr>
          <w:fldChar w:fldCharType="end"/>
        </w:r>
      </w:hyperlink>
    </w:p>
    <w:p w14:paraId="0CA9CB02" w14:textId="039B7C9C" w:rsidR="0043455E" w:rsidRDefault="0043455E">
      <w:pPr>
        <w:pStyle w:val="TOC2"/>
        <w:rPr>
          <w:rFonts w:asciiTheme="minorHAnsi" w:eastAsiaTheme="minorEastAsia" w:hAnsiTheme="minorHAnsi" w:cstheme="minorBidi"/>
          <w:b w:val="0"/>
          <w:smallCaps w:val="0"/>
          <w:sz w:val="22"/>
          <w:lang w:eastAsia="pl-PL"/>
        </w:rPr>
      </w:pPr>
      <w:hyperlink w:anchor="_Toc119064822" w:history="1">
        <w:r w:rsidRPr="00A71A3B">
          <w:rPr>
            <w:rStyle w:val="Hyperlink"/>
            <w:rFonts w:ascii="Times New Roman" w:hAnsi="Times New Roman"/>
          </w:rPr>
          <w:t>3.3.5.1.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_Toc119064822 \h </w:instrText>
        </w:r>
        <w:r>
          <w:rPr>
            <w:webHidden/>
          </w:rPr>
        </w:r>
        <w:r>
          <w:rPr>
            <w:webHidden/>
          </w:rPr>
          <w:fldChar w:fldCharType="separate"/>
        </w:r>
        <w:r>
          <w:rPr>
            <w:webHidden/>
          </w:rPr>
          <w:t>125</w:t>
        </w:r>
        <w:r>
          <w:rPr>
            <w:webHidden/>
          </w:rPr>
          <w:fldChar w:fldCharType="end"/>
        </w:r>
      </w:hyperlink>
    </w:p>
    <w:p w14:paraId="68DDC44C" w14:textId="2C066EB6" w:rsidR="0043455E" w:rsidRDefault="0043455E">
      <w:pPr>
        <w:pStyle w:val="TOC2"/>
        <w:rPr>
          <w:rFonts w:asciiTheme="minorHAnsi" w:eastAsiaTheme="minorEastAsia" w:hAnsiTheme="minorHAnsi" w:cstheme="minorBidi"/>
          <w:b w:val="0"/>
          <w:smallCaps w:val="0"/>
          <w:sz w:val="22"/>
          <w:lang w:eastAsia="pl-PL"/>
        </w:rPr>
      </w:pPr>
      <w:hyperlink w:anchor="_Toc119064823" w:history="1">
        <w:r w:rsidRPr="00A71A3B">
          <w:rPr>
            <w:rStyle w:val="Hyperlink"/>
            <w:rFonts w:ascii="Times New Roman" w:hAnsi="Times New Roman"/>
          </w:rPr>
          <w:t>3.3.5.2.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_Toc119064823 \h </w:instrText>
        </w:r>
        <w:r>
          <w:rPr>
            <w:webHidden/>
          </w:rPr>
        </w:r>
        <w:r>
          <w:rPr>
            <w:webHidden/>
          </w:rPr>
          <w:fldChar w:fldCharType="separate"/>
        </w:r>
        <w:r>
          <w:rPr>
            <w:webHidden/>
          </w:rPr>
          <w:t>125</w:t>
        </w:r>
        <w:r>
          <w:rPr>
            <w:webHidden/>
          </w:rPr>
          <w:fldChar w:fldCharType="end"/>
        </w:r>
      </w:hyperlink>
    </w:p>
    <w:p w14:paraId="1EC076C5" w14:textId="356DF69C" w:rsidR="0043455E" w:rsidRDefault="0043455E">
      <w:pPr>
        <w:pStyle w:val="TOC2"/>
        <w:rPr>
          <w:rFonts w:asciiTheme="minorHAnsi" w:eastAsiaTheme="minorEastAsia" w:hAnsiTheme="minorHAnsi" w:cstheme="minorBidi"/>
          <w:b w:val="0"/>
          <w:smallCaps w:val="0"/>
          <w:sz w:val="22"/>
          <w:lang w:eastAsia="pl-PL"/>
        </w:rPr>
      </w:pPr>
      <w:hyperlink w:anchor="_Toc119064824" w:history="1">
        <w:r w:rsidRPr="00A71A3B">
          <w:rPr>
            <w:rStyle w:val="Hyperlink"/>
            <w:rFonts w:ascii="Times New Roman" w:hAnsi="Times New Roman"/>
          </w:rPr>
          <w:t>3.3.6.</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08.07 – Ryzyko kredytowe oraz dostawy z późniejszym terminem rozliczenia: wymogi kapitałowe według metody IRB (zakres stosowania metody IRB i metody standardowej (CR IRB 7))</w:t>
        </w:r>
        <w:r>
          <w:rPr>
            <w:webHidden/>
          </w:rPr>
          <w:tab/>
        </w:r>
        <w:r>
          <w:rPr>
            <w:webHidden/>
          </w:rPr>
          <w:fldChar w:fldCharType="begin"/>
        </w:r>
        <w:r>
          <w:rPr>
            <w:webHidden/>
          </w:rPr>
          <w:instrText xml:space="preserve"> PAGEREF _Toc119064824 \h </w:instrText>
        </w:r>
        <w:r>
          <w:rPr>
            <w:webHidden/>
          </w:rPr>
        </w:r>
        <w:r>
          <w:rPr>
            <w:webHidden/>
          </w:rPr>
          <w:fldChar w:fldCharType="separate"/>
        </w:r>
        <w:r>
          <w:rPr>
            <w:webHidden/>
          </w:rPr>
          <w:t>126</w:t>
        </w:r>
        <w:r>
          <w:rPr>
            <w:webHidden/>
          </w:rPr>
          <w:fldChar w:fldCharType="end"/>
        </w:r>
      </w:hyperlink>
    </w:p>
    <w:p w14:paraId="58993144" w14:textId="03E1D9FC" w:rsidR="0043455E" w:rsidRDefault="0043455E">
      <w:pPr>
        <w:pStyle w:val="TOC2"/>
        <w:rPr>
          <w:rFonts w:asciiTheme="minorHAnsi" w:eastAsiaTheme="minorEastAsia" w:hAnsiTheme="minorHAnsi" w:cstheme="minorBidi"/>
          <w:b w:val="0"/>
          <w:smallCaps w:val="0"/>
          <w:sz w:val="22"/>
          <w:lang w:eastAsia="pl-PL"/>
        </w:rPr>
      </w:pPr>
      <w:hyperlink w:anchor="_Toc119064825" w:history="1">
        <w:r w:rsidRPr="00A71A3B">
          <w:rPr>
            <w:rStyle w:val="Hyperlink"/>
            <w:rFonts w:ascii="Times New Roman" w:hAnsi="Times New Roman"/>
          </w:rPr>
          <w:t>3.3.6.1.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_Toc119064825 \h </w:instrText>
        </w:r>
        <w:r>
          <w:rPr>
            <w:webHidden/>
          </w:rPr>
        </w:r>
        <w:r>
          <w:rPr>
            <w:webHidden/>
          </w:rPr>
          <w:fldChar w:fldCharType="separate"/>
        </w:r>
        <w:r>
          <w:rPr>
            <w:webHidden/>
          </w:rPr>
          <w:t>126</w:t>
        </w:r>
        <w:r>
          <w:rPr>
            <w:webHidden/>
          </w:rPr>
          <w:fldChar w:fldCharType="end"/>
        </w:r>
      </w:hyperlink>
    </w:p>
    <w:p w14:paraId="0803E568" w14:textId="6A27D153" w:rsidR="0043455E" w:rsidRDefault="0043455E">
      <w:pPr>
        <w:pStyle w:val="TOC2"/>
        <w:rPr>
          <w:rFonts w:asciiTheme="minorHAnsi" w:eastAsiaTheme="minorEastAsia" w:hAnsiTheme="minorHAnsi" w:cstheme="minorBidi"/>
          <w:b w:val="0"/>
          <w:smallCaps w:val="0"/>
          <w:sz w:val="22"/>
          <w:lang w:eastAsia="pl-PL"/>
        </w:rPr>
      </w:pPr>
      <w:hyperlink w:anchor="_Toc119064826" w:history="1">
        <w:r w:rsidRPr="00A71A3B">
          <w:rPr>
            <w:rStyle w:val="Hyperlink"/>
            <w:rFonts w:ascii="Times New Roman" w:hAnsi="Times New Roman"/>
          </w:rPr>
          <w:t>3.3.6.2.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_Toc119064826 \h </w:instrText>
        </w:r>
        <w:r>
          <w:rPr>
            <w:webHidden/>
          </w:rPr>
        </w:r>
        <w:r>
          <w:rPr>
            <w:webHidden/>
          </w:rPr>
          <w:fldChar w:fldCharType="separate"/>
        </w:r>
        <w:r>
          <w:rPr>
            <w:webHidden/>
          </w:rPr>
          <w:t>126</w:t>
        </w:r>
        <w:r>
          <w:rPr>
            <w:webHidden/>
          </w:rPr>
          <w:fldChar w:fldCharType="end"/>
        </w:r>
      </w:hyperlink>
    </w:p>
    <w:p w14:paraId="1884893F" w14:textId="4F1557BD" w:rsidR="0043455E" w:rsidRDefault="0043455E">
      <w:pPr>
        <w:pStyle w:val="TOC2"/>
        <w:rPr>
          <w:rFonts w:asciiTheme="minorHAnsi" w:eastAsiaTheme="minorEastAsia" w:hAnsiTheme="minorHAnsi" w:cstheme="minorBidi"/>
          <w:b w:val="0"/>
          <w:smallCaps w:val="0"/>
          <w:sz w:val="22"/>
          <w:lang w:eastAsia="pl-PL"/>
        </w:rPr>
      </w:pPr>
      <w:hyperlink w:anchor="_Toc119064827" w:history="1">
        <w:r w:rsidRPr="00A71A3B">
          <w:rPr>
            <w:rStyle w:val="Hyperlink"/>
            <w:rFonts w:ascii="Times New Roman" w:hAnsi="Times New Roman"/>
          </w:rPr>
          <w:t>3.4.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Ryzyko kredytowe i ryzyko kredytowe kontrahenta oraz dostawy z późniejszym terminem rozliczenia: Informacje z podziałem pod względem geograficznym</w:t>
        </w:r>
        <w:r>
          <w:rPr>
            <w:webHidden/>
          </w:rPr>
          <w:tab/>
        </w:r>
        <w:r>
          <w:rPr>
            <w:webHidden/>
          </w:rPr>
          <w:fldChar w:fldCharType="begin"/>
        </w:r>
        <w:r>
          <w:rPr>
            <w:webHidden/>
          </w:rPr>
          <w:instrText xml:space="preserve"> PAGEREF _Toc119064827 \h </w:instrText>
        </w:r>
        <w:r>
          <w:rPr>
            <w:webHidden/>
          </w:rPr>
        </w:r>
        <w:r>
          <w:rPr>
            <w:webHidden/>
          </w:rPr>
          <w:fldChar w:fldCharType="separate"/>
        </w:r>
        <w:r>
          <w:rPr>
            <w:webHidden/>
          </w:rPr>
          <w:t>128</w:t>
        </w:r>
        <w:r>
          <w:rPr>
            <w:webHidden/>
          </w:rPr>
          <w:fldChar w:fldCharType="end"/>
        </w:r>
      </w:hyperlink>
    </w:p>
    <w:p w14:paraId="2F91EDC9" w14:textId="3FD8F090" w:rsidR="0043455E" w:rsidRDefault="0043455E">
      <w:pPr>
        <w:pStyle w:val="TOC2"/>
        <w:rPr>
          <w:rFonts w:asciiTheme="minorHAnsi" w:eastAsiaTheme="minorEastAsia" w:hAnsiTheme="minorHAnsi" w:cstheme="minorBidi"/>
          <w:b w:val="0"/>
          <w:smallCaps w:val="0"/>
          <w:sz w:val="22"/>
          <w:lang w:eastAsia="pl-PL"/>
        </w:rPr>
      </w:pPr>
      <w:hyperlink w:anchor="_Toc119064828" w:history="1">
        <w:r w:rsidRPr="00A71A3B">
          <w:rPr>
            <w:rStyle w:val="Hyperlink"/>
            <w:rFonts w:ascii="Times New Roman" w:hAnsi="Times New Roman"/>
          </w:rPr>
          <w:t>3.4.1.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09.01 – Podział ekspozycji pod względem geograficznym według siedziby dłużnika: ekspozycje według metody standardowej (CR GB 1)</w:t>
        </w:r>
        <w:r>
          <w:rPr>
            <w:webHidden/>
          </w:rPr>
          <w:tab/>
        </w:r>
        <w:r>
          <w:rPr>
            <w:webHidden/>
          </w:rPr>
          <w:fldChar w:fldCharType="begin"/>
        </w:r>
        <w:r>
          <w:rPr>
            <w:webHidden/>
          </w:rPr>
          <w:instrText xml:space="preserve"> PAGEREF _Toc119064828 \h </w:instrText>
        </w:r>
        <w:r>
          <w:rPr>
            <w:webHidden/>
          </w:rPr>
        </w:r>
        <w:r>
          <w:rPr>
            <w:webHidden/>
          </w:rPr>
          <w:fldChar w:fldCharType="separate"/>
        </w:r>
        <w:r>
          <w:rPr>
            <w:webHidden/>
          </w:rPr>
          <w:t>128</w:t>
        </w:r>
        <w:r>
          <w:rPr>
            <w:webHidden/>
          </w:rPr>
          <w:fldChar w:fldCharType="end"/>
        </w:r>
      </w:hyperlink>
    </w:p>
    <w:p w14:paraId="0C5BFED5" w14:textId="28705B73" w:rsidR="0043455E" w:rsidRDefault="0043455E">
      <w:pPr>
        <w:pStyle w:val="TOC2"/>
        <w:rPr>
          <w:rFonts w:asciiTheme="minorHAnsi" w:eastAsiaTheme="minorEastAsia" w:hAnsiTheme="minorHAnsi" w:cstheme="minorBidi"/>
          <w:b w:val="0"/>
          <w:smallCaps w:val="0"/>
          <w:sz w:val="22"/>
          <w:lang w:eastAsia="pl-PL"/>
        </w:rPr>
      </w:pPr>
      <w:hyperlink w:anchor="_Toc119064829" w:history="1">
        <w:r w:rsidRPr="00A71A3B">
          <w:rPr>
            <w:rStyle w:val="Hyperlink"/>
            <w:rFonts w:ascii="Times New Roman" w:hAnsi="Times New Roman"/>
          </w:rPr>
          <w:t>3.4.1.1.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_Toc119064829 \h </w:instrText>
        </w:r>
        <w:r>
          <w:rPr>
            <w:webHidden/>
          </w:rPr>
        </w:r>
        <w:r>
          <w:rPr>
            <w:webHidden/>
          </w:rPr>
          <w:fldChar w:fldCharType="separate"/>
        </w:r>
        <w:r>
          <w:rPr>
            <w:webHidden/>
          </w:rPr>
          <w:t>128</w:t>
        </w:r>
        <w:r>
          <w:rPr>
            <w:webHidden/>
          </w:rPr>
          <w:fldChar w:fldCharType="end"/>
        </w:r>
      </w:hyperlink>
    </w:p>
    <w:p w14:paraId="404BD771" w14:textId="06A0ADAB" w:rsidR="0043455E" w:rsidRDefault="0043455E">
      <w:pPr>
        <w:pStyle w:val="TOC2"/>
        <w:rPr>
          <w:rFonts w:asciiTheme="minorHAnsi" w:eastAsiaTheme="minorEastAsia" w:hAnsiTheme="minorHAnsi" w:cstheme="minorBidi"/>
          <w:b w:val="0"/>
          <w:smallCaps w:val="0"/>
          <w:sz w:val="22"/>
          <w:lang w:eastAsia="pl-PL"/>
        </w:rPr>
      </w:pPr>
      <w:hyperlink w:anchor="_Toc119064830" w:history="1">
        <w:r w:rsidRPr="00A71A3B">
          <w:rPr>
            <w:rStyle w:val="Hyperlink"/>
            <w:rFonts w:ascii="Times New Roman" w:hAnsi="Times New Roman"/>
          </w:rPr>
          <w:t>3.4.2.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09.02 – Podział ekspozycji pod względem geograficznym według siedziby dłużnika: ekspozycje według metody IRB (CR GB 2)</w:t>
        </w:r>
        <w:r>
          <w:rPr>
            <w:webHidden/>
          </w:rPr>
          <w:tab/>
        </w:r>
        <w:r>
          <w:rPr>
            <w:webHidden/>
          </w:rPr>
          <w:fldChar w:fldCharType="begin"/>
        </w:r>
        <w:r>
          <w:rPr>
            <w:webHidden/>
          </w:rPr>
          <w:instrText xml:space="preserve"> PAGEREF _Toc119064830 \h </w:instrText>
        </w:r>
        <w:r>
          <w:rPr>
            <w:webHidden/>
          </w:rPr>
        </w:r>
        <w:r>
          <w:rPr>
            <w:webHidden/>
          </w:rPr>
          <w:fldChar w:fldCharType="separate"/>
        </w:r>
        <w:r>
          <w:rPr>
            <w:webHidden/>
          </w:rPr>
          <w:t>132</w:t>
        </w:r>
        <w:r>
          <w:rPr>
            <w:webHidden/>
          </w:rPr>
          <w:fldChar w:fldCharType="end"/>
        </w:r>
      </w:hyperlink>
    </w:p>
    <w:p w14:paraId="3894EE61" w14:textId="7A0AD074" w:rsidR="0043455E" w:rsidRDefault="0043455E">
      <w:pPr>
        <w:pStyle w:val="TOC2"/>
        <w:rPr>
          <w:rFonts w:asciiTheme="minorHAnsi" w:eastAsiaTheme="minorEastAsia" w:hAnsiTheme="minorHAnsi" w:cstheme="minorBidi"/>
          <w:b w:val="0"/>
          <w:smallCaps w:val="0"/>
          <w:sz w:val="22"/>
          <w:lang w:eastAsia="pl-PL"/>
        </w:rPr>
      </w:pPr>
      <w:hyperlink w:anchor="_Toc119064831" w:history="1">
        <w:r w:rsidRPr="00A71A3B">
          <w:rPr>
            <w:rStyle w:val="Hyperlink"/>
            <w:rFonts w:ascii="Times New Roman" w:hAnsi="Times New Roman"/>
          </w:rPr>
          <w:t>3.4.2.1.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_Toc119064831 \h </w:instrText>
        </w:r>
        <w:r>
          <w:rPr>
            <w:webHidden/>
          </w:rPr>
        </w:r>
        <w:r>
          <w:rPr>
            <w:webHidden/>
          </w:rPr>
          <w:fldChar w:fldCharType="separate"/>
        </w:r>
        <w:r>
          <w:rPr>
            <w:webHidden/>
          </w:rPr>
          <w:t>132</w:t>
        </w:r>
        <w:r>
          <w:rPr>
            <w:webHidden/>
          </w:rPr>
          <w:fldChar w:fldCharType="end"/>
        </w:r>
      </w:hyperlink>
    </w:p>
    <w:p w14:paraId="4489E165" w14:textId="7366E9D7" w:rsidR="0043455E" w:rsidRDefault="0043455E">
      <w:pPr>
        <w:pStyle w:val="TOC2"/>
        <w:rPr>
          <w:rFonts w:asciiTheme="minorHAnsi" w:eastAsiaTheme="minorEastAsia" w:hAnsiTheme="minorHAnsi" w:cstheme="minorBidi"/>
          <w:b w:val="0"/>
          <w:smallCaps w:val="0"/>
          <w:sz w:val="22"/>
          <w:lang w:eastAsia="pl-PL"/>
        </w:rPr>
      </w:pPr>
      <w:hyperlink w:anchor="_Toc119064832" w:history="1">
        <w:r w:rsidRPr="00A71A3B">
          <w:rPr>
            <w:rStyle w:val="Hyperlink"/>
            <w:rFonts w:ascii="Times New Roman" w:hAnsi="Times New Roman"/>
          </w:rPr>
          <w:t>3.4.3.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09.04 – Podział ekspozycji kredytowych istotnych do celów obliczania bufora antycyklicznego według państw oraz specyficznego dla instytucji wskaźnika bufora antycyklicznego (CCB)</w:t>
        </w:r>
        <w:r>
          <w:rPr>
            <w:webHidden/>
          </w:rPr>
          <w:tab/>
        </w:r>
        <w:r>
          <w:rPr>
            <w:webHidden/>
          </w:rPr>
          <w:fldChar w:fldCharType="begin"/>
        </w:r>
        <w:r>
          <w:rPr>
            <w:webHidden/>
          </w:rPr>
          <w:instrText xml:space="preserve"> PAGEREF _Toc119064832 \h </w:instrText>
        </w:r>
        <w:r>
          <w:rPr>
            <w:webHidden/>
          </w:rPr>
        </w:r>
        <w:r>
          <w:rPr>
            <w:webHidden/>
          </w:rPr>
          <w:fldChar w:fldCharType="separate"/>
        </w:r>
        <w:r>
          <w:rPr>
            <w:webHidden/>
          </w:rPr>
          <w:t>135</w:t>
        </w:r>
        <w:r>
          <w:rPr>
            <w:webHidden/>
          </w:rPr>
          <w:fldChar w:fldCharType="end"/>
        </w:r>
      </w:hyperlink>
    </w:p>
    <w:p w14:paraId="7898B794" w14:textId="446DF42E" w:rsidR="0043455E" w:rsidRDefault="0043455E">
      <w:pPr>
        <w:pStyle w:val="TOC2"/>
        <w:rPr>
          <w:rFonts w:asciiTheme="minorHAnsi" w:eastAsiaTheme="minorEastAsia" w:hAnsiTheme="minorHAnsi" w:cstheme="minorBidi"/>
          <w:b w:val="0"/>
          <w:smallCaps w:val="0"/>
          <w:sz w:val="22"/>
          <w:lang w:eastAsia="pl-PL"/>
        </w:rPr>
      </w:pPr>
      <w:hyperlink w:anchor="_Toc119064833" w:history="1">
        <w:r w:rsidRPr="00A71A3B">
          <w:rPr>
            <w:rStyle w:val="Hyperlink"/>
            <w:rFonts w:ascii="Times New Roman" w:hAnsi="Times New Roman"/>
          </w:rPr>
          <w:t>3.4.3.1.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_Toc119064833 \h </w:instrText>
        </w:r>
        <w:r>
          <w:rPr>
            <w:webHidden/>
          </w:rPr>
        </w:r>
        <w:r>
          <w:rPr>
            <w:webHidden/>
          </w:rPr>
          <w:fldChar w:fldCharType="separate"/>
        </w:r>
        <w:r>
          <w:rPr>
            <w:webHidden/>
          </w:rPr>
          <w:t>135</w:t>
        </w:r>
        <w:r>
          <w:rPr>
            <w:webHidden/>
          </w:rPr>
          <w:fldChar w:fldCharType="end"/>
        </w:r>
      </w:hyperlink>
    </w:p>
    <w:p w14:paraId="15C7AB72" w14:textId="49650D64" w:rsidR="0043455E" w:rsidRDefault="0043455E">
      <w:pPr>
        <w:pStyle w:val="TOC2"/>
        <w:rPr>
          <w:rFonts w:asciiTheme="minorHAnsi" w:eastAsiaTheme="minorEastAsia" w:hAnsiTheme="minorHAnsi" w:cstheme="minorBidi"/>
          <w:b w:val="0"/>
          <w:smallCaps w:val="0"/>
          <w:sz w:val="22"/>
          <w:lang w:eastAsia="pl-PL"/>
        </w:rPr>
      </w:pPr>
      <w:hyperlink w:anchor="_Toc119064834" w:history="1">
        <w:r w:rsidRPr="00A71A3B">
          <w:rPr>
            <w:rStyle w:val="Hyperlink"/>
            <w:rFonts w:ascii="Times New Roman" w:hAnsi="Times New Roman"/>
          </w:rPr>
          <w:t>3.4.3.2.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_Toc119064834 \h </w:instrText>
        </w:r>
        <w:r>
          <w:rPr>
            <w:webHidden/>
          </w:rPr>
        </w:r>
        <w:r>
          <w:rPr>
            <w:webHidden/>
          </w:rPr>
          <w:fldChar w:fldCharType="separate"/>
        </w:r>
        <w:r>
          <w:rPr>
            <w:webHidden/>
          </w:rPr>
          <w:t>136</w:t>
        </w:r>
        <w:r>
          <w:rPr>
            <w:webHidden/>
          </w:rPr>
          <w:fldChar w:fldCharType="end"/>
        </w:r>
      </w:hyperlink>
    </w:p>
    <w:p w14:paraId="2808DF80" w14:textId="2D8BF1CA" w:rsidR="0043455E" w:rsidRDefault="0043455E">
      <w:pPr>
        <w:pStyle w:val="TOC2"/>
        <w:rPr>
          <w:rFonts w:asciiTheme="minorHAnsi" w:eastAsiaTheme="minorEastAsia" w:hAnsiTheme="minorHAnsi" w:cstheme="minorBidi"/>
          <w:b w:val="0"/>
          <w:smallCaps w:val="0"/>
          <w:sz w:val="22"/>
          <w:lang w:eastAsia="pl-PL"/>
        </w:rPr>
      </w:pPr>
      <w:hyperlink w:anchor="_Toc119064835" w:history="1">
        <w:r w:rsidRPr="00A71A3B">
          <w:rPr>
            <w:rStyle w:val="Hyperlink"/>
            <w:rFonts w:ascii="Times New Roman" w:hAnsi="Times New Roman"/>
          </w:rPr>
          <w:t>3.5.</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10.01 i C 10.02 – Ekspozycje kapitałowe, w odniesieniu do których zastosowano metodę wewnętrznych ratingów (CR EQU IRB 1 oraz CR EQU IRB 2)</w:t>
        </w:r>
        <w:r>
          <w:rPr>
            <w:webHidden/>
          </w:rPr>
          <w:tab/>
        </w:r>
        <w:r>
          <w:rPr>
            <w:webHidden/>
          </w:rPr>
          <w:fldChar w:fldCharType="begin"/>
        </w:r>
        <w:r>
          <w:rPr>
            <w:webHidden/>
          </w:rPr>
          <w:instrText xml:space="preserve"> PAGEREF _Toc119064835 \h </w:instrText>
        </w:r>
        <w:r>
          <w:rPr>
            <w:webHidden/>
          </w:rPr>
        </w:r>
        <w:r>
          <w:rPr>
            <w:webHidden/>
          </w:rPr>
          <w:fldChar w:fldCharType="separate"/>
        </w:r>
        <w:r>
          <w:rPr>
            <w:webHidden/>
          </w:rPr>
          <w:t>140</w:t>
        </w:r>
        <w:r>
          <w:rPr>
            <w:webHidden/>
          </w:rPr>
          <w:fldChar w:fldCharType="end"/>
        </w:r>
      </w:hyperlink>
    </w:p>
    <w:p w14:paraId="7772F5FB" w14:textId="2F3162BB" w:rsidR="0043455E" w:rsidRDefault="0043455E">
      <w:pPr>
        <w:pStyle w:val="TOC2"/>
        <w:rPr>
          <w:rFonts w:asciiTheme="minorHAnsi" w:eastAsiaTheme="minorEastAsia" w:hAnsiTheme="minorHAnsi" w:cstheme="minorBidi"/>
          <w:b w:val="0"/>
          <w:smallCaps w:val="0"/>
          <w:sz w:val="22"/>
          <w:lang w:eastAsia="pl-PL"/>
        </w:rPr>
      </w:pPr>
      <w:hyperlink w:anchor="_Toc119064836" w:history="1">
        <w:r w:rsidRPr="00A71A3B">
          <w:rPr>
            <w:rStyle w:val="Hyperlink"/>
            <w:rFonts w:ascii="Times New Roman" w:hAnsi="Times New Roman"/>
          </w:rPr>
          <w:t>3.5.1.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_Toc119064836 \h </w:instrText>
        </w:r>
        <w:r>
          <w:rPr>
            <w:webHidden/>
          </w:rPr>
        </w:r>
        <w:r>
          <w:rPr>
            <w:webHidden/>
          </w:rPr>
          <w:fldChar w:fldCharType="separate"/>
        </w:r>
        <w:r>
          <w:rPr>
            <w:webHidden/>
          </w:rPr>
          <w:t>140</w:t>
        </w:r>
        <w:r>
          <w:rPr>
            <w:webHidden/>
          </w:rPr>
          <w:fldChar w:fldCharType="end"/>
        </w:r>
      </w:hyperlink>
    </w:p>
    <w:p w14:paraId="10539F23" w14:textId="2748DD3E" w:rsidR="0043455E" w:rsidRDefault="0043455E">
      <w:pPr>
        <w:pStyle w:val="TOC2"/>
        <w:rPr>
          <w:rFonts w:asciiTheme="minorHAnsi" w:eastAsiaTheme="minorEastAsia" w:hAnsiTheme="minorHAnsi" w:cstheme="minorBidi"/>
          <w:b w:val="0"/>
          <w:smallCaps w:val="0"/>
          <w:sz w:val="22"/>
          <w:lang w:eastAsia="pl-PL"/>
        </w:rPr>
      </w:pPr>
      <w:hyperlink w:anchor="_Toc119064837" w:history="1">
        <w:r w:rsidRPr="00A71A3B">
          <w:rPr>
            <w:rStyle w:val="Hyperlink"/>
            <w:rFonts w:ascii="Times New Roman" w:hAnsi="Times New Roman"/>
          </w:rPr>
          <w:t>3.5.2.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 (mające zastosowanie zarówno do CR EQU IRB 1, jak i do CR EQU IRB 2)</w:t>
        </w:r>
        <w:r>
          <w:rPr>
            <w:webHidden/>
          </w:rPr>
          <w:tab/>
        </w:r>
        <w:r>
          <w:rPr>
            <w:webHidden/>
          </w:rPr>
          <w:fldChar w:fldCharType="begin"/>
        </w:r>
        <w:r>
          <w:rPr>
            <w:webHidden/>
          </w:rPr>
          <w:instrText xml:space="preserve"> PAGEREF _Toc119064837 \h </w:instrText>
        </w:r>
        <w:r>
          <w:rPr>
            <w:webHidden/>
          </w:rPr>
        </w:r>
        <w:r>
          <w:rPr>
            <w:webHidden/>
          </w:rPr>
          <w:fldChar w:fldCharType="separate"/>
        </w:r>
        <w:r>
          <w:rPr>
            <w:webHidden/>
          </w:rPr>
          <w:t>142</w:t>
        </w:r>
        <w:r>
          <w:rPr>
            <w:webHidden/>
          </w:rPr>
          <w:fldChar w:fldCharType="end"/>
        </w:r>
      </w:hyperlink>
    </w:p>
    <w:p w14:paraId="730CCC6A" w14:textId="3DA6F4EE" w:rsidR="0043455E" w:rsidRDefault="0043455E">
      <w:pPr>
        <w:pStyle w:val="TOC2"/>
        <w:rPr>
          <w:rFonts w:asciiTheme="minorHAnsi" w:eastAsiaTheme="minorEastAsia" w:hAnsiTheme="minorHAnsi" w:cstheme="minorBidi"/>
          <w:b w:val="0"/>
          <w:smallCaps w:val="0"/>
          <w:sz w:val="22"/>
          <w:lang w:eastAsia="pl-PL"/>
        </w:rPr>
      </w:pPr>
      <w:hyperlink w:anchor="_Toc119064838" w:history="1">
        <w:r w:rsidRPr="00A71A3B">
          <w:rPr>
            <w:rStyle w:val="Hyperlink"/>
            <w:rFonts w:ascii="Times New Roman" w:hAnsi="Times New Roman"/>
          </w:rPr>
          <w:t>3.6.</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11.00 – Ryzyko rozliczenia /dostawy (CR SETT)</w:t>
        </w:r>
        <w:r>
          <w:rPr>
            <w:webHidden/>
          </w:rPr>
          <w:tab/>
        </w:r>
        <w:r>
          <w:rPr>
            <w:webHidden/>
          </w:rPr>
          <w:fldChar w:fldCharType="begin"/>
        </w:r>
        <w:r>
          <w:rPr>
            <w:webHidden/>
          </w:rPr>
          <w:instrText xml:space="preserve"> PAGEREF _Toc119064838 \h </w:instrText>
        </w:r>
        <w:r>
          <w:rPr>
            <w:webHidden/>
          </w:rPr>
        </w:r>
        <w:r>
          <w:rPr>
            <w:webHidden/>
          </w:rPr>
          <w:fldChar w:fldCharType="separate"/>
        </w:r>
        <w:r>
          <w:rPr>
            <w:webHidden/>
          </w:rPr>
          <w:t>146</w:t>
        </w:r>
        <w:r>
          <w:rPr>
            <w:webHidden/>
          </w:rPr>
          <w:fldChar w:fldCharType="end"/>
        </w:r>
      </w:hyperlink>
    </w:p>
    <w:p w14:paraId="4D0B0262" w14:textId="4D3B3C87" w:rsidR="0043455E" w:rsidRDefault="0043455E">
      <w:pPr>
        <w:pStyle w:val="TOC2"/>
        <w:rPr>
          <w:rFonts w:asciiTheme="minorHAnsi" w:eastAsiaTheme="minorEastAsia" w:hAnsiTheme="minorHAnsi" w:cstheme="minorBidi"/>
          <w:b w:val="0"/>
          <w:smallCaps w:val="0"/>
          <w:sz w:val="22"/>
          <w:lang w:eastAsia="pl-PL"/>
        </w:rPr>
      </w:pPr>
      <w:hyperlink w:anchor="_Toc119064839" w:history="1">
        <w:r w:rsidRPr="00A71A3B">
          <w:rPr>
            <w:rStyle w:val="Hyperlink"/>
            <w:rFonts w:ascii="Times New Roman" w:hAnsi="Times New Roman"/>
          </w:rPr>
          <w:t>3.6.1.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_Toc119064839 \h </w:instrText>
        </w:r>
        <w:r>
          <w:rPr>
            <w:webHidden/>
          </w:rPr>
        </w:r>
        <w:r>
          <w:rPr>
            <w:webHidden/>
          </w:rPr>
          <w:fldChar w:fldCharType="separate"/>
        </w:r>
        <w:r>
          <w:rPr>
            <w:webHidden/>
          </w:rPr>
          <w:t>146</w:t>
        </w:r>
        <w:r>
          <w:rPr>
            <w:webHidden/>
          </w:rPr>
          <w:fldChar w:fldCharType="end"/>
        </w:r>
      </w:hyperlink>
    </w:p>
    <w:p w14:paraId="3A673774" w14:textId="7891332C" w:rsidR="0043455E" w:rsidRDefault="0043455E">
      <w:pPr>
        <w:pStyle w:val="TOC2"/>
        <w:rPr>
          <w:rFonts w:asciiTheme="minorHAnsi" w:eastAsiaTheme="minorEastAsia" w:hAnsiTheme="minorHAnsi" w:cstheme="minorBidi"/>
          <w:b w:val="0"/>
          <w:smallCaps w:val="0"/>
          <w:sz w:val="22"/>
          <w:lang w:eastAsia="pl-PL"/>
        </w:rPr>
      </w:pPr>
      <w:hyperlink w:anchor="_Toc119064840" w:history="1">
        <w:r w:rsidRPr="00A71A3B">
          <w:rPr>
            <w:rStyle w:val="Hyperlink"/>
            <w:rFonts w:ascii="Times New Roman" w:hAnsi="Times New Roman"/>
          </w:rPr>
          <w:t>3.6.2.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_Toc119064840 \h </w:instrText>
        </w:r>
        <w:r>
          <w:rPr>
            <w:webHidden/>
          </w:rPr>
        </w:r>
        <w:r>
          <w:rPr>
            <w:webHidden/>
          </w:rPr>
          <w:fldChar w:fldCharType="separate"/>
        </w:r>
        <w:r>
          <w:rPr>
            <w:webHidden/>
          </w:rPr>
          <w:t>147</w:t>
        </w:r>
        <w:r>
          <w:rPr>
            <w:webHidden/>
          </w:rPr>
          <w:fldChar w:fldCharType="end"/>
        </w:r>
      </w:hyperlink>
    </w:p>
    <w:p w14:paraId="24C72C6B" w14:textId="1E0592E0" w:rsidR="0043455E" w:rsidRDefault="0043455E">
      <w:pPr>
        <w:pStyle w:val="TOC2"/>
        <w:rPr>
          <w:rFonts w:asciiTheme="minorHAnsi" w:eastAsiaTheme="minorEastAsia" w:hAnsiTheme="minorHAnsi" w:cstheme="minorBidi"/>
          <w:b w:val="0"/>
          <w:smallCaps w:val="0"/>
          <w:sz w:val="22"/>
          <w:lang w:eastAsia="pl-PL"/>
        </w:rPr>
      </w:pPr>
      <w:hyperlink w:anchor="_Toc119064841" w:history="1">
        <w:r w:rsidRPr="00A71A3B">
          <w:rPr>
            <w:rStyle w:val="Hyperlink"/>
            <w:rFonts w:ascii="Times New Roman" w:hAnsi="Times New Roman"/>
          </w:rPr>
          <w:t>3.7.</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13.01 – Ryzyko kredytowe – sekurytyzacje (CR SEC)</w:t>
        </w:r>
        <w:r>
          <w:rPr>
            <w:webHidden/>
          </w:rPr>
          <w:tab/>
        </w:r>
        <w:r>
          <w:rPr>
            <w:webHidden/>
          </w:rPr>
          <w:fldChar w:fldCharType="begin"/>
        </w:r>
        <w:r>
          <w:rPr>
            <w:webHidden/>
          </w:rPr>
          <w:instrText xml:space="preserve"> PAGEREF _Toc119064841 \h </w:instrText>
        </w:r>
        <w:r>
          <w:rPr>
            <w:webHidden/>
          </w:rPr>
        </w:r>
        <w:r>
          <w:rPr>
            <w:webHidden/>
          </w:rPr>
          <w:fldChar w:fldCharType="separate"/>
        </w:r>
        <w:r>
          <w:rPr>
            <w:webHidden/>
          </w:rPr>
          <w:t>150</w:t>
        </w:r>
        <w:r>
          <w:rPr>
            <w:webHidden/>
          </w:rPr>
          <w:fldChar w:fldCharType="end"/>
        </w:r>
      </w:hyperlink>
    </w:p>
    <w:p w14:paraId="07FFBF18" w14:textId="035E60C4" w:rsidR="0043455E" w:rsidRDefault="0043455E">
      <w:pPr>
        <w:pStyle w:val="TOC2"/>
        <w:rPr>
          <w:rFonts w:asciiTheme="minorHAnsi" w:eastAsiaTheme="minorEastAsia" w:hAnsiTheme="minorHAnsi" w:cstheme="minorBidi"/>
          <w:b w:val="0"/>
          <w:smallCaps w:val="0"/>
          <w:sz w:val="22"/>
          <w:lang w:eastAsia="pl-PL"/>
        </w:rPr>
      </w:pPr>
      <w:hyperlink w:anchor="_Toc119064842" w:history="1">
        <w:r w:rsidRPr="00A71A3B">
          <w:rPr>
            <w:rStyle w:val="Hyperlink"/>
            <w:rFonts w:ascii="Times New Roman" w:hAnsi="Times New Roman"/>
          </w:rPr>
          <w:t>3.7.1.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_Toc119064842 \h </w:instrText>
        </w:r>
        <w:r>
          <w:rPr>
            <w:webHidden/>
          </w:rPr>
        </w:r>
        <w:r>
          <w:rPr>
            <w:webHidden/>
          </w:rPr>
          <w:fldChar w:fldCharType="separate"/>
        </w:r>
        <w:r>
          <w:rPr>
            <w:webHidden/>
          </w:rPr>
          <w:t>150</w:t>
        </w:r>
        <w:r>
          <w:rPr>
            <w:webHidden/>
          </w:rPr>
          <w:fldChar w:fldCharType="end"/>
        </w:r>
      </w:hyperlink>
    </w:p>
    <w:p w14:paraId="7952B45D" w14:textId="4B0AB50F" w:rsidR="0043455E" w:rsidRDefault="0043455E">
      <w:pPr>
        <w:pStyle w:val="TOC2"/>
        <w:rPr>
          <w:rFonts w:asciiTheme="minorHAnsi" w:eastAsiaTheme="minorEastAsia" w:hAnsiTheme="minorHAnsi" w:cstheme="minorBidi"/>
          <w:b w:val="0"/>
          <w:smallCaps w:val="0"/>
          <w:sz w:val="22"/>
          <w:lang w:eastAsia="pl-PL"/>
        </w:rPr>
      </w:pPr>
      <w:hyperlink w:anchor="_Toc119064843" w:history="1">
        <w:r w:rsidRPr="00A71A3B">
          <w:rPr>
            <w:rStyle w:val="Hyperlink"/>
            <w:rFonts w:ascii="Times New Roman" w:hAnsi="Times New Roman"/>
          </w:rPr>
          <w:t>3.7.2.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_Toc119064843 \h </w:instrText>
        </w:r>
        <w:r>
          <w:rPr>
            <w:webHidden/>
          </w:rPr>
        </w:r>
        <w:r>
          <w:rPr>
            <w:webHidden/>
          </w:rPr>
          <w:fldChar w:fldCharType="separate"/>
        </w:r>
        <w:r>
          <w:rPr>
            <w:webHidden/>
          </w:rPr>
          <w:t>150</w:t>
        </w:r>
        <w:r>
          <w:rPr>
            <w:webHidden/>
          </w:rPr>
          <w:fldChar w:fldCharType="end"/>
        </w:r>
      </w:hyperlink>
    </w:p>
    <w:p w14:paraId="74DE39E9" w14:textId="433A4CA6" w:rsidR="0043455E" w:rsidRDefault="0043455E">
      <w:pPr>
        <w:pStyle w:val="TOC2"/>
        <w:rPr>
          <w:rFonts w:asciiTheme="minorHAnsi" w:eastAsiaTheme="minorEastAsia" w:hAnsiTheme="minorHAnsi" w:cstheme="minorBidi"/>
          <w:b w:val="0"/>
          <w:smallCaps w:val="0"/>
          <w:sz w:val="22"/>
          <w:lang w:eastAsia="pl-PL"/>
        </w:rPr>
      </w:pPr>
      <w:hyperlink w:anchor="_Toc119064844" w:history="1">
        <w:r w:rsidRPr="00A71A3B">
          <w:rPr>
            <w:rStyle w:val="Hyperlink"/>
            <w:rFonts w:ascii="Times New Roman" w:hAnsi="Times New Roman"/>
          </w:rPr>
          <w:t>3.8.</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Szczegółowe informacje na temat sekurytyzacji (SEC SZCZEGÓŁY)</w:t>
        </w:r>
        <w:r>
          <w:rPr>
            <w:webHidden/>
          </w:rPr>
          <w:tab/>
        </w:r>
        <w:r>
          <w:rPr>
            <w:webHidden/>
          </w:rPr>
          <w:fldChar w:fldCharType="begin"/>
        </w:r>
        <w:r>
          <w:rPr>
            <w:webHidden/>
          </w:rPr>
          <w:instrText xml:space="preserve"> PAGEREF _Toc119064844 \h </w:instrText>
        </w:r>
        <w:r>
          <w:rPr>
            <w:webHidden/>
          </w:rPr>
        </w:r>
        <w:r>
          <w:rPr>
            <w:webHidden/>
          </w:rPr>
          <w:fldChar w:fldCharType="separate"/>
        </w:r>
        <w:r>
          <w:rPr>
            <w:webHidden/>
          </w:rPr>
          <w:t>164</w:t>
        </w:r>
        <w:r>
          <w:rPr>
            <w:webHidden/>
          </w:rPr>
          <w:fldChar w:fldCharType="end"/>
        </w:r>
      </w:hyperlink>
    </w:p>
    <w:p w14:paraId="0C608FAA" w14:textId="728008D6" w:rsidR="0043455E" w:rsidRDefault="0043455E">
      <w:pPr>
        <w:pStyle w:val="TOC2"/>
        <w:rPr>
          <w:rFonts w:asciiTheme="minorHAnsi" w:eastAsiaTheme="minorEastAsia" w:hAnsiTheme="minorHAnsi" w:cstheme="minorBidi"/>
          <w:b w:val="0"/>
          <w:smallCaps w:val="0"/>
          <w:sz w:val="22"/>
          <w:lang w:eastAsia="pl-PL"/>
        </w:rPr>
      </w:pPr>
      <w:hyperlink w:anchor="_Toc119064845" w:history="1">
        <w:r w:rsidRPr="00A71A3B">
          <w:rPr>
            <w:rStyle w:val="Hyperlink"/>
            <w:rFonts w:ascii="Times New Roman" w:hAnsi="Times New Roman"/>
          </w:rPr>
          <w:t>3.8.1.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Zakres stosowania wzoru SEC SZCZEGÓŁY</w:t>
        </w:r>
        <w:r>
          <w:rPr>
            <w:webHidden/>
          </w:rPr>
          <w:tab/>
        </w:r>
        <w:r>
          <w:rPr>
            <w:webHidden/>
          </w:rPr>
          <w:fldChar w:fldCharType="begin"/>
        </w:r>
        <w:r>
          <w:rPr>
            <w:webHidden/>
          </w:rPr>
          <w:instrText xml:space="preserve"> PAGEREF _Toc119064845 \h </w:instrText>
        </w:r>
        <w:r>
          <w:rPr>
            <w:webHidden/>
          </w:rPr>
        </w:r>
        <w:r>
          <w:rPr>
            <w:webHidden/>
          </w:rPr>
          <w:fldChar w:fldCharType="separate"/>
        </w:r>
        <w:r>
          <w:rPr>
            <w:webHidden/>
          </w:rPr>
          <w:t>164</w:t>
        </w:r>
        <w:r>
          <w:rPr>
            <w:webHidden/>
          </w:rPr>
          <w:fldChar w:fldCharType="end"/>
        </w:r>
      </w:hyperlink>
    </w:p>
    <w:p w14:paraId="6F743583" w14:textId="149CC872" w:rsidR="0043455E" w:rsidRDefault="0043455E">
      <w:pPr>
        <w:pStyle w:val="TOC2"/>
        <w:rPr>
          <w:rFonts w:asciiTheme="minorHAnsi" w:eastAsiaTheme="minorEastAsia" w:hAnsiTheme="minorHAnsi" w:cstheme="minorBidi"/>
          <w:b w:val="0"/>
          <w:smallCaps w:val="0"/>
          <w:sz w:val="22"/>
          <w:lang w:eastAsia="pl-PL"/>
        </w:rPr>
      </w:pPr>
      <w:hyperlink w:anchor="_Toc119064846" w:history="1">
        <w:r w:rsidRPr="00A71A3B">
          <w:rPr>
            <w:rStyle w:val="Hyperlink"/>
            <w:rFonts w:ascii="Times New Roman" w:hAnsi="Times New Roman"/>
          </w:rPr>
          <w:t>3.8.2 Podział wzoru SEC SZCZEGÓŁY</w:t>
        </w:r>
        <w:r>
          <w:rPr>
            <w:webHidden/>
          </w:rPr>
          <w:tab/>
        </w:r>
        <w:r>
          <w:rPr>
            <w:webHidden/>
          </w:rPr>
          <w:fldChar w:fldCharType="begin"/>
        </w:r>
        <w:r>
          <w:rPr>
            <w:webHidden/>
          </w:rPr>
          <w:instrText xml:space="preserve"> PAGEREF _Toc119064846 \h </w:instrText>
        </w:r>
        <w:r>
          <w:rPr>
            <w:webHidden/>
          </w:rPr>
        </w:r>
        <w:r>
          <w:rPr>
            <w:webHidden/>
          </w:rPr>
          <w:fldChar w:fldCharType="separate"/>
        </w:r>
        <w:r>
          <w:rPr>
            <w:webHidden/>
          </w:rPr>
          <w:t>165</w:t>
        </w:r>
        <w:r>
          <w:rPr>
            <w:webHidden/>
          </w:rPr>
          <w:fldChar w:fldCharType="end"/>
        </w:r>
      </w:hyperlink>
    </w:p>
    <w:p w14:paraId="5835CABD" w14:textId="7AD1A655" w:rsidR="0043455E" w:rsidRDefault="0043455E">
      <w:pPr>
        <w:pStyle w:val="TOC2"/>
        <w:rPr>
          <w:rFonts w:asciiTheme="minorHAnsi" w:eastAsiaTheme="minorEastAsia" w:hAnsiTheme="minorHAnsi" w:cstheme="minorBidi"/>
          <w:b w:val="0"/>
          <w:smallCaps w:val="0"/>
          <w:sz w:val="22"/>
          <w:lang w:eastAsia="pl-PL"/>
        </w:rPr>
      </w:pPr>
      <w:hyperlink w:anchor="_Toc119064847" w:history="1">
        <w:r w:rsidRPr="00A71A3B">
          <w:rPr>
            <w:rStyle w:val="Hyperlink"/>
            <w:rFonts w:ascii="Times New Roman" w:hAnsi="Times New Roman"/>
          </w:rPr>
          <w:t>3.8.3 C 14.00 – Szczegółowe informacje na temat sekurytyzacji (SEC SZCZEGÓŁY)</w:t>
        </w:r>
        <w:r>
          <w:rPr>
            <w:webHidden/>
          </w:rPr>
          <w:tab/>
        </w:r>
        <w:r>
          <w:rPr>
            <w:webHidden/>
          </w:rPr>
          <w:fldChar w:fldCharType="begin"/>
        </w:r>
        <w:r>
          <w:rPr>
            <w:webHidden/>
          </w:rPr>
          <w:instrText xml:space="preserve"> PAGEREF _Toc119064847 \h </w:instrText>
        </w:r>
        <w:r>
          <w:rPr>
            <w:webHidden/>
          </w:rPr>
        </w:r>
        <w:r>
          <w:rPr>
            <w:webHidden/>
          </w:rPr>
          <w:fldChar w:fldCharType="separate"/>
        </w:r>
        <w:r>
          <w:rPr>
            <w:webHidden/>
          </w:rPr>
          <w:t>165</w:t>
        </w:r>
        <w:r>
          <w:rPr>
            <w:webHidden/>
          </w:rPr>
          <w:fldChar w:fldCharType="end"/>
        </w:r>
      </w:hyperlink>
    </w:p>
    <w:p w14:paraId="22AFA115" w14:textId="3B2767A6" w:rsidR="0043455E" w:rsidRDefault="0043455E">
      <w:pPr>
        <w:pStyle w:val="TOC2"/>
        <w:rPr>
          <w:rFonts w:asciiTheme="minorHAnsi" w:eastAsiaTheme="minorEastAsia" w:hAnsiTheme="minorHAnsi" w:cstheme="minorBidi"/>
          <w:b w:val="0"/>
          <w:smallCaps w:val="0"/>
          <w:sz w:val="22"/>
          <w:lang w:eastAsia="pl-PL"/>
        </w:rPr>
      </w:pPr>
      <w:hyperlink w:anchor="_Toc119064848" w:history="1">
        <w:r w:rsidRPr="00A71A3B">
          <w:rPr>
            <w:rStyle w:val="Hyperlink"/>
            <w:rFonts w:ascii="Times New Roman" w:hAnsi="Times New Roman"/>
          </w:rPr>
          <w:t>3.8.4.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14.01 – Szczegółowe informacje na temat sekurytyzacji według metody (SEC Szczegóły 2)</w:t>
        </w:r>
        <w:r>
          <w:rPr>
            <w:webHidden/>
          </w:rPr>
          <w:tab/>
        </w:r>
        <w:r>
          <w:rPr>
            <w:webHidden/>
          </w:rPr>
          <w:fldChar w:fldCharType="begin"/>
        </w:r>
        <w:r>
          <w:rPr>
            <w:webHidden/>
          </w:rPr>
          <w:instrText xml:space="preserve"> PAGEREF _Toc119064848 \h </w:instrText>
        </w:r>
        <w:r>
          <w:rPr>
            <w:webHidden/>
          </w:rPr>
        </w:r>
        <w:r>
          <w:rPr>
            <w:webHidden/>
          </w:rPr>
          <w:fldChar w:fldCharType="separate"/>
        </w:r>
        <w:r>
          <w:rPr>
            <w:webHidden/>
          </w:rPr>
          <w:t>181</w:t>
        </w:r>
        <w:r>
          <w:rPr>
            <w:webHidden/>
          </w:rPr>
          <w:fldChar w:fldCharType="end"/>
        </w:r>
      </w:hyperlink>
    </w:p>
    <w:p w14:paraId="46C37619" w14:textId="65A51BE4" w:rsidR="0043455E" w:rsidRDefault="0043455E">
      <w:pPr>
        <w:pStyle w:val="TOC2"/>
        <w:rPr>
          <w:rFonts w:asciiTheme="minorHAnsi" w:eastAsiaTheme="minorEastAsia" w:hAnsiTheme="minorHAnsi" w:cstheme="minorBidi"/>
          <w:b w:val="0"/>
          <w:smallCaps w:val="0"/>
          <w:sz w:val="22"/>
          <w:lang w:eastAsia="pl-PL"/>
        </w:rPr>
      </w:pPr>
      <w:hyperlink w:anchor="_Toc119064849" w:history="1">
        <w:r w:rsidRPr="00A71A3B">
          <w:rPr>
            <w:rStyle w:val="Hyperlink"/>
            <w:rFonts w:ascii="Times New Roman" w:hAnsi="Times New Roman"/>
          </w:rPr>
          <w:t>3.9.</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Ryzyko kredytowe kontrahenta</w:t>
        </w:r>
        <w:r>
          <w:rPr>
            <w:webHidden/>
          </w:rPr>
          <w:tab/>
        </w:r>
        <w:r>
          <w:rPr>
            <w:webHidden/>
          </w:rPr>
          <w:fldChar w:fldCharType="begin"/>
        </w:r>
        <w:r>
          <w:rPr>
            <w:webHidden/>
          </w:rPr>
          <w:instrText xml:space="preserve"> PAGEREF _Toc119064849 \h </w:instrText>
        </w:r>
        <w:r>
          <w:rPr>
            <w:webHidden/>
          </w:rPr>
        </w:r>
        <w:r>
          <w:rPr>
            <w:webHidden/>
          </w:rPr>
          <w:fldChar w:fldCharType="separate"/>
        </w:r>
        <w:r>
          <w:rPr>
            <w:webHidden/>
          </w:rPr>
          <w:t>185</w:t>
        </w:r>
        <w:r>
          <w:rPr>
            <w:webHidden/>
          </w:rPr>
          <w:fldChar w:fldCharType="end"/>
        </w:r>
      </w:hyperlink>
    </w:p>
    <w:p w14:paraId="53968442" w14:textId="3974CF1F" w:rsidR="0043455E" w:rsidRDefault="0043455E">
      <w:pPr>
        <w:pStyle w:val="TOC2"/>
        <w:rPr>
          <w:rFonts w:asciiTheme="minorHAnsi" w:eastAsiaTheme="minorEastAsia" w:hAnsiTheme="minorHAnsi" w:cstheme="minorBidi"/>
          <w:b w:val="0"/>
          <w:smallCaps w:val="0"/>
          <w:sz w:val="22"/>
          <w:lang w:eastAsia="pl-PL"/>
        </w:rPr>
      </w:pPr>
      <w:hyperlink w:anchor="_Toc119064850" w:history="1">
        <w:r w:rsidRPr="00A71A3B">
          <w:rPr>
            <w:rStyle w:val="Hyperlink"/>
            <w:rFonts w:ascii="Times New Roman" w:hAnsi="Times New Roman"/>
          </w:rPr>
          <w:t>3.9.1.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Zakres stosowania wzorów dotyczących ryzyka kredytowego kontrahenta</w:t>
        </w:r>
        <w:r>
          <w:rPr>
            <w:webHidden/>
          </w:rPr>
          <w:tab/>
        </w:r>
        <w:r>
          <w:rPr>
            <w:webHidden/>
          </w:rPr>
          <w:fldChar w:fldCharType="begin"/>
        </w:r>
        <w:r>
          <w:rPr>
            <w:webHidden/>
          </w:rPr>
          <w:instrText xml:space="preserve"> PAGEREF _Toc119064850 \h </w:instrText>
        </w:r>
        <w:r>
          <w:rPr>
            <w:webHidden/>
          </w:rPr>
        </w:r>
        <w:r>
          <w:rPr>
            <w:webHidden/>
          </w:rPr>
          <w:fldChar w:fldCharType="separate"/>
        </w:r>
        <w:r>
          <w:rPr>
            <w:webHidden/>
          </w:rPr>
          <w:t>185</w:t>
        </w:r>
        <w:r>
          <w:rPr>
            <w:webHidden/>
          </w:rPr>
          <w:fldChar w:fldCharType="end"/>
        </w:r>
      </w:hyperlink>
    </w:p>
    <w:p w14:paraId="505CB663" w14:textId="31426841" w:rsidR="0043455E" w:rsidRDefault="0043455E">
      <w:pPr>
        <w:pStyle w:val="TOC2"/>
        <w:rPr>
          <w:rFonts w:asciiTheme="minorHAnsi" w:eastAsiaTheme="minorEastAsia" w:hAnsiTheme="minorHAnsi" w:cstheme="minorBidi"/>
          <w:b w:val="0"/>
          <w:smallCaps w:val="0"/>
          <w:sz w:val="22"/>
          <w:lang w:eastAsia="pl-PL"/>
        </w:rPr>
      </w:pPr>
      <w:hyperlink w:anchor="_Toc119064851" w:history="1">
        <w:r w:rsidRPr="00A71A3B">
          <w:rPr>
            <w:rStyle w:val="Hyperlink"/>
            <w:rFonts w:ascii="Times New Roman" w:hAnsi="Times New Roman"/>
          </w:rPr>
          <w:t>3.9.2.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34.01 – Wielkość działalności dotyczącej instrumentów pochodnych</w:t>
        </w:r>
        <w:r>
          <w:rPr>
            <w:webHidden/>
          </w:rPr>
          <w:tab/>
        </w:r>
        <w:r>
          <w:rPr>
            <w:webHidden/>
          </w:rPr>
          <w:fldChar w:fldCharType="begin"/>
        </w:r>
        <w:r>
          <w:rPr>
            <w:webHidden/>
          </w:rPr>
          <w:instrText xml:space="preserve"> PAGEREF _Toc119064851 \h </w:instrText>
        </w:r>
        <w:r>
          <w:rPr>
            <w:webHidden/>
          </w:rPr>
        </w:r>
        <w:r>
          <w:rPr>
            <w:webHidden/>
          </w:rPr>
          <w:fldChar w:fldCharType="separate"/>
        </w:r>
        <w:r>
          <w:rPr>
            <w:webHidden/>
          </w:rPr>
          <w:t>186</w:t>
        </w:r>
        <w:r>
          <w:rPr>
            <w:webHidden/>
          </w:rPr>
          <w:fldChar w:fldCharType="end"/>
        </w:r>
      </w:hyperlink>
    </w:p>
    <w:p w14:paraId="0FCDC8B6" w14:textId="70A0BBC7" w:rsidR="0043455E" w:rsidRDefault="0043455E">
      <w:pPr>
        <w:pStyle w:val="TOC2"/>
        <w:rPr>
          <w:rFonts w:asciiTheme="minorHAnsi" w:eastAsiaTheme="minorEastAsia" w:hAnsiTheme="minorHAnsi" w:cstheme="minorBidi"/>
          <w:b w:val="0"/>
          <w:smallCaps w:val="0"/>
          <w:sz w:val="22"/>
          <w:lang w:eastAsia="pl-PL"/>
        </w:rPr>
      </w:pPr>
      <w:hyperlink w:anchor="_Toc119064852" w:history="1">
        <w:r w:rsidRPr="00A71A3B">
          <w:rPr>
            <w:rStyle w:val="Hyperlink"/>
            <w:rFonts w:ascii="Times New Roman" w:hAnsi="Times New Roman"/>
          </w:rPr>
          <w:t>3.9.2.1.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_Toc119064852 \h </w:instrText>
        </w:r>
        <w:r>
          <w:rPr>
            <w:webHidden/>
          </w:rPr>
        </w:r>
        <w:r>
          <w:rPr>
            <w:webHidden/>
          </w:rPr>
          <w:fldChar w:fldCharType="separate"/>
        </w:r>
        <w:r>
          <w:rPr>
            <w:webHidden/>
          </w:rPr>
          <w:t>186</w:t>
        </w:r>
        <w:r>
          <w:rPr>
            <w:webHidden/>
          </w:rPr>
          <w:fldChar w:fldCharType="end"/>
        </w:r>
      </w:hyperlink>
    </w:p>
    <w:p w14:paraId="6499B24D" w14:textId="1322B124" w:rsidR="0043455E" w:rsidRDefault="0043455E">
      <w:pPr>
        <w:pStyle w:val="TOC2"/>
        <w:rPr>
          <w:rFonts w:asciiTheme="minorHAnsi" w:eastAsiaTheme="minorEastAsia" w:hAnsiTheme="minorHAnsi" w:cstheme="minorBidi"/>
          <w:b w:val="0"/>
          <w:smallCaps w:val="0"/>
          <w:sz w:val="22"/>
          <w:lang w:eastAsia="pl-PL"/>
        </w:rPr>
      </w:pPr>
      <w:hyperlink w:anchor="_Toc119064853" w:history="1">
        <w:r w:rsidRPr="00A71A3B">
          <w:rPr>
            <w:rStyle w:val="Hyperlink"/>
            <w:rFonts w:ascii="Times New Roman" w:hAnsi="Times New Roman"/>
          </w:rPr>
          <w:t>3.9.2.2.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_Toc119064853 \h </w:instrText>
        </w:r>
        <w:r>
          <w:rPr>
            <w:webHidden/>
          </w:rPr>
        </w:r>
        <w:r>
          <w:rPr>
            <w:webHidden/>
          </w:rPr>
          <w:fldChar w:fldCharType="separate"/>
        </w:r>
        <w:r>
          <w:rPr>
            <w:webHidden/>
          </w:rPr>
          <w:t>186</w:t>
        </w:r>
        <w:r>
          <w:rPr>
            <w:webHidden/>
          </w:rPr>
          <w:fldChar w:fldCharType="end"/>
        </w:r>
      </w:hyperlink>
    </w:p>
    <w:p w14:paraId="775A190C" w14:textId="22061513" w:rsidR="0043455E" w:rsidRDefault="0043455E">
      <w:pPr>
        <w:pStyle w:val="TOC2"/>
        <w:rPr>
          <w:rFonts w:asciiTheme="minorHAnsi" w:eastAsiaTheme="minorEastAsia" w:hAnsiTheme="minorHAnsi" w:cstheme="minorBidi"/>
          <w:b w:val="0"/>
          <w:smallCaps w:val="0"/>
          <w:sz w:val="22"/>
          <w:lang w:eastAsia="pl-PL"/>
        </w:rPr>
      </w:pPr>
      <w:hyperlink w:anchor="_Toc119064854" w:history="1">
        <w:r w:rsidRPr="00A71A3B">
          <w:rPr>
            <w:rStyle w:val="Hyperlink"/>
            <w:rFonts w:ascii="Times New Roman" w:hAnsi="Times New Roman"/>
          </w:rPr>
          <w:t>3.9.3.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34.02 - Ekspozycje na ryzyko kredytowe kontrahenta według metod</w:t>
        </w:r>
        <w:r>
          <w:rPr>
            <w:webHidden/>
          </w:rPr>
          <w:tab/>
        </w:r>
        <w:r>
          <w:rPr>
            <w:webHidden/>
          </w:rPr>
          <w:fldChar w:fldCharType="begin"/>
        </w:r>
        <w:r>
          <w:rPr>
            <w:webHidden/>
          </w:rPr>
          <w:instrText xml:space="preserve"> PAGEREF _Toc119064854 \h </w:instrText>
        </w:r>
        <w:r>
          <w:rPr>
            <w:webHidden/>
          </w:rPr>
        </w:r>
        <w:r>
          <w:rPr>
            <w:webHidden/>
          </w:rPr>
          <w:fldChar w:fldCharType="separate"/>
        </w:r>
        <w:r>
          <w:rPr>
            <w:webHidden/>
          </w:rPr>
          <w:t>188</w:t>
        </w:r>
        <w:r>
          <w:rPr>
            <w:webHidden/>
          </w:rPr>
          <w:fldChar w:fldCharType="end"/>
        </w:r>
      </w:hyperlink>
    </w:p>
    <w:p w14:paraId="567FE2D6" w14:textId="5F6D42B7" w:rsidR="0043455E" w:rsidRDefault="0043455E">
      <w:pPr>
        <w:pStyle w:val="TOC2"/>
        <w:rPr>
          <w:rFonts w:asciiTheme="minorHAnsi" w:eastAsiaTheme="minorEastAsia" w:hAnsiTheme="minorHAnsi" w:cstheme="minorBidi"/>
          <w:b w:val="0"/>
          <w:smallCaps w:val="0"/>
          <w:sz w:val="22"/>
          <w:lang w:eastAsia="pl-PL"/>
        </w:rPr>
      </w:pPr>
      <w:hyperlink w:anchor="_Toc119064855" w:history="1">
        <w:r w:rsidRPr="00A71A3B">
          <w:rPr>
            <w:rStyle w:val="Hyperlink"/>
            <w:rFonts w:ascii="Times New Roman" w:hAnsi="Times New Roman"/>
          </w:rPr>
          <w:t>3.9.3.1.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_Toc119064855 \h </w:instrText>
        </w:r>
        <w:r>
          <w:rPr>
            <w:webHidden/>
          </w:rPr>
        </w:r>
        <w:r>
          <w:rPr>
            <w:webHidden/>
          </w:rPr>
          <w:fldChar w:fldCharType="separate"/>
        </w:r>
        <w:r>
          <w:rPr>
            <w:webHidden/>
          </w:rPr>
          <w:t>188</w:t>
        </w:r>
        <w:r>
          <w:rPr>
            <w:webHidden/>
          </w:rPr>
          <w:fldChar w:fldCharType="end"/>
        </w:r>
      </w:hyperlink>
    </w:p>
    <w:p w14:paraId="032E00CA" w14:textId="6711CC11" w:rsidR="0043455E" w:rsidRDefault="0043455E">
      <w:pPr>
        <w:pStyle w:val="TOC2"/>
        <w:rPr>
          <w:rFonts w:asciiTheme="minorHAnsi" w:eastAsiaTheme="minorEastAsia" w:hAnsiTheme="minorHAnsi" w:cstheme="minorBidi"/>
          <w:b w:val="0"/>
          <w:smallCaps w:val="0"/>
          <w:sz w:val="22"/>
          <w:lang w:eastAsia="pl-PL"/>
        </w:rPr>
      </w:pPr>
      <w:hyperlink w:anchor="_Toc119064856" w:history="1">
        <w:r w:rsidRPr="00A71A3B">
          <w:rPr>
            <w:rStyle w:val="Hyperlink"/>
            <w:rFonts w:ascii="Times New Roman" w:hAnsi="Times New Roman"/>
          </w:rPr>
          <w:t>3.9.3.2.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_Toc119064856 \h </w:instrText>
        </w:r>
        <w:r>
          <w:rPr>
            <w:webHidden/>
          </w:rPr>
        </w:r>
        <w:r>
          <w:rPr>
            <w:webHidden/>
          </w:rPr>
          <w:fldChar w:fldCharType="separate"/>
        </w:r>
        <w:r>
          <w:rPr>
            <w:webHidden/>
          </w:rPr>
          <w:t>188</w:t>
        </w:r>
        <w:r>
          <w:rPr>
            <w:webHidden/>
          </w:rPr>
          <w:fldChar w:fldCharType="end"/>
        </w:r>
      </w:hyperlink>
    </w:p>
    <w:p w14:paraId="16E0FF15" w14:textId="008E465B" w:rsidR="0043455E" w:rsidRDefault="0043455E">
      <w:pPr>
        <w:pStyle w:val="TOC2"/>
        <w:rPr>
          <w:rFonts w:asciiTheme="minorHAnsi" w:eastAsiaTheme="minorEastAsia" w:hAnsiTheme="minorHAnsi" w:cstheme="minorBidi"/>
          <w:b w:val="0"/>
          <w:smallCaps w:val="0"/>
          <w:sz w:val="22"/>
          <w:lang w:eastAsia="pl-PL"/>
        </w:rPr>
      </w:pPr>
      <w:hyperlink w:anchor="_Toc119064857" w:history="1">
        <w:r w:rsidRPr="00A71A3B">
          <w:rPr>
            <w:rStyle w:val="Hyperlink"/>
            <w:rFonts w:ascii="Times New Roman" w:hAnsi="Times New Roman"/>
          </w:rPr>
          <w:t>3.9.4.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34.03 – Ekspozycje na ryzyko kredytowe kontrahenta, w odniesieniu do których zastosowano metody standardowe: metoda standardowa dotycząca ryzyka kredytowego kontrahenta i uproszczona metoda standardowa dotycząca ryzyka kredytowego kontrahenta</w:t>
        </w:r>
        <w:r>
          <w:rPr>
            <w:webHidden/>
          </w:rPr>
          <w:tab/>
        </w:r>
        <w:r>
          <w:rPr>
            <w:webHidden/>
          </w:rPr>
          <w:fldChar w:fldCharType="begin"/>
        </w:r>
        <w:r>
          <w:rPr>
            <w:webHidden/>
          </w:rPr>
          <w:instrText xml:space="preserve"> PAGEREF _Toc119064857 \h </w:instrText>
        </w:r>
        <w:r>
          <w:rPr>
            <w:webHidden/>
          </w:rPr>
        </w:r>
        <w:r>
          <w:rPr>
            <w:webHidden/>
          </w:rPr>
          <w:fldChar w:fldCharType="separate"/>
        </w:r>
        <w:r>
          <w:rPr>
            <w:webHidden/>
          </w:rPr>
          <w:t>196</w:t>
        </w:r>
        <w:r>
          <w:rPr>
            <w:webHidden/>
          </w:rPr>
          <w:fldChar w:fldCharType="end"/>
        </w:r>
      </w:hyperlink>
    </w:p>
    <w:p w14:paraId="50A676DC" w14:textId="516E79A6" w:rsidR="0043455E" w:rsidRDefault="0043455E">
      <w:pPr>
        <w:pStyle w:val="TOC2"/>
        <w:rPr>
          <w:rFonts w:asciiTheme="minorHAnsi" w:eastAsiaTheme="minorEastAsia" w:hAnsiTheme="minorHAnsi" w:cstheme="minorBidi"/>
          <w:b w:val="0"/>
          <w:smallCaps w:val="0"/>
          <w:sz w:val="22"/>
          <w:lang w:eastAsia="pl-PL"/>
        </w:rPr>
      </w:pPr>
      <w:hyperlink w:anchor="_Toc119064858" w:history="1">
        <w:r w:rsidRPr="00A71A3B">
          <w:rPr>
            <w:rStyle w:val="Hyperlink"/>
            <w:rFonts w:ascii="Times New Roman" w:hAnsi="Times New Roman"/>
          </w:rPr>
          <w:t>3.9.4.1.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_Toc119064858 \h </w:instrText>
        </w:r>
        <w:r>
          <w:rPr>
            <w:webHidden/>
          </w:rPr>
        </w:r>
        <w:r>
          <w:rPr>
            <w:webHidden/>
          </w:rPr>
          <w:fldChar w:fldCharType="separate"/>
        </w:r>
        <w:r>
          <w:rPr>
            <w:webHidden/>
          </w:rPr>
          <w:t>196</w:t>
        </w:r>
        <w:r>
          <w:rPr>
            <w:webHidden/>
          </w:rPr>
          <w:fldChar w:fldCharType="end"/>
        </w:r>
      </w:hyperlink>
    </w:p>
    <w:p w14:paraId="1D2AC98A" w14:textId="3D6D530E" w:rsidR="0043455E" w:rsidRDefault="0043455E">
      <w:pPr>
        <w:pStyle w:val="TOC2"/>
        <w:rPr>
          <w:rFonts w:asciiTheme="minorHAnsi" w:eastAsiaTheme="minorEastAsia" w:hAnsiTheme="minorHAnsi" w:cstheme="minorBidi"/>
          <w:b w:val="0"/>
          <w:smallCaps w:val="0"/>
          <w:sz w:val="22"/>
          <w:lang w:eastAsia="pl-PL"/>
        </w:rPr>
      </w:pPr>
      <w:hyperlink w:anchor="_Toc119064859" w:history="1">
        <w:r w:rsidRPr="00A71A3B">
          <w:rPr>
            <w:rStyle w:val="Hyperlink"/>
            <w:rFonts w:ascii="Times New Roman" w:hAnsi="Times New Roman"/>
          </w:rPr>
          <w:t>3.9.4.2.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_Toc119064859 \h </w:instrText>
        </w:r>
        <w:r>
          <w:rPr>
            <w:webHidden/>
          </w:rPr>
        </w:r>
        <w:r>
          <w:rPr>
            <w:webHidden/>
          </w:rPr>
          <w:fldChar w:fldCharType="separate"/>
        </w:r>
        <w:r>
          <w:rPr>
            <w:webHidden/>
          </w:rPr>
          <w:t>196</w:t>
        </w:r>
        <w:r>
          <w:rPr>
            <w:webHidden/>
          </w:rPr>
          <w:fldChar w:fldCharType="end"/>
        </w:r>
      </w:hyperlink>
    </w:p>
    <w:p w14:paraId="0D827107" w14:textId="28D78E66" w:rsidR="0043455E" w:rsidRDefault="0043455E">
      <w:pPr>
        <w:pStyle w:val="TOC2"/>
        <w:rPr>
          <w:rFonts w:asciiTheme="minorHAnsi" w:eastAsiaTheme="minorEastAsia" w:hAnsiTheme="minorHAnsi" w:cstheme="minorBidi"/>
          <w:b w:val="0"/>
          <w:smallCaps w:val="0"/>
          <w:sz w:val="22"/>
          <w:lang w:eastAsia="pl-PL"/>
        </w:rPr>
      </w:pPr>
      <w:hyperlink w:anchor="_Toc119064860" w:history="1">
        <w:r w:rsidRPr="00A71A3B">
          <w:rPr>
            <w:rStyle w:val="Hyperlink"/>
            <w:rFonts w:ascii="Times New Roman" w:hAnsi="Times New Roman"/>
          </w:rPr>
          <w:t>3.9.5.</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34.04 – Ekspozycje na ryzyko kredytowe kontrahenta, w odniesieniu do których zastosowano metodę wyceny pierwotnej ekspozycji</w:t>
        </w:r>
        <w:r>
          <w:rPr>
            <w:webHidden/>
          </w:rPr>
          <w:tab/>
        </w:r>
        <w:r>
          <w:rPr>
            <w:webHidden/>
          </w:rPr>
          <w:fldChar w:fldCharType="begin"/>
        </w:r>
        <w:r>
          <w:rPr>
            <w:webHidden/>
          </w:rPr>
          <w:instrText xml:space="preserve"> PAGEREF _Toc119064860 \h </w:instrText>
        </w:r>
        <w:r>
          <w:rPr>
            <w:webHidden/>
          </w:rPr>
        </w:r>
        <w:r>
          <w:rPr>
            <w:webHidden/>
          </w:rPr>
          <w:fldChar w:fldCharType="separate"/>
        </w:r>
        <w:r>
          <w:rPr>
            <w:webHidden/>
          </w:rPr>
          <w:t>199</w:t>
        </w:r>
        <w:r>
          <w:rPr>
            <w:webHidden/>
          </w:rPr>
          <w:fldChar w:fldCharType="end"/>
        </w:r>
      </w:hyperlink>
    </w:p>
    <w:p w14:paraId="6036CE5E" w14:textId="10CF235A" w:rsidR="0043455E" w:rsidRDefault="0043455E">
      <w:pPr>
        <w:pStyle w:val="TOC2"/>
        <w:rPr>
          <w:rFonts w:asciiTheme="minorHAnsi" w:eastAsiaTheme="minorEastAsia" w:hAnsiTheme="minorHAnsi" w:cstheme="minorBidi"/>
          <w:b w:val="0"/>
          <w:smallCaps w:val="0"/>
          <w:sz w:val="22"/>
          <w:lang w:eastAsia="pl-PL"/>
        </w:rPr>
      </w:pPr>
      <w:hyperlink w:anchor="_Toc119064861" w:history="1">
        <w:r w:rsidRPr="00A71A3B">
          <w:rPr>
            <w:rStyle w:val="Hyperlink"/>
            <w:rFonts w:ascii="Times New Roman" w:hAnsi="Times New Roman"/>
          </w:rPr>
          <w:t>3.9.5.1.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_Toc119064861 \h </w:instrText>
        </w:r>
        <w:r>
          <w:rPr>
            <w:webHidden/>
          </w:rPr>
        </w:r>
        <w:r>
          <w:rPr>
            <w:webHidden/>
          </w:rPr>
          <w:fldChar w:fldCharType="separate"/>
        </w:r>
        <w:r>
          <w:rPr>
            <w:webHidden/>
          </w:rPr>
          <w:t>199</w:t>
        </w:r>
        <w:r>
          <w:rPr>
            <w:webHidden/>
          </w:rPr>
          <w:fldChar w:fldCharType="end"/>
        </w:r>
      </w:hyperlink>
    </w:p>
    <w:p w14:paraId="3197C829" w14:textId="051AE335" w:rsidR="0043455E" w:rsidRDefault="0043455E">
      <w:pPr>
        <w:pStyle w:val="TOC2"/>
        <w:rPr>
          <w:rFonts w:asciiTheme="minorHAnsi" w:eastAsiaTheme="minorEastAsia" w:hAnsiTheme="minorHAnsi" w:cstheme="minorBidi"/>
          <w:b w:val="0"/>
          <w:smallCaps w:val="0"/>
          <w:sz w:val="22"/>
          <w:lang w:eastAsia="pl-PL"/>
        </w:rPr>
      </w:pPr>
      <w:hyperlink w:anchor="_Toc119064862" w:history="1">
        <w:r w:rsidRPr="00A71A3B">
          <w:rPr>
            <w:rStyle w:val="Hyperlink"/>
            <w:rFonts w:ascii="Times New Roman" w:hAnsi="Times New Roman"/>
          </w:rPr>
          <w:t>3.9.6.</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34.05 – Ekspozycje na ryzyko kredytowe kontrahenta, w odniesieniu do których zastosowano metodę modeli wewnętrznych (IMM)</w:t>
        </w:r>
        <w:r>
          <w:rPr>
            <w:webHidden/>
          </w:rPr>
          <w:tab/>
        </w:r>
        <w:r>
          <w:rPr>
            <w:webHidden/>
          </w:rPr>
          <w:fldChar w:fldCharType="begin"/>
        </w:r>
        <w:r>
          <w:rPr>
            <w:webHidden/>
          </w:rPr>
          <w:instrText xml:space="preserve"> PAGEREF _Toc119064862 \h </w:instrText>
        </w:r>
        <w:r>
          <w:rPr>
            <w:webHidden/>
          </w:rPr>
        </w:r>
        <w:r>
          <w:rPr>
            <w:webHidden/>
          </w:rPr>
          <w:fldChar w:fldCharType="separate"/>
        </w:r>
        <w:r>
          <w:rPr>
            <w:webHidden/>
          </w:rPr>
          <w:t>199</w:t>
        </w:r>
        <w:r>
          <w:rPr>
            <w:webHidden/>
          </w:rPr>
          <w:fldChar w:fldCharType="end"/>
        </w:r>
      </w:hyperlink>
    </w:p>
    <w:p w14:paraId="26E6A8D5" w14:textId="120EC5A2" w:rsidR="0043455E" w:rsidRDefault="0043455E">
      <w:pPr>
        <w:pStyle w:val="TOC2"/>
        <w:rPr>
          <w:rFonts w:asciiTheme="minorHAnsi" w:eastAsiaTheme="minorEastAsia" w:hAnsiTheme="minorHAnsi" w:cstheme="minorBidi"/>
          <w:b w:val="0"/>
          <w:smallCaps w:val="0"/>
          <w:sz w:val="22"/>
          <w:lang w:eastAsia="pl-PL"/>
        </w:rPr>
      </w:pPr>
      <w:hyperlink w:anchor="_Toc119064863" w:history="1">
        <w:r w:rsidRPr="00A71A3B">
          <w:rPr>
            <w:rStyle w:val="Hyperlink"/>
            <w:rFonts w:ascii="Times New Roman" w:hAnsi="Times New Roman"/>
          </w:rPr>
          <w:t>3.9.6.1.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_Toc119064863 \h </w:instrText>
        </w:r>
        <w:r>
          <w:rPr>
            <w:webHidden/>
          </w:rPr>
        </w:r>
        <w:r>
          <w:rPr>
            <w:webHidden/>
          </w:rPr>
          <w:fldChar w:fldCharType="separate"/>
        </w:r>
        <w:r>
          <w:rPr>
            <w:webHidden/>
          </w:rPr>
          <w:t>199</w:t>
        </w:r>
        <w:r>
          <w:rPr>
            <w:webHidden/>
          </w:rPr>
          <w:fldChar w:fldCharType="end"/>
        </w:r>
      </w:hyperlink>
    </w:p>
    <w:p w14:paraId="79E7C858" w14:textId="7C974872" w:rsidR="0043455E" w:rsidRDefault="0043455E">
      <w:pPr>
        <w:pStyle w:val="TOC2"/>
        <w:rPr>
          <w:rFonts w:asciiTheme="minorHAnsi" w:eastAsiaTheme="minorEastAsia" w:hAnsiTheme="minorHAnsi" w:cstheme="minorBidi"/>
          <w:b w:val="0"/>
          <w:smallCaps w:val="0"/>
          <w:sz w:val="22"/>
          <w:lang w:eastAsia="pl-PL"/>
        </w:rPr>
      </w:pPr>
      <w:hyperlink w:anchor="_Toc119064864" w:history="1">
        <w:r w:rsidRPr="00A71A3B">
          <w:rPr>
            <w:rStyle w:val="Hyperlink"/>
            <w:rFonts w:ascii="Times New Roman" w:hAnsi="Times New Roman"/>
          </w:rPr>
          <w:t>3.9.7.</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34.06 – Dwudziestu największych kontrahentów</w:t>
        </w:r>
        <w:r>
          <w:rPr>
            <w:webHidden/>
          </w:rPr>
          <w:tab/>
        </w:r>
        <w:r>
          <w:rPr>
            <w:webHidden/>
          </w:rPr>
          <w:fldChar w:fldCharType="begin"/>
        </w:r>
        <w:r>
          <w:rPr>
            <w:webHidden/>
          </w:rPr>
          <w:instrText xml:space="preserve"> PAGEREF _Toc119064864 \h </w:instrText>
        </w:r>
        <w:r>
          <w:rPr>
            <w:webHidden/>
          </w:rPr>
        </w:r>
        <w:r>
          <w:rPr>
            <w:webHidden/>
          </w:rPr>
          <w:fldChar w:fldCharType="separate"/>
        </w:r>
        <w:r>
          <w:rPr>
            <w:webHidden/>
          </w:rPr>
          <w:t>202</w:t>
        </w:r>
        <w:r>
          <w:rPr>
            <w:webHidden/>
          </w:rPr>
          <w:fldChar w:fldCharType="end"/>
        </w:r>
      </w:hyperlink>
    </w:p>
    <w:p w14:paraId="4BFDD76C" w14:textId="64390084" w:rsidR="0043455E" w:rsidRDefault="0043455E">
      <w:pPr>
        <w:pStyle w:val="TOC2"/>
        <w:rPr>
          <w:rFonts w:asciiTheme="minorHAnsi" w:eastAsiaTheme="minorEastAsia" w:hAnsiTheme="minorHAnsi" w:cstheme="minorBidi"/>
          <w:b w:val="0"/>
          <w:smallCaps w:val="0"/>
          <w:sz w:val="22"/>
          <w:lang w:eastAsia="pl-PL"/>
        </w:rPr>
      </w:pPr>
      <w:hyperlink w:anchor="_Toc119064865" w:history="1">
        <w:r w:rsidRPr="00A71A3B">
          <w:rPr>
            <w:rStyle w:val="Hyperlink"/>
            <w:rFonts w:ascii="Times New Roman" w:hAnsi="Times New Roman"/>
          </w:rPr>
          <w:t>3.9.7.1.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_Toc119064865 \h </w:instrText>
        </w:r>
        <w:r>
          <w:rPr>
            <w:webHidden/>
          </w:rPr>
        </w:r>
        <w:r>
          <w:rPr>
            <w:webHidden/>
          </w:rPr>
          <w:fldChar w:fldCharType="separate"/>
        </w:r>
        <w:r>
          <w:rPr>
            <w:webHidden/>
          </w:rPr>
          <w:t>202</w:t>
        </w:r>
        <w:r>
          <w:rPr>
            <w:webHidden/>
          </w:rPr>
          <w:fldChar w:fldCharType="end"/>
        </w:r>
      </w:hyperlink>
    </w:p>
    <w:p w14:paraId="643E2306" w14:textId="71F1E31C" w:rsidR="0043455E" w:rsidRDefault="0043455E">
      <w:pPr>
        <w:pStyle w:val="TOC2"/>
        <w:rPr>
          <w:rFonts w:asciiTheme="minorHAnsi" w:eastAsiaTheme="minorEastAsia" w:hAnsiTheme="minorHAnsi" w:cstheme="minorBidi"/>
          <w:b w:val="0"/>
          <w:smallCaps w:val="0"/>
          <w:sz w:val="22"/>
          <w:lang w:eastAsia="pl-PL"/>
        </w:rPr>
      </w:pPr>
      <w:hyperlink w:anchor="_Toc119064866" w:history="1">
        <w:r w:rsidRPr="00A71A3B">
          <w:rPr>
            <w:rStyle w:val="Hyperlink"/>
            <w:rFonts w:ascii="Times New Roman" w:hAnsi="Times New Roman"/>
          </w:rPr>
          <w:t>3.9.7.2.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_Toc119064866 \h </w:instrText>
        </w:r>
        <w:r>
          <w:rPr>
            <w:webHidden/>
          </w:rPr>
        </w:r>
        <w:r>
          <w:rPr>
            <w:webHidden/>
          </w:rPr>
          <w:fldChar w:fldCharType="separate"/>
        </w:r>
        <w:r>
          <w:rPr>
            <w:webHidden/>
          </w:rPr>
          <w:t>202</w:t>
        </w:r>
        <w:r>
          <w:rPr>
            <w:webHidden/>
          </w:rPr>
          <w:fldChar w:fldCharType="end"/>
        </w:r>
      </w:hyperlink>
    </w:p>
    <w:p w14:paraId="3ED28063" w14:textId="52927FBF" w:rsidR="0043455E" w:rsidRDefault="0043455E">
      <w:pPr>
        <w:pStyle w:val="TOC2"/>
        <w:rPr>
          <w:rFonts w:asciiTheme="minorHAnsi" w:eastAsiaTheme="minorEastAsia" w:hAnsiTheme="minorHAnsi" w:cstheme="minorBidi"/>
          <w:b w:val="0"/>
          <w:smallCaps w:val="0"/>
          <w:sz w:val="22"/>
          <w:lang w:eastAsia="pl-PL"/>
        </w:rPr>
      </w:pPr>
      <w:hyperlink w:anchor="_Toc119064867" w:history="1">
        <w:r w:rsidRPr="00A71A3B">
          <w:rPr>
            <w:rStyle w:val="Hyperlink"/>
            <w:rFonts w:ascii="Times New Roman" w:hAnsi="Times New Roman"/>
          </w:rPr>
          <w:t>3.9.8.</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34.07 – Metoda IRB – ekspozycje na ryzyko kredytowe kontrahenta według kategorii ekspozycji i skali PD</w:t>
        </w:r>
        <w:r>
          <w:rPr>
            <w:webHidden/>
          </w:rPr>
          <w:tab/>
        </w:r>
        <w:r>
          <w:rPr>
            <w:webHidden/>
          </w:rPr>
          <w:fldChar w:fldCharType="begin"/>
        </w:r>
        <w:r>
          <w:rPr>
            <w:webHidden/>
          </w:rPr>
          <w:instrText xml:space="preserve"> PAGEREF _Toc119064867 \h </w:instrText>
        </w:r>
        <w:r>
          <w:rPr>
            <w:webHidden/>
          </w:rPr>
        </w:r>
        <w:r>
          <w:rPr>
            <w:webHidden/>
          </w:rPr>
          <w:fldChar w:fldCharType="separate"/>
        </w:r>
        <w:r>
          <w:rPr>
            <w:webHidden/>
          </w:rPr>
          <w:t>204</w:t>
        </w:r>
        <w:r>
          <w:rPr>
            <w:webHidden/>
          </w:rPr>
          <w:fldChar w:fldCharType="end"/>
        </w:r>
      </w:hyperlink>
    </w:p>
    <w:p w14:paraId="2C941C53" w14:textId="3B71AE6D" w:rsidR="0043455E" w:rsidRDefault="0043455E">
      <w:pPr>
        <w:pStyle w:val="TOC2"/>
        <w:rPr>
          <w:rFonts w:asciiTheme="minorHAnsi" w:eastAsiaTheme="minorEastAsia" w:hAnsiTheme="minorHAnsi" w:cstheme="minorBidi"/>
          <w:b w:val="0"/>
          <w:smallCaps w:val="0"/>
          <w:sz w:val="22"/>
          <w:lang w:eastAsia="pl-PL"/>
        </w:rPr>
      </w:pPr>
      <w:hyperlink w:anchor="_Toc119064868" w:history="1">
        <w:r w:rsidRPr="00A71A3B">
          <w:rPr>
            <w:rStyle w:val="Hyperlink"/>
            <w:rFonts w:ascii="Times New Roman" w:hAnsi="Times New Roman"/>
          </w:rPr>
          <w:t>3.9.8.1.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_Toc119064868 \h </w:instrText>
        </w:r>
        <w:r>
          <w:rPr>
            <w:webHidden/>
          </w:rPr>
        </w:r>
        <w:r>
          <w:rPr>
            <w:webHidden/>
          </w:rPr>
          <w:fldChar w:fldCharType="separate"/>
        </w:r>
        <w:r>
          <w:rPr>
            <w:webHidden/>
          </w:rPr>
          <w:t>204</w:t>
        </w:r>
        <w:r>
          <w:rPr>
            <w:webHidden/>
          </w:rPr>
          <w:fldChar w:fldCharType="end"/>
        </w:r>
      </w:hyperlink>
    </w:p>
    <w:p w14:paraId="490F6522" w14:textId="08E5F5D0" w:rsidR="0043455E" w:rsidRDefault="0043455E">
      <w:pPr>
        <w:pStyle w:val="TOC2"/>
        <w:rPr>
          <w:rFonts w:asciiTheme="minorHAnsi" w:eastAsiaTheme="minorEastAsia" w:hAnsiTheme="minorHAnsi" w:cstheme="minorBidi"/>
          <w:b w:val="0"/>
          <w:smallCaps w:val="0"/>
          <w:sz w:val="22"/>
          <w:lang w:eastAsia="pl-PL"/>
        </w:rPr>
      </w:pPr>
      <w:hyperlink w:anchor="_Toc119064869" w:history="1">
        <w:r w:rsidRPr="00A71A3B">
          <w:rPr>
            <w:rStyle w:val="Hyperlink"/>
            <w:rFonts w:ascii="Times New Roman" w:hAnsi="Times New Roman"/>
          </w:rPr>
          <w:t>3.9.8.2.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_Toc119064869 \h </w:instrText>
        </w:r>
        <w:r>
          <w:rPr>
            <w:webHidden/>
          </w:rPr>
        </w:r>
        <w:r>
          <w:rPr>
            <w:webHidden/>
          </w:rPr>
          <w:fldChar w:fldCharType="separate"/>
        </w:r>
        <w:r>
          <w:rPr>
            <w:webHidden/>
          </w:rPr>
          <w:t>205</w:t>
        </w:r>
        <w:r>
          <w:rPr>
            <w:webHidden/>
          </w:rPr>
          <w:fldChar w:fldCharType="end"/>
        </w:r>
      </w:hyperlink>
    </w:p>
    <w:p w14:paraId="6EA7A00B" w14:textId="25405103" w:rsidR="0043455E" w:rsidRDefault="0043455E">
      <w:pPr>
        <w:pStyle w:val="TOC2"/>
        <w:rPr>
          <w:rFonts w:asciiTheme="minorHAnsi" w:eastAsiaTheme="minorEastAsia" w:hAnsiTheme="minorHAnsi" w:cstheme="minorBidi"/>
          <w:b w:val="0"/>
          <w:smallCaps w:val="0"/>
          <w:sz w:val="22"/>
          <w:lang w:eastAsia="pl-PL"/>
        </w:rPr>
      </w:pPr>
      <w:hyperlink w:anchor="_Toc119064870" w:history="1">
        <w:r w:rsidRPr="00A71A3B">
          <w:rPr>
            <w:rStyle w:val="Hyperlink"/>
            <w:rFonts w:ascii="Times New Roman" w:hAnsi="Times New Roman"/>
          </w:rPr>
          <w:t>3.9.9.</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34.08 – Skład zabezpieczeń ekspozycji na ryzyko kredytowe kontrahenta</w:t>
        </w:r>
        <w:r>
          <w:rPr>
            <w:webHidden/>
          </w:rPr>
          <w:tab/>
        </w:r>
        <w:r>
          <w:rPr>
            <w:webHidden/>
          </w:rPr>
          <w:fldChar w:fldCharType="begin"/>
        </w:r>
        <w:r>
          <w:rPr>
            <w:webHidden/>
          </w:rPr>
          <w:instrText xml:space="preserve"> PAGEREF _Toc119064870 \h </w:instrText>
        </w:r>
        <w:r>
          <w:rPr>
            <w:webHidden/>
          </w:rPr>
        </w:r>
        <w:r>
          <w:rPr>
            <w:webHidden/>
          </w:rPr>
          <w:fldChar w:fldCharType="separate"/>
        </w:r>
        <w:r>
          <w:rPr>
            <w:webHidden/>
          </w:rPr>
          <w:t>206</w:t>
        </w:r>
        <w:r>
          <w:rPr>
            <w:webHidden/>
          </w:rPr>
          <w:fldChar w:fldCharType="end"/>
        </w:r>
      </w:hyperlink>
    </w:p>
    <w:p w14:paraId="2FB3A5E8" w14:textId="4BF18FB0" w:rsidR="0043455E" w:rsidRDefault="0043455E">
      <w:pPr>
        <w:pStyle w:val="TOC2"/>
        <w:rPr>
          <w:rFonts w:asciiTheme="minorHAnsi" w:eastAsiaTheme="minorEastAsia" w:hAnsiTheme="minorHAnsi" w:cstheme="minorBidi"/>
          <w:b w:val="0"/>
          <w:smallCaps w:val="0"/>
          <w:sz w:val="22"/>
          <w:lang w:eastAsia="pl-PL"/>
        </w:rPr>
      </w:pPr>
      <w:hyperlink w:anchor="_Toc119064871" w:history="1">
        <w:r w:rsidRPr="00A71A3B">
          <w:rPr>
            <w:rStyle w:val="Hyperlink"/>
            <w:rFonts w:ascii="Times New Roman" w:hAnsi="Times New Roman"/>
          </w:rPr>
          <w:t>3.9.9.1.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_Toc119064871 \h </w:instrText>
        </w:r>
        <w:r>
          <w:rPr>
            <w:webHidden/>
          </w:rPr>
        </w:r>
        <w:r>
          <w:rPr>
            <w:webHidden/>
          </w:rPr>
          <w:fldChar w:fldCharType="separate"/>
        </w:r>
        <w:r>
          <w:rPr>
            <w:webHidden/>
          </w:rPr>
          <w:t>206</w:t>
        </w:r>
        <w:r>
          <w:rPr>
            <w:webHidden/>
          </w:rPr>
          <w:fldChar w:fldCharType="end"/>
        </w:r>
      </w:hyperlink>
    </w:p>
    <w:p w14:paraId="19F07BF1" w14:textId="12CBAB5A" w:rsidR="0043455E" w:rsidRDefault="0043455E">
      <w:pPr>
        <w:pStyle w:val="TOC2"/>
        <w:rPr>
          <w:rFonts w:asciiTheme="minorHAnsi" w:eastAsiaTheme="minorEastAsia" w:hAnsiTheme="minorHAnsi" w:cstheme="minorBidi"/>
          <w:b w:val="0"/>
          <w:smallCaps w:val="0"/>
          <w:sz w:val="22"/>
          <w:lang w:eastAsia="pl-PL"/>
        </w:rPr>
      </w:pPr>
      <w:hyperlink w:anchor="_Toc119064872" w:history="1">
        <w:r w:rsidRPr="00A71A3B">
          <w:rPr>
            <w:rStyle w:val="Hyperlink"/>
            <w:rFonts w:ascii="Times New Roman" w:hAnsi="Times New Roman"/>
          </w:rPr>
          <w:t>3.9.9.2.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_Toc119064872 \h </w:instrText>
        </w:r>
        <w:r>
          <w:rPr>
            <w:webHidden/>
          </w:rPr>
        </w:r>
        <w:r>
          <w:rPr>
            <w:webHidden/>
          </w:rPr>
          <w:fldChar w:fldCharType="separate"/>
        </w:r>
        <w:r>
          <w:rPr>
            <w:webHidden/>
          </w:rPr>
          <w:t>207</w:t>
        </w:r>
        <w:r>
          <w:rPr>
            <w:webHidden/>
          </w:rPr>
          <w:fldChar w:fldCharType="end"/>
        </w:r>
      </w:hyperlink>
    </w:p>
    <w:p w14:paraId="39CF8B0B" w14:textId="6A628659" w:rsidR="0043455E" w:rsidRDefault="0043455E">
      <w:pPr>
        <w:pStyle w:val="TOC2"/>
        <w:rPr>
          <w:rFonts w:asciiTheme="minorHAnsi" w:eastAsiaTheme="minorEastAsia" w:hAnsiTheme="minorHAnsi" w:cstheme="minorBidi"/>
          <w:b w:val="0"/>
          <w:smallCaps w:val="0"/>
          <w:sz w:val="22"/>
          <w:lang w:eastAsia="pl-PL"/>
        </w:rPr>
      </w:pPr>
      <w:hyperlink w:anchor="_Toc119064873" w:history="1">
        <w:r w:rsidRPr="00A71A3B">
          <w:rPr>
            <w:rStyle w:val="Hyperlink"/>
            <w:rFonts w:ascii="Times New Roman" w:hAnsi="Times New Roman"/>
          </w:rPr>
          <w:t>3.9.10.</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34.09 – Ekspozycje kredytowe z tytułu instrumentów pochodnych</w:t>
        </w:r>
        <w:r>
          <w:rPr>
            <w:webHidden/>
          </w:rPr>
          <w:tab/>
        </w:r>
        <w:r>
          <w:rPr>
            <w:webHidden/>
          </w:rPr>
          <w:fldChar w:fldCharType="begin"/>
        </w:r>
        <w:r>
          <w:rPr>
            <w:webHidden/>
          </w:rPr>
          <w:instrText xml:space="preserve"> PAGEREF _Toc119064873 \h </w:instrText>
        </w:r>
        <w:r>
          <w:rPr>
            <w:webHidden/>
          </w:rPr>
        </w:r>
        <w:r>
          <w:rPr>
            <w:webHidden/>
          </w:rPr>
          <w:fldChar w:fldCharType="separate"/>
        </w:r>
        <w:r>
          <w:rPr>
            <w:webHidden/>
          </w:rPr>
          <w:t>208</w:t>
        </w:r>
        <w:r>
          <w:rPr>
            <w:webHidden/>
          </w:rPr>
          <w:fldChar w:fldCharType="end"/>
        </w:r>
      </w:hyperlink>
    </w:p>
    <w:p w14:paraId="6A15EB34" w14:textId="07BCAF37" w:rsidR="0043455E" w:rsidRDefault="0043455E">
      <w:pPr>
        <w:pStyle w:val="TOC2"/>
        <w:rPr>
          <w:rFonts w:asciiTheme="minorHAnsi" w:eastAsiaTheme="minorEastAsia" w:hAnsiTheme="minorHAnsi" w:cstheme="minorBidi"/>
          <w:b w:val="0"/>
          <w:smallCaps w:val="0"/>
          <w:sz w:val="22"/>
          <w:lang w:eastAsia="pl-PL"/>
        </w:rPr>
      </w:pPr>
      <w:hyperlink w:anchor="_Toc119064874" w:history="1">
        <w:r w:rsidRPr="00A71A3B">
          <w:rPr>
            <w:rStyle w:val="Hyperlink"/>
            <w:rFonts w:ascii="Times New Roman" w:hAnsi="Times New Roman"/>
          </w:rPr>
          <w:t>3.9.10.1.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_Toc119064874 \h </w:instrText>
        </w:r>
        <w:r>
          <w:rPr>
            <w:webHidden/>
          </w:rPr>
        </w:r>
        <w:r>
          <w:rPr>
            <w:webHidden/>
          </w:rPr>
          <w:fldChar w:fldCharType="separate"/>
        </w:r>
        <w:r>
          <w:rPr>
            <w:webHidden/>
          </w:rPr>
          <w:t>208</w:t>
        </w:r>
        <w:r>
          <w:rPr>
            <w:webHidden/>
          </w:rPr>
          <w:fldChar w:fldCharType="end"/>
        </w:r>
      </w:hyperlink>
    </w:p>
    <w:p w14:paraId="65ED0B4C" w14:textId="0E0B034B" w:rsidR="0043455E" w:rsidRDefault="0043455E">
      <w:pPr>
        <w:pStyle w:val="TOC2"/>
        <w:rPr>
          <w:rFonts w:asciiTheme="minorHAnsi" w:eastAsiaTheme="minorEastAsia" w:hAnsiTheme="minorHAnsi" w:cstheme="minorBidi"/>
          <w:b w:val="0"/>
          <w:smallCaps w:val="0"/>
          <w:sz w:val="22"/>
          <w:lang w:eastAsia="pl-PL"/>
        </w:rPr>
      </w:pPr>
      <w:hyperlink w:anchor="_Toc119064875" w:history="1">
        <w:r w:rsidRPr="00A71A3B">
          <w:rPr>
            <w:rStyle w:val="Hyperlink"/>
            <w:rFonts w:ascii="Times New Roman" w:hAnsi="Times New Roman"/>
          </w:rPr>
          <w:t>3.9.11.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34.10 – Ekspozycje wobec CCP</w:t>
        </w:r>
        <w:r>
          <w:rPr>
            <w:webHidden/>
          </w:rPr>
          <w:tab/>
        </w:r>
        <w:r>
          <w:rPr>
            <w:webHidden/>
          </w:rPr>
          <w:fldChar w:fldCharType="begin"/>
        </w:r>
        <w:r>
          <w:rPr>
            <w:webHidden/>
          </w:rPr>
          <w:instrText xml:space="preserve"> PAGEREF _Toc119064875 \h </w:instrText>
        </w:r>
        <w:r>
          <w:rPr>
            <w:webHidden/>
          </w:rPr>
        </w:r>
        <w:r>
          <w:rPr>
            <w:webHidden/>
          </w:rPr>
          <w:fldChar w:fldCharType="separate"/>
        </w:r>
        <w:r>
          <w:rPr>
            <w:webHidden/>
          </w:rPr>
          <w:t>209</w:t>
        </w:r>
        <w:r>
          <w:rPr>
            <w:webHidden/>
          </w:rPr>
          <w:fldChar w:fldCharType="end"/>
        </w:r>
      </w:hyperlink>
    </w:p>
    <w:p w14:paraId="51D7418B" w14:textId="40D0BF33" w:rsidR="0043455E" w:rsidRDefault="0043455E">
      <w:pPr>
        <w:pStyle w:val="TOC2"/>
        <w:rPr>
          <w:rFonts w:asciiTheme="minorHAnsi" w:eastAsiaTheme="minorEastAsia" w:hAnsiTheme="minorHAnsi" w:cstheme="minorBidi"/>
          <w:b w:val="0"/>
          <w:smallCaps w:val="0"/>
          <w:sz w:val="22"/>
          <w:lang w:eastAsia="pl-PL"/>
        </w:rPr>
      </w:pPr>
      <w:hyperlink w:anchor="_Toc119064876" w:history="1">
        <w:r w:rsidRPr="00A71A3B">
          <w:rPr>
            <w:rStyle w:val="Hyperlink"/>
            <w:rFonts w:ascii="Times New Roman" w:hAnsi="Times New Roman"/>
          </w:rPr>
          <w:t>3.9.11.1.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_Toc119064876 \h </w:instrText>
        </w:r>
        <w:r>
          <w:rPr>
            <w:webHidden/>
          </w:rPr>
        </w:r>
        <w:r>
          <w:rPr>
            <w:webHidden/>
          </w:rPr>
          <w:fldChar w:fldCharType="separate"/>
        </w:r>
        <w:r>
          <w:rPr>
            <w:webHidden/>
          </w:rPr>
          <w:t>209</w:t>
        </w:r>
        <w:r>
          <w:rPr>
            <w:webHidden/>
          </w:rPr>
          <w:fldChar w:fldCharType="end"/>
        </w:r>
      </w:hyperlink>
    </w:p>
    <w:p w14:paraId="49FA50A8" w14:textId="497A53C7" w:rsidR="0043455E" w:rsidRDefault="0043455E">
      <w:pPr>
        <w:pStyle w:val="TOC2"/>
        <w:rPr>
          <w:rFonts w:asciiTheme="minorHAnsi" w:eastAsiaTheme="minorEastAsia" w:hAnsiTheme="minorHAnsi" w:cstheme="minorBidi"/>
          <w:b w:val="0"/>
          <w:smallCaps w:val="0"/>
          <w:sz w:val="22"/>
          <w:lang w:eastAsia="pl-PL"/>
        </w:rPr>
      </w:pPr>
      <w:hyperlink w:anchor="_Toc119064877" w:history="1">
        <w:r w:rsidRPr="00A71A3B">
          <w:rPr>
            <w:rStyle w:val="Hyperlink"/>
            <w:rFonts w:ascii="Times New Roman" w:hAnsi="Times New Roman"/>
          </w:rPr>
          <w:t>3.9.11.2.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_Toc119064877 \h </w:instrText>
        </w:r>
        <w:r>
          <w:rPr>
            <w:webHidden/>
          </w:rPr>
        </w:r>
        <w:r>
          <w:rPr>
            <w:webHidden/>
          </w:rPr>
          <w:fldChar w:fldCharType="separate"/>
        </w:r>
        <w:r>
          <w:rPr>
            <w:webHidden/>
          </w:rPr>
          <w:t>209</w:t>
        </w:r>
        <w:r>
          <w:rPr>
            <w:webHidden/>
          </w:rPr>
          <w:fldChar w:fldCharType="end"/>
        </w:r>
      </w:hyperlink>
    </w:p>
    <w:p w14:paraId="22F50ABC" w14:textId="3116D1DB" w:rsidR="0043455E" w:rsidRDefault="0043455E">
      <w:pPr>
        <w:pStyle w:val="TOC2"/>
        <w:rPr>
          <w:rFonts w:asciiTheme="minorHAnsi" w:eastAsiaTheme="minorEastAsia" w:hAnsiTheme="minorHAnsi" w:cstheme="minorBidi"/>
          <w:b w:val="0"/>
          <w:smallCaps w:val="0"/>
          <w:sz w:val="22"/>
          <w:lang w:eastAsia="pl-PL"/>
        </w:rPr>
      </w:pPr>
      <w:hyperlink w:anchor="_Toc119064878" w:history="1">
        <w:r w:rsidRPr="00A71A3B">
          <w:rPr>
            <w:rStyle w:val="Hyperlink"/>
            <w:rFonts w:ascii="Times New Roman" w:hAnsi="Times New Roman"/>
          </w:rPr>
          <w:t>3.9.12.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34.11 – Rachunki przepływów kwot ekspozycji ważonych ryzykiem (RWEA) dla ekspozycji na ryzyko kredytowe kontrahenta obliczonych zgodnie z IMM</w:t>
        </w:r>
        <w:r>
          <w:rPr>
            <w:webHidden/>
          </w:rPr>
          <w:tab/>
        </w:r>
        <w:r>
          <w:rPr>
            <w:webHidden/>
          </w:rPr>
          <w:fldChar w:fldCharType="begin"/>
        </w:r>
        <w:r>
          <w:rPr>
            <w:webHidden/>
          </w:rPr>
          <w:instrText xml:space="preserve"> PAGEREF _Toc119064878 \h </w:instrText>
        </w:r>
        <w:r>
          <w:rPr>
            <w:webHidden/>
          </w:rPr>
        </w:r>
        <w:r>
          <w:rPr>
            <w:webHidden/>
          </w:rPr>
          <w:fldChar w:fldCharType="separate"/>
        </w:r>
        <w:r>
          <w:rPr>
            <w:webHidden/>
          </w:rPr>
          <w:t>211</w:t>
        </w:r>
        <w:r>
          <w:rPr>
            <w:webHidden/>
          </w:rPr>
          <w:fldChar w:fldCharType="end"/>
        </w:r>
      </w:hyperlink>
    </w:p>
    <w:p w14:paraId="2DA98FA3" w14:textId="44FF07C9" w:rsidR="0043455E" w:rsidRDefault="0043455E">
      <w:pPr>
        <w:pStyle w:val="TOC2"/>
        <w:rPr>
          <w:rFonts w:asciiTheme="minorHAnsi" w:eastAsiaTheme="minorEastAsia" w:hAnsiTheme="minorHAnsi" w:cstheme="minorBidi"/>
          <w:b w:val="0"/>
          <w:smallCaps w:val="0"/>
          <w:sz w:val="22"/>
          <w:lang w:eastAsia="pl-PL"/>
        </w:rPr>
      </w:pPr>
      <w:hyperlink w:anchor="_Toc119064879" w:history="1">
        <w:r w:rsidRPr="00A71A3B">
          <w:rPr>
            <w:rStyle w:val="Hyperlink"/>
            <w:rFonts w:ascii="Times New Roman" w:hAnsi="Times New Roman"/>
          </w:rPr>
          <w:t>3.9.12.1.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_Toc119064879 \h </w:instrText>
        </w:r>
        <w:r>
          <w:rPr>
            <w:webHidden/>
          </w:rPr>
        </w:r>
        <w:r>
          <w:rPr>
            <w:webHidden/>
          </w:rPr>
          <w:fldChar w:fldCharType="separate"/>
        </w:r>
        <w:r>
          <w:rPr>
            <w:webHidden/>
          </w:rPr>
          <w:t>211</w:t>
        </w:r>
        <w:r>
          <w:rPr>
            <w:webHidden/>
          </w:rPr>
          <w:fldChar w:fldCharType="end"/>
        </w:r>
      </w:hyperlink>
    </w:p>
    <w:p w14:paraId="5CF822AD" w14:textId="557D50EC" w:rsidR="0043455E" w:rsidRDefault="0043455E">
      <w:pPr>
        <w:pStyle w:val="TOC2"/>
        <w:rPr>
          <w:rFonts w:asciiTheme="minorHAnsi" w:eastAsiaTheme="minorEastAsia" w:hAnsiTheme="minorHAnsi" w:cstheme="minorBidi"/>
          <w:b w:val="0"/>
          <w:smallCaps w:val="0"/>
          <w:sz w:val="22"/>
          <w:lang w:eastAsia="pl-PL"/>
        </w:rPr>
      </w:pPr>
      <w:hyperlink w:anchor="_Toc119064880" w:history="1">
        <w:r w:rsidRPr="00A71A3B">
          <w:rPr>
            <w:rStyle w:val="Hyperlink"/>
            <w:rFonts w:ascii="Times New Roman" w:hAnsi="Times New Roman"/>
          </w:rPr>
          <w:t>3.9.12.2.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_Toc119064880 \h </w:instrText>
        </w:r>
        <w:r>
          <w:rPr>
            <w:webHidden/>
          </w:rPr>
        </w:r>
        <w:r>
          <w:rPr>
            <w:webHidden/>
          </w:rPr>
          <w:fldChar w:fldCharType="separate"/>
        </w:r>
        <w:r>
          <w:rPr>
            <w:webHidden/>
          </w:rPr>
          <w:t>211</w:t>
        </w:r>
        <w:r>
          <w:rPr>
            <w:webHidden/>
          </w:rPr>
          <w:fldChar w:fldCharType="end"/>
        </w:r>
      </w:hyperlink>
    </w:p>
    <w:p w14:paraId="3657251C" w14:textId="4021446B" w:rsidR="0043455E" w:rsidRDefault="0043455E">
      <w:pPr>
        <w:pStyle w:val="TOC2"/>
        <w:rPr>
          <w:rFonts w:asciiTheme="minorHAnsi" w:eastAsiaTheme="minorEastAsia" w:hAnsiTheme="minorHAnsi" w:cstheme="minorBidi"/>
          <w:b w:val="0"/>
          <w:smallCaps w:val="0"/>
          <w:sz w:val="22"/>
          <w:lang w:eastAsia="pl-PL"/>
        </w:rPr>
      </w:pPr>
      <w:hyperlink w:anchor="_Toc119064881" w:history="1">
        <w:r w:rsidRPr="00A71A3B">
          <w:rPr>
            <w:rStyle w:val="Hyperlink"/>
            <w:rFonts w:ascii="Times New Roman" w:hAnsi="Times New Roman"/>
          </w:rPr>
          <w:t>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Wzory dotyczące ryzyka operacyjnego</w:t>
        </w:r>
        <w:r>
          <w:rPr>
            <w:webHidden/>
          </w:rPr>
          <w:tab/>
        </w:r>
        <w:r>
          <w:rPr>
            <w:webHidden/>
          </w:rPr>
          <w:fldChar w:fldCharType="begin"/>
        </w:r>
        <w:r>
          <w:rPr>
            <w:webHidden/>
          </w:rPr>
          <w:instrText xml:space="preserve"> PAGEREF _Toc119064881 \h </w:instrText>
        </w:r>
        <w:r>
          <w:rPr>
            <w:webHidden/>
          </w:rPr>
        </w:r>
        <w:r>
          <w:rPr>
            <w:webHidden/>
          </w:rPr>
          <w:fldChar w:fldCharType="separate"/>
        </w:r>
        <w:r>
          <w:rPr>
            <w:webHidden/>
          </w:rPr>
          <w:t>213</w:t>
        </w:r>
        <w:r>
          <w:rPr>
            <w:webHidden/>
          </w:rPr>
          <w:fldChar w:fldCharType="end"/>
        </w:r>
      </w:hyperlink>
    </w:p>
    <w:p w14:paraId="483769FB" w14:textId="59127ADB" w:rsidR="0043455E" w:rsidRDefault="0043455E">
      <w:pPr>
        <w:pStyle w:val="TOC2"/>
        <w:rPr>
          <w:rFonts w:asciiTheme="minorHAnsi" w:eastAsiaTheme="minorEastAsia" w:hAnsiTheme="minorHAnsi" w:cstheme="minorBidi"/>
          <w:b w:val="0"/>
          <w:smallCaps w:val="0"/>
          <w:sz w:val="22"/>
          <w:lang w:eastAsia="pl-PL"/>
        </w:rPr>
      </w:pPr>
      <w:hyperlink w:anchor="_Toc119064882" w:history="1">
        <w:r w:rsidRPr="00A71A3B">
          <w:rPr>
            <w:rStyle w:val="Hyperlink"/>
            <w:rFonts w:ascii="Times New Roman" w:hAnsi="Times New Roman"/>
          </w:rPr>
          <w:t>4.1</w:t>
        </w:r>
        <w:r>
          <w:rPr>
            <w:rFonts w:asciiTheme="minorHAnsi" w:eastAsiaTheme="minorEastAsia" w:hAnsiTheme="minorHAnsi" w:cstheme="minorBidi"/>
            <w:b w:val="0"/>
            <w:smallCaps w:val="0"/>
            <w:sz w:val="22"/>
            <w:lang w:eastAsia="pl-PL"/>
          </w:rPr>
          <w:tab/>
        </w:r>
        <w:r w:rsidRPr="00A71A3B">
          <w:rPr>
            <w:rStyle w:val="Hyperlink"/>
          </w:rPr>
          <w:t xml:space="preserve"> </w:t>
        </w:r>
        <w:r w:rsidRPr="00A71A3B">
          <w:rPr>
            <w:rStyle w:val="Hyperlink"/>
            <w:rFonts w:ascii="Times New Roman" w:hAnsi="Times New Roman"/>
          </w:rPr>
          <w:t>C 16.00 – Ryzyko operacyjne (OPR)</w:t>
        </w:r>
        <w:r>
          <w:rPr>
            <w:webHidden/>
          </w:rPr>
          <w:tab/>
        </w:r>
        <w:r>
          <w:rPr>
            <w:webHidden/>
          </w:rPr>
          <w:fldChar w:fldCharType="begin"/>
        </w:r>
        <w:r>
          <w:rPr>
            <w:webHidden/>
          </w:rPr>
          <w:instrText xml:space="preserve"> PAGEREF _Toc119064882 \h </w:instrText>
        </w:r>
        <w:r>
          <w:rPr>
            <w:webHidden/>
          </w:rPr>
        </w:r>
        <w:r>
          <w:rPr>
            <w:webHidden/>
          </w:rPr>
          <w:fldChar w:fldCharType="separate"/>
        </w:r>
        <w:r>
          <w:rPr>
            <w:webHidden/>
          </w:rPr>
          <w:t>213</w:t>
        </w:r>
        <w:r>
          <w:rPr>
            <w:webHidden/>
          </w:rPr>
          <w:fldChar w:fldCharType="end"/>
        </w:r>
      </w:hyperlink>
    </w:p>
    <w:p w14:paraId="10E98E9D" w14:textId="710A65D6" w:rsidR="0043455E" w:rsidRDefault="0043455E">
      <w:pPr>
        <w:pStyle w:val="TOC2"/>
        <w:rPr>
          <w:rFonts w:asciiTheme="minorHAnsi" w:eastAsiaTheme="minorEastAsia" w:hAnsiTheme="minorHAnsi" w:cstheme="minorBidi"/>
          <w:b w:val="0"/>
          <w:smallCaps w:val="0"/>
          <w:sz w:val="22"/>
          <w:lang w:eastAsia="pl-PL"/>
        </w:rPr>
      </w:pPr>
      <w:hyperlink w:anchor="_Toc119064883" w:history="1">
        <w:r w:rsidRPr="00A71A3B">
          <w:rPr>
            <w:rStyle w:val="Hyperlink"/>
            <w:rFonts w:ascii="Times New Roman" w:hAnsi="Times New Roman"/>
          </w:rPr>
          <w:t>4.1.1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_Toc119064883 \h </w:instrText>
        </w:r>
        <w:r>
          <w:rPr>
            <w:webHidden/>
          </w:rPr>
        </w:r>
        <w:r>
          <w:rPr>
            <w:webHidden/>
          </w:rPr>
          <w:fldChar w:fldCharType="separate"/>
        </w:r>
        <w:r>
          <w:rPr>
            <w:webHidden/>
          </w:rPr>
          <w:t>213</w:t>
        </w:r>
        <w:r>
          <w:rPr>
            <w:webHidden/>
          </w:rPr>
          <w:fldChar w:fldCharType="end"/>
        </w:r>
      </w:hyperlink>
    </w:p>
    <w:p w14:paraId="6B10DB00" w14:textId="3CAB4820" w:rsidR="0043455E" w:rsidRDefault="0043455E">
      <w:pPr>
        <w:pStyle w:val="TOC2"/>
        <w:rPr>
          <w:rFonts w:asciiTheme="minorHAnsi" w:eastAsiaTheme="minorEastAsia" w:hAnsiTheme="minorHAnsi" w:cstheme="minorBidi"/>
          <w:b w:val="0"/>
          <w:smallCaps w:val="0"/>
          <w:sz w:val="22"/>
          <w:lang w:eastAsia="pl-PL"/>
        </w:rPr>
      </w:pPr>
      <w:hyperlink w:anchor="_Toc119064884" w:history="1">
        <w:r w:rsidRPr="00A71A3B">
          <w:rPr>
            <w:rStyle w:val="Hyperlink"/>
            <w:rFonts w:ascii="Times New Roman" w:hAnsi="Times New Roman"/>
          </w:rPr>
          <w:t>4.1.2.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_Toc119064884 \h </w:instrText>
        </w:r>
        <w:r>
          <w:rPr>
            <w:webHidden/>
          </w:rPr>
        </w:r>
        <w:r>
          <w:rPr>
            <w:webHidden/>
          </w:rPr>
          <w:fldChar w:fldCharType="separate"/>
        </w:r>
        <w:r>
          <w:rPr>
            <w:webHidden/>
          </w:rPr>
          <w:t>214</w:t>
        </w:r>
        <w:r>
          <w:rPr>
            <w:webHidden/>
          </w:rPr>
          <w:fldChar w:fldCharType="end"/>
        </w:r>
      </w:hyperlink>
    </w:p>
    <w:p w14:paraId="00AE7129" w14:textId="57443364" w:rsidR="0043455E" w:rsidRDefault="0043455E">
      <w:pPr>
        <w:pStyle w:val="TOC2"/>
        <w:rPr>
          <w:rFonts w:asciiTheme="minorHAnsi" w:eastAsiaTheme="minorEastAsia" w:hAnsiTheme="minorHAnsi" w:cstheme="minorBidi"/>
          <w:b w:val="0"/>
          <w:smallCaps w:val="0"/>
          <w:sz w:val="22"/>
          <w:lang w:eastAsia="pl-PL"/>
        </w:rPr>
      </w:pPr>
      <w:hyperlink w:anchor="_Toc119064885" w:history="1">
        <w:r w:rsidRPr="00A71A3B">
          <w:rPr>
            <w:rStyle w:val="Hyperlink"/>
            <w:rFonts w:ascii="Times New Roman" w:hAnsi="Times New Roman"/>
          </w:rPr>
          <w:t>4.2.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Ryzyko operacyjne: Szczegółowe informacje na temat strat w ostatnim roku (OPR SZCZEGÓŁY)</w:t>
        </w:r>
        <w:r>
          <w:rPr>
            <w:webHidden/>
          </w:rPr>
          <w:tab/>
        </w:r>
        <w:r>
          <w:rPr>
            <w:webHidden/>
          </w:rPr>
          <w:fldChar w:fldCharType="begin"/>
        </w:r>
        <w:r>
          <w:rPr>
            <w:webHidden/>
          </w:rPr>
          <w:instrText xml:space="preserve"> PAGEREF _Toc119064885 \h </w:instrText>
        </w:r>
        <w:r>
          <w:rPr>
            <w:webHidden/>
          </w:rPr>
        </w:r>
        <w:r>
          <w:rPr>
            <w:webHidden/>
          </w:rPr>
          <w:fldChar w:fldCharType="separate"/>
        </w:r>
        <w:r>
          <w:rPr>
            <w:webHidden/>
          </w:rPr>
          <w:t>218</w:t>
        </w:r>
        <w:r>
          <w:rPr>
            <w:webHidden/>
          </w:rPr>
          <w:fldChar w:fldCharType="end"/>
        </w:r>
      </w:hyperlink>
    </w:p>
    <w:p w14:paraId="3F37E393" w14:textId="418710C6" w:rsidR="0043455E" w:rsidRDefault="0043455E">
      <w:pPr>
        <w:pStyle w:val="TOC2"/>
        <w:rPr>
          <w:rFonts w:asciiTheme="minorHAnsi" w:eastAsiaTheme="minorEastAsia" w:hAnsiTheme="minorHAnsi" w:cstheme="minorBidi"/>
          <w:b w:val="0"/>
          <w:smallCaps w:val="0"/>
          <w:sz w:val="22"/>
          <w:lang w:eastAsia="pl-PL"/>
        </w:rPr>
      </w:pPr>
      <w:hyperlink w:anchor="_Toc119064886" w:history="1">
        <w:r w:rsidRPr="00A71A3B">
          <w:rPr>
            <w:rStyle w:val="Hyperlink"/>
            <w:rFonts w:ascii="Times New Roman" w:hAnsi="Times New Roman"/>
          </w:rPr>
          <w:t>4.2.1.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_Toc119064886 \h </w:instrText>
        </w:r>
        <w:r>
          <w:rPr>
            <w:webHidden/>
          </w:rPr>
        </w:r>
        <w:r>
          <w:rPr>
            <w:webHidden/>
          </w:rPr>
          <w:fldChar w:fldCharType="separate"/>
        </w:r>
        <w:r>
          <w:rPr>
            <w:webHidden/>
          </w:rPr>
          <w:t>218</w:t>
        </w:r>
        <w:r>
          <w:rPr>
            <w:webHidden/>
          </w:rPr>
          <w:fldChar w:fldCharType="end"/>
        </w:r>
      </w:hyperlink>
    </w:p>
    <w:p w14:paraId="5E224249" w14:textId="43CA52E2" w:rsidR="0043455E" w:rsidRDefault="0043455E">
      <w:pPr>
        <w:pStyle w:val="TOC2"/>
        <w:rPr>
          <w:rFonts w:asciiTheme="minorHAnsi" w:eastAsiaTheme="minorEastAsia" w:hAnsiTheme="minorHAnsi" w:cstheme="minorBidi"/>
          <w:b w:val="0"/>
          <w:smallCaps w:val="0"/>
          <w:sz w:val="22"/>
          <w:lang w:eastAsia="pl-PL"/>
        </w:rPr>
      </w:pPr>
      <w:hyperlink w:anchor="_Toc119064887" w:history="1">
        <w:r w:rsidRPr="00A71A3B">
          <w:rPr>
            <w:rStyle w:val="Hyperlink"/>
            <w:rFonts w:ascii="Times New Roman" w:hAnsi="Times New Roman"/>
          </w:rPr>
          <w:t>4.2.2.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17.01: Ryzyko operacyjne: straty i odzyskane należności według linii biznesowych i rodzajów zdarzeń straty w ostatnim roku (OPR SZCZEGÓŁY 1)</w:t>
        </w:r>
        <w:r>
          <w:rPr>
            <w:webHidden/>
          </w:rPr>
          <w:tab/>
        </w:r>
        <w:r>
          <w:rPr>
            <w:webHidden/>
          </w:rPr>
          <w:fldChar w:fldCharType="begin"/>
        </w:r>
        <w:r>
          <w:rPr>
            <w:webHidden/>
          </w:rPr>
          <w:instrText xml:space="preserve"> PAGEREF _Toc119064887 \h </w:instrText>
        </w:r>
        <w:r>
          <w:rPr>
            <w:webHidden/>
          </w:rPr>
        </w:r>
        <w:r>
          <w:rPr>
            <w:webHidden/>
          </w:rPr>
          <w:fldChar w:fldCharType="separate"/>
        </w:r>
        <w:r>
          <w:rPr>
            <w:webHidden/>
          </w:rPr>
          <w:t>219</w:t>
        </w:r>
        <w:r>
          <w:rPr>
            <w:webHidden/>
          </w:rPr>
          <w:fldChar w:fldCharType="end"/>
        </w:r>
      </w:hyperlink>
    </w:p>
    <w:p w14:paraId="6355E58D" w14:textId="1DECF203" w:rsidR="0043455E" w:rsidRDefault="0043455E">
      <w:pPr>
        <w:pStyle w:val="TOC2"/>
        <w:rPr>
          <w:rFonts w:asciiTheme="minorHAnsi" w:eastAsiaTheme="minorEastAsia" w:hAnsiTheme="minorHAnsi" w:cstheme="minorBidi"/>
          <w:b w:val="0"/>
          <w:smallCaps w:val="0"/>
          <w:sz w:val="22"/>
          <w:lang w:eastAsia="pl-PL"/>
        </w:rPr>
      </w:pPr>
      <w:hyperlink w:anchor="_Toc119064888" w:history="1">
        <w:r w:rsidRPr="00A71A3B">
          <w:rPr>
            <w:rStyle w:val="Hyperlink"/>
            <w:rFonts w:ascii="Times New Roman" w:hAnsi="Times New Roman"/>
          </w:rPr>
          <w:t>4.2.2.1.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_Toc119064888 \h </w:instrText>
        </w:r>
        <w:r>
          <w:rPr>
            <w:webHidden/>
          </w:rPr>
        </w:r>
        <w:r>
          <w:rPr>
            <w:webHidden/>
          </w:rPr>
          <w:fldChar w:fldCharType="separate"/>
        </w:r>
        <w:r>
          <w:rPr>
            <w:webHidden/>
          </w:rPr>
          <w:t>219</w:t>
        </w:r>
        <w:r>
          <w:rPr>
            <w:webHidden/>
          </w:rPr>
          <w:fldChar w:fldCharType="end"/>
        </w:r>
      </w:hyperlink>
    </w:p>
    <w:p w14:paraId="715435CD" w14:textId="2C93348D" w:rsidR="0043455E" w:rsidRDefault="0043455E">
      <w:pPr>
        <w:pStyle w:val="TOC2"/>
        <w:rPr>
          <w:rFonts w:asciiTheme="minorHAnsi" w:eastAsiaTheme="minorEastAsia" w:hAnsiTheme="minorHAnsi" w:cstheme="minorBidi"/>
          <w:b w:val="0"/>
          <w:smallCaps w:val="0"/>
          <w:sz w:val="22"/>
          <w:lang w:eastAsia="pl-PL"/>
        </w:rPr>
      </w:pPr>
      <w:hyperlink w:anchor="_Toc119064889" w:history="1">
        <w:r w:rsidRPr="00A71A3B">
          <w:rPr>
            <w:rStyle w:val="Hyperlink"/>
            <w:rFonts w:ascii="Times New Roman" w:hAnsi="Times New Roman"/>
          </w:rPr>
          <w:t>4.2.2.2.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_Toc119064889 \h </w:instrText>
        </w:r>
        <w:r>
          <w:rPr>
            <w:webHidden/>
          </w:rPr>
        </w:r>
        <w:r>
          <w:rPr>
            <w:webHidden/>
          </w:rPr>
          <w:fldChar w:fldCharType="separate"/>
        </w:r>
        <w:r>
          <w:rPr>
            <w:webHidden/>
          </w:rPr>
          <w:t>220</w:t>
        </w:r>
        <w:r>
          <w:rPr>
            <w:webHidden/>
          </w:rPr>
          <w:fldChar w:fldCharType="end"/>
        </w:r>
      </w:hyperlink>
    </w:p>
    <w:p w14:paraId="46A0E2AC" w14:textId="43DECD50" w:rsidR="0043455E" w:rsidRDefault="0043455E">
      <w:pPr>
        <w:pStyle w:val="TOC2"/>
        <w:rPr>
          <w:rFonts w:asciiTheme="minorHAnsi" w:eastAsiaTheme="minorEastAsia" w:hAnsiTheme="minorHAnsi" w:cstheme="minorBidi"/>
          <w:b w:val="0"/>
          <w:smallCaps w:val="0"/>
          <w:sz w:val="22"/>
          <w:lang w:eastAsia="pl-PL"/>
        </w:rPr>
      </w:pPr>
      <w:hyperlink w:anchor="_Toc119064890" w:history="1">
        <w:r w:rsidRPr="00A71A3B">
          <w:rPr>
            <w:rStyle w:val="Hyperlink"/>
            <w:rFonts w:ascii="Times New Roman" w:hAnsi="Times New Roman"/>
          </w:rPr>
          <w:t>4.2.3.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17.02: Ryzyko operacyjne: Szczegółowe informacje na temat zdarzeń największych strat w ostatnim roku (OPR SZCZEGÓŁY 2)</w:t>
        </w:r>
        <w:r>
          <w:rPr>
            <w:webHidden/>
          </w:rPr>
          <w:tab/>
        </w:r>
        <w:r>
          <w:rPr>
            <w:webHidden/>
          </w:rPr>
          <w:fldChar w:fldCharType="begin"/>
        </w:r>
        <w:r>
          <w:rPr>
            <w:webHidden/>
          </w:rPr>
          <w:instrText xml:space="preserve"> PAGEREF _Toc119064890 \h </w:instrText>
        </w:r>
        <w:r>
          <w:rPr>
            <w:webHidden/>
          </w:rPr>
        </w:r>
        <w:r>
          <w:rPr>
            <w:webHidden/>
          </w:rPr>
          <w:fldChar w:fldCharType="separate"/>
        </w:r>
        <w:r>
          <w:rPr>
            <w:webHidden/>
          </w:rPr>
          <w:t>227</w:t>
        </w:r>
        <w:r>
          <w:rPr>
            <w:webHidden/>
          </w:rPr>
          <w:fldChar w:fldCharType="end"/>
        </w:r>
      </w:hyperlink>
    </w:p>
    <w:p w14:paraId="2524BB39" w14:textId="2C985AE2" w:rsidR="0043455E" w:rsidRDefault="0043455E">
      <w:pPr>
        <w:pStyle w:val="TOC2"/>
        <w:rPr>
          <w:rFonts w:asciiTheme="minorHAnsi" w:eastAsiaTheme="minorEastAsia" w:hAnsiTheme="minorHAnsi" w:cstheme="minorBidi"/>
          <w:b w:val="0"/>
          <w:smallCaps w:val="0"/>
          <w:sz w:val="22"/>
          <w:lang w:eastAsia="pl-PL"/>
        </w:rPr>
      </w:pPr>
      <w:hyperlink w:anchor="_Toc119064891" w:history="1">
        <w:r w:rsidRPr="00A71A3B">
          <w:rPr>
            <w:rStyle w:val="Hyperlink"/>
            <w:rFonts w:ascii="Times New Roman" w:hAnsi="Times New Roman"/>
          </w:rPr>
          <w:t>4.2.3.1.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_Toc119064891 \h </w:instrText>
        </w:r>
        <w:r>
          <w:rPr>
            <w:webHidden/>
          </w:rPr>
        </w:r>
        <w:r>
          <w:rPr>
            <w:webHidden/>
          </w:rPr>
          <w:fldChar w:fldCharType="separate"/>
        </w:r>
        <w:r>
          <w:rPr>
            <w:webHidden/>
          </w:rPr>
          <w:t>227</w:t>
        </w:r>
        <w:r>
          <w:rPr>
            <w:webHidden/>
          </w:rPr>
          <w:fldChar w:fldCharType="end"/>
        </w:r>
      </w:hyperlink>
    </w:p>
    <w:p w14:paraId="0D2F5247" w14:textId="1E97AEB9" w:rsidR="0043455E" w:rsidRDefault="0043455E">
      <w:pPr>
        <w:pStyle w:val="TOC2"/>
        <w:rPr>
          <w:rFonts w:asciiTheme="minorHAnsi" w:eastAsiaTheme="minorEastAsia" w:hAnsiTheme="minorHAnsi" w:cstheme="minorBidi"/>
          <w:b w:val="0"/>
          <w:smallCaps w:val="0"/>
          <w:sz w:val="22"/>
          <w:lang w:eastAsia="pl-PL"/>
        </w:rPr>
      </w:pPr>
      <w:hyperlink w:anchor="_Toc119064892" w:history="1">
        <w:r w:rsidRPr="00A71A3B">
          <w:rPr>
            <w:rStyle w:val="Hyperlink"/>
            <w:rFonts w:ascii="Times New Roman" w:hAnsi="Times New Roman"/>
          </w:rPr>
          <w:t>4.2.3.2.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_Toc119064892 \h </w:instrText>
        </w:r>
        <w:r>
          <w:rPr>
            <w:webHidden/>
          </w:rPr>
        </w:r>
        <w:r>
          <w:rPr>
            <w:webHidden/>
          </w:rPr>
          <w:fldChar w:fldCharType="separate"/>
        </w:r>
        <w:r>
          <w:rPr>
            <w:webHidden/>
          </w:rPr>
          <w:t>227</w:t>
        </w:r>
        <w:r>
          <w:rPr>
            <w:webHidden/>
          </w:rPr>
          <w:fldChar w:fldCharType="end"/>
        </w:r>
      </w:hyperlink>
    </w:p>
    <w:p w14:paraId="6B7415BA" w14:textId="74D870E1" w:rsidR="0043455E" w:rsidRDefault="0043455E">
      <w:pPr>
        <w:pStyle w:val="TOC2"/>
        <w:rPr>
          <w:rFonts w:asciiTheme="minorHAnsi" w:eastAsiaTheme="minorEastAsia" w:hAnsiTheme="minorHAnsi" w:cstheme="minorBidi"/>
          <w:b w:val="0"/>
          <w:smallCaps w:val="0"/>
          <w:sz w:val="22"/>
          <w:lang w:eastAsia="pl-PL"/>
        </w:rPr>
      </w:pPr>
      <w:hyperlink w:anchor="_Toc119064893" w:history="1">
        <w:r w:rsidRPr="00A71A3B">
          <w:rPr>
            <w:rStyle w:val="Hyperlink"/>
            <w:rFonts w:ascii="Times New Roman" w:hAnsi="Times New Roman"/>
          </w:rPr>
          <w:t>5.</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Wzory dotyczące ryzyka rynkowego</w:t>
        </w:r>
        <w:r>
          <w:rPr>
            <w:webHidden/>
          </w:rPr>
          <w:tab/>
        </w:r>
        <w:r>
          <w:rPr>
            <w:webHidden/>
          </w:rPr>
          <w:fldChar w:fldCharType="begin"/>
        </w:r>
        <w:r>
          <w:rPr>
            <w:webHidden/>
          </w:rPr>
          <w:instrText xml:space="preserve"> PAGEREF _Toc119064893 \h </w:instrText>
        </w:r>
        <w:r>
          <w:rPr>
            <w:webHidden/>
          </w:rPr>
        </w:r>
        <w:r>
          <w:rPr>
            <w:webHidden/>
          </w:rPr>
          <w:fldChar w:fldCharType="separate"/>
        </w:r>
        <w:r>
          <w:rPr>
            <w:webHidden/>
          </w:rPr>
          <w:t>230</w:t>
        </w:r>
        <w:r>
          <w:rPr>
            <w:webHidden/>
          </w:rPr>
          <w:fldChar w:fldCharType="end"/>
        </w:r>
      </w:hyperlink>
    </w:p>
    <w:p w14:paraId="5F7279A7" w14:textId="3BCD67FA" w:rsidR="0043455E" w:rsidRDefault="0043455E">
      <w:pPr>
        <w:pStyle w:val="TOC2"/>
        <w:rPr>
          <w:rFonts w:asciiTheme="minorHAnsi" w:eastAsiaTheme="minorEastAsia" w:hAnsiTheme="minorHAnsi" w:cstheme="minorBidi"/>
          <w:b w:val="0"/>
          <w:smallCaps w:val="0"/>
          <w:sz w:val="22"/>
          <w:lang w:eastAsia="pl-PL"/>
        </w:rPr>
      </w:pPr>
      <w:hyperlink w:anchor="_Toc119064894" w:history="1">
        <w:r w:rsidRPr="00A71A3B">
          <w:rPr>
            <w:rStyle w:val="Hyperlink"/>
            <w:rFonts w:ascii="Times New Roman" w:hAnsi="Times New Roman"/>
          </w:rPr>
          <w:t>5.1.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18.00 – Ryzyko rynkowe: Ryzyko pozycji z tytułu rynkowych instrumentów dłużnych według metody standardowej (MKR SA TDI)</w:t>
        </w:r>
        <w:r>
          <w:rPr>
            <w:webHidden/>
          </w:rPr>
          <w:tab/>
        </w:r>
        <w:r>
          <w:rPr>
            <w:webHidden/>
          </w:rPr>
          <w:fldChar w:fldCharType="begin"/>
        </w:r>
        <w:r>
          <w:rPr>
            <w:webHidden/>
          </w:rPr>
          <w:instrText xml:space="preserve"> PAGEREF _Toc119064894 \h </w:instrText>
        </w:r>
        <w:r>
          <w:rPr>
            <w:webHidden/>
          </w:rPr>
        </w:r>
        <w:r>
          <w:rPr>
            <w:webHidden/>
          </w:rPr>
          <w:fldChar w:fldCharType="separate"/>
        </w:r>
        <w:r>
          <w:rPr>
            <w:webHidden/>
          </w:rPr>
          <w:t>230</w:t>
        </w:r>
        <w:r>
          <w:rPr>
            <w:webHidden/>
          </w:rPr>
          <w:fldChar w:fldCharType="end"/>
        </w:r>
      </w:hyperlink>
    </w:p>
    <w:p w14:paraId="45B1E9E3" w14:textId="42D00D03" w:rsidR="0043455E" w:rsidRDefault="0043455E">
      <w:pPr>
        <w:pStyle w:val="TOC2"/>
        <w:rPr>
          <w:rFonts w:asciiTheme="minorHAnsi" w:eastAsiaTheme="minorEastAsia" w:hAnsiTheme="minorHAnsi" w:cstheme="minorBidi"/>
          <w:b w:val="0"/>
          <w:smallCaps w:val="0"/>
          <w:sz w:val="22"/>
          <w:lang w:eastAsia="pl-PL"/>
        </w:rPr>
      </w:pPr>
      <w:hyperlink w:anchor="_Toc119064895" w:history="1">
        <w:r w:rsidRPr="00A71A3B">
          <w:rPr>
            <w:rStyle w:val="Hyperlink"/>
            <w:rFonts w:ascii="Times New Roman" w:hAnsi="Times New Roman"/>
          </w:rPr>
          <w:t>5.1.1.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_Toc119064895 \h </w:instrText>
        </w:r>
        <w:r>
          <w:rPr>
            <w:webHidden/>
          </w:rPr>
        </w:r>
        <w:r>
          <w:rPr>
            <w:webHidden/>
          </w:rPr>
          <w:fldChar w:fldCharType="separate"/>
        </w:r>
        <w:r>
          <w:rPr>
            <w:webHidden/>
          </w:rPr>
          <w:t>230</w:t>
        </w:r>
        <w:r>
          <w:rPr>
            <w:webHidden/>
          </w:rPr>
          <w:fldChar w:fldCharType="end"/>
        </w:r>
      </w:hyperlink>
    </w:p>
    <w:p w14:paraId="55668AB9" w14:textId="29F5D88B" w:rsidR="0043455E" w:rsidRDefault="0043455E">
      <w:pPr>
        <w:pStyle w:val="TOC2"/>
        <w:rPr>
          <w:rFonts w:asciiTheme="minorHAnsi" w:eastAsiaTheme="minorEastAsia" w:hAnsiTheme="minorHAnsi" w:cstheme="minorBidi"/>
          <w:b w:val="0"/>
          <w:smallCaps w:val="0"/>
          <w:sz w:val="22"/>
          <w:lang w:eastAsia="pl-PL"/>
        </w:rPr>
      </w:pPr>
      <w:hyperlink w:anchor="_Toc119064896" w:history="1">
        <w:r w:rsidRPr="00A71A3B">
          <w:rPr>
            <w:rStyle w:val="Hyperlink"/>
            <w:rFonts w:ascii="Times New Roman" w:hAnsi="Times New Roman"/>
          </w:rPr>
          <w:t>5.1.2.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_Toc119064896 \h </w:instrText>
        </w:r>
        <w:r>
          <w:rPr>
            <w:webHidden/>
          </w:rPr>
        </w:r>
        <w:r>
          <w:rPr>
            <w:webHidden/>
          </w:rPr>
          <w:fldChar w:fldCharType="separate"/>
        </w:r>
        <w:r>
          <w:rPr>
            <w:webHidden/>
          </w:rPr>
          <w:t>231</w:t>
        </w:r>
        <w:r>
          <w:rPr>
            <w:webHidden/>
          </w:rPr>
          <w:fldChar w:fldCharType="end"/>
        </w:r>
      </w:hyperlink>
    </w:p>
    <w:p w14:paraId="59E4AC34" w14:textId="2F1FE1EC" w:rsidR="0043455E" w:rsidRDefault="0043455E">
      <w:pPr>
        <w:pStyle w:val="TOC2"/>
        <w:rPr>
          <w:rFonts w:asciiTheme="minorHAnsi" w:eastAsiaTheme="minorEastAsia" w:hAnsiTheme="minorHAnsi" w:cstheme="minorBidi"/>
          <w:b w:val="0"/>
          <w:smallCaps w:val="0"/>
          <w:sz w:val="22"/>
          <w:lang w:eastAsia="pl-PL"/>
        </w:rPr>
      </w:pPr>
      <w:hyperlink w:anchor="_Toc119064897" w:history="1">
        <w:r w:rsidRPr="00A71A3B">
          <w:rPr>
            <w:rStyle w:val="Hyperlink"/>
            <w:rFonts w:ascii="Times New Roman" w:hAnsi="Times New Roman"/>
          </w:rPr>
          <w:t>5.2.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19.00 – RYZYKO RYNKOWE: SZCZEGÓLNE RYZYKO Z TYTUŁU SEKURYTYZACJI WEDŁUG METODY STANDARDOWEJ (MKR SA SEC)</w:t>
        </w:r>
        <w:r>
          <w:rPr>
            <w:webHidden/>
          </w:rPr>
          <w:tab/>
        </w:r>
        <w:r>
          <w:rPr>
            <w:webHidden/>
          </w:rPr>
          <w:fldChar w:fldCharType="begin"/>
        </w:r>
        <w:r>
          <w:rPr>
            <w:webHidden/>
          </w:rPr>
          <w:instrText xml:space="preserve"> PAGEREF _Toc119064897 \h </w:instrText>
        </w:r>
        <w:r>
          <w:rPr>
            <w:webHidden/>
          </w:rPr>
        </w:r>
        <w:r>
          <w:rPr>
            <w:webHidden/>
          </w:rPr>
          <w:fldChar w:fldCharType="separate"/>
        </w:r>
        <w:r>
          <w:rPr>
            <w:webHidden/>
          </w:rPr>
          <w:t>233</w:t>
        </w:r>
        <w:r>
          <w:rPr>
            <w:webHidden/>
          </w:rPr>
          <w:fldChar w:fldCharType="end"/>
        </w:r>
      </w:hyperlink>
    </w:p>
    <w:p w14:paraId="34AF2E4B" w14:textId="01C44BC0" w:rsidR="0043455E" w:rsidRDefault="0043455E">
      <w:pPr>
        <w:pStyle w:val="TOC2"/>
        <w:rPr>
          <w:rFonts w:asciiTheme="minorHAnsi" w:eastAsiaTheme="minorEastAsia" w:hAnsiTheme="minorHAnsi" w:cstheme="minorBidi"/>
          <w:b w:val="0"/>
          <w:smallCaps w:val="0"/>
          <w:sz w:val="22"/>
          <w:lang w:eastAsia="pl-PL"/>
        </w:rPr>
      </w:pPr>
      <w:hyperlink w:anchor="_Toc119064898" w:history="1">
        <w:r w:rsidRPr="00A71A3B">
          <w:rPr>
            <w:rStyle w:val="Hyperlink"/>
            <w:rFonts w:ascii="Times New Roman" w:hAnsi="Times New Roman"/>
          </w:rPr>
          <w:t>5.2.1.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_Toc119064898 \h </w:instrText>
        </w:r>
        <w:r>
          <w:rPr>
            <w:webHidden/>
          </w:rPr>
        </w:r>
        <w:r>
          <w:rPr>
            <w:webHidden/>
          </w:rPr>
          <w:fldChar w:fldCharType="separate"/>
        </w:r>
        <w:r>
          <w:rPr>
            <w:webHidden/>
          </w:rPr>
          <w:t>233</w:t>
        </w:r>
        <w:r>
          <w:rPr>
            <w:webHidden/>
          </w:rPr>
          <w:fldChar w:fldCharType="end"/>
        </w:r>
      </w:hyperlink>
    </w:p>
    <w:p w14:paraId="3F8FC033" w14:textId="7EBB23E9" w:rsidR="0043455E" w:rsidRDefault="0043455E">
      <w:pPr>
        <w:pStyle w:val="TOC2"/>
        <w:rPr>
          <w:rFonts w:asciiTheme="minorHAnsi" w:eastAsiaTheme="minorEastAsia" w:hAnsiTheme="minorHAnsi" w:cstheme="minorBidi"/>
          <w:b w:val="0"/>
          <w:smallCaps w:val="0"/>
          <w:sz w:val="22"/>
          <w:lang w:eastAsia="pl-PL"/>
        </w:rPr>
      </w:pPr>
      <w:hyperlink w:anchor="_Toc119064899" w:history="1">
        <w:r w:rsidRPr="00A71A3B">
          <w:rPr>
            <w:rStyle w:val="Hyperlink"/>
            <w:rFonts w:ascii="Times New Roman" w:hAnsi="Times New Roman"/>
          </w:rPr>
          <w:t>5.2.2.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_Toc119064899 \h </w:instrText>
        </w:r>
        <w:r>
          <w:rPr>
            <w:webHidden/>
          </w:rPr>
        </w:r>
        <w:r>
          <w:rPr>
            <w:webHidden/>
          </w:rPr>
          <w:fldChar w:fldCharType="separate"/>
        </w:r>
        <w:r>
          <w:rPr>
            <w:webHidden/>
          </w:rPr>
          <w:t>234</w:t>
        </w:r>
        <w:r>
          <w:rPr>
            <w:webHidden/>
          </w:rPr>
          <w:fldChar w:fldCharType="end"/>
        </w:r>
      </w:hyperlink>
    </w:p>
    <w:p w14:paraId="08CD2CE9" w14:textId="625643B4" w:rsidR="0043455E" w:rsidRDefault="0043455E">
      <w:pPr>
        <w:pStyle w:val="TOC2"/>
        <w:rPr>
          <w:rFonts w:asciiTheme="minorHAnsi" w:eastAsiaTheme="minorEastAsia" w:hAnsiTheme="minorHAnsi" w:cstheme="minorBidi"/>
          <w:b w:val="0"/>
          <w:smallCaps w:val="0"/>
          <w:sz w:val="22"/>
          <w:lang w:eastAsia="pl-PL"/>
        </w:rPr>
      </w:pPr>
      <w:hyperlink w:anchor="_Toc119064900" w:history="1">
        <w:r w:rsidRPr="00A71A3B">
          <w:rPr>
            <w:rStyle w:val="Hyperlink"/>
            <w:rFonts w:ascii="Times New Roman" w:hAnsi="Times New Roman"/>
          </w:rPr>
          <w:t>5.3.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20.00 – RYZYKO RYNKOWE: SZCZEGÓLNE RYZYKO W RAMACH POZYCJI UJĘTYCH W KORELACYJNYM PORTFELU HANDLOWYM WEDŁUG METODY STANDARDOWEJ (MKR SA CTP)</w:t>
        </w:r>
        <w:r>
          <w:rPr>
            <w:webHidden/>
          </w:rPr>
          <w:tab/>
        </w:r>
        <w:r>
          <w:rPr>
            <w:webHidden/>
          </w:rPr>
          <w:fldChar w:fldCharType="begin"/>
        </w:r>
        <w:r>
          <w:rPr>
            <w:webHidden/>
          </w:rPr>
          <w:instrText xml:space="preserve"> PAGEREF _Toc119064900 \h </w:instrText>
        </w:r>
        <w:r>
          <w:rPr>
            <w:webHidden/>
          </w:rPr>
        </w:r>
        <w:r>
          <w:rPr>
            <w:webHidden/>
          </w:rPr>
          <w:fldChar w:fldCharType="separate"/>
        </w:r>
        <w:r>
          <w:rPr>
            <w:webHidden/>
          </w:rPr>
          <w:t>236</w:t>
        </w:r>
        <w:r>
          <w:rPr>
            <w:webHidden/>
          </w:rPr>
          <w:fldChar w:fldCharType="end"/>
        </w:r>
      </w:hyperlink>
    </w:p>
    <w:p w14:paraId="4240ABF4" w14:textId="52D628A3" w:rsidR="0043455E" w:rsidRDefault="0043455E">
      <w:pPr>
        <w:pStyle w:val="TOC2"/>
        <w:rPr>
          <w:rFonts w:asciiTheme="minorHAnsi" w:eastAsiaTheme="minorEastAsia" w:hAnsiTheme="minorHAnsi" w:cstheme="minorBidi"/>
          <w:b w:val="0"/>
          <w:smallCaps w:val="0"/>
          <w:sz w:val="22"/>
          <w:lang w:eastAsia="pl-PL"/>
        </w:rPr>
      </w:pPr>
      <w:hyperlink w:anchor="_Toc119064901" w:history="1">
        <w:r w:rsidRPr="00A71A3B">
          <w:rPr>
            <w:rStyle w:val="Hyperlink"/>
            <w:rFonts w:ascii="Times New Roman" w:hAnsi="Times New Roman"/>
          </w:rPr>
          <w:t>5.3.1.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_Toc119064901 \h </w:instrText>
        </w:r>
        <w:r>
          <w:rPr>
            <w:webHidden/>
          </w:rPr>
        </w:r>
        <w:r>
          <w:rPr>
            <w:webHidden/>
          </w:rPr>
          <w:fldChar w:fldCharType="separate"/>
        </w:r>
        <w:r>
          <w:rPr>
            <w:webHidden/>
          </w:rPr>
          <w:t>236</w:t>
        </w:r>
        <w:r>
          <w:rPr>
            <w:webHidden/>
          </w:rPr>
          <w:fldChar w:fldCharType="end"/>
        </w:r>
      </w:hyperlink>
    </w:p>
    <w:p w14:paraId="46118A27" w14:textId="65387DEC" w:rsidR="0043455E" w:rsidRDefault="0043455E">
      <w:pPr>
        <w:pStyle w:val="TOC2"/>
        <w:rPr>
          <w:rFonts w:asciiTheme="minorHAnsi" w:eastAsiaTheme="minorEastAsia" w:hAnsiTheme="minorHAnsi" w:cstheme="minorBidi"/>
          <w:b w:val="0"/>
          <w:smallCaps w:val="0"/>
          <w:sz w:val="22"/>
          <w:lang w:eastAsia="pl-PL"/>
        </w:rPr>
      </w:pPr>
      <w:hyperlink w:anchor="_Toc119064902" w:history="1">
        <w:r w:rsidRPr="00A71A3B">
          <w:rPr>
            <w:rStyle w:val="Hyperlink"/>
            <w:rFonts w:ascii="Times New Roman" w:hAnsi="Times New Roman"/>
          </w:rPr>
          <w:t>5.3.2.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_Toc119064902 \h </w:instrText>
        </w:r>
        <w:r>
          <w:rPr>
            <w:webHidden/>
          </w:rPr>
        </w:r>
        <w:r>
          <w:rPr>
            <w:webHidden/>
          </w:rPr>
          <w:fldChar w:fldCharType="separate"/>
        </w:r>
        <w:r>
          <w:rPr>
            <w:webHidden/>
          </w:rPr>
          <w:t>237</w:t>
        </w:r>
        <w:r>
          <w:rPr>
            <w:webHidden/>
          </w:rPr>
          <w:fldChar w:fldCharType="end"/>
        </w:r>
      </w:hyperlink>
    </w:p>
    <w:p w14:paraId="29EDE431" w14:textId="3E03AD1A" w:rsidR="0043455E" w:rsidRDefault="0043455E">
      <w:pPr>
        <w:pStyle w:val="TOC2"/>
        <w:rPr>
          <w:rFonts w:asciiTheme="minorHAnsi" w:eastAsiaTheme="minorEastAsia" w:hAnsiTheme="minorHAnsi" w:cstheme="minorBidi"/>
          <w:b w:val="0"/>
          <w:smallCaps w:val="0"/>
          <w:sz w:val="22"/>
          <w:lang w:eastAsia="pl-PL"/>
        </w:rPr>
      </w:pPr>
      <w:hyperlink w:anchor="_Toc119064903" w:history="1">
        <w:r w:rsidRPr="00A71A3B">
          <w:rPr>
            <w:rStyle w:val="Hyperlink"/>
            <w:rFonts w:ascii="Times New Roman" w:hAnsi="Times New Roman"/>
          </w:rPr>
          <w:t>5.4.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21.00 – Ryzyko rynkowe: Ryzyko pozycji związane z papierami kapitałowymi według metody standardowej (MKR SA EQU)</w:t>
        </w:r>
        <w:r>
          <w:rPr>
            <w:webHidden/>
          </w:rPr>
          <w:tab/>
        </w:r>
        <w:r>
          <w:rPr>
            <w:webHidden/>
          </w:rPr>
          <w:fldChar w:fldCharType="begin"/>
        </w:r>
        <w:r>
          <w:rPr>
            <w:webHidden/>
          </w:rPr>
          <w:instrText xml:space="preserve"> PAGEREF _Toc119064903 \h </w:instrText>
        </w:r>
        <w:r>
          <w:rPr>
            <w:webHidden/>
          </w:rPr>
        </w:r>
        <w:r>
          <w:rPr>
            <w:webHidden/>
          </w:rPr>
          <w:fldChar w:fldCharType="separate"/>
        </w:r>
        <w:r>
          <w:rPr>
            <w:webHidden/>
          </w:rPr>
          <w:t>239</w:t>
        </w:r>
        <w:r>
          <w:rPr>
            <w:webHidden/>
          </w:rPr>
          <w:fldChar w:fldCharType="end"/>
        </w:r>
      </w:hyperlink>
    </w:p>
    <w:p w14:paraId="26580677" w14:textId="651687E5" w:rsidR="0043455E" w:rsidRDefault="0043455E">
      <w:pPr>
        <w:pStyle w:val="TOC2"/>
        <w:rPr>
          <w:rFonts w:asciiTheme="minorHAnsi" w:eastAsiaTheme="minorEastAsia" w:hAnsiTheme="minorHAnsi" w:cstheme="minorBidi"/>
          <w:b w:val="0"/>
          <w:smallCaps w:val="0"/>
          <w:sz w:val="22"/>
          <w:lang w:eastAsia="pl-PL"/>
        </w:rPr>
      </w:pPr>
      <w:hyperlink w:anchor="_Toc119064904" w:history="1">
        <w:r w:rsidRPr="00A71A3B">
          <w:rPr>
            <w:rStyle w:val="Hyperlink"/>
            <w:rFonts w:ascii="Times New Roman" w:hAnsi="Times New Roman"/>
          </w:rPr>
          <w:t>5.4.1.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_Toc119064904 \h </w:instrText>
        </w:r>
        <w:r>
          <w:rPr>
            <w:webHidden/>
          </w:rPr>
        </w:r>
        <w:r>
          <w:rPr>
            <w:webHidden/>
          </w:rPr>
          <w:fldChar w:fldCharType="separate"/>
        </w:r>
        <w:r>
          <w:rPr>
            <w:webHidden/>
          </w:rPr>
          <w:t>239</w:t>
        </w:r>
        <w:r>
          <w:rPr>
            <w:webHidden/>
          </w:rPr>
          <w:fldChar w:fldCharType="end"/>
        </w:r>
      </w:hyperlink>
    </w:p>
    <w:p w14:paraId="19FCD4D4" w14:textId="7D3D11A5" w:rsidR="0043455E" w:rsidRDefault="0043455E">
      <w:pPr>
        <w:pStyle w:val="TOC2"/>
        <w:rPr>
          <w:rFonts w:asciiTheme="minorHAnsi" w:eastAsiaTheme="minorEastAsia" w:hAnsiTheme="minorHAnsi" w:cstheme="minorBidi"/>
          <w:b w:val="0"/>
          <w:smallCaps w:val="0"/>
          <w:sz w:val="22"/>
          <w:lang w:eastAsia="pl-PL"/>
        </w:rPr>
      </w:pPr>
      <w:hyperlink w:anchor="_Toc119064905" w:history="1">
        <w:r w:rsidRPr="00A71A3B">
          <w:rPr>
            <w:rStyle w:val="Hyperlink"/>
            <w:rFonts w:ascii="Times New Roman" w:hAnsi="Times New Roman"/>
          </w:rPr>
          <w:t>5.4.2.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_Toc119064905 \h </w:instrText>
        </w:r>
        <w:r>
          <w:rPr>
            <w:webHidden/>
          </w:rPr>
        </w:r>
        <w:r>
          <w:rPr>
            <w:webHidden/>
          </w:rPr>
          <w:fldChar w:fldCharType="separate"/>
        </w:r>
        <w:r>
          <w:rPr>
            <w:webHidden/>
          </w:rPr>
          <w:t>240</w:t>
        </w:r>
        <w:r>
          <w:rPr>
            <w:webHidden/>
          </w:rPr>
          <w:fldChar w:fldCharType="end"/>
        </w:r>
      </w:hyperlink>
    </w:p>
    <w:p w14:paraId="137D9B71" w14:textId="1A91DC90" w:rsidR="0043455E" w:rsidRDefault="0043455E">
      <w:pPr>
        <w:pStyle w:val="TOC2"/>
        <w:rPr>
          <w:rFonts w:asciiTheme="minorHAnsi" w:eastAsiaTheme="minorEastAsia" w:hAnsiTheme="minorHAnsi" w:cstheme="minorBidi"/>
          <w:b w:val="0"/>
          <w:smallCaps w:val="0"/>
          <w:sz w:val="22"/>
          <w:lang w:eastAsia="pl-PL"/>
        </w:rPr>
      </w:pPr>
      <w:hyperlink w:anchor="_Toc119064906" w:history="1">
        <w:r w:rsidRPr="00A71A3B">
          <w:rPr>
            <w:rStyle w:val="Hyperlink"/>
            <w:rFonts w:ascii="Times New Roman" w:hAnsi="Times New Roman"/>
          </w:rPr>
          <w:t>5.5.</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22.00 – Ryzyko rynkowe: Ryzyko walutowe według metod standardowych (MKR SA FX)</w:t>
        </w:r>
        <w:r>
          <w:rPr>
            <w:webHidden/>
          </w:rPr>
          <w:tab/>
        </w:r>
        <w:r>
          <w:rPr>
            <w:webHidden/>
          </w:rPr>
          <w:fldChar w:fldCharType="begin"/>
        </w:r>
        <w:r>
          <w:rPr>
            <w:webHidden/>
          </w:rPr>
          <w:instrText xml:space="preserve"> PAGEREF _Toc119064906 \h </w:instrText>
        </w:r>
        <w:r>
          <w:rPr>
            <w:webHidden/>
          </w:rPr>
        </w:r>
        <w:r>
          <w:rPr>
            <w:webHidden/>
          </w:rPr>
          <w:fldChar w:fldCharType="separate"/>
        </w:r>
        <w:r>
          <w:rPr>
            <w:webHidden/>
          </w:rPr>
          <w:t>242</w:t>
        </w:r>
        <w:r>
          <w:rPr>
            <w:webHidden/>
          </w:rPr>
          <w:fldChar w:fldCharType="end"/>
        </w:r>
      </w:hyperlink>
    </w:p>
    <w:p w14:paraId="54C0EA08" w14:textId="5B482F5A" w:rsidR="0043455E" w:rsidRDefault="0043455E">
      <w:pPr>
        <w:pStyle w:val="TOC2"/>
        <w:rPr>
          <w:rFonts w:asciiTheme="minorHAnsi" w:eastAsiaTheme="minorEastAsia" w:hAnsiTheme="minorHAnsi" w:cstheme="minorBidi"/>
          <w:b w:val="0"/>
          <w:smallCaps w:val="0"/>
          <w:sz w:val="22"/>
          <w:lang w:eastAsia="pl-PL"/>
        </w:rPr>
      </w:pPr>
      <w:hyperlink w:anchor="_Toc119064907" w:history="1">
        <w:r w:rsidRPr="00A71A3B">
          <w:rPr>
            <w:rStyle w:val="Hyperlink"/>
            <w:rFonts w:ascii="Times New Roman" w:hAnsi="Times New Roman"/>
          </w:rPr>
          <w:t>5.5.1.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_Toc119064907 \h </w:instrText>
        </w:r>
        <w:r>
          <w:rPr>
            <w:webHidden/>
          </w:rPr>
        </w:r>
        <w:r>
          <w:rPr>
            <w:webHidden/>
          </w:rPr>
          <w:fldChar w:fldCharType="separate"/>
        </w:r>
        <w:r>
          <w:rPr>
            <w:webHidden/>
          </w:rPr>
          <w:t>242</w:t>
        </w:r>
        <w:r>
          <w:rPr>
            <w:webHidden/>
          </w:rPr>
          <w:fldChar w:fldCharType="end"/>
        </w:r>
      </w:hyperlink>
    </w:p>
    <w:p w14:paraId="07DF26A7" w14:textId="48A90F76" w:rsidR="0043455E" w:rsidRDefault="0043455E">
      <w:pPr>
        <w:pStyle w:val="TOC2"/>
        <w:rPr>
          <w:rFonts w:asciiTheme="minorHAnsi" w:eastAsiaTheme="minorEastAsia" w:hAnsiTheme="minorHAnsi" w:cstheme="minorBidi"/>
          <w:b w:val="0"/>
          <w:smallCaps w:val="0"/>
          <w:sz w:val="22"/>
          <w:lang w:eastAsia="pl-PL"/>
        </w:rPr>
      </w:pPr>
      <w:hyperlink w:anchor="_Toc119064908" w:history="1">
        <w:r w:rsidRPr="00A71A3B">
          <w:rPr>
            <w:rStyle w:val="Hyperlink"/>
            <w:rFonts w:ascii="Times New Roman" w:hAnsi="Times New Roman"/>
          </w:rPr>
          <w:t>5.5.2.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_Toc119064908 \h </w:instrText>
        </w:r>
        <w:r>
          <w:rPr>
            <w:webHidden/>
          </w:rPr>
        </w:r>
        <w:r>
          <w:rPr>
            <w:webHidden/>
          </w:rPr>
          <w:fldChar w:fldCharType="separate"/>
        </w:r>
        <w:r>
          <w:rPr>
            <w:webHidden/>
          </w:rPr>
          <w:t>242</w:t>
        </w:r>
        <w:r>
          <w:rPr>
            <w:webHidden/>
          </w:rPr>
          <w:fldChar w:fldCharType="end"/>
        </w:r>
      </w:hyperlink>
    </w:p>
    <w:p w14:paraId="16DA7DCE" w14:textId="7CC8A92F" w:rsidR="0043455E" w:rsidRDefault="0043455E">
      <w:pPr>
        <w:pStyle w:val="TOC2"/>
        <w:rPr>
          <w:rFonts w:asciiTheme="minorHAnsi" w:eastAsiaTheme="minorEastAsia" w:hAnsiTheme="minorHAnsi" w:cstheme="minorBidi"/>
          <w:b w:val="0"/>
          <w:smallCaps w:val="0"/>
          <w:sz w:val="22"/>
          <w:lang w:eastAsia="pl-PL"/>
        </w:rPr>
      </w:pPr>
      <w:hyperlink w:anchor="_Toc119064909" w:history="1">
        <w:r w:rsidRPr="00A71A3B">
          <w:rPr>
            <w:rStyle w:val="Hyperlink"/>
            <w:rFonts w:ascii="Times New Roman" w:hAnsi="Times New Roman"/>
          </w:rPr>
          <w:t>5.6.</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23.00 – Ryzyko rynkowe: Ryzyko cen towarów według metod standardowych (MKR SA COM)</w:t>
        </w:r>
        <w:r>
          <w:rPr>
            <w:webHidden/>
          </w:rPr>
          <w:tab/>
        </w:r>
        <w:r>
          <w:rPr>
            <w:webHidden/>
          </w:rPr>
          <w:fldChar w:fldCharType="begin"/>
        </w:r>
        <w:r>
          <w:rPr>
            <w:webHidden/>
          </w:rPr>
          <w:instrText xml:space="preserve"> PAGEREF _Toc119064909 \h </w:instrText>
        </w:r>
        <w:r>
          <w:rPr>
            <w:webHidden/>
          </w:rPr>
        </w:r>
        <w:r>
          <w:rPr>
            <w:webHidden/>
          </w:rPr>
          <w:fldChar w:fldCharType="separate"/>
        </w:r>
        <w:r>
          <w:rPr>
            <w:webHidden/>
          </w:rPr>
          <w:t>245</w:t>
        </w:r>
        <w:r>
          <w:rPr>
            <w:webHidden/>
          </w:rPr>
          <w:fldChar w:fldCharType="end"/>
        </w:r>
      </w:hyperlink>
    </w:p>
    <w:p w14:paraId="571916F6" w14:textId="1A3FA00C" w:rsidR="0043455E" w:rsidRDefault="0043455E">
      <w:pPr>
        <w:pStyle w:val="TOC2"/>
        <w:rPr>
          <w:rFonts w:asciiTheme="minorHAnsi" w:eastAsiaTheme="minorEastAsia" w:hAnsiTheme="minorHAnsi" w:cstheme="minorBidi"/>
          <w:b w:val="0"/>
          <w:smallCaps w:val="0"/>
          <w:sz w:val="22"/>
          <w:lang w:eastAsia="pl-PL"/>
        </w:rPr>
      </w:pPr>
      <w:hyperlink w:anchor="_Toc119064910" w:history="1">
        <w:r w:rsidRPr="00A71A3B">
          <w:rPr>
            <w:rStyle w:val="Hyperlink"/>
            <w:rFonts w:ascii="Times New Roman" w:hAnsi="Times New Roman"/>
          </w:rPr>
          <w:t>5.6.1.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_Toc119064910 \h </w:instrText>
        </w:r>
        <w:r>
          <w:rPr>
            <w:webHidden/>
          </w:rPr>
        </w:r>
        <w:r>
          <w:rPr>
            <w:webHidden/>
          </w:rPr>
          <w:fldChar w:fldCharType="separate"/>
        </w:r>
        <w:r>
          <w:rPr>
            <w:webHidden/>
          </w:rPr>
          <w:t>245</w:t>
        </w:r>
        <w:r>
          <w:rPr>
            <w:webHidden/>
          </w:rPr>
          <w:fldChar w:fldCharType="end"/>
        </w:r>
      </w:hyperlink>
    </w:p>
    <w:p w14:paraId="7892AE03" w14:textId="4EA41BFF" w:rsidR="0043455E" w:rsidRDefault="0043455E">
      <w:pPr>
        <w:pStyle w:val="TOC2"/>
        <w:rPr>
          <w:rFonts w:asciiTheme="minorHAnsi" w:eastAsiaTheme="minorEastAsia" w:hAnsiTheme="minorHAnsi" w:cstheme="minorBidi"/>
          <w:b w:val="0"/>
          <w:smallCaps w:val="0"/>
          <w:sz w:val="22"/>
          <w:lang w:eastAsia="pl-PL"/>
        </w:rPr>
      </w:pPr>
      <w:hyperlink w:anchor="_Toc119064911" w:history="1">
        <w:r w:rsidRPr="00A71A3B">
          <w:rPr>
            <w:rStyle w:val="Hyperlink"/>
            <w:rFonts w:ascii="Times New Roman" w:hAnsi="Times New Roman"/>
          </w:rPr>
          <w:t>5.6.2.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_Toc119064911 \h </w:instrText>
        </w:r>
        <w:r>
          <w:rPr>
            <w:webHidden/>
          </w:rPr>
        </w:r>
        <w:r>
          <w:rPr>
            <w:webHidden/>
          </w:rPr>
          <w:fldChar w:fldCharType="separate"/>
        </w:r>
        <w:r>
          <w:rPr>
            <w:webHidden/>
          </w:rPr>
          <w:t>245</w:t>
        </w:r>
        <w:r>
          <w:rPr>
            <w:webHidden/>
          </w:rPr>
          <w:fldChar w:fldCharType="end"/>
        </w:r>
      </w:hyperlink>
    </w:p>
    <w:p w14:paraId="2E2A9058" w14:textId="12205F71" w:rsidR="0043455E" w:rsidRDefault="0043455E">
      <w:pPr>
        <w:pStyle w:val="TOC2"/>
        <w:rPr>
          <w:rFonts w:asciiTheme="minorHAnsi" w:eastAsiaTheme="minorEastAsia" w:hAnsiTheme="minorHAnsi" w:cstheme="minorBidi"/>
          <w:b w:val="0"/>
          <w:smallCaps w:val="0"/>
          <w:sz w:val="22"/>
          <w:lang w:eastAsia="pl-PL"/>
        </w:rPr>
      </w:pPr>
      <w:hyperlink w:anchor="_Toc119064912" w:history="1">
        <w:r w:rsidRPr="00A71A3B">
          <w:rPr>
            <w:rStyle w:val="Hyperlink"/>
            <w:rFonts w:ascii="Times New Roman" w:hAnsi="Times New Roman"/>
          </w:rPr>
          <w:t>5.7.</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24.00 – Modele wewnętrzne ryzyka rynkowego (MKR IM)</w:t>
        </w:r>
        <w:r>
          <w:rPr>
            <w:webHidden/>
          </w:rPr>
          <w:tab/>
        </w:r>
        <w:r>
          <w:rPr>
            <w:webHidden/>
          </w:rPr>
          <w:fldChar w:fldCharType="begin"/>
        </w:r>
        <w:r>
          <w:rPr>
            <w:webHidden/>
          </w:rPr>
          <w:instrText xml:space="preserve"> PAGEREF _Toc119064912 \h </w:instrText>
        </w:r>
        <w:r>
          <w:rPr>
            <w:webHidden/>
          </w:rPr>
        </w:r>
        <w:r>
          <w:rPr>
            <w:webHidden/>
          </w:rPr>
          <w:fldChar w:fldCharType="separate"/>
        </w:r>
        <w:r>
          <w:rPr>
            <w:webHidden/>
          </w:rPr>
          <w:t>247</w:t>
        </w:r>
        <w:r>
          <w:rPr>
            <w:webHidden/>
          </w:rPr>
          <w:fldChar w:fldCharType="end"/>
        </w:r>
      </w:hyperlink>
    </w:p>
    <w:p w14:paraId="31F03F22" w14:textId="7563FA07" w:rsidR="0043455E" w:rsidRDefault="0043455E">
      <w:pPr>
        <w:pStyle w:val="TOC2"/>
        <w:rPr>
          <w:rFonts w:asciiTheme="minorHAnsi" w:eastAsiaTheme="minorEastAsia" w:hAnsiTheme="minorHAnsi" w:cstheme="minorBidi"/>
          <w:b w:val="0"/>
          <w:smallCaps w:val="0"/>
          <w:sz w:val="22"/>
          <w:lang w:eastAsia="pl-PL"/>
        </w:rPr>
      </w:pPr>
      <w:hyperlink w:anchor="_Toc119064913" w:history="1">
        <w:r w:rsidRPr="00A71A3B">
          <w:rPr>
            <w:rStyle w:val="Hyperlink"/>
            <w:rFonts w:ascii="Times New Roman" w:hAnsi="Times New Roman"/>
          </w:rPr>
          <w:t>5.7.1.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_Toc119064913 \h </w:instrText>
        </w:r>
        <w:r>
          <w:rPr>
            <w:webHidden/>
          </w:rPr>
        </w:r>
        <w:r>
          <w:rPr>
            <w:webHidden/>
          </w:rPr>
          <w:fldChar w:fldCharType="separate"/>
        </w:r>
        <w:r>
          <w:rPr>
            <w:webHidden/>
          </w:rPr>
          <w:t>247</w:t>
        </w:r>
        <w:r>
          <w:rPr>
            <w:webHidden/>
          </w:rPr>
          <w:fldChar w:fldCharType="end"/>
        </w:r>
      </w:hyperlink>
    </w:p>
    <w:p w14:paraId="68B2D9E9" w14:textId="43A26EE4" w:rsidR="0043455E" w:rsidRDefault="0043455E">
      <w:pPr>
        <w:pStyle w:val="TOC2"/>
        <w:rPr>
          <w:rFonts w:asciiTheme="minorHAnsi" w:eastAsiaTheme="minorEastAsia" w:hAnsiTheme="minorHAnsi" w:cstheme="minorBidi"/>
          <w:b w:val="0"/>
          <w:smallCaps w:val="0"/>
          <w:sz w:val="22"/>
          <w:lang w:eastAsia="pl-PL"/>
        </w:rPr>
      </w:pPr>
      <w:hyperlink w:anchor="_Toc119064914" w:history="1">
        <w:r w:rsidRPr="00A71A3B">
          <w:rPr>
            <w:rStyle w:val="Hyperlink"/>
            <w:rFonts w:ascii="Times New Roman" w:hAnsi="Times New Roman"/>
          </w:rPr>
          <w:t>5.7.2.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_Toc119064914 \h </w:instrText>
        </w:r>
        <w:r>
          <w:rPr>
            <w:webHidden/>
          </w:rPr>
        </w:r>
        <w:r>
          <w:rPr>
            <w:webHidden/>
          </w:rPr>
          <w:fldChar w:fldCharType="separate"/>
        </w:r>
        <w:r>
          <w:rPr>
            <w:webHidden/>
          </w:rPr>
          <w:t>247</w:t>
        </w:r>
        <w:r>
          <w:rPr>
            <w:webHidden/>
          </w:rPr>
          <w:fldChar w:fldCharType="end"/>
        </w:r>
      </w:hyperlink>
    </w:p>
    <w:p w14:paraId="305EA254" w14:textId="39CDEEAA" w:rsidR="0043455E" w:rsidRDefault="0043455E">
      <w:pPr>
        <w:pStyle w:val="TOC2"/>
        <w:rPr>
          <w:rFonts w:asciiTheme="minorHAnsi" w:eastAsiaTheme="minorEastAsia" w:hAnsiTheme="minorHAnsi" w:cstheme="minorBidi"/>
          <w:b w:val="0"/>
          <w:smallCaps w:val="0"/>
          <w:sz w:val="22"/>
          <w:lang w:eastAsia="pl-PL"/>
        </w:rPr>
      </w:pPr>
      <w:hyperlink w:anchor="_Toc119064915" w:history="1">
        <w:r w:rsidRPr="00A71A3B">
          <w:rPr>
            <w:rStyle w:val="Hyperlink"/>
            <w:rFonts w:ascii="Times New Roman" w:hAnsi="Times New Roman"/>
          </w:rPr>
          <w:t>5.8.</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25.00 – RYZYKO ZWIĄZANE Z KOREKTĄ WYCENY KREDYTOWEJ (CVA)</w:t>
        </w:r>
        <w:r>
          <w:rPr>
            <w:webHidden/>
          </w:rPr>
          <w:tab/>
        </w:r>
        <w:r>
          <w:rPr>
            <w:webHidden/>
          </w:rPr>
          <w:fldChar w:fldCharType="begin"/>
        </w:r>
        <w:r>
          <w:rPr>
            <w:webHidden/>
          </w:rPr>
          <w:instrText xml:space="preserve"> PAGEREF _Toc119064915 \h </w:instrText>
        </w:r>
        <w:r>
          <w:rPr>
            <w:webHidden/>
          </w:rPr>
        </w:r>
        <w:r>
          <w:rPr>
            <w:webHidden/>
          </w:rPr>
          <w:fldChar w:fldCharType="separate"/>
        </w:r>
        <w:r>
          <w:rPr>
            <w:webHidden/>
          </w:rPr>
          <w:t>251</w:t>
        </w:r>
        <w:r>
          <w:rPr>
            <w:webHidden/>
          </w:rPr>
          <w:fldChar w:fldCharType="end"/>
        </w:r>
      </w:hyperlink>
    </w:p>
    <w:p w14:paraId="39862C75" w14:textId="0D953E85" w:rsidR="0043455E" w:rsidRDefault="0043455E">
      <w:pPr>
        <w:pStyle w:val="TOC2"/>
        <w:rPr>
          <w:rFonts w:asciiTheme="minorHAnsi" w:eastAsiaTheme="minorEastAsia" w:hAnsiTheme="minorHAnsi" w:cstheme="minorBidi"/>
          <w:b w:val="0"/>
          <w:smallCaps w:val="0"/>
          <w:sz w:val="22"/>
          <w:lang w:eastAsia="pl-PL"/>
        </w:rPr>
      </w:pPr>
      <w:hyperlink w:anchor="_Toc119064916" w:history="1">
        <w:r w:rsidRPr="00A71A3B">
          <w:rPr>
            <w:rStyle w:val="Hyperlink"/>
            <w:rFonts w:ascii="Times New Roman" w:hAnsi="Times New Roman"/>
          </w:rPr>
          <w:t>5.8.1.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_Toc119064916 \h </w:instrText>
        </w:r>
        <w:r>
          <w:rPr>
            <w:webHidden/>
          </w:rPr>
        </w:r>
        <w:r>
          <w:rPr>
            <w:webHidden/>
          </w:rPr>
          <w:fldChar w:fldCharType="separate"/>
        </w:r>
        <w:r>
          <w:rPr>
            <w:webHidden/>
          </w:rPr>
          <w:t>251</w:t>
        </w:r>
        <w:r>
          <w:rPr>
            <w:webHidden/>
          </w:rPr>
          <w:fldChar w:fldCharType="end"/>
        </w:r>
      </w:hyperlink>
    </w:p>
    <w:p w14:paraId="6B646A54" w14:textId="04C94C0F" w:rsidR="0043455E" w:rsidRDefault="0043455E">
      <w:pPr>
        <w:pStyle w:val="TOC2"/>
        <w:rPr>
          <w:rFonts w:asciiTheme="minorHAnsi" w:eastAsiaTheme="minorEastAsia" w:hAnsiTheme="minorHAnsi" w:cstheme="minorBidi"/>
          <w:b w:val="0"/>
          <w:smallCaps w:val="0"/>
          <w:sz w:val="22"/>
          <w:lang w:eastAsia="pl-PL"/>
        </w:rPr>
      </w:pPr>
      <w:hyperlink w:anchor="_Toc119064917" w:history="1">
        <w:r w:rsidRPr="00A71A3B">
          <w:rPr>
            <w:rStyle w:val="Hyperlink"/>
            <w:rFonts w:ascii="Times New Roman" w:hAnsi="Times New Roman"/>
          </w:rPr>
          <w:t>6.</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Ostrożna wycena (PruVal)</w:t>
        </w:r>
        <w:r>
          <w:rPr>
            <w:webHidden/>
          </w:rPr>
          <w:tab/>
        </w:r>
        <w:r>
          <w:rPr>
            <w:webHidden/>
          </w:rPr>
          <w:fldChar w:fldCharType="begin"/>
        </w:r>
        <w:r>
          <w:rPr>
            <w:webHidden/>
          </w:rPr>
          <w:instrText xml:space="preserve"> PAGEREF _Toc119064917 \h </w:instrText>
        </w:r>
        <w:r>
          <w:rPr>
            <w:webHidden/>
          </w:rPr>
        </w:r>
        <w:r>
          <w:rPr>
            <w:webHidden/>
          </w:rPr>
          <w:fldChar w:fldCharType="separate"/>
        </w:r>
        <w:r>
          <w:rPr>
            <w:webHidden/>
          </w:rPr>
          <w:t>253</w:t>
        </w:r>
        <w:r>
          <w:rPr>
            <w:webHidden/>
          </w:rPr>
          <w:fldChar w:fldCharType="end"/>
        </w:r>
      </w:hyperlink>
    </w:p>
    <w:p w14:paraId="065012F4" w14:textId="786A9641" w:rsidR="0043455E" w:rsidRDefault="0043455E">
      <w:pPr>
        <w:pStyle w:val="TOC2"/>
        <w:rPr>
          <w:rFonts w:asciiTheme="minorHAnsi" w:eastAsiaTheme="minorEastAsia" w:hAnsiTheme="minorHAnsi" w:cstheme="minorBidi"/>
          <w:b w:val="0"/>
          <w:smallCaps w:val="0"/>
          <w:sz w:val="22"/>
          <w:lang w:eastAsia="pl-PL"/>
        </w:rPr>
      </w:pPr>
      <w:hyperlink w:anchor="_Toc119064918" w:history="1">
        <w:r w:rsidRPr="00A71A3B">
          <w:rPr>
            <w:rStyle w:val="Hyperlink"/>
            <w:rFonts w:ascii="Times New Roman" w:hAnsi="Times New Roman"/>
          </w:rPr>
          <w:t>6.1.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32.01 – Ostrożna wycena: Aktywa i zobowiązania wyceniane według wartości godziwej (PruVal 1)</w:t>
        </w:r>
        <w:r>
          <w:rPr>
            <w:webHidden/>
          </w:rPr>
          <w:tab/>
        </w:r>
        <w:r>
          <w:rPr>
            <w:webHidden/>
          </w:rPr>
          <w:fldChar w:fldCharType="begin"/>
        </w:r>
        <w:r>
          <w:rPr>
            <w:webHidden/>
          </w:rPr>
          <w:instrText xml:space="preserve"> PAGEREF _Toc119064918 \h </w:instrText>
        </w:r>
        <w:r>
          <w:rPr>
            <w:webHidden/>
          </w:rPr>
        </w:r>
        <w:r>
          <w:rPr>
            <w:webHidden/>
          </w:rPr>
          <w:fldChar w:fldCharType="separate"/>
        </w:r>
        <w:r>
          <w:rPr>
            <w:webHidden/>
          </w:rPr>
          <w:t>253</w:t>
        </w:r>
        <w:r>
          <w:rPr>
            <w:webHidden/>
          </w:rPr>
          <w:fldChar w:fldCharType="end"/>
        </w:r>
      </w:hyperlink>
    </w:p>
    <w:p w14:paraId="48F3C6A0" w14:textId="09128C68" w:rsidR="0043455E" w:rsidRDefault="0043455E">
      <w:pPr>
        <w:pStyle w:val="TOC2"/>
        <w:rPr>
          <w:rFonts w:asciiTheme="minorHAnsi" w:eastAsiaTheme="minorEastAsia" w:hAnsiTheme="minorHAnsi" w:cstheme="minorBidi"/>
          <w:b w:val="0"/>
          <w:smallCaps w:val="0"/>
          <w:sz w:val="22"/>
          <w:lang w:eastAsia="pl-PL"/>
        </w:rPr>
      </w:pPr>
      <w:hyperlink w:anchor="_Toc119064919" w:history="1">
        <w:r w:rsidRPr="00A71A3B">
          <w:rPr>
            <w:rStyle w:val="Hyperlink"/>
            <w:rFonts w:ascii="Times New Roman" w:hAnsi="Times New Roman"/>
          </w:rPr>
          <w:t>6.1.1.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_Toc119064919 \h </w:instrText>
        </w:r>
        <w:r>
          <w:rPr>
            <w:webHidden/>
          </w:rPr>
        </w:r>
        <w:r>
          <w:rPr>
            <w:webHidden/>
          </w:rPr>
          <w:fldChar w:fldCharType="separate"/>
        </w:r>
        <w:r>
          <w:rPr>
            <w:webHidden/>
          </w:rPr>
          <w:t>253</w:t>
        </w:r>
        <w:r>
          <w:rPr>
            <w:webHidden/>
          </w:rPr>
          <w:fldChar w:fldCharType="end"/>
        </w:r>
      </w:hyperlink>
    </w:p>
    <w:p w14:paraId="4B17B381" w14:textId="034AEA63" w:rsidR="0043455E" w:rsidRDefault="0043455E">
      <w:pPr>
        <w:pStyle w:val="TOC2"/>
        <w:rPr>
          <w:rFonts w:asciiTheme="minorHAnsi" w:eastAsiaTheme="minorEastAsia" w:hAnsiTheme="minorHAnsi" w:cstheme="minorBidi"/>
          <w:b w:val="0"/>
          <w:smallCaps w:val="0"/>
          <w:sz w:val="22"/>
          <w:lang w:eastAsia="pl-PL"/>
        </w:rPr>
      </w:pPr>
      <w:hyperlink w:anchor="_Toc119064920" w:history="1">
        <w:r w:rsidRPr="00A71A3B">
          <w:rPr>
            <w:rStyle w:val="Hyperlink"/>
            <w:rFonts w:ascii="Times New Roman" w:hAnsi="Times New Roman"/>
          </w:rPr>
          <w:t>6.1.2.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_Toc119064920 \h </w:instrText>
        </w:r>
        <w:r>
          <w:rPr>
            <w:webHidden/>
          </w:rPr>
        </w:r>
        <w:r>
          <w:rPr>
            <w:webHidden/>
          </w:rPr>
          <w:fldChar w:fldCharType="separate"/>
        </w:r>
        <w:r>
          <w:rPr>
            <w:webHidden/>
          </w:rPr>
          <w:t>254</w:t>
        </w:r>
        <w:r>
          <w:rPr>
            <w:webHidden/>
          </w:rPr>
          <w:fldChar w:fldCharType="end"/>
        </w:r>
      </w:hyperlink>
    </w:p>
    <w:p w14:paraId="674E2B5C" w14:textId="748EABDB" w:rsidR="0043455E" w:rsidRDefault="0043455E">
      <w:pPr>
        <w:pStyle w:val="TOC2"/>
        <w:rPr>
          <w:rFonts w:asciiTheme="minorHAnsi" w:eastAsiaTheme="minorEastAsia" w:hAnsiTheme="minorHAnsi" w:cstheme="minorBidi"/>
          <w:b w:val="0"/>
          <w:smallCaps w:val="0"/>
          <w:sz w:val="22"/>
          <w:lang w:eastAsia="pl-PL"/>
        </w:rPr>
      </w:pPr>
      <w:hyperlink w:anchor="_Toc119064921" w:history="1">
        <w:r w:rsidRPr="00A71A3B">
          <w:rPr>
            <w:rStyle w:val="Hyperlink"/>
            <w:rFonts w:ascii="Times New Roman" w:hAnsi="Times New Roman"/>
          </w:rPr>
          <w:t>6.2.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32.02 – Ostrożna wycena: Metoda podstawowa (PruVal 2)</w:t>
        </w:r>
        <w:r>
          <w:rPr>
            <w:webHidden/>
          </w:rPr>
          <w:tab/>
        </w:r>
        <w:r>
          <w:rPr>
            <w:webHidden/>
          </w:rPr>
          <w:fldChar w:fldCharType="begin"/>
        </w:r>
        <w:r>
          <w:rPr>
            <w:webHidden/>
          </w:rPr>
          <w:instrText xml:space="preserve"> PAGEREF _Toc119064921 \h </w:instrText>
        </w:r>
        <w:r>
          <w:rPr>
            <w:webHidden/>
          </w:rPr>
        </w:r>
        <w:r>
          <w:rPr>
            <w:webHidden/>
          </w:rPr>
          <w:fldChar w:fldCharType="separate"/>
        </w:r>
        <w:r>
          <w:rPr>
            <w:webHidden/>
          </w:rPr>
          <w:t>260</w:t>
        </w:r>
        <w:r>
          <w:rPr>
            <w:webHidden/>
          </w:rPr>
          <w:fldChar w:fldCharType="end"/>
        </w:r>
      </w:hyperlink>
    </w:p>
    <w:p w14:paraId="3CE25DE9" w14:textId="3DDD5613" w:rsidR="0043455E" w:rsidRDefault="0043455E">
      <w:pPr>
        <w:pStyle w:val="TOC2"/>
        <w:rPr>
          <w:rFonts w:asciiTheme="minorHAnsi" w:eastAsiaTheme="minorEastAsia" w:hAnsiTheme="minorHAnsi" w:cstheme="minorBidi"/>
          <w:b w:val="0"/>
          <w:smallCaps w:val="0"/>
          <w:sz w:val="22"/>
          <w:lang w:eastAsia="pl-PL"/>
        </w:rPr>
      </w:pPr>
      <w:hyperlink w:anchor="_Toc119064922" w:history="1">
        <w:r w:rsidRPr="00A71A3B">
          <w:rPr>
            <w:rStyle w:val="Hyperlink"/>
            <w:rFonts w:ascii="Times New Roman" w:hAnsi="Times New Roman"/>
          </w:rPr>
          <w:t>6.2.1.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_Toc119064922 \h </w:instrText>
        </w:r>
        <w:r>
          <w:rPr>
            <w:webHidden/>
          </w:rPr>
        </w:r>
        <w:r>
          <w:rPr>
            <w:webHidden/>
          </w:rPr>
          <w:fldChar w:fldCharType="separate"/>
        </w:r>
        <w:r>
          <w:rPr>
            <w:webHidden/>
          </w:rPr>
          <w:t>260</w:t>
        </w:r>
        <w:r>
          <w:rPr>
            <w:webHidden/>
          </w:rPr>
          <w:fldChar w:fldCharType="end"/>
        </w:r>
      </w:hyperlink>
    </w:p>
    <w:p w14:paraId="5339864A" w14:textId="355B4FB5" w:rsidR="0043455E" w:rsidRDefault="0043455E">
      <w:pPr>
        <w:pStyle w:val="TOC2"/>
        <w:rPr>
          <w:rFonts w:asciiTheme="minorHAnsi" w:eastAsiaTheme="minorEastAsia" w:hAnsiTheme="minorHAnsi" w:cstheme="minorBidi"/>
          <w:b w:val="0"/>
          <w:smallCaps w:val="0"/>
          <w:sz w:val="22"/>
          <w:lang w:eastAsia="pl-PL"/>
        </w:rPr>
      </w:pPr>
      <w:hyperlink w:anchor="_Toc119064923" w:history="1">
        <w:r w:rsidRPr="00A71A3B">
          <w:rPr>
            <w:rStyle w:val="Hyperlink"/>
            <w:rFonts w:ascii="Times New Roman" w:hAnsi="Times New Roman"/>
          </w:rPr>
          <w:t>6.2.2.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_Toc119064923 \h </w:instrText>
        </w:r>
        <w:r>
          <w:rPr>
            <w:webHidden/>
          </w:rPr>
        </w:r>
        <w:r>
          <w:rPr>
            <w:webHidden/>
          </w:rPr>
          <w:fldChar w:fldCharType="separate"/>
        </w:r>
        <w:r>
          <w:rPr>
            <w:webHidden/>
          </w:rPr>
          <w:t>261</w:t>
        </w:r>
        <w:r>
          <w:rPr>
            <w:webHidden/>
          </w:rPr>
          <w:fldChar w:fldCharType="end"/>
        </w:r>
      </w:hyperlink>
    </w:p>
    <w:p w14:paraId="60E1AC22" w14:textId="5E62B847" w:rsidR="0043455E" w:rsidRDefault="0043455E">
      <w:pPr>
        <w:pStyle w:val="TOC2"/>
        <w:rPr>
          <w:rFonts w:asciiTheme="minorHAnsi" w:eastAsiaTheme="minorEastAsia" w:hAnsiTheme="minorHAnsi" w:cstheme="minorBidi"/>
          <w:b w:val="0"/>
          <w:smallCaps w:val="0"/>
          <w:sz w:val="22"/>
          <w:lang w:eastAsia="pl-PL"/>
        </w:rPr>
      </w:pPr>
      <w:hyperlink w:anchor="_Toc119064924" w:history="1">
        <w:r w:rsidRPr="00A71A3B">
          <w:rPr>
            <w:rStyle w:val="Hyperlink"/>
            <w:rFonts w:ascii="Times New Roman" w:hAnsi="Times New Roman"/>
          </w:rPr>
          <w:t>6.3. C 32.03 – Ostrożna wycena: AVA z tytułu ryzyka modelu (PruVal 3)</w:t>
        </w:r>
        <w:r>
          <w:rPr>
            <w:webHidden/>
          </w:rPr>
          <w:tab/>
        </w:r>
        <w:r>
          <w:rPr>
            <w:webHidden/>
          </w:rPr>
          <w:fldChar w:fldCharType="begin"/>
        </w:r>
        <w:r>
          <w:rPr>
            <w:webHidden/>
          </w:rPr>
          <w:instrText xml:space="preserve"> PAGEREF _Toc119064924 \h </w:instrText>
        </w:r>
        <w:r>
          <w:rPr>
            <w:webHidden/>
          </w:rPr>
        </w:r>
        <w:r>
          <w:rPr>
            <w:webHidden/>
          </w:rPr>
          <w:fldChar w:fldCharType="separate"/>
        </w:r>
        <w:r>
          <w:rPr>
            <w:webHidden/>
          </w:rPr>
          <w:t>271</w:t>
        </w:r>
        <w:r>
          <w:rPr>
            <w:webHidden/>
          </w:rPr>
          <w:fldChar w:fldCharType="end"/>
        </w:r>
      </w:hyperlink>
    </w:p>
    <w:p w14:paraId="4C9579BB" w14:textId="1F8D39D5" w:rsidR="0043455E" w:rsidRDefault="0043455E">
      <w:pPr>
        <w:pStyle w:val="TOC2"/>
        <w:rPr>
          <w:rFonts w:asciiTheme="minorHAnsi" w:eastAsiaTheme="minorEastAsia" w:hAnsiTheme="minorHAnsi" w:cstheme="minorBidi"/>
          <w:b w:val="0"/>
          <w:smallCaps w:val="0"/>
          <w:sz w:val="22"/>
          <w:lang w:eastAsia="pl-PL"/>
        </w:rPr>
      </w:pPr>
      <w:hyperlink w:anchor="_Toc119064925" w:history="1">
        <w:r w:rsidRPr="00A71A3B">
          <w:rPr>
            <w:rStyle w:val="Hyperlink"/>
            <w:rFonts w:ascii="Times New Roman" w:hAnsi="Times New Roman"/>
          </w:rPr>
          <w:t>6.3.1.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_Toc119064925 \h </w:instrText>
        </w:r>
        <w:r>
          <w:rPr>
            <w:webHidden/>
          </w:rPr>
        </w:r>
        <w:r>
          <w:rPr>
            <w:webHidden/>
          </w:rPr>
          <w:fldChar w:fldCharType="separate"/>
        </w:r>
        <w:r>
          <w:rPr>
            <w:webHidden/>
          </w:rPr>
          <w:t>271</w:t>
        </w:r>
        <w:r>
          <w:rPr>
            <w:webHidden/>
          </w:rPr>
          <w:fldChar w:fldCharType="end"/>
        </w:r>
      </w:hyperlink>
    </w:p>
    <w:p w14:paraId="1D6BCB8F" w14:textId="2B24F230" w:rsidR="0043455E" w:rsidRDefault="0043455E">
      <w:pPr>
        <w:pStyle w:val="TOC2"/>
        <w:rPr>
          <w:rFonts w:asciiTheme="minorHAnsi" w:eastAsiaTheme="minorEastAsia" w:hAnsiTheme="minorHAnsi" w:cstheme="minorBidi"/>
          <w:b w:val="0"/>
          <w:smallCaps w:val="0"/>
          <w:sz w:val="22"/>
          <w:lang w:eastAsia="pl-PL"/>
        </w:rPr>
      </w:pPr>
      <w:hyperlink w:anchor="_Toc119064926" w:history="1">
        <w:r w:rsidRPr="00A71A3B">
          <w:rPr>
            <w:rStyle w:val="Hyperlink"/>
            <w:rFonts w:ascii="Times New Roman" w:hAnsi="Times New Roman"/>
          </w:rPr>
          <w:t>6.3.2.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_Toc119064926 \h </w:instrText>
        </w:r>
        <w:r>
          <w:rPr>
            <w:webHidden/>
          </w:rPr>
        </w:r>
        <w:r>
          <w:rPr>
            <w:webHidden/>
          </w:rPr>
          <w:fldChar w:fldCharType="separate"/>
        </w:r>
        <w:r>
          <w:rPr>
            <w:webHidden/>
          </w:rPr>
          <w:t>272</w:t>
        </w:r>
        <w:r>
          <w:rPr>
            <w:webHidden/>
          </w:rPr>
          <w:fldChar w:fldCharType="end"/>
        </w:r>
      </w:hyperlink>
    </w:p>
    <w:p w14:paraId="4B6CF182" w14:textId="55EF9054" w:rsidR="0043455E" w:rsidRDefault="0043455E">
      <w:pPr>
        <w:pStyle w:val="TOC2"/>
        <w:rPr>
          <w:rFonts w:asciiTheme="minorHAnsi" w:eastAsiaTheme="minorEastAsia" w:hAnsiTheme="minorHAnsi" w:cstheme="minorBidi"/>
          <w:b w:val="0"/>
          <w:smallCaps w:val="0"/>
          <w:sz w:val="22"/>
          <w:lang w:eastAsia="pl-PL"/>
        </w:rPr>
      </w:pPr>
      <w:hyperlink w:anchor="_Toc119064927" w:history="1">
        <w:r w:rsidRPr="00A71A3B">
          <w:rPr>
            <w:rStyle w:val="Hyperlink"/>
            <w:rFonts w:ascii="Times New Roman" w:hAnsi="Times New Roman"/>
          </w:rPr>
          <w:t>6.4 C 32.04 – Ostrożna wycena: AVA z tytułu pozycji o dużej koncentracji (PruVal 4)</w:t>
        </w:r>
        <w:r>
          <w:rPr>
            <w:webHidden/>
          </w:rPr>
          <w:tab/>
        </w:r>
        <w:r>
          <w:rPr>
            <w:webHidden/>
          </w:rPr>
          <w:fldChar w:fldCharType="begin"/>
        </w:r>
        <w:r>
          <w:rPr>
            <w:webHidden/>
          </w:rPr>
          <w:instrText xml:space="preserve"> PAGEREF _Toc119064927 \h </w:instrText>
        </w:r>
        <w:r>
          <w:rPr>
            <w:webHidden/>
          </w:rPr>
        </w:r>
        <w:r>
          <w:rPr>
            <w:webHidden/>
          </w:rPr>
          <w:fldChar w:fldCharType="separate"/>
        </w:r>
        <w:r>
          <w:rPr>
            <w:webHidden/>
          </w:rPr>
          <w:t>275</w:t>
        </w:r>
        <w:r>
          <w:rPr>
            <w:webHidden/>
          </w:rPr>
          <w:fldChar w:fldCharType="end"/>
        </w:r>
      </w:hyperlink>
    </w:p>
    <w:p w14:paraId="2D79E9C9" w14:textId="15B9E31C" w:rsidR="0043455E" w:rsidRDefault="0043455E">
      <w:pPr>
        <w:pStyle w:val="TOC2"/>
        <w:rPr>
          <w:rFonts w:asciiTheme="minorHAnsi" w:eastAsiaTheme="minorEastAsia" w:hAnsiTheme="minorHAnsi" w:cstheme="minorBidi"/>
          <w:b w:val="0"/>
          <w:smallCaps w:val="0"/>
          <w:sz w:val="22"/>
          <w:lang w:eastAsia="pl-PL"/>
        </w:rPr>
      </w:pPr>
      <w:hyperlink w:anchor="_Toc119064928" w:history="1">
        <w:r w:rsidRPr="00A71A3B">
          <w:rPr>
            <w:rStyle w:val="Hyperlink"/>
            <w:rFonts w:ascii="Times New Roman" w:hAnsi="Times New Roman"/>
          </w:rPr>
          <w:t>6.4.1.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_Toc119064928 \h </w:instrText>
        </w:r>
        <w:r>
          <w:rPr>
            <w:webHidden/>
          </w:rPr>
        </w:r>
        <w:r>
          <w:rPr>
            <w:webHidden/>
          </w:rPr>
          <w:fldChar w:fldCharType="separate"/>
        </w:r>
        <w:r>
          <w:rPr>
            <w:webHidden/>
          </w:rPr>
          <w:t>275</w:t>
        </w:r>
        <w:r>
          <w:rPr>
            <w:webHidden/>
          </w:rPr>
          <w:fldChar w:fldCharType="end"/>
        </w:r>
      </w:hyperlink>
    </w:p>
    <w:p w14:paraId="390A8A87" w14:textId="67AFB4FB" w:rsidR="0043455E" w:rsidRDefault="0043455E">
      <w:pPr>
        <w:pStyle w:val="TOC2"/>
        <w:rPr>
          <w:rFonts w:asciiTheme="minorHAnsi" w:eastAsiaTheme="minorEastAsia" w:hAnsiTheme="minorHAnsi" w:cstheme="minorBidi"/>
          <w:b w:val="0"/>
          <w:smallCaps w:val="0"/>
          <w:sz w:val="22"/>
          <w:lang w:eastAsia="pl-PL"/>
        </w:rPr>
      </w:pPr>
      <w:hyperlink w:anchor="_Toc119064929" w:history="1">
        <w:r w:rsidRPr="00A71A3B">
          <w:rPr>
            <w:rStyle w:val="Hyperlink"/>
            <w:rFonts w:ascii="Times New Roman" w:hAnsi="Times New Roman"/>
          </w:rPr>
          <w:t>6.4.2.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_Toc119064929 \h </w:instrText>
        </w:r>
        <w:r>
          <w:rPr>
            <w:webHidden/>
          </w:rPr>
        </w:r>
        <w:r>
          <w:rPr>
            <w:webHidden/>
          </w:rPr>
          <w:fldChar w:fldCharType="separate"/>
        </w:r>
        <w:r>
          <w:rPr>
            <w:webHidden/>
          </w:rPr>
          <w:t>275</w:t>
        </w:r>
        <w:r>
          <w:rPr>
            <w:webHidden/>
          </w:rPr>
          <w:fldChar w:fldCharType="end"/>
        </w:r>
      </w:hyperlink>
    </w:p>
    <w:p w14:paraId="647133F5" w14:textId="7B3D0041" w:rsidR="0043455E" w:rsidRDefault="0043455E">
      <w:pPr>
        <w:pStyle w:val="TOC2"/>
        <w:rPr>
          <w:rFonts w:asciiTheme="minorHAnsi" w:eastAsiaTheme="minorEastAsia" w:hAnsiTheme="minorHAnsi" w:cstheme="minorBidi"/>
          <w:b w:val="0"/>
          <w:smallCaps w:val="0"/>
          <w:sz w:val="22"/>
          <w:lang w:eastAsia="pl-PL"/>
        </w:rPr>
      </w:pPr>
      <w:hyperlink w:anchor="_Toc119064930" w:history="1">
        <w:r w:rsidRPr="00A71A3B">
          <w:rPr>
            <w:rStyle w:val="Hyperlink"/>
            <w:rFonts w:ascii="Times New Roman" w:hAnsi="Times New Roman"/>
          </w:rPr>
          <w:t>7.</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33.00 – Ekspozycje wobec sektora instytucji rządowych i samorządowych (GOV)</w:t>
        </w:r>
        <w:r>
          <w:rPr>
            <w:webHidden/>
          </w:rPr>
          <w:tab/>
        </w:r>
        <w:r>
          <w:rPr>
            <w:webHidden/>
          </w:rPr>
          <w:fldChar w:fldCharType="begin"/>
        </w:r>
        <w:r>
          <w:rPr>
            <w:webHidden/>
          </w:rPr>
          <w:instrText xml:space="preserve"> PAGEREF _Toc119064930 \h </w:instrText>
        </w:r>
        <w:r>
          <w:rPr>
            <w:webHidden/>
          </w:rPr>
        </w:r>
        <w:r>
          <w:rPr>
            <w:webHidden/>
          </w:rPr>
          <w:fldChar w:fldCharType="separate"/>
        </w:r>
        <w:r>
          <w:rPr>
            <w:webHidden/>
          </w:rPr>
          <w:t>277</w:t>
        </w:r>
        <w:r>
          <w:rPr>
            <w:webHidden/>
          </w:rPr>
          <w:fldChar w:fldCharType="end"/>
        </w:r>
      </w:hyperlink>
    </w:p>
    <w:p w14:paraId="65E332D1" w14:textId="4BBA3FCE" w:rsidR="0043455E" w:rsidRDefault="0043455E">
      <w:pPr>
        <w:pStyle w:val="TOC2"/>
        <w:rPr>
          <w:rFonts w:asciiTheme="minorHAnsi" w:eastAsiaTheme="minorEastAsia" w:hAnsiTheme="minorHAnsi" w:cstheme="minorBidi"/>
          <w:b w:val="0"/>
          <w:smallCaps w:val="0"/>
          <w:sz w:val="22"/>
          <w:lang w:eastAsia="pl-PL"/>
        </w:rPr>
      </w:pPr>
      <w:hyperlink w:anchor="_Toc119064931" w:history="1">
        <w:r w:rsidRPr="00A71A3B">
          <w:rPr>
            <w:rStyle w:val="Hyperlink"/>
            <w:rFonts w:ascii="Times New Roman" w:hAnsi="Times New Roman"/>
          </w:rPr>
          <w:t>7.1.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_Toc119064931 \h </w:instrText>
        </w:r>
        <w:r>
          <w:rPr>
            <w:webHidden/>
          </w:rPr>
        </w:r>
        <w:r>
          <w:rPr>
            <w:webHidden/>
          </w:rPr>
          <w:fldChar w:fldCharType="separate"/>
        </w:r>
        <w:r>
          <w:rPr>
            <w:webHidden/>
          </w:rPr>
          <w:t>277</w:t>
        </w:r>
        <w:r>
          <w:rPr>
            <w:webHidden/>
          </w:rPr>
          <w:fldChar w:fldCharType="end"/>
        </w:r>
      </w:hyperlink>
    </w:p>
    <w:p w14:paraId="58215C95" w14:textId="562C4FD6" w:rsidR="0043455E" w:rsidRDefault="0043455E">
      <w:pPr>
        <w:pStyle w:val="TOC2"/>
        <w:rPr>
          <w:rFonts w:asciiTheme="minorHAnsi" w:eastAsiaTheme="minorEastAsia" w:hAnsiTheme="minorHAnsi" w:cstheme="minorBidi"/>
          <w:b w:val="0"/>
          <w:smallCaps w:val="0"/>
          <w:sz w:val="22"/>
          <w:lang w:eastAsia="pl-PL"/>
        </w:rPr>
      </w:pPr>
      <w:hyperlink w:anchor="_Toc119064932" w:history="1">
        <w:r w:rsidRPr="00A71A3B">
          <w:rPr>
            <w:rStyle w:val="Hyperlink"/>
            <w:rFonts w:ascii="Times New Roman" w:hAnsi="Times New Roman"/>
          </w:rPr>
          <w:t>7.2.</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Zakres wzoru dotyczącego ekspozycji wobec „sektora instytucji rządowych i samorządowych”</w:t>
        </w:r>
        <w:r>
          <w:rPr>
            <w:webHidden/>
          </w:rPr>
          <w:tab/>
        </w:r>
        <w:r>
          <w:rPr>
            <w:webHidden/>
          </w:rPr>
          <w:fldChar w:fldCharType="begin"/>
        </w:r>
        <w:r>
          <w:rPr>
            <w:webHidden/>
          </w:rPr>
          <w:instrText xml:space="preserve"> PAGEREF _Toc119064932 \h </w:instrText>
        </w:r>
        <w:r>
          <w:rPr>
            <w:webHidden/>
          </w:rPr>
        </w:r>
        <w:r>
          <w:rPr>
            <w:webHidden/>
          </w:rPr>
          <w:fldChar w:fldCharType="separate"/>
        </w:r>
        <w:r>
          <w:rPr>
            <w:webHidden/>
          </w:rPr>
          <w:t>278</w:t>
        </w:r>
        <w:r>
          <w:rPr>
            <w:webHidden/>
          </w:rPr>
          <w:fldChar w:fldCharType="end"/>
        </w:r>
      </w:hyperlink>
    </w:p>
    <w:p w14:paraId="12E9A61C" w14:textId="654A287C" w:rsidR="0043455E" w:rsidRDefault="0043455E">
      <w:pPr>
        <w:pStyle w:val="TOC2"/>
        <w:rPr>
          <w:rFonts w:asciiTheme="minorHAnsi" w:eastAsiaTheme="minorEastAsia" w:hAnsiTheme="minorHAnsi" w:cstheme="minorBidi"/>
          <w:b w:val="0"/>
          <w:smallCaps w:val="0"/>
          <w:sz w:val="22"/>
          <w:lang w:eastAsia="pl-PL"/>
        </w:rPr>
      </w:pPr>
      <w:hyperlink w:anchor="_Toc119064933" w:history="1">
        <w:r w:rsidRPr="00A71A3B">
          <w:rPr>
            <w:rStyle w:val="Hyperlink"/>
            <w:rFonts w:ascii="Times New Roman" w:hAnsi="Times New Roman"/>
          </w:rPr>
          <w:t>7.3.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_Toc119064933 \h </w:instrText>
        </w:r>
        <w:r>
          <w:rPr>
            <w:webHidden/>
          </w:rPr>
        </w:r>
        <w:r>
          <w:rPr>
            <w:webHidden/>
          </w:rPr>
          <w:fldChar w:fldCharType="separate"/>
        </w:r>
        <w:r>
          <w:rPr>
            <w:webHidden/>
          </w:rPr>
          <w:t>278</w:t>
        </w:r>
        <w:r>
          <w:rPr>
            <w:webHidden/>
          </w:rPr>
          <w:fldChar w:fldCharType="end"/>
        </w:r>
      </w:hyperlink>
    </w:p>
    <w:p w14:paraId="28963BD1" w14:textId="2F1CFEEB" w:rsidR="0043455E" w:rsidRDefault="0043455E">
      <w:pPr>
        <w:pStyle w:val="TOC2"/>
        <w:rPr>
          <w:rFonts w:asciiTheme="minorHAnsi" w:eastAsiaTheme="minorEastAsia" w:hAnsiTheme="minorHAnsi" w:cstheme="minorBidi"/>
          <w:b w:val="0"/>
          <w:smallCaps w:val="0"/>
          <w:sz w:val="22"/>
          <w:lang w:eastAsia="pl-PL"/>
        </w:rPr>
      </w:pPr>
      <w:hyperlink w:anchor="_Toc119064934" w:history="1">
        <w:r w:rsidRPr="00A71A3B">
          <w:rPr>
            <w:rStyle w:val="Hyperlink"/>
            <w:rFonts w:ascii="Times New Roman" w:hAnsi="Times New Roman"/>
          </w:rPr>
          <w:t>8.</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Pokrycie strat z tytułu ekspozycji nieobsługiwanych (NPE LC)</w:t>
        </w:r>
        <w:r>
          <w:rPr>
            <w:webHidden/>
          </w:rPr>
          <w:tab/>
        </w:r>
        <w:r>
          <w:rPr>
            <w:webHidden/>
          </w:rPr>
          <w:fldChar w:fldCharType="begin"/>
        </w:r>
        <w:r>
          <w:rPr>
            <w:webHidden/>
          </w:rPr>
          <w:instrText xml:space="preserve"> PAGEREF _Toc119064934 \h </w:instrText>
        </w:r>
        <w:r>
          <w:rPr>
            <w:webHidden/>
          </w:rPr>
        </w:r>
        <w:r>
          <w:rPr>
            <w:webHidden/>
          </w:rPr>
          <w:fldChar w:fldCharType="separate"/>
        </w:r>
        <w:r>
          <w:rPr>
            <w:webHidden/>
          </w:rPr>
          <w:t>291</w:t>
        </w:r>
        <w:r>
          <w:rPr>
            <w:webHidden/>
          </w:rPr>
          <w:fldChar w:fldCharType="end"/>
        </w:r>
      </w:hyperlink>
    </w:p>
    <w:p w14:paraId="26818AE2" w14:textId="04ACA0FF" w:rsidR="0043455E" w:rsidRDefault="0043455E">
      <w:pPr>
        <w:pStyle w:val="TOC2"/>
        <w:rPr>
          <w:rFonts w:asciiTheme="minorHAnsi" w:eastAsiaTheme="minorEastAsia" w:hAnsiTheme="minorHAnsi" w:cstheme="minorBidi"/>
          <w:b w:val="0"/>
          <w:smallCaps w:val="0"/>
          <w:sz w:val="22"/>
          <w:lang w:eastAsia="pl-PL"/>
        </w:rPr>
      </w:pPr>
      <w:hyperlink w:anchor="_Toc119064935" w:history="1">
        <w:r w:rsidRPr="00A71A3B">
          <w:rPr>
            <w:rStyle w:val="Hyperlink"/>
            <w:rFonts w:ascii="Times New Roman" w:hAnsi="Times New Roman"/>
          </w:rPr>
          <w:t>8.1.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Uwagi ogólne</w:t>
        </w:r>
        <w:r>
          <w:rPr>
            <w:webHidden/>
          </w:rPr>
          <w:tab/>
        </w:r>
        <w:r>
          <w:rPr>
            <w:webHidden/>
          </w:rPr>
          <w:fldChar w:fldCharType="begin"/>
        </w:r>
        <w:r>
          <w:rPr>
            <w:webHidden/>
          </w:rPr>
          <w:instrText xml:space="preserve"> PAGEREF _Toc119064935 \h </w:instrText>
        </w:r>
        <w:r>
          <w:rPr>
            <w:webHidden/>
          </w:rPr>
        </w:r>
        <w:r>
          <w:rPr>
            <w:webHidden/>
          </w:rPr>
          <w:fldChar w:fldCharType="separate"/>
        </w:r>
        <w:r>
          <w:rPr>
            <w:webHidden/>
          </w:rPr>
          <w:t>291</w:t>
        </w:r>
        <w:r>
          <w:rPr>
            <w:webHidden/>
          </w:rPr>
          <w:fldChar w:fldCharType="end"/>
        </w:r>
      </w:hyperlink>
    </w:p>
    <w:p w14:paraId="52B9BE4B" w14:textId="3C567FEE" w:rsidR="0043455E" w:rsidRDefault="0043455E">
      <w:pPr>
        <w:pStyle w:val="TOC2"/>
        <w:rPr>
          <w:rFonts w:asciiTheme="minorHAnsi" w:eastAsiaTheme="minorEastAsia" w:hAnsiTheme="minorHAnsi" w:cstheme="minorBidi"/>
          <w:b w:val="0"/>
          <w:smallCaps w:val="0"/>
          <w:sz w:val="22"/>
          <w:lang w:eastAsia="pl-PL"/>
        </w:rPr>
      </w:pPr>
      <w:hyperlink w:anchor="_Toc119064936" w:history="1">
        <w:r w:rsidRPr="00A71A3B">
          <w:rPr>
            <w:rStyle w:val="Hyperlink"/>
            <w:rFonts w:ascii="Times New Roman" w:hAnsi="Times New Roman"/>
          </w:rPr>
          <w:t>8.2. C 35.01 – OBLICZANIE ODLICZEŃ Z TYTUŁU EKSPOZYCJI NIEOBSŁUGIWANYCH (NPE LC1)</w:t>
        </w:r>
        <w:r>
          <w:rPr>
            <w:webHidden/>
          </w:rPr>
          <w:tab/>
        </w:r>
        <w:r>
          <w:rPr>
            <w:webHidden/>
          </w:rPr>
          <w:fldChar w:fldCharType="begin"/>
        </w:r>
        <w:r>
          <w:rPr>
            <w:webHidden/>
          </w:rPr>
          <w:instrText xml:space="preserve"> PAGEREF _Toc119064936 \h </w:instrText>
        </w:r>
        <w:r>
          <w:rPr>
            <w:webHidden/>
          </w:rPr>
        </w:r>
        <w:r>
          <w:rPr>
            <w:webHidden/>
          </w:rPr>
          <w:fldChar w:fldCharType="separate"/>
        </w:r>
        <w:r>
          <w:rPr>
            <w:webHidden/>
          </w:rPr>
          <w:t>292</w:t>
        </w:r>
        <w:r>
          <w:rPr>
            <w:webHidden/>
          </w:rPr>
          <w:fldChar w:fldCharType="end"/>
        </w:r>
      </w:hyperlink>
    </w:p>
    <w:p w14:paraId="3AC613F2" w14:textId="411FA361" w:rsidR="0043455E" w:rsidRDefault="0043455E">
      <w:pPr>
        <w:pStyle w:val="TOC2"/>
        <w:rPr>
          <w:rFonts w:asciiTheme="minorHAnsi" w:eastAsiaTheme="minorEastAsia" w:hAnsiTheme="minorHAnsi" w:cstheme="minorBidi"/>
          <w:b w:val="0"/>
          <w:smallCaps w:val="0"/>
          <w:sz w:val="22"/>
          <w:lang w:eastAsia="pl-PL"/>
        </w:rPr>
      </w:pPr>
      <w:hyperlink w:anchor="_Toc119064937" w:history="1">
        <w:r w:rsidRPr="00A71A3B">
          <w:rPr>
            <w:rStyle w:val="Hyperlink"/>
            <w:rFonts w:ascii="Times New Roman" w:hAnsi="Times New Roman"/>
          </w:rPr>
          <w:t>8.2.1.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_Toc119064937 \h </w:instrText>
        </w:r>
        <w:r>
          <w:rPr>
            <w:webHidden/>
          </w:rPr>
        </w:r>
        <w:r>
          <w:rPr>
            <w:webHidden/>
          </w:rPr>
          <w:fldChar w:fldCharType="separate"/>
        </w:r>
        <w:r>
          <w:rPr>
            <w:webHidden/>
          </w:rPr>
          <w:t>292</w:t>
        </w:r>
        <w:r>
          <w:rPr>
            <w:webHidden/>
          </w:rPr>
          <w:fldChar w:fldCharType="end"/>
        </w:r>
      </w:hyperlink>
    </w:p>
    <w:p w14:paraId="5BF7F671" w14:textId="5944C87D" w:rsidR="0043455E" w:rsidRDefault="0043455E">
      <w:pPr>
        <w:pStyle w:val="TOC2"/>
        <w:rPr>
          <w:rFonts w:asciiTheme="minorHAnsi" w:eastAsiaTheme="minorEastAsia" w:hAnsiTheme="minorHAnsi" w:cstheme="minorBidi"/>
          <w:b w:val="0"/>
          <w:smallCaps w:val="0"/>
          <w:sz w:val="22"/>
          <w:lang w:eastAsia="pl-PL"/>
        </w:rPr>
      </w:pPr>
      <w:hyperlink w:anchor="_Toc119064938" w:history="1">
        <w:r w:rsidRPr="00A71A3B">
          <w:rPr>
            <w:rStyle w:val="Hyperlink"/>
            <w:rFonts w:ascii="Times New Roman" w:hAnsi="Times New Roman"/>
          </w:rPr>
          <w:t>8.3.</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35.02 – WYMOGI MINIMALNEGO POKRYCIA STRAT I WARTOŚCI EKSPOZYCJI W PRZYPADKU EKSPOZYCJI NIEOBSŁUGIWANYCH, Z WYŁĄCZENIEM EKSPOZYCJI RESTRUKTURYZOWANYCH, KTÓRE SĄ OBJĘTE ART. 47C UST. 6 ROZPORZĄDZENIA (UE) NR 575/2013 (NPE LC2)</w:t>
        </w:r>
        <w:r>
          <w:rPr>
            <w:webHidden/>
          </w:rPr>
          <w:tab/>
        </w:r>
        <w:r>
          <w:rPr>
            <w:webHidden/>
          </w:rPr>
          <w:fldChar w:fldCharType="begin"/>
        </w:r>
        <w:r>
          <w:rPr>
            <w:webHidden/>
          </w:rPr>
          <w:instrText xml:space="preserve"> PAGEREF _Toc119064938 \h </w:instrText>
        </w:r>
        <w:r>
          <w:rPr>
            <w:webHidden/>
          </w:rPr>
        </w:r>
        <w:r>
          <w:rPr>
            <w:webHidden/>
          </w:rPr>
          <w:fldChar w:fldCharType="separate"/>
        </w:r>
        <w:r>
          <w:rPr>
            <w:webHidden/>
          </w:rPr>
          <w:t>295</w:t>
        </w:r>
        <w:r>
          <w:rPr>
            <w:webHidden/>
          </w:rPr>
          <w:fldChar w:fldCharType="end"/>
        </w:r>
      </w:hyperlink>
    </w:p>
    <w:p w14:paraId="52B62A7C" w14:textId="0630E491" w:rsidR="0043455E" w:rsidRDefault="0043455E">
      <w:pPr>
        <w:pStyle w:val="TOC2"/>
        <w:rPr>
          <w:rFonts w:asciiTheme="minorHAnsi" w:eastAsiaTheme="minorEastAsia" w:hAnsiTheme="minorHAnsi" w:cstheme="minorBidi"/>
          <w:b w:val="0"/>
          <w:smallCaps w:val="0"/>
          <w:sz w:val="22"/>
          <w:lang w:eastAsia="pl-PL"/>
        </w:rPr>
      </w:pPr>
      <w:hyperlink w:anchor="_Toc119064939" w:history="1">
        <w:r w:rsidRPr="00A71A3B">
          <w:rPr>
            <w:rStyle w:val="Hyperlink"/>
            <w:rFonts w:ascii="Times New Roman" w:hAnsi="Times New Roman"/>
          </w:rPr>
          <w:t>8.3.1.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_Toc119064939 \h </w:instrText>
        </w:r>
        <w:r>
          <w:rPr>
            <w:webHidden/>
          </w:rPr>
        </w:r>
        <w:r>
          <w:rPr>
            <w:webHidden/>
          </w:rPr>
          <w:fldChar w:fldCharType="separate"/>
        </w:r>
        <w:r>
          <w:rPr>
            <w:webHidden/>
          </w:rPr>
          <w:t>295</w:t>
        </w:r>
        <w:r>
          <w:rPr>
            <w:webHidden/>
          </w:rPr>
          <w:fldChar w:fldCharType="end"/>
        </w:r>
      </w:hyperlink>
    </w:p>
    <w:p w14:paraId="3188C44B" w14:textId="67D87EED" w:rsidR="0043455E" w:rsidRDefault="0043455E">
      <w:pPr>
        <w:pStyle w:val="TOC2"/>
        <w:rPr>
          <w:rFonts w:asciiTheme="minorHAnsi" w:eastAsiaTheme="minorEastAsia" w:hAnsiTheme="minorHAnsi" w:cstheme="minorBidi"/>
          <w:b w:val="0"/>
          <w:smallCaps w:val="0"/>
          <w:sz w:val="22"/>
          <w:lang w:eastAsia="pl-PL"/>
        </w:rPr>
      </w:pPr>
      <w:hyperlink w:anchor="_Toc119064940" w:history="1">
        <w:r w:rsidRPr="00A71A3B">
          <w:rPr>
            <w:rStyle w:val="Hyperlink"/>
            <w:rFonts w:ascii="Times New Roman" w:hAnsi="Times New Roman"/>
          </w:rPr>
          <w:t>8.4.</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C 35.03 – WYMOGI MINIMALNEGO POKRYCIA STRAT I WARTOŚCI EKSPOZYCJI W PRZYPADKU NIEOBSŁUGIWANYCH EKSPOZYCJI RESTRUKTURYZOWANYCH, KTÓRE SĄ OBJĘTE ART. 47C UST. 6 ROZPORZĄDZENIA (UE) NR 575/2013 (NPE LC3)</w:t>
        </w:r>
        <w:r>
          <w:rPr>
            <w:webHidden/>
          </w:rPr>
          <w:tab/>
        </w:r>
        <w:r>
          <w:rPr>
            <w:webHidden/>
          </w:rPr>
          <w:fldChar w:fldCharType="begin"/>
        </w:r>
        <w:r>
          <w:rPr>
            <w:webHidden/>
          </w:rPr>
          <w:instrText xml:space="preserve"> PAGEREF _Toc119064940 \h </w:instrText>
        </w:r>
        <w:r>
          <w:rPr>
            <w:webHidden/>
          </w:rPr>
        </w:r>
        <w:r>
          <w:rPr>
            <w:webHidden/>
          </w:rPr>
          <w:fldChar w:fldCharType="separate"/>
        </w:r>
        <w:r>
          <w:rPr>
            <w:webHidden/>
          </w:rPr>
          <w:t>297</w:t>
        </w:r>
        <w:r>
          <w:rPr>
            <w:webHidden/>
          </w:rPr>
          <w:fldChar w:fldCharType="end"/>
        </w:r>
      </w:hyperlink>
    </w:p>
    <w:p w14:paraId="66DF44A4" w14:textId="6CEFFD3F" w:rsidR="0043455E" w:rsidRDefault="0043455E">
      <w:pPr>
        <w:pStyle w:val="TOC2"/>
        <w:rPr>
          <w:rFonts w:asciiTheme="minorHAnsi" w:eastAsiaTheme="minorEastAsia" w:hAnsiTheme="minorHAnsi" w:cstheme="minorBidi"/>
          <w:b w:val="0"/>
          <w:smallCaps w:val="0"/>
          <w:sz w:val="22"/>
          <w:lang w:eastAsia="pl-PL"/>
        </w:rPr>
      </w:pPr>
      <w:hyperlink w:anchor="_Toc119064941" w:history="1">
        <w:r w:rsidRPr="00A71A3B">
          <w:rPr>
            <w:rStyle w:val="Hyperlink"/>
            <w:rFonts w:ascii="Times New Roman" w:hAnsi="Times New Roman"/>
          </w:rPr>
          <w:t>8.4.1.</w:t>
        </w:r>
        <w:r>
          <w:rPr>
            <w:rFonts w:asciiTheme="minorHAnsi" w:eastAsiaTheme="minorEastAsia" w:hAnsiTheme="minorHAnsi" w:cstheme="minorBidi"/>
            <w:b w:val="0"/>
            <w:smallCaps w:val="0"/>
            <w:sz w:val="22"/>
            <w:lang w:eastAsia="pl-PL"/>
          </w:rPr>
          <w:tab/>
        </w:r>
        <w:r w:rsidRPr="00A71A3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_Toc119064941 \h </w:instrText>
        </w:r>
        <w:r>
          <w:rPr>
            <w:webHidden/>
          </w:rPr>
        </w:r>
        <w:r>
          <w:rPr>
            <w:webHidden/>
          </w:rPr>
          <w:fldChar w:fldCharType="separate"/>
        </w:r>
        <w:r>
          <w:rPr>
            <w:webHidden/>
          </w:rPr>
          <w:t>297</w:t>
        </w:r>
        <w:r>
          <w:rPr>
            <w:webHidden/>
          </w:rPr>
          <w:fldChar w:fldCharType="end"/>
        </w:r>
      </w:hyperlink>
    </w:p>
    <w:p w14:paraId="4325A1DC" w14:textId="2B2F5E80"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64763"/>
      <w:r>
        <w:rPr>
          <w:rFonts w:ascii="Times New Roman" w:hAnsi="Times New Roman"/>
        </w:rPr>
        <w:t>CZĘŚĆ I:</w:t>
      </w:r>
      <w:bookmarkEnd w:id="2"/>
      <w:r>
        <w:rPr>
          <w:rFonts w:ascii="Times New Roman" w:hAnsi="Times New Roman"/>
        </w:rPr>
        <w:t xml:space="preserve"> INSTRUKCJE OGÓLNE</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64764"/>
      <w:r>
        <w:rPr>
          <w:rFonts w:ascii="Times New Roman" w:hAnsi="Times New Roman"/>
          <w:sz w:val="24"/>
          <w:u w:val="none"/>
        </w:rPr>
        <w:t>1.</w:t>
      </w:r>
      <w:r>
        <w:tab/>
      </w:r>
      <w:r>
        <w:rPr>
          <w:rFonts w:ascii="Times New Roman" w:hAnsi="Times New Roman"/>
          <w:sz w:val="24"/>
          <w:u w:val="none"/>
        </w:rPr>
        <w:t>STRUKTURA I KONWENCJE</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119064765"/>
      <w:r>
        <w:rPr>
          <w:rFonts w:ascii="Times New Roman" w:hAnsi="Times New Roman"/>
          <w:sz w:val="24"/>
          <w:u w:val="none"/>
        </w:rPr>
        <w:t>1.1.</w:t>
      </w:r>
      <w:r>
        <w:tab/>
      </w:r>
      <w:r>
        <w:rPr>
          <w:rFonts w:ascii="Times New Roman" w:hAnsi="Times New Roman"/>
          <w:sz w:val="24"/>
          <w:u w:val="none"/>
        </w:rPr>
        <w:t>STRUKTURA</w:t>
      </w:r>
      <w:bookmarkEnd w:id="9"/>
      <w:bookmarkEnd w:id="10"/>
      <w:bookmarkEnd w:id="13"/>
    </w:p>
    <w:p w14:paraId="336D6DE1" w14:textId="0C8E43B0" w:rsidR="002648B0" w:rsidRPr="002A677E" w:rsidRDefault="0043455E" w:rsidP="00487A02">
      <w:pPr>
        <w:pStyle w:val="InstructionsText2"/>
        <w:numPr>
          <w:ilvl w:val="0"/>
          <w:numId w:val="0"/>
        </w:numPr>
        <w:ind w:left="1353" w:hanging="360"/>
      </w:pPr>
      <w:fldSimple w:instr=" seq paragraphs ">
        <w:r w:rsidR="008F3052">
          <w:t>1</w:t>
        </w:r>
      </w:fldSimple>
      <w:r w:rsidR="008F3052">
        <w:t>.</w:t>
      </w:r>
      <w:r w:rsidR="008F3052">
        <w:tab/>
        <w:t>Zasadniczo ramy te dotyczą sześciu zagadnień:</w:t>
      </w:r>
    </w:p>
    <w:p w14:paraId="081D30F3" w14:textId="77777777" w:rsidR="002648B0" w:rsidRPr="002A677E" w:rsidRDefault="00125707" w:rsidP="00487A02">
      <w:pPr>
        <w:pStyle w:val="InstructionsText2"/>
        <w:numPr>
          <w:ilvl w:val="0"/>
          <w:numId w:val="0"/>
        </w:numPr>
        <w:ind w:left="1353" w:hanging="360"/>
      </w:pPr>
      <w:r>
        <w:t>a)</w:t>
      </w:r>
      <w:r>
        <w:tab/>
        <w:t>adekwatności kapitałowej, przeglądu kapitału regulacyjnego, łącznej kwoty ekspozycji na ryzyko; ostrożnej wyceny; pokrycia strat z tytułu ekspozycji nieobsługiwanych;</w:t>
      </w:r>
    </w:p>
    <w:p w14:paraId="62EB9671" w14:textId="77777777" w:rsidR="00436204" w:rsidRPr="002A677E" w:rsidRDefault="00125707" w:rsidP="00487A02">
      <w:pPr>
        <w:pStyle w:val="InstructionsText2"/>
        <w:numPr>
          <w:ilvl w:val="0"/>
          <w:numId w:val="0"/>
        </w:numPr>
        <w:ind w:left="1353" w:hanging="360"/>
      </w:pPr>
      <w:r>
        <w:t>b)</w:t>
      </w:r>
      <w:r>
        <w:tab/>
        <w:t>wypłacalności grupy, przeglądu spełniania wymogów dotyczących wypłacalności przez wszystkie poszczególne podmioty objęte zakresem konsolidacji jednostki sprawozdającej;</w:t>
      </w:r>
    </w:p>
    <w:p w14:paraId="02F767CA" w14:textId="77777777" w:rsidR="002648B0" w:rsidRPr="002A677E" w:rsidRDefault="00125707" w:rsidP="00487A02">
      <w:pPr>
        <w:pStyle w:val="InstructionsText2"/>
        <w:numPr>
          <w:ilvl w:val="0"/>
          <w:numId w:val="0"/>
        </w:numPr>
        <w:ind w:left="1353" w:hanging="360"/>
      </w:pPr>
      <w:r>
        <w:t>c)</w:t>
      </w:r>
      <w:r>
        <w:tab/>
        <w:t>ryzyka kredytowego (w tym ryzyka kredytowego kontrahenta, ryzyka rozmycia i ryzyka rozliczenia);</w:t>
      </w:r>
    </w:p>
    <w:p w14:paraId="685551B9" w14:textId="77777777" w:rsidR="002648B0" w:rsidRPr="002A677E" w:rsidRDefault="00125707" w:rsidP="00487A02">
      <w:pPr>
        <w:pStyle w:val="InstructionsText2"/>
        <w:numPr>
          <w:ilvl w:val="0"/>
          <w:numId w:val="0"/>
        </w:numPr>
        <w:ind w:left="1353" w:hanging="360"/>
      </w:pPr>
      <w:r>
        <w:t>d)</w:t>
      </w:r>
      <w:r>
        <w:tab/>
        <w:t>ryzyka rynkowego (w tym ryzyka pozycji w portfelu handlowym, ryzyka walutowego, ryzyka cen towarów i ryzyka związanego z CVA);</w:t>
      </w:r>
    </w:p>
    <w:p w14:paraId="2C2D1FE5" w14:textId="77777777" w:rsidR="00C44C83" w:rsidRPr="002A677E" w:rsidRDefault="00125707" w:rsidP="00487A02">
      <w:pPr>
        <w:pStyle w:val="InstructionsText2"/>
        <w:numPr>
          <w:ilvl w:val="0"/>
          <w:numId w:val="0"/>
        </w:numPr>
        <w:ind w:left="1353" w:hanging="360"/>
      </w:pPr>
      <w:r>
        <w:t>e)</w:t>
      </w:r>
      <w:r>
        <w:tab/>
        <w:t>ryzyka operacyjnego;</w:t>
      </w:r>
    </w:p>
    <w:p w14:paraId="5A2D5E12" w14:textId="66F1B60C" w:rsidR="002648B0" w:rsidRPr="002A677E" w:rsidRDefault="00C44C83" w:rsidP="00487A02">
      <w:pPr>
        <w:pStyle w:val="InstructionsText2"/>
        <w:numPr>
          <w:ilvl w:val="0"/>
          <w:numId w:val="0"/>
        </w:numPr>
        <w:ind w:left="1353" w:hanging="360"/>
      </w:pPr>
      <w:r>
        <w:t>f) ekspozycji wobec sektora instytucji rządowych i samorządowych.</w:t>
      </w:r>
    </w:p>
    <w:p w14:paraId="197EB621" w14:textId="0E6A18E0" w:rsidR="002648B0" w:rsidRPr="002A677E" w:rsidRDefault="0043455E" w:rsidP="00487A02">
      <w:pPr>
        <w:pStyle w:val="InstructionsText2"/>
        <w:numPr>
          <w:ilvl w:val="0"/>
          <w:numId w:val="0"/>
        </w:numPr>
        <w:ind w:left="1353" w:hanging="360"/>
      </w:pPr>
      <w:fldSimple w:instr=" seq paragraphs ">
        <w:r w:rsidR="008F3052">
          <w:t>2</w:t>
        </w:r>
      </w:fldSimple>
      <w:r w:rsidR="008F3052">
        <w:t>.</w:t>
      </w:r>
      <w:r w:rsidR="008F3052">
        <w:tab/>
        <w:t>Dla każdego wzoru podano odniesienia prawne. Niniejsza część niniejszego rozporządzenia wykonawczego zawiera dalsze szczegółowe informacje dotyczące bardziej ogólnych aspektów sprawozdawczości w ramach każdej grupy wzorów, instrukcje dotyczące poszczególnych pozycji, a także reguły walidacyjne.</w:t>
      </w:r>
    </w:p>
    <w:p w14:paraId="2D1DBE72" w14:textId="4875670A" w:rsidR="005643EA" w:rsidRPr="002A677E" w:rsidRDefault="0043455E" w:rsidP="00487A02">
      <w:pPr>
        <w:pStyle w:val="InstructionsText2"/>
        <w:numPr>
          <w:ilvl w:val="0"/>
          <w:numId w:val="0"/>
        </w:numPr>
        <w:ind w:left="1353" w:hanging="360"/>
      </w:pPr>
      <w:fldSimple w:instr=" seq paragraphs ">
        <w:r w:rsidR="008F3052">
          <w:t>3</w:t>
        </w:r>
      </w:fldSimple>
      <w:r w:rsidR="008F3052">
        <w:t>.</w:t>
      </w:r>
      <w:r w:rsidR="008F3052">
        <w:tab/>
        <w:t>Instytucje zgłaszają tylko te wzory, które są odpowiednie w zależności od podejścia zastosowanego do określenia wymogów w zakresie funduszy własnych.</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64766"/>
      <w:r>
        <w:rPr>
          <w:rFonts w:ascii="Times New Roman" w:hAnsi="Times New Roman"/>
          <w:sz w:val="24"/>
          <w:u w:val="none"/>
        </w:rPr>
        <w:t>1.2.</w:t>
      </w:r>
      <w:r>
        <w:tab/>
      </w:r>
      <w:r>
        <w:rPr>
          <w:rFonts w:ascii="Times New Roman" w:hAnsi="Times New Roman"/>
          <w:sz w:val="24"/>
          <w:u w:val="none"/>
        </w:rPr>
        <w:t>Konwencja numerowania</w:t>
      </w:r>
      <w:bookmarkEnd w:id="14"/>
      <w:bookmarkEnd w:id="15"/>
      <w:bookmarkEnd w:id="16"/>
    </w:p>
    <w:p w14:paraId="07DD29A3" w14:textId="61AD64F8" w:rsidR="002648B0" w:rsidRPr="002A677E" w:rsidRDefault="0043455E" w:rsidP="00487A02">
      <w:pPr>
        <w:pStyle w:val="InstructionsText2"/>
        <w:numPr>
          <w:ilvl w:val="0"/>
          <w:numId w:val="0"/>
        </w:numPr>
        <w:ind w:left="1353" w:hanging="360"/>
      </w:pPr>
      <w:fldSimple w:instr=" seq paragraphs ">
        <w:r w:rsidR="008F3052">
          <w:t>4</w:t>
        </w:r>
      </w:fldSimple>
      <w:r w:rsidR="008F3052">
        <w:t>.</w:t>
      </w:r>
      <w:r w:rsidR="008F3052">
        <w:tab/>
        <w:t xml:space="preserve">W przypadku odniesień do kolumn, wierszy i komórek poszczególnych wzorów w dokumencie przestrzega się konwencji oznaczania przedstawionej w </w:t>
      </w:r>
      <w:r w:rsidR="008F3052" w:rsidRPr="0043455E">
        <w:t>pkt</w:t>
      </w:r>
      <w:r w:rsidRPr="0043455E">
        <w:t> </w:t>
      </w:r>
      <w:r w:rsidR="008F3052" w:rsidRPr="0043455E">
        <w:t>5</w:t>
      </w:r>
      <w:r w:rsidR="008F3052">
        <w:t>–8. Przedmiotowe kody numeryczne znajdują szerokie zastosowanie w regułach walidacyjnych.</w:t>
      </w:r>
    </w:p>
    <w:p w14:paraId="4A930757" w14:textId="77777777" w:rsidR="005643EA" w:rsidRPr="002A677E" w:rsidRDefault="0043455E" w:rsidP="00487A02">
      <w:pPr>
        <w:pStyle w:val="InstructionsText2"/>
        <w:numPr>
          <w:ilvl w:val="0"/>
          <w:numId w:val="0"/>
        </w:numPr>
        <w:ind w:left="1353" w:hanging="360"/>
      </w:pPr>
      <w:fldSimple w:instr=" seq paragraphs ">
        <w:r w:rsidR="008F3052">
          <w:t>5</w:t>
        </w:r>
      </w:fldSimple>
      <w:r w:rsidR="008F3052">
        <w:t>.</w:t>
      </w:r>
      <w:r w:rsidR="008F3052">
        <w:tab/>
        <w:t>W instrukcjach stosowany jest następujący ogólny zapis: {wzór; wiersz; kolumna}.</w:t>
      </w:r>
    </w:p>
    <w:p w14:paraId="058D6622" w14:textId="77777777" w:rsidR="002648B0" w:rsidRPr="002A677E" w:rsidRDefault="0043455E" w:rsidP="00487A02">
      <w:pPr>
        <w:pStyle w:val="InstructionsText2"/>
        <w:numPr>
          <w:ilvl w:val="0"/>
          <w:numId w:val="0"/>
        </w:numPr>
        <w:ind w:left="1353" w:hanging="360"/>
      </w:pPr>
      <w:fldSimple w:instr=" seq paragraphs ">
        <w:r w:rsidR="008F3052">
          <w:t>6</w:t>
        </w:r>
      </w:fldSimple>
      <w:r w:rsidR="008F3052">
        <w:t>.</w:t>
      </w:r>
      <w:r w:rsidR="008F3052">
        <w:tab/>
        <w:t>W przypadku walidacji wewnątrz wzoru, która odnosi się tylko do danych zawartych w tym wzorze, adnotacje nie odnoszą się do wzoru: {wiersz; kolumna}.</w:t>
      </w:r>
    </w:p>
    <w:p w14:paraId="1C93CB72" w14:textId="77777777" w:rsidR="005643EA" w:rsidRPr="002A677E" w:rsidRDefault="0043455E" w:rsidP="00487A02">
      <w:pPr>
        <w:pStyle w:val="InstructionsText2"/>
        <w:numPr>
          <w:ilvl w:val="0"/>
          <w:numId w:val="0"/>
        </w:numPr>
        <w:ind w:left="1353" w:hanging="360"/>
      </w:pPr>
      <w:fldSimple w:instr=" seq paragraphs ">
        <w:r w:rsidR="008F3052">
          <w:t>7</w:t>
        </w:r>
      </w:fldSimple>
      <w:r w:rsidR="008F3052">
        <w:t>.</w:t>
      </w:r>
      <w:r w:rsidR="008F3052">
        <w:tab/>
        <w:t>W przypadku wzorów zawierających tylko jedną kolumnę adnotacja odnosi się tylko do wierszy: {wzór; wiersz}.</w:t>
      </w:r>
    </w:p>
    <w:p w14:paraId="6CF08484" w14:textId="77777777" w:rsidR="002648B0" w:rsidRPr="002A677E" w:rsidRDefault="0043455E" w:rsidP="00487A02">
      <w:pPr>
        <w:pStyle w:val="InstructionsText2"/>
        <w:numPr>
          <w:ilvl w:val="0"/>
          <w:numId w:val="0"/>
        </w:numPr>
        <w:ind w:left="1353" w:hanging="360"/>
      </w:pPr>
      <w:fldSimple w:instr=" seq paragraphs ">
        <w:r w:rsidR="008F3052">
          <w:t>8</w:t>
        </w:r>
      </w:fldSimple>
      <w:r w:rsidR="008F3052">
        <w:t>.</w:t>
      </w:r>
      <w:r w:rsidR="008F3052">
        <w:tab/>
        <w:t>Znaku gwiazdki używa się do wskazania, że walidacja jest wykonywana dla wcześniej określonych wierszy lub kolumn.</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64767"/>
      <w:r>
        <w:rPr>
          <w:rFonts w:ascii="Times New Roman" w:hAnsi="Times New Roman"/>
          <w:sz w:val="24"/>
          <w:u w:val="none"/>
        </w:rPr>
        <w:t>1.3.</w:t>
      </w:r>
      <w:r>
        <w:tab/>
      </w:r>
      <w:r>
        <w:rPr>
          <w:rFonts w:ascii="Times New Roman" w:hAnsi="Times New Roman"/>
          <w:sz w:val="24"/>
          <w:u w:val="none"/>
        </w:rPr>
        <w:t>Konwencja znaku</w:t>
      </w:r>
      <w:bookmarkEnd w:id="11"/>
      <w:bookmarkEnd w:id="12"/>
      <w:bookmarkEnd w:id="17"/>
      <w:bookmarkEnd w:id="18"/>
      <w:bookmarkEnd w:id="19"/>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Każdą kwotę, która zwiększa fundusze własne lub wymogi kapitałowe, zgłasza się jako wartość dodatnią. Każdą kwotę, która zmniejsza fundusze własne lub wymogi kapitałowe, zgłasza się natomiast jako wartość ujemną. Jeżeli przed oznaczeniem pozycji znajduje się znak ujemny (-), dla tej pozycji nie oczekuje się zgłoszenia wartości dodatniej.</w:t>
      </w:r>
    </w:p>
    <w:p w14:paraId="69E08A1F" w14:textId="19E7351D" w:rsidR="00304CA5" w:rsidRPr="002A677E" w:rsidRDefault="0043455E" w:rsidP="00487A02">
      <w:pPr>
        <w:pStyle w:val="InstructionsText2"/>
        <w:numPr>
          <w:ilvl w:val="0"/>
          <w:numId w:val="0"/>
        </w:numPr>
        <w:ind w:left="1353" w:hanging="360"/>
      </w:pPr>
      <w:fldSimple w:instr=" seq paragraphs ">
        <w:r w:rsidR="008F3052">
          <w:t>10</w:t>
        </w:r>
      </w:fldSimple>
      <w:r w:rsidR="008F3052">
        <w:t>. . [puste]</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64768"/>
      <w:r>
        <w:rPr>
          <w:rFonts w:ascii="Times New Roman" w:hAnsi="Times New Roman"/>
        </w:rPr>
        <w:t>CZĘŚĆ II: INSTRUKCJE DOTYCZĄCE WZORÓW</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64769"/>
      <w:r>
        <w:rPr>
          <w:rFonts w:ascii="Times New Roman" w:hAnsi="Times New Roman"/>
          <w:sz w:val="24"/>
          <w:u w:val="none"/>
        </w:rPr>
        <w:t>1.</w:t>
      </w:r>
      <w:r>
        <w:tab/>
      </w:r>
      <w:r>
        <w:rPr>
          <w:rFonts w:ascii="Times New Roman" w:hAnsi="Times New Roman"/>
          <w:sz w:val="24"/>
          <w:u w:val="none"/>
        </w:rPr>
        <w:t>Przegląd adekwatności kapitałowej</w:t>
      </w:r>
      <w:bookmarkEnd w:id="24"/>
      <w:r>
        <w:rPr>
          <w:rFonts w:ascii="Times New Roman" w:hAnsi="Times New Roman"/>
          <w:sz w:val="24"/>
          <w:u w:val="none"/>
        </w:rPr>
        <w:t xml:space="preserve">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64770"/>
      <w:r>
        <w:rPr>
          <w:rFonts w:ascii="Times New Roman" w:hAnsi="Times New Roman"/>
          <w:sz w:val="24"/>
          <w:u w:val="none"/>
        </w:rPr>
        <w:t>1.1.</w:t>
      </w:r>
      <w:r>
        <w:tab/>
      </w:r>
      <w:r>
        <w:rPr>
          <w:rFonts w:ascii="Times New Roman" w:hAnsi="Times New Roman"/>
          <w:sz w:val="24"/>
          <w:u w:val="none"/>
        </w:rPr>
        <w:t>Uwagi ogólne</w:t>
      </w:r>
      <w:bookmarkEnd w:id="27"/>
      <w:bookmarkEnd w:id="28"/>
      <w:bookmarkEnd w:id="29"/>
      <w:bookmarkEnd w:id="30"/>
    </w:p>
    <w:p w14:paraId="21F1BE9F" w14:textId="44E4F1F2" w:rsidR="002648B0" w:rsidRPr="002A677E" w:rsidRDefault="0043455E" w:rsidP="00487A02">
      <w:pPr>
        <w:pStyle w:val="InstructionsText2"/>
        <w:numPr>
          <w:ilvl w:val="0"/>
          <w:numId w:val="0"/>
        </w:numPr>
        <w:ind w:left="1353" w:hanging="360"/>
      </w:pPr>
      <w:fldSimple w:instr=" seq paragraphs ">
        <w:r w:rsidR="008F3052">
          <w:t>11</w:t>
        </w:r>
      </w:fldSimple>
      <w:r w:rsidR="008F3052">
        <w:t>.</w:t>
      </w:r>
      <w:r w:rsidR="008F3052">
        <w:tab/>
        <w:t xml:space="preserve">Wzory CA zawierają informacje na temat liczników w ramach filaru 1 (fundusze własne, kapitał Tier I, kapitał podstawowy Tier I), mianownika (wymogi w zakresie funduszy własnych) oraz stosowania przepisów przejściowych rozporządzenia (UE) </w:t>
      </w:r>
      <w:r w:rsidR="008F3052" w:rsidRPr="0043455E">
        <w:t>nr</w:t>
      </w:r>
      <w:r w:rsidRPr="0043455E">
        <w:t> </w:t>
      </w:r>
      <w:r w:rsidR="008F3052" w:rsidRPr="0043455E">
        <w:t>5</w:t>
      </w:r>
      <w:r w:rsidR="008F3052">
        <w:t xml:space="preserve">75/2013 i dyrektywy 2013/36/UE i składają się one z pięciu wzorów: </w:t>
      </w:r>
    </w:p>
    <w:p w14:paraId="522AAFB4" w14:textId="351FA737" w:rsidR="005643EA" w:rsidRPr="002A677E" w:rsidRDefault="00125707" w:rsidP="00487A02">
      <w:pPr>
        <w:pStyle w:val="InstructionsText2"/>
        <w:numPr>
          <w:ilvl w:val="0"/>
          <w:numId w:val="0"/>
        </w:numPr>
        <w:ind w:left="1353" w:hanging="360"/>
      </w:pPr>
      <w:r>
        <w:t>a)</w:t>
      </w:r>
      <w:r>
        <w:tab/>
        <w:t xml:space="preserve">wzór CA1 zawiera kwotę funduszy własnych instytucji z podziałem na pozycje potrzebne do uzyskania tej kwoty. Obliczona kwota funduszy własnych obejmuje zagregowany skutek stosowania przepisów przejściowych rozporządzenia (UE) </w:t>
      </w:r>
      <w:r w:rsidRPr="0043455E">
        <w:t>nr</w:t>
      </w:r>
      <w:r w:rsidR="0043455E" w:rsidRPr="0043455E">
        <w:t> </w:t>
      </w:r>
      <w:r w:rsidRPr="0043455E">
        <w:t>5</w:t>
      </w:r>
      <w:r>
        <w:t>75/2013 i dyrektywy 2013/36/UE według rodzaju kapitału;</w:t>
      </w:r>
    </w:p>
    <w:p w14:paraId="4AA37357" w14:textId="3DF7DFE5" w:rsidR="005643EA" w:rsidRPr="002A677E" w:rsidRDefault="00125707" w:rsidP="00487A02">
      <w:pPr>
        <w:pStyle w:val="InstructionsText2"/>
        <w:numPr>
          <w:ilvl w:val="0"/>
          <w:numId w:val="0"/>
        </w:numPr>
        <w:ind w:left="1353" w:hanging="360"/>
      </w:pPr>
      <w:r>
        <w:t>b)</w:t>
      </w:r>
      <w:r>
        <w:tab/>
        <w:t xml:space="preserve">we wzorze CA2 podsumowane są łączne kwoty ekspozycji na ryzyko zgodnie z art. 92 ust. 3 rozporządzenia (UE) </w:t>
      </w:r>
      <w:r w:rsidRPr="0043455E">
        <w:t>nr</w:t>
      </w:r>
      <w:r w:rsidR="0043455E" w:rsidRPr="0043455E">
        <w:t> </w:t>
      </w:r>
      <w:r w:rsidRPr="0043455E">
        <w:t>5</w:t>
      </w:r>
      <w:r>
        <w:t>75/2013;</w:t>
      </w:r>
    </w:p>
    <w:p w14:paraId="7B8CC078" w14:textId="04ED6DE8" w:rsidR="005643EA" w:rsidRPr="002A677E" w:rsidRDefault="00125707" w:rsidP="00487A02">
      <w:pPr>
        <w:pStyle w:val="InstructionsText2"/>
        <w:numPr>
          <w:ilvl w:val="0"/>
          <w:numId w:val="0"/>
        </w:numPr>
        <w:ind w:left="1353" w:hanging="360"/>
      </w:pPr>
      <w:r>
        <w:t>c)</w:t>
      </w:r>
      <w:r>
        <w:tab/>
        <w:t xml:space="preserve">wzór CA3 zawiera współczynniki, w odniesieniu do których w rozporządzeniu (UE) </w:t>
      </w:r>
      <w:r w:rsidRPr="0043455E">
        <w:t>nr</w:t>
      </w:r>
      <w:r w:rsidR="0043455E" w:rsidRPr="0043455E">
        <w:t> </w:t>
      </w:r>
      <w:r w:rsidRPr="0043455E">
        <w:t>5</w:t>
      </w:r>
      <w:r>
        <w:t>75/2013 określono poziom minimalny, współczynniki filaru 2, a także pewne inne powiązane dane;</w:t>
      </w:r>
    </w:p>
    <w:p w14:paraId="61C0C310" w14:textId="4CDAA0D3" w:rsidR="005643EA" w:rsidRPr="002A677E" w:rsidRDefault="00125707" w:rsidP="00487A02">
      <w:pPr>
        <w:pStyle w:val="InstructionsText2"/>
        <w:numPr>
          <w:ilvl w:val="0"/>
          <w:numId w:val="0"/>
        </w:numPr>
        <w:ind w:left="1353" w:hanging="360"/>
      </w:pPr>
      <w:r>
        <w:t>d)</w:t>
      </w:r>
      <w:r>
        <w:tab/>
        <w:t xml:space="preserve">wzór CA4 zawiera pozycje uzupełniające niezbędne między innymi do obliczania pozycji we wzorze CA1, jak również informacje na temat buforów kapitałowych określonych w dyrektywie 2013/36/UE; </w:t>
      </w:r>
    </w:p>
    <w:p w14:paraId="3B08263D" w14:textId="049C15A2" w:rsidR="005643EA" w:rsidRPr="002A677E" w:rsidRDefault="00125707" w:rsidP="00487A02">
      <w:pPr>
        <w:pStyle w:val="InstructionsText2"/>
        <w:numPr>
          <w:ilvl w:val="0"/>
          <w:numId w:val="0"/>
        </w:numPr>
        <w:ind w:left="1353" w:hanging="360"/>
      </w:pPr>
      <w:r>
        <w:t>e)</w:t>
      </w:r>
      <w:r>
        <w:tab/>
        <w:t xml:space="preserve">wzór CA5 zawiera dane potrzebne do obliczenia skutku stosowania przepisów przejściowych rozporządzenia (UE) </w:t>
      </w:r>
      <w:r w:rsidRPr="0043455E">
        <w:t>nr</w:t>
      </w:r>
      <w:r w:rsidR="0043455E" w:rsidRPr="0043455E">
        <w:t> </w:t>
      </w:r>
      <w:r w:rsidRPr="0043455E">
        <w:t>5</w:t>
      </w:r>
      <w:r>
        <w:t>75/2013 dla funduszy własnych. Wzór CA5 przestanie istnieć, gdy te przepisy przejściowe utracą moc.</w:t>
      </w:r>
    </w:p>
    <w:p w14:paraId="42AFBB71" w14:textId="6D58C1EE" w:rsidR="00783881" w:rsidRPr="002A677E" w:rsidRDefault="0043455E" w:rsidP="00487A02">
      <w:pPr>
        <w:pStyle w:val="InstructionsText2"/>
        <w:numPr>
          <w:ilvl w:val="0"/>
          <w:numId w:val="0"/>
        </w:numPr>
        <w:ind w:left="1353" w:hanging="360"/>
      </w:pPr>
      <w:fldSimple w:instr=" seq paragraphs ">
        <w:r w:rsidR="008F3052">
          <w:t>12</w:t>
        </w:r>
      </w:fldSimple>
      <w:r w:rsidR="008F3052">
        <w:t>.</w:t>
      </w:r>
      <w:r w:rsidR="008F3052">
        <w:tab/>
        <w:t>Wzory stosują wszystkie jednostki sprawozdające, niezależnie od stosowanych standardów rachunkowości, chociaż niektóre pozycje w liczniku są właściwe dla jednostek stosujących zasady wyceny typu MSR/MSSF. Na ogół informacja w mianowniku jest związana z ostatecznymi wynikami zgłoszonymi w odpowiednich wzorach na potrzeby obliczenia łącznej kwoty ekspozycji na ryzyko.</w:t>
      </w:r>
    </w:p>
    <w:p w14:paraId="6AB6AA40" w14:textId="77777777" w:rsidR="005643EA" w:rsidRPr="002A677E" w:rsidRDefault="0043455E" w:rsidP="00487A02">
      <w:pPr>
        <w:pStyle w:val="InstructionsText2"/>
        <w:numPr>
          <w:ilvl w:val="0"/>
          <w:numId w:val="0"/>
        </w:numPr>
        <w:ind w:left="1353" w:hanging="360"/>
      </w:pPr>
      <w:fldSimple w:instr=" seq paragraphs ">
        <w:r w:rsidR="008F3052">
          <w:t>13</w:t>
        </w:r>
      </w:fldSimple>
      <w:r w:rsidR="008F3052">
        <w:t>.</w:t>
      </w:r>
      <w:r w:rsidR="008F3052">
        <w:tab/>
        <w:t xml:space="preserve">Łączne fundusze własne składają się z różnych rodzajów kapitału: kapitału Tier I, który stanowi sumę kapitału podstawowego Tier I i kapitału dodatkowego Tier I, oraz kapitału Tier II. </w:t>
      </w:r>
    </w:p>
    <w:p w14:paraId="7CAE4F09" w14:textId="779B0F3D" w:rsidR="00783881" w:rsidRPr="002A677E" w:rsidRDefault="0043455E" w:rsidP="00487A02">
      <w:pPr>
        <w:pStyle w:val="InstructionsText2"/>
        <w:numPr>
          <w:ilvl w:val="0"/>
          <w:numId w:val="0"/>
        </w:numPr>
        <w:ind w:left="1353" w:hanging="360"/>
      </w:pPr>
      <w:fldSimple w:instr=" seq paragraphs ">
        <w:r w:rsidR="008F3052">
          <w:t>14</w:t>
        </w:r>
      </w:fldSimple>
      <w:r w:rsidR="008F3052">
        <w:t>.</w:t>
      </w:r>
      <w:r w:rsidR="008F3052">
        <w:tab/>
        <w:t xml:space="preserve">Stosowanie przepisów przejściowych rozporządzenia (UE) </w:t>
      </w:r>
      <w:r w:rsidR="008F3052" w:rsidRPr="0043455E">
        <w:t>nr</w:t>
      </w:r>
      <w:r w:rsidRPr="0043455E">
        <w:t> </w:t>
      </w:r>
      <w:r w:rsidR="008F3052" w:rsidRPr="0043455E">
        <w:t>5</w:t>
      </w:r>
      <w:r w:rsidR="008F3052">
        <w:t>75/2013 i dyrektywy 2013/36/UE uwzględniono we wzorach CA w następujący sposób:</w:t>
      </w:r>
    </w:p>
    <w:p w14:paraId="461AFACA" w14:textId="77777777" w:rsidR="00783881" w:rsidRPr="002A677E" w:rsidRDefault="00125707" w:rsidP="00487A02">
      <w:pPr>
        <w:pStyle w:val="InstructionsText2"/>
        <w:numPr>
          <w:ilvl w:val="0"/>
          <w:numId w:val="0"/>
        </w:numPr>
        <w:ind w:left="1353" w:hanging="360"/>
      </w:pPr>
      <w:r>
        <w:t>a)</w:t>
      </w:r>
      <w:r>
        <w:tab/>
        <w:t xml:space="preserve">w pozycjach we wzorze CA1 na ogół podaje się wartości przed odliczeniem korekt w okresie przejściowym. Oznacza to, że dane liczbowe w pozycjach wzoru CA1 są obliczane zgodnie z ostatecznie obowiązującymi przepisami (czyli tak, jakby nie było żadnych przepisów przejściowych), z wyjątkiem pozycji, które służą podsumowaniu skutku tych przepisów przejściowych. W odniesieniu do </w:t>
      </w:r>
      <w:r>
        <w:lastRenderedPageBreak/>
        <w:t>każdego rodzaju kapitału (tj. kapitału podstawowego Tier I, kapitału dodatkowego Tier I i kapitału Tier II) istnieją trzy różne pozycje, w których ujęte są wszystkie korekty wynikające z tych przepisów przejściowych.</w:t>
      </w:r>
    </w:p>
    <w:p w14:paraId="1413EE3A" w14:textId="4F219E9A" w:rsidR="00113EA5" w:rsidRPr="002A677E" w:rsidRDefault="00125707" w:rsidP="00487A02">
      <w:pPr>
        <w:pStyle w:val="InstructionsText2"/>
        <w:numPr>
          <w:ilvl w:val="0"/>
          <w:numId w:val="0"/>
        </w:numPr>
        <w:ind w:left="1353" w:hanging="360"/>
      </w:pPr>
      <w:r>
        <w:t>b)</w:t>
      </w:r>
      <w:r>
        <w:tab/>
        <w:t xml:space="preserve">Przepisy przejściowe mogą również wpływać na niedobór kapitału dodatkowego Tier I i kapitału Tier II (tj. na nadwyżkę odliczenia od pozycji dodatkowych w Tier I oraz nadwyżkę odliczenia od pozycji w Tier II, co uregulowane jest odpowiednio w art. 36 ust. 1 lit. j) i w art. 56 lit. e) rozporządzenia (UE) </w:t>
      </w:r>
      <w:r w:rsidRPr="0043455E">
        <w:t>nr</w:t>
      </w:r>
      <w:r w:rsidR="0043455E" w:rsidRPr="0043455E">
        <w:t> </w:t>
      </w:r>
      <w:r w:rsidRPr="0043455E">
        <w:t>5</w:t>
      </w:r>
      <w:r>
        <w:t>75/2013), a tym samym pozycje zawierające te niedobory mogą pośrednio odzwierciedlać skutek tych przepisów przejściowych;</w:t>
      </w:r>
    </w:p>
    <w:p w14:paraId="5BA6EE8D" w14:textId="20CD3F11" w:rsidR="005643EA" w:rsidRPr="002A677E" w:rsidRDefault="00125707" w:rsidP="00487A02">
      <w:pPr>
        <w:pStyle w:val="InstructionsText2"/>
        <w:numPr>
          <w:ilvl w:val="0"/>
          <w:numId w:val="0"/>
        </w:numPr>
        <w:ind w:left="1353" w:hanging="360"/>
      </w:pPr>
      <w:r>
        <w:t>c)</w:t>
      </w:r>
      <w:r>
        <w:tab/>
        <w:t xml:space="preserve">Wzór CA5 służy wyłącznie do sprawozdawczości w zakresie skutków wynikających ze stosowania przepisów przejściowych rozporządzenia (UE) </w:t>
      </w:r>
      <w:r w:rsidRPr="0043455E">
        <w:t>nr</w:t>
      </w:r>
      <w:r w:rsidR="0043455E" w:rsidRPr="0043455E">
        <w:t> </w:t>
      </w:r>
      <w:r w:rsidRPr="0043455E">
        <w:t>5</w:t>
      </w:r>
      <w:r>
        <w:t xml:space="preserve">75/2013. </w:t>
      </w:r>
    </w:p>
    <w:p w14:paraId="2E1A7C01" w14:textId="7D570AF7" w:rsidR="00783881" w:rsidRPr="002A677E" w:rsidRDefault="0043455E" w:rsidP="00487A02">
      <w:pPr>
        <w:pStyle w:val="InstructionsText2"/>
        <w:numPr>
          <w:ilvl w:val="0"/>
          <w:numId w:val="0"/>
        </w:numPr>
        <w:ind w:left="1353" w:hanging="360"/>
      </w:pPr>
      <w:fldSimple w:instr=" seq paragraphs ">
        <w:r w:rsidR="008F3052">
          <w:t>15</w:t>
        </w:r>
      </w:fldSimple>
      <w:r w:rsidR="008F3052">
        <w:t>.</w:t>
      </w:r>
      <w:r w:rsidR="008F3052">
        <w:tab/>
        <w:t xml:space="preserve">Poszczególne państwa UE mogą różnie traktować wymogi filaru II (art. 104a ust. 1 dyrektywy 2013/36/UE musi być transponowany do przepisów krajowych). W sprawozdawczości dotyczącej wypłacalności na mocy rozporządzenia (UE) </w:t>
      </w:r>
      <w:r w:rsidR="008F3052" w:rsidRPr="0043455E">
        <w:t>nr</w:t>
      </w:r>
      <w:r w:rsidRPr="0043455E">
        <w:t> </w:t>
      </w:r>
      <w:r w:rsidR="008F3052" w:rsidRPr="0043455E">
        <w:t>5</w:t>
      </w:r>
      <w:r w:rsidR="008F3052">
        <w:t xml:space="preserve">75/2013 uwzględnia się tylko wpływ wymogów filaru II na współczynnik wypłacalności lub na współczynnik docelowy. </w:t>
      </w:r>
    </w:p>
    <w:p w14:paraId="4913F19A" w14:textId="77777777" w:rsidR="005643EA" w:rsidRPr="002A677E" w:rsidRDefault="00125707" w:rsidP="00487A02">
      <w:pPr>
        <w:pStyle w:val="InstructionsText2"/>
        <w:numPr>
          <w:ilvl w:val="0"/>
          <w:numId w:val="0"/>
        </w:numPr>
        <w:ind w:left="1353" w:hanging="360"/>
      </w:pPr>
      <w:r>
        <w:t>a)</w:t>
      </w:r>
      <w:r>
        <w:tab/>
        <w:t>Wzory CA1, CA2 i CA5 zawierają wyłącznie dane dotyczące zagadnień związanych z filarem I.</w:t>
      </w:r>
    </w:p>
    <w:p w14:paraId="1D28867A" w14:textId="77777777" w:rsidR="005643EA" w:rsidRPr="002A677E" w:rsidRDefault="00125707" w:rsidP="00487A02">
      <w:pPr>
        <w:pStyle w:val="InstructionsText2"/>
        <w:numPr>
          <w:ilvl w:val="0"/>
          <w:numId w:val="0"/>
        </w:numPr>
        <w:ind w:left="1353" w:hanging="360"/>
      </w:pPr>
      <w:r>
        <w:t>b)</w:t>
      </w:r>
      <w:r>
        <w:tab/>
        <w:t>Wzór CA3 dotyczy wpływu dodatkowych wymogów filaru II na współczynnik wypłacalności w ujęciu zagregowanym. Głównie dotyczy on samych współczynników docelowych. Nie ma żadnego dalszego związku z wzorami CA1, CA2 lub CA5.</w:t>
      </w:r>
    </w:p>
    <w:p w14:paraId="36BBAE84" w14:textId="73CEAC43" w:rsidR="005643EA" w:rsidRPr="002A677E" w:rsidRDefault="00125707" w:rsidP="00487A02">
      <w:pPr>
        <w:pStyle w:val="InstructionsText2"/>
        <w:numPr>
          <w:ilvl w:val="0"/>
          <w:numId w:val="0"/>
        </w:numPr>
        <w:ind w:left="1353" w:hanging="360"/>
      </w:pPr>
      <w:r>
        <w:t>c)</w:t>
      </w:r>
      <w:r>
        <w:tab/>
        <w:t>Wzór CA4 zawiera jedną komórkę dotyczącą dodatkowych wymogów w zakresie funduszy własnych, które to wymogi związane są z filarem II. Komórka ta w żaden sposób nie jest powiązana regułami walidacyjnymi ze współczynnikami kapitałowymi ujętymi we wzorze CA3 i odzwierciedla ona art. 104a ust. 1 dyrektywy 2013/36/UE, w którym to przepisie wyraźnie wymienia się dodatkowe wymogi w zakresie funduszy własnych jako jedną z możliwości podjęcia decyzji w ramach filaru II.</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308175820"/>
      <w:bookmarkStart w:id="33" w:name="_Toc360188325"/>
      <w:bookmarkStart w:id="34" w:name="_Toc119064771"/>
      <w:r>
        <w:rPr>
          <w:rFonts w:ascii="Times New Roman" w:hAnsi="Times New Roman"/>
          <w:sz w:val="24"/>
          <w:u w:val="none"/>
        </w:rPr>
        <w:t>1.2.</w:t>
      </w:r>
      <w:r>
        <w:tab/>
      </w:r>
      <w:r>
        <w:rPr>
          <w:rFonts w:ascii="Times New Roman" w:hAnsi="Times New Roman"/>
          <w:sz w:val="24"/>
        </w:rPr>
        <w:t>C 01.00 – FUNDUSZE WŁASNE (CA1)</w:t>
      </w:r>
      <w:bookmarkEnd w:id="31"/>
      <w:bookmarkEnd w:id="34"/>
      <w:r>
        <w:rPr>
          <w:rFonts w:ascii="Times New Roman" w:hAnsi="Times New Roman"/>
          <w:sz w:val="24"/>
        </w:rPr>
        <w:t xml:space="preserve"> </w:t>
      </w:r>
      <w:bookmarkEnd w:id="32"/>
      <w:bookmarkEnd w:id="3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64772"/>
      <w:r>
        <w:rPr>
          <w:rFonts w:ascii="Times New Roman" w:hAnsi="Times New Roman"/>
          <w:sz w:val="24"/>
          <w:u w:val="none"/>
        </w:rPr>
        <w:t>1.2.1.</w:t>
      </w:r>
      <w:r>
        <w:tab/>
      </w:r>
      <w:r>
        <w:rPr>
          <w:rFonts w:ascii="Times New Roman" w:hAnsi="Times New Roman"/>
          <w:sz w:val="24"/>
        </w:rPr>
        <w:t>Instrukcje dotyczące poszczególnych</w:t>
      </w:r>
      <w:bookmarkEnd w:id="35"/>
      <w:bookmarkEnd w:id="36"/>
      <w:r>
        <w:rPr>
          <w:rFonts w:ascii="Times New Roman" w:hAnsi="Times New Roman"/>
          <w:sz w:val="24"/>
        </w:rPr>
        <w:t xml:space="preserve"> pozycji</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Wiersz</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Odniesienia prawne i instrukcje</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Fundusze własne</w:t>
            </w:r>
          </w:p>
          <w:p w14:paraId="386CAF3D" w14:textId="0BD95C6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18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7</w:t>
            </w:r>
            <w:r>
              <w:rPr>
                <w:rStyle w:val="FormatvorlageInstructionsTabelleText"/>
                <w:rFonts w:ascii="Times New Roman" w:hAnsi="Times New Roman"/>
                <w:sz w:val="24"/>
              </w:rPr>
              <w:t>2</w:t>
            </w:r>
            <w:r>
              <w:t xml:space="preserve"> rozporządzenia (UE) </w:t>
            </w:r>
            <w:r w:rsidRPr="0043455E">
              <w:t>nr</w:t>
            </w:r>
            <w:r w:rsidR="0043455E" w:rsidRPr="0043455E">
              <w:t> </w:t>
            </w:r>
            <w:r w:rsidRPr="0043455E">
              <w:t>5</w:t>
            </w:r>
            <w:r>
              <w:t>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Fundusze własne danej instytucji stanowią sumę jej kapitału Tier I i kapitału Tier II.</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Kapitał Tier I</w:t>
            </w:r>
          </w:p>
          <w:p w14:paraId="38E5595D" w14:textId="0690D7D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 25</w:t>
            </w:r>
            <w:r>
              <w:t xml:space="preserve"> rozporządzenia (UE) </w:t>
            </w:r>
            <w:r w:rsidRPr="0043455E">
              <w:t>nr</w:t>
            </w:r>
            <w:r w:rsidR="0043455E" w:rsidRPr="0043455E">
              <w:t> </w:t>
            </w:r>
            <w:r w:rsidRPr="0043455E">
              <w:t>5</w:t>
            </w:r>
            <w:r>
              <w:t>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Kapitał Tier I stanowi sumę kapitału podstawowego Tier I i kapitału dodatkowego Tier I.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Kapitał podstawowy Tier I</w:t>
            </w:r>
          </w:p>
          <w:p w14:paraId="79BBD3B7" w14:textId="32075B5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50</w:t>
            </w:r>
            <w:r>
              <w:t xml:space="preserve"> rozporządzenia (UE) </w:t>
            </w:r>
            <w:r w:rsidRPr="0043455E">
              <w:t>nr</w:t>
            </w:r>
            <w:r w:rsidR="0043455E" w:rsidRPr="0043455E">
              <w:t> </w:t>
            </w:r>
            <w:r w:rsidRPr="0043455E">
              <w:t>5</w:t>
            </w:r>
            <w:r>
              <w:t>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Instrumenty kapitałowe i ażio emisyjne kwalifikujące się jako kapitał podstawowy Tier I</w:t>
            </w:r>
          </w:p>
          <w:p w14:paraId="3A690C0A" w14:textId="428014CA" w:rsidR="005643EA" w:rsidRPr="002A677E" w:rsidRDefault="002648B0" w:rsidP="0083693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b),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7–30,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f)</w:t>
            </w:r>
            <w:r>
              <w:rPr>
                <w:rStyle w:val="FormatvorlageInstructionsTabelleText"/>
                <w:rFonts w:ascii="Times New Roman" w:hAnsi="Times New Roman"/>
                <w:sz w:val="24"/>
              </w:rPr>
              <w:t xml:space="preserve"> oraz art. 42 </w:t>
            </w:r>
            <w:r>
              <w:t xml:space="preserve">rozporządzenia (UE) </w:t>
            </w:r>
            <w:r w:rsidRPr="0043455E">
              <w:t>nr</w:t>
            </w:r>
            <w:r w:rsidR="0043455E" w:rsidRPr="0043455E">
              <w:t> </w:t>
            </w:r>
            <w:r w:rsidRPr="0043455E">
              <w:t>5</w:t>
            </w:r>
            <w:r>
              <w:t>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W pełni opłacone instrumenty kapitałowe</w:t>
            </w:r>
          </w:p>
          <w:p w14:paraId="0F8A3967" w14:textId="552DD8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7–31</w:t>
            </w:r>
            <w:r>
              <w:t xml:space="preserve"> rozporządzenia (UE) </w:t>
            </w:r>
            <w:r w:rsidRPr="0043455E">
              <w:t>nr</w:t>
            </w:r>
            <w:r w:rsidR="0043455E" w:rsidRPr="0043455E">
              <w:t> </w:t>
            </w:r>
            <w:r w:rsidRPr="0043455E">
              <w:t>5</w:t>
            </w:r>
            <w:r>
              <w:t>75/2013</w:t>
            </w:r>
          </w:p>
          <w:p w14:paraId="44C8CBFB" w14:textId="37B6BDC6"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Uwzględniane są instrumenty kapitałowe towarzystw ubezpieczeń wzajemnych, spółdzielni lub podobnych instytucji (art. 27 i 29</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Nie uwzględnia się ażio emisyjnego związanego z instrumentami.</w:t>
            </w:r>
          </w:p>
          <w:p w14:paraId="2E095C10" w14:textId="7504C5BC"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 kapitałowe subskrybowane przez organy publiczne w sytuacjach nadzwyczajnych są uwzględniane, jeżeli spełnione zostały wszystkie warunki określone w art. 31</w:t>
            </w:r>
            <w:r>
              <w:t xml:space="preserve"> rozporządzenia (UE) </w:t>
            </w:r>
            <w:r w:rsidRPr="0043455E">
              <w:t>nr</w:t>
            </w:r>
            <w:r w:rsidR="0043455E" w:rsidRPr="0043455E">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w:t>
            </w:r>
            <w:r>
              <w:t>.</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W tym: instrumenty kapitałowe subskrybowane przez organy publiczne w sytuacjach nadzwyczajnych</w:t>
            </w:r>
          </w:p>
          <w:p w14:paraId="46EFD50D" w14:textId="75683948"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31</w:t>
            </w:r>
            <w:r>
              <w:t xml:space="preserve"> rozporządzenia (UE) </w:t>
            </w:r>
            <w:r w:rsidRPr="0043455E">
              <w:t>nr</w:t>
            </w:r>
            <w:r w:rsidR="0043455E" w:rsidRPr="0043455E">
              <w:t> </w:t>
            </w:r>
            <w:r w:rsidRPr="0043455E">
              <w:t>5</w:t>
            </w:r>
            <w:r>
              <w:t>75/2013</w:t>
            </w:r>
          </w:p>
          <w:p w14:paraId="79CD2790" w14:textId="1FB68000"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Instrumenty kapitałowe subskrybowane przez organy publiczne w sytuacjach nadzwyczajnych są uwzględniane w kapitale podstawowym Tier I, jeżeli spełnione zostały wszystkie warunki określone w art. 31</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Pozycja uzupełniająca: nieuznane instrumenty kapitałowe</w:t>
            </w:r>
          </w:p>
          <w:p w14:paraId="6274F785" w14:textId="5B28375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l) i m)</w:t>
            </w:r>
            <w:r>
              <w:t xml:space="preserve"> rozporządzenia (UE) </w:t>
            </w:r>
            <w:r w:rsidRPr="0043455E">
              <w:t>nr</w:t>
            </w:r>
            <w:r w:rsidR="0043455E" w:rsidRPr="0043455E">
              <w:t> </w:t>
            </w:r>
            <w:r w:rsidRPr="0043455E">
              <w:t>5</w:t>
            </w:r>
            <w:r>
              <w:t>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Warunki określone w tych literach odzwierciedlają różne sytuacje dotyczące kapitału, które są odwracalne, a więc kwota tu zgłoszona może zostać uznana w kolejnych okresach.</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 z instrumentami.</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Ażio emisyjne</w:t>
            </w:r>
          </w:p>
          <w:p w14:paraId="0238A602" w14:textId="200ECF3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24,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Ażio emisyjne ma takie samo znaczenie jak w mających zastosowanie standardach rachunkowości.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Kwota, którą należy zgłosić w tej pozycji, stanowi część związaną z pozycją „W pełni opłacone instrumenty kapitałowe”.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Instrumenty własne w kapitale podstawowym Tier I</w:t>
            </w:r>
          </w:p>
          <w:p w14:paraId="17A6A53A" w14:textId="3875B5B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f)</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2</w:t>
            </w:r>
            <w:r>
              <w:t xml:space="preserve"> rozporządzenia delegowanego (UE) </w:t>
            </w:r>
            <w:r w:rsidRPr="0043455E">
              <w:t>nr</w:t>
            </w:r>
            <w:r w:rsidR="0043455E" w:rsidRPr="0043455E">
              <w:t> </w:t>
            </w:r>
            <w:r w:rsidRPr="0043455E">
              <w:t>5</w:t>
            </w:r>
            <w:r>
              <w:t>75/2013</w:t>
            </w:r>
          </w:p>
          <w:p w14:paraId="6F1D6654" w14:textId="14E206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Instrumenty własne w kapitale podstawowym Tier I będące w posiadaniu instytucji lub grupy sprawozdającej na dzień sprawozdawczy oraz kwoty instrumentów w kapitale podstawowym Tier I, które należy odliczyć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rozporządzenia delegowanego Komisji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Z zastrzeżeniem wyjątków przewidzianych w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2</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tym wierszu nie zgłasza się udziałów kapitałowych zaliczanych do „Nieuznanych instrumentów kapitałowych”.</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obejmuje ażio emisyjne związane z własnymi udziałami.</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Pozycje 1.1.1.1.4–1.1.1.1.4.3 nie obejmują faktycznych ani warunkowych zobowiązań do zakupu instrumentów własnych w kapitale podstawowym Tier I. Faktyczne lub warunkowe zobowiązania do zakupu instrumentów własnych w kapitale podstawowym Tier I zgłasza się oddzielnie w pozycji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Bezpośrednie udziały kapitałowe w instrumentach w kapitale podstawowym Tier I</w:t>
            </w:r>
          </w:p>
          <w:p w14:paraId="75423A7A" w14:textId="6021ABBD"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f)</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2</w:t>
            </w:r>
            <w:r>
              <w:t xml:space="preserve"> rozporządzenia delegowanego (UE) </w:t>
            </w:r>
            <w:r w:rsidRPr="0043455E">
              <w:t>nr</w:t>
            </w:r>
            <w:r w:rsidR="0043455E" w:rsidRPr="0043455E">
              <w:t> </w:t>
            </w:r>
            <w:r w:rsidRPr="0043455E">
              <w:t>5</w:t>
            </w:r>
            <w:r>
              <w:t>75/2013</w:t>
            </w:r>
          </w:p>
          <w:p w14:paraId="08CA447F" w14:textId="7924E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Instrumenty w kapitale podstawowym Tier I objęte pozycją 1.1.1.1 będące w posiadaniu instytucji należących do skonsolidowanej grupy oraz kwoty instrumentów w kapitale podstawowym Tier I, które należy odliczyć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rozporządzenia delegowanego Komisji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41/2014. </w:t>
            </w:r>
          </w:p>
          <w:p w14:paraId="52B27E73" w14:textId="191097D6"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obejmuje wartość posiadanych w portfelu handlowym udziałów kapitałowych obliczoną na podstawie pozycji długiej netto, jak stanowi art. 42 lit. a)</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Pośrednie udziały kapitałowe w instrumentach w kapitale podstawowym Tier I</w:t>
            </w:r>
          </w:p>
          <w:p w14:paraId="09702BF0" w14:textId="1EB81BE2"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14,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f)</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2</w:t>
            </w:r>
            <w:r>
              <w:t xml:space="preserve"> rozporządzenia (UE) </w:t>
            </w:r>
            <w:r w:rsidRPr="0043455E">
              <w:t>nr</w:t>
            </w:r>
            <w:r w:rsidR="0043455E" w:rsidRPr="0043455E">
              <w:t> </w:t>
            </w:r>
            <w:r w:rsidRPr="0043455E">
              <w:t>5</w:t>
            </w:r>
            <w:r>
              <w:t>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Syntetyczne udziały kapitałowe w instrumentach w kapitale podstawowym Tier I</w:t>
            </w:r>
          </w:p>
          <w:p w14:paraId="26DE2A22" w14:textId="76E52C30"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26,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f)</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2</w:t>
            </w:r>
            <w:r>
              <w:t xml:space="preserve"> rozporządzenia (UE) </w:t>
            </w:r>
            <w:r w:rsidRPr="0043455E">
              <w:t>nr</w:t>
            </w:r>
            <w:r w:rsidR="0043455E" w:rsidRPr="0043455E">
              <w:t> </w:t>
            </w:r>
            <w:r w:rsidRPr="0043455E">
              <w:t>5</w:t>
            </w:r>
            <w:r>
              <w:t>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Faktyczne lub warunkowe zobowiązania do zakupu instrumentów własnych w kapitale podstawowym Tier I</w:t>
            </w:r>
          </w:p>
          <w:p w14:paraId="5F8B540B" w14:textId="3E8C593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f)</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2</w:t>
            </w:r>
            <w:r>
              <w:t xml:space="preserve"> rozporządzenia delegowanego (UE) </w:t>
            </w:r>
            <w:r w:rsidRPr="0043455E">
              <w:t>nr</w:t>
            </w:r>
            <w:r w:rsidR="0043455E" w:rsidRPr="0043455E">
              <w:t> </w:t>
            </w:r>
            <w:r w:rsidRPr="0043455E">
              <w:t>5</w:t>
            </w:r>
            <w:r>
              <w:t>75/2013</w:t>
            </w:r>
          </w:p>
          <w:p w14:paraId="7F2407F4" w14:textId="117FD51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Zgodnie z art. 36 ust. 1 lit. f)</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 odlicza się „instrumenty własne w kapitale podstawowym Tier I, do których zakupu instytucja jest faktycznie lub warunkowo zobowiązana na mocy istniejącego zobowiązania umownego”.</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Zyski zatrzymane</w:t>
            </w:r>
          </w:p>
          <w:p w14:paraId="3ADB3998" w14:textId="106D21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xml:space="preserve"> i art. 26 ust. 2</w:t>
            </w:r>
            <w:r>
              <w:t xml:space="preserve"> rozporządzenia (UE) </w:t>
            </w:r>
            <w:r w:rsidRPr="0043455E">
              <w:t>nr</w:t>
            </w:r>
            <w:r w:rsidR="0043455E" w:rsidRPr="0043455E">
              <w:t> </w:t>
            </w:r>
            <w:r w:rsidRPr="0043455E">
              <w:t>5</w:t>
            </w:r>
            <w:r>
              <w:t>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Zyski zatrzymane obejmują zyski zatrzymane z poprzednich lat powiększone o uznane zyski z bieżącego okresu lub zyski roczne.</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Zyski zatrzymane w poprzednich latach</w:t>
            </w:r>
          </w:p>
          <w:p w14:paraId="54F5DF50" w14:textId="45BC14C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23 i art. 26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7784E49D" w14:textId="6752A00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23 </w:t>
            </w:r>
            <w:r>
              <w:t xml:space="preserve">rozporządzenia (UE) </w:t>
            </w:r>
            <w:r w:rsidRPr="0043455E">
              <w:t>nr</w:t>
            </w:r>
            <w:r w:rsidR="0043455E" w:rsidRPr="0043455E">
              <w:t> </w:t>
            </w:r>
            <w:r w:rsidRPr="0043455E">
              <w:t>5</w:t>
            </w:r>
            <w:r>
              <w:t xml:space="preserve">75/2013 zyski zatrzymane zdefiniowane </w:t>
            </w:r>
            <w:r>
              <w:rPr>
                <w:rStyle w:val="FormatvorlageInstructionsTabelleText"/>
                <w:rFonts w:ascii="Times New Roman" w:hAnsi="Times New Roman"/>
                <w:sz w:val="24"/>
              </w:rPr>
              <w:t>są jako „zyski i straty wynikające z ostatecznego zastosowania wyniku finansowego zgodnie z mającymi zastosowanie standardami rachunkowości”.</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Uznany zysk lub uznana strata</w:t>
            </w:r>
          </w:p>
          <w:p w14:paraId="21F4DCF2" w14:textId="195AA00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21,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49CD03AF" w14:textId="334B247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26 ust. 2</w:t>
            </w:r>
            <w:r>
              <w:t xml:space="preserve"> rozporządzenia (UE) </w:t>
            </w:r>
            <w:r w:rsidRPr="0043455E">
              <w:t>nr</w:t>
            </w:r>
            <w:r w:rsidR="0043455E" w:rsidRPr="0043455E">
              <w:t> </w:t>
            </w:r>
            <w:r w:rsidRPr="0043455E">
              <w:t>5</w:t>
            </w:r>
            <w:r>
              <w:t xml:space="preserve">75/2013 </w:t>
            </w:r>
            <w:r>
              <w:rPr>
                <w:rStyle w:val="FormatvorlageInstructionsTabelleText"/>
                <w:rFonts w:ascii="Times New Roman" w:hAnsi="Times New Roman"/>
                <w:sz w:val="24"/>
              </w:rPr>
              <w:t xml:space="preserve">pozwala – pod warunkiem otrzymania wcześniejszej zgody właściwego organu – na włączenie do zysków zatrzymanych zysków z bieżącego okresu lub zysków rocznych, jeśli spełnione są pewne warunki. </w:t>
            </w:r>
          </w:p>
          <w:p w14:paraId="59132D42" w14:textId="213D9EA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 kolei straty odlicza się od kapitału podstawowego Tier I, jak stanowi art. 36 ust. 1 lit. a)</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Zysk lub strata możliwe do przypisania właścicielom jednostki dominującej</w:t>
            </w:r>
          </w:p>
          <w:p w14:paraId="7D2A8D42" w14:textId="556F86F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26 ust. 2 i art. 36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t xml:space="preserve"> rozporządzenia (UE) </w:t>
            </w:r>
            <w:r w:rsidRPr="0043455E">
              <w:t>nr</w:t>
            </w:r>
            <w:r w:rsidR="0043455E" w:rsidRPr="0043455E">
              <w:t> </w:t>
            </w:r>
            <w:r w:rsidRPr="0043455E">
              <w:t>5</w:t>
            </w:r>
            <w:r>
              <w:t>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zyskiem lub stratą, które zgłoszone są w księgowym rachunku zysków i strat.</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Część nieuznanego zysku z bieżącego okresu lub nieuznanego zysku rocznego</w:t>
            </w:r>
          </w:p>
          <w:p w14:paraId="1285EAFD" w14:textId="6FA503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t xml:space="preserve"> rozporządzenia (UE)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wierszu tym nie zgłasza się żadnej wartości, jeżeli za okres odniesienia instytucja zgłosiła straty, ponieważ straty te odlicza się w całości od kapitału podstawowego Tier I.</w:t>
            </w:r>
          </w:p>
          <w:p w14:paraId="7D9F770C" w14:textId="2B0FC98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Jeśli instytucja zgłasza zyski, zgłaszana jest część, która zgodnie z art. 26 ust. 2</w:t>
            </w:r>
            <w:r>
              <w:t xml:space="preserve"> rozporządzenia (UE) </w:t>
            </w:r>
            <w:r w:rsidRPr="0043455E">
              <w:t>nr</w:t>
            </w:r>
            <w:r w:rsidR="0043455E" w:rsidRPr="0043455E">
              <w:t> </w:t>
            </w:r>
            <w:r w:rsidRPr="0043455E">
              <w:t>5</w:t>
            </w:r>
            <w:r>
              <w:t xml:space="preserve">75/2013 jest nieuznana </w:t>
            </w:r>
            <w:r>
              <w:rPr>
                <w:rStyle w:val="FormatvorlageInstructionsTabelleText"/>
                <w:rFonts w:ascii="Times New Roman" w:hAnsi="Times New Roman"/>
                <w:sz w:val="24"/>
              </w:rPr>
              <w:t>(tj. zyski niezweryfikowane przez biegłego rewidenta oraz możliwe do przewidzenia obciążenia lub dywidendy).</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Należy zauważyć, że w przypadku zysków odliczaną kwotę stanowią co najmniej dywidendy wypłacone w ciągu roku obrotowego.</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Skumulowane inne całkowite dochody</w:t>
            </w:r>
          </w:p>
          <w:p w14:paraId="4FCA4A4A" w14:textId="6FC170A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00 i art. 26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d)</w:t>
            </w:r>
            <w:r>
              <w:t xml:space="preserve"> rozporządzenia (UE) </w:t>
            </w:r>
            <w:r w:rsidRPr="0043455E">
              <w:t>nr</w:t>
            </w:r>
            <w:r w:rsidR="0043455E" w:rsidRPr="0043455E">
              <w:t> </w:t>
            </w:r>
            <w:r w:rsidRPr="0043455E">
              <w:t>5</w:t>
            </w:r>
            <w:r>
              <w:t>75/2013</w:t>
            </w:r>
          </w:p>
          <w:p w14:paraId="1E90CC48" w14:textId="3A84C56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Kwota, którą należy zgłosić, jest kwotą po odliczeniu wszelkich obciążeń podatkowych dających się przewidzieć w chwili wyliczania tej kwoty, a przed zastosowaniem filtrów ostrożnościowych. Kwotę, którą należy zgłosić, określa się zgodnie z art. 13 ust. 4 rozporządzenia delegowanego Komisji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41/2014.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Pozostałe kapitały rezerwowe</w:t>
            </w:r>
          </w:p>
          <w:p w14:paraId="2AF06D00" w14:textId="582630FD"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17 oraz art. 26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e)</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64926C51" w14:textId="3C1228C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Pozostałe kapitały rezerwowe są zdefiniowane</w:t>
            </w:r>
            <w:r>
              <w:t xml:space="preserve"> w rozporządzeniu (UE) </w:t>
            </w:r>
            <w:r w:rsidRPr="0043455E">
              <w:t>nr</w:t>
            </w:r>
            <w:r w:rsidR="0043455E" w:rsidRPr="0043455E">
              <w:t> </w:t>
            </w:r>
            <w:r w:rsidRPr="0043455E">
              <w:t>5</w:t>
            </w:r>
            <w:r>
              <w:t xml:space="preserve">75/2013 jako </w:t>
            </w:r>
            <w:r>
              <w:rPr>
                <w:rStyle w:val="FormatvorlageInstructionsTabelleText"/>
                <w:rFonts w:ascii="Times New Roman" w:hAnsi="Times New Roman"/>
                <w:sz w:val="24"/>
              </w:rPr>
              <w:t>„kapitały w rozumieniu mających zastosowanie standardów rachunkowości, których ujawnienie jest wymagane zgodnie z mającymi zastosowanie standardami rachunkowości, z wyjątkiem wszelkich kwot już uwzględnionych w ramach skumulowanych innych całkowitych dochodów lub zysków zatrzymanych”.</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kwotą po odliczeniu wszelkich obciążeń podatkowych dających się przewidzieć w chwili wyliczania tej kwoty.</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Fundusze ogólnego ryzyka bankowego</w:t>
            </w:r>
          </w:p>
          <w:p w14:paraId="0FA76D31" w14:textId="4320A24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12 i art. 26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f)</w:t>
            </w:r>
            <w:r>
              <w:t xml:space="preserve"> rozporządzenia (UE) </w:t>
            </w:r>
            <w:r w:rsidRPr="0043455E">
              <w:t>nr</w:t>
            </w:r>
            <w:r w:rsidR="0043455E" w:rsidRPr="0043455E">
              <w:t> </w:t>
            </w:r>
            <w:r w:rsidRPr="0043455E">
              <w:t>5</w:t>
            </w:r>
            <w:r>
              <w:t>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Fundusze ogólnego ryzyka bankowego zdefiniowane są w art. </w:t>
            </w:r>
            <w:r>
              <w:t>38 dyrektywy Rady 86/635/EWG</w:t>
            </w:r>
            <w:r>
              <w:rPr>
                <w:rStyle w:val="FormatvorlageInstructionsTabelleText"/>
                <w:rFonts w:ascii="Times New Roman" w:hAnsi="Times New Roman"/>
                <w:sz w:val="24"/>
              </w:rPr>
              <w:t xml:space="preserve"> jako „kwoty, które instytucja kredytowa decyduje się zarezerwować na pokrycie ryzyka, w przypadku gdy jest to wymagane ze względu na szczególne rodzaje ryzyka związanego z bankowością”.</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kwotą po odliczeniu wszelkich obciążeń podatkowych dających się przewidzieć w chwili wyliczania tej kwoty.</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Korekty w okresie przejściowym z tytułu instrumentów w kapitale podstawowym Tier I podlegających zasadzie praw nabytych</w:t>
            </w:r>
          </w:p>
          <w:p w14:paraId="34326EC5" w14:textId="45EBB36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483 ust. 1, 2 i 3 oraz art. 484–487 </w:t>
            </w:r>
            <w:r>
              <w:t xml:space="preserve">rozporządzenia (UE) </w:t>
            </w:r>
            <w:r w:rsidRPr="0043455E">
              <w:t>nr</w:t>
            </w:r>
            <w:r w:rsidR="0043455E" w:rsidRPr="0043455E">
              <w:t> </w:t>
            </w:r>
            <w:r w:rsidRPr="0043455E">
              <w:t>5</w:t>
            </w:r>
            <w:r>
              <w:t>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instrumentów kapitałowych podlegających w okresie przejściowym zasadzie praw nabytych jako kapitał podstawowy Tier I. Kwota, którą należy zgłosić, jest uzyskiwana bezpośrednio z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Udział mniejszości uznany w kapitale podstawowym Tier I</w:t>
            </w:r>
          </w:p>
          <w:p w14:paraId="2B0E9AD1" w14:textId="6ED0496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20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8</w:t>
            </w:r>
            <w:r>
              <w:rPr>
                <w:rStyle w:val="FormatvorlageInstructionsTabelleText"/>
                <w:rFonts w:ascii="Times New Roman" w:hAnsi="Times New Roman"/>
                <w:sz w:val="24"/>
              </w:rPr>
              <w:t>4</w:t>
            </w:r>
            <w:r>
              <w:t xml:space="preserve"> rozporządzenia (UE) </w:t>
            </w:r>
            <w:r w:rsidRPr="0043455E">
              <w:t>nr</w:t>
            </w:r>
            <w:r w:rsidR="0043455E" w:rsidRPr="0043455E">
              <w:t> </w:t>
            </w:r>
            <w:r w:rsidRPr="0043455E">
              <w:t>5</w:t>
            </w:r>
            <w:r>
              <w:t>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wszystkich kwot udziałów mniejszości jednostek zależnych uwzględniona w skonsolidowanym kapitale podstawowym Tier I.</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Korekty w okresie przejściowym z tytułu dodatkowych udziałów mniejszości</w:t>
            </w:r>
          </w:p>
          <w:p w14:paraId="269E3669" w14:textId="6648443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479 i 480</w:t>
            </w:r>
            <w:r>
              <w:t xml:space="preserve"> rozporządzenia (UE) </w:t>
            </w:r>
            <w:r w:rsidRPr="0043455E">
              <w:t>nr</w:t>
            </w:r>
            <w:r w:rsidR="0043455E" w:rsidRPr="0043455E">
              <w:t> </w:t>
            </w:r>
            <w:r w:rsidRPr="0043455E">
              <w:t>5</w:t>
            </w:r>
            <w:r>
              <w:t>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udziałów mniejszości wynikające z przepisów przejściowych. Pozycja ta jest uzyskiwana bezpośrednio z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Korekty w kapitale podstawowym Tier I z tytułu filtrów ostrożnościowych</w:t>
            </w:r>
          </w:p>
          <w:p w14:paraId="235AF992" w14:textId="0357688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 32–35</w:t>
            </w:r>
            <w:r>
              <w:t xml:space="preserve"> rozporządzenia (UE) </w:t>
            </w:r>
            <w:r w:rsidRPr="0043455E">
              <w:t>nr</w:t>
            </w:r>
            <w:r w:rsidR="0043455E" w:rsidRPr="0043455E">
              <w:t> </w:t>
            </w:r>
            <w:r w:rsidRPr="0043455E">
              <w:t>5</w:t>
            </w:r>
            <w:r>
              <w:t xml:space="preserve">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Zwiększenia kapitału własnego z tytułu aktywów sekurytyzowanych</w:t>
            </w:r>
          </w:p>
          <w:p w14:paraId="7D8F1942" w14:textId="31AA3FE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32 ust. 1</w:t>
            </w:r>
            <w:r>
              <w:t xml:space="preserve"> rozporządzenia (UE) </w:t>
            </w:r>
            <w:r w:rsidRPr="0043455E">
              <w:t>nr</w:t>
            </w:r>
            <w:r w:rsidR="0043455E" w:rsidRPr="0043455E">
              <w:t> </w:t>
            </w:r>
            <w:r w:rsidRPr="0043455E">
              <w:t>5</w:t>
            </w:r>
            <w:r>
              <w:t>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stanowi zwiększenie kapitału własnego instytucji z tytułu aktywów sekurytyzowanych zgodnie z mającymi zastosowanie standardami rachunkowości.</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Pozycja ta obejmuje na przykład przyszłe przychody z tytułu marż będące źródłem zysku ze sprzedaży dla instytucji lub, w przypadku jednostek inicjujących, zyski netto z kapitalizacji przyszłych przychodów z aktywów sekurytyzowanych stanowiące wsparcie jakości kredytowej dla pozycji sekurytyzacyjnych.</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Rezerwa z tytułu instrumentów zabezpieczających przepływy pieniężne</w:t>
            </w:r>
          </w:p>
          <w:p w14:paraId="05713177" w14:textId="61E95B3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33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t xml:space="preserve"> rozporządzenia (UE) </w:t>
            </w:r>
            <w:r w:rsidRPr="0043455E">
              <w:t>nr</w:t>
            </w:r>
            <w:r w:rsidR="0043455E" w:rsidRPr="0043455E">
              <w:t> </w:t>
            </w:r>
            <w:r w:rsidRPr="0043455E">
              <w:t>5</w:t>
            </w:r>
            <w:r>
              <w:t>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może mieć wartość dodatnią lub ujemną. Jest ona dodatnia, jeśli instrumenty zabezpieczające przepływy pieniężne przynoszą straty (tj. jeżeli zmniejszają kapitał księgowy), i odwrotnie. Znak może być zatem przeciwny do tego zastosowanego w sprawozdaniach finansowych.</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ta jest kwotą po odliczeniu wszelkich obciążeń podatkowych dających się przewidzieć w chwili wyliczania tej kwoty.</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Skumulowane zyski i straty spowodowane zmianami własnego ryzyka kredytowego w zakresie zobowiązań wycenionych według wartości godziwej</w:t>
            </w:r>
          </w:p>
          <w:p w14:paraId="75FB3FBB" w14:textId="30C098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33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t xml:space="preserve"> rozporządzenia (UE) </w:t>
            </w:r>
            <w:r w:rsidRPr="0043455E">
              <w:t>nr</w:t>
            </w:r>
            <w:r w:rsidR="0043455E" w:rsidRPr="0043455E">
              <w:t> </w:t>
            </w:r>
            <w:r w:rsidRPr="0043455E">
              <w:t>5</w:t>
            </w:r>
            <w:r>
              <w:t>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może mieć wartość dodatnią lub ujemną. Jest ona dodatnia, jeśli zmiany własnego ryzyka kredytowego przynoszą straty (tj. jeżeli zmniejszają kapitał księgowy), i odwrotnie. Znak może być zatem przeciwny do tego zastosowanego w sprawozdaniach finansowych.</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pozycji tej nie uwzględnia się zysku niezweryfikowanego przez biegłego rewidenta.</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Zyski i straty związane z wyceną według wartości godziwej, wynikające z własnego ryzyka kredytowego instytucji związanego z zobowiązaniami będącymi instrumentami pochodnymi</w:t>
            </w:r>
          </w:p>
          <w:p w14:paraId="5A6E61A2" w14:textId="7D0FF1C2"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33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xml:space="preserve"> i art. 33 ust. 2 </w:t>
            </w:r>
            <w:r>
              <w:t xml:space="preserve">rozporządzenia (UE) </w:t>
            </w:r>
            <w:r w:rsidRPr="0043455E">
              <w:t>nr</w:t>
            </w:r>
            <w:r w:rsidR="0043455E" w:rsidRPr="0043455E">
              <w:t> </w:t>
            </w:r>
            <w:r w:rsidRPr="0043455E">
              <w:t>5</w:t>
            </w:r>
            <w:r>
              <w:t>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może mieć wartość dodatnią lub ujemną. Jest ona dodatnia, jeśli zmiany własnego ryzyka kredytowego przynoszą straty, i odwrotnie. Znak może być zatem przeciwny do tego zastosowanego w sprawozdaniach finansowych.</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W pozycji tej nie uwzględnia się zysku niezweryfikowanego przez biegłego rewidenta.</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Korekty wartości z tytułu wymogów w zakresie ostrożnej wyceny</w:t>
            </w:r>
          </w:p>
          <w:p w14:paraId="3C1598C4" w14:textId="7EA09B8A"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34 i 105</w:t>
            </w:r>
            <w:r>
              <w:t xml:space="preserve"> rozporządzenia (UE) </w:t>
            </w:r>
            <w:r w:rsidRPr="0043455E">
              <w:t>nr</w:t>
            </w:r>
            <w:r w:rsidR="0043455E" w:rsidRPr="0043455E">
              <w:t> </w:t>
            </w:r>
            <w:r w:rsidRPr="0043455E">
              <w:t>5</w:t>
            </w:r>
            <w:r>
              <w:t>75/2013</w:t>
            </w:r>
          </w:p>
          <w:p w14:paraId="239269A0" w14:textId="18E0C782"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wartości godziwej ekspozycji uwzględnionych w portfelu handlowym lub portfelu bankowym z tytułu bardziej rygorystycznych norm w zakresie ostrożnej wyceny określonych w art. 105</w:t>
            </w:r>
            <w:r>
              <w:t xml:space="preserve"> rozporządzenia (UE) </w:t>
            </w:r>
            <w:r w:rsidRPr="0043455E">
              <w:t>nr</w:t>
            </w:r>
            <w:r w:rsidR="0043455E" w:rsidRPr="0043455E">
              <w:t> </w:t>
            </w:r>
            <w:r w:rsidRPr="0043455E">
              <w:t>5</w:t>
            </w:r>
            <w:r>
              <w:t>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Wartość firmy</w:t>
            </w:r>
          </w:p>
          <w:p w14:paraId="350ABC26" w14:textId="0A227EE7"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13,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Wartość firmy rozliczana jako aktywa niematerialne i prawne</w:t>
            </w:r>
          </w:p>
          <w:p w14:paraId="1271061A" w14:textId="6DE932EE"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13 i art. 36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t xml:space="preserve"> rozporządzenia (UE) </w:t>
            </w:r>
            <w:r w:rsidRPr="0043455E">
              <w:t>nr</w:t>
            </w:r>
            <w:r w:rsidR="0043455E" w:rsidRPr="0043455E">
              <w:t> </w:t>
            </w:r>
            <w:r w:rsidRPr="0043455E">
              <w:t>5</w:t>
            </w:r>
            <w:r>
              <w:t>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Wartość firmy ma takie samo znaczenie jak w mających zastosowanie standardach rachunkowości.</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tu zgłosić, odpowiada kwocie zgłoszonej w bilansie.</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Wartość firmy uwzględniona w wycenie znacznych inwestycji</w:t>
            </w:r>
          </w:p>
          <w:p w14:paraId="17810431" w14:textId="34F4B4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37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3</w:t>
            </w:r>
            <w:r>
              <w:t xml:space="preserve"> rozporządzenia (UE) </w:t>
            </w:r>
            <w:r w:rsidRPr="0043455E">
              <w:t>nr</w:t>
            </w:r>
            <w:r w:rsidR="0043455E" w:rsidRPr="0043455E">
              <w:t> </w:t>
            </w:r>
            <w:r w:rsidRPr="0043455E">
              <w:t>5</w:t>
            </w:r>
            <w:r>
              <w:t>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Rezerwy z tytułu odroczonego podatku dochodowego związane z wartością firmy</w:t>
            </w:r>
          </w:p>
          <w:p w14:paraId="10535BD3" w14:textId="0A6D57EC"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37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t xml:space="preserve"> rozporządzenia (UE) </w:t>
            </w:r>
            <w:r w:rsidRPr="0043455E">
              <w:t>nr</w:t>
            </w:r>
            <w:r w:rsidR="0043455E" w:rsidRPr="0043455E">
              <w:t> </w:t>
            </w:r>
            <w:r w:rsidRPr="0043455E">
              <w:t>5</w:t>
            </w:r>
            <w:r>
              <w:t>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rezerwy z tytułu odroczonego podatku dochodowego, która byłaby rozwiązana w przypadku utraty wartości firmy lub zaprzestania ujmowania zgodnie z mającymi zastosowanie standardami rachunkowości.</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Zaktualizowana wycena księgowa wartości firmy jednostek zależnych wynikającej z konsolidacji jednostek zależnych, możliwej do przypisania osobom trzecim</w:t>
            </w:r>
          </w:p>
          <w:p w14:paraId="3BEF7077" w14:textId="12284160"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37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t xml:space="preserve"> rozporządzenia (UE) </w:t>
            </w:r>
            <w:r w:rsidRPr="0043455E">
              <w:t>nr</w:t>
            </w:r>
            <w:r w:rsidR="0043455E" w:rsidRPr="0043455E">
              <w:t> </w:t>
            </w:r>
            <w:r w:rsidRPr="0043455E">
              <w:t>5</w:t>
            </w:r>
            <w:r>
              <w:t>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Kwota zaktualizowanej wyceny księgowej wartości firmy jednostek zależnych wynikającej z konsolidacji jednostek zależnych, możliwej do przypisania osobom innym niż przedsiębiorstwa objęte konsolidacją zgodnie z częścią pierwszą tytuł II rozdział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Inne wartości niematerialne i prawne</w:t>
            </w:r>
          </w:p>
          <w:p w14:paraId="2F1C3286" w14:textId="1B7510E5"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15,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7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c) </w:t>
            </w:r>
            <w:r>
              <w:t xml:space="preserve">rozporządzenia (UE) </w:t>
            </w:r>
            <w:r w:rsidRPr="0043455E">
              <w:t>nr</w:t>
            </w:r>
            <w:r w:rsidR="0043455E" w:rsidRPr="0043455E">
              <w:t> </w:t>
            </w:r>
            <w:r w:rsidRPr="0043455E">
              <w:t>5</w:t>
            </w:r>
            <w:r>
              <w:t>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Inne wartości niematerialne i prawne to wartości niematerialne i prawne zgodnie z mającymi zastosowanie standardami rachunkowości, pomniejszone o wartość firmy, również zgodnie z mającymi zastosowanie standardami rachunkowości.</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Inne wartości niematerialne i prawne przed odliczeniem rezerw z tytułu odroczonego podatku dochodowego</w:t>
            </w:r>
          </w:p>
          <w:p w14:paraId="14039C37" w14:textId="5255DAD8"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15 i art. 36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t xml:space="preserve"> rozporządzenia (UE) </w:t>
            </w:r>
            <w:r w:rsidRPr="0043455E">
              <w:t>nr</w:t>
            </w:r>
            <w:r w:rsidR="0043455E" w:rsidRPr="0043455E">
              <w:t> </w:t>
            </w:r>
            <w:r w:rsidRPr="0043455E">
              <w:t>5</w:t>
            </w:r>
            <w:r>
              <w:t>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Inne wartości niematerialne i prawne to wartości niematerialne i prawne zgodnie z mającymi zastosowanie standardami rachunkowości, pomniejszone o wartość firmy, również zgodnie z mającymi zastosowanie standardami rachunkowości.</w:t>
            </w:r>
          </w:p>
          <w:p w14:paraId="5600CAE4" w14:textId="33700919"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Kwota, którą należy zgłosić w tej pozycji, odpowiada kwocie wartości niematerialnych i prawnych ujętych w bilansie zgodnie z mającym zastosowanie standardem rachunkowości, z wyłączeniem wartości firmy i kwoty ostrożnie wycenianych aktywów będących oprogramowaniem, która nie jest odliczana od pozycji kapitału podstawowego Tier I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W tym aktywa będące oprogramowaniem rozliczane jako inne wartości niematerialne i prawne przed odliczeniem rezerw z tytułu odroczonego podatku dochodowego</w:t>
            </w:r>
          </w:p>
          <w:p w14:paraId="26F640AD" w14:textId="132CCE2C"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15 </w:t>
            </w:r>
            <w:r>
              <w:t xml:space="preserve">rozporządzenia (UE) </w:t>
            </w:r>
            <w:r w:rsidRPr="0043455E">
              <w:t>nr</w:t>
            </w:r>
            <w:r w:rsidR="0043455E" w:rsidRPr="0043455E">
              <w:t> </w:t>
            </w:r>
            <w:r w:rsidRPr="0043455E">
              <w:t>5</w:t>
            </w:r>
            <w:r>
              <w:t xml:space="preserve">75/2013 </w:t>
            </w:r>
            <w:r>
              <w:rPr>
                <w:rStyle w:val="FormatvorlageInstructionsTabelleText"/>
                <w:rFonts w:ascii="Times New Roman" w:hAnsi="Times New Roman"/>
                <w:sz w:val="24"/>
              </w:rPr>
              <w:t xml:space="preserve">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5D7E8804" w14:textId="3A9695A9"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Kwota aktywów będących oprogramowaniem rozliczanych jako wartości niematerialne i prawne, którą odlicza się od pozycji kapitału podstawowego Tier I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75/2013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3a rozporządzenia delegowanego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41/2014</w:t>
            </w:r>
            <w:r>
              <w:t xml:space="preserve">. </w:t>
            </w:r>
            <w:r>
              <w:rPr>
                <w:rStyle w:val="FormatvorlageInstructionsTabelleText"/>
                <w:rFonts w:ascii="Times New Roman" w:hAnsi="Times New Roman"/>
                <w:sz w:val="24"/>
              </w:rPr>
              <w:t xml:space="preserve">Zgłoszona kwota nie uwzględnia skutków związanych ze stosowaniem podejścia określonego w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7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t xml:space="preserve"> rozporządzenia (UE) </w:t>
            </w:r>
            <w:r w:rsidRPr="0043455E">
              <w:t>nr</w:t>
            </w:r>
            <w:r w:rsidR="0043455E" w:rsidRPr="0043455E">
              <w:t> </w:t>
            </w:r>
            <w:r w:rsidRPr="0043455E">
              <w:t>5</w:t>
            </w:r>
            <w:r>
              <w:t xml:space="preserve">75/2013 </w:t>
            </w:r>
            <w:r>
              <w:rPr>
                <w:rStyle w:val="FormatvorlageInstructionsTabelleText"/>
                <w:rFonts w:ascii="Times New Roman" w:hAnsi="Times New Roman"/>
                <w:sz w:val="24"/>
              </w:rPr>
              <w:t>w odniesieniu do rezerw z tytułu odroczonego podatku dochodowego związanych z tymi aktywami będącymi oprogramowaniem.</w:t>
            </w:r>
          </w:p>
          <w:p w14:paraId="64E4F871" w14:textId="4D7FA210"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Jeżeli instytucja podejmie decyzję o pełnym odliczeniu swoich aktywów będących oprogramowaniem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zamiast stosować podejście określone w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3a rozporządzenia delegowanego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41/2014, kwota zgłoszona w tym wierszu odpowiada kwocie aktywów będących oprogramowaniem rozliczanych jako wartości niematerialne i prawne zgodnie z mającym zastosowanie standardem rachunkowości.</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Rezerwy z tytułu odroczonego podatku dochodowego związane z innymi wartościami niematerialnymi i prawnymi</w:t>
            </w:r>
          </w:p>
          <w:p w14:paraId="697CC772" w14:textId="690AB250"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37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t xml:space="preserve"> rozporządzenia (UE) </w:t>
            </w:r>
            <w:r w:rsidRPr="0043455E">
              <w:t>nr</w:t>
            </w:r>
            <w:r w:rsidR="0043455E" w:rsidRPr="0043455E">
              <w:t> </w:t>
            </w:r>
            <w:r w:rsidRPr="0043455E">
              <w:t>5</w:t>
            </w:r>
            <w:r>
              <w:t>75/2013</w:t>
            </w:r>
          </w:p>
          <w:p w14:paraId="72FC46FD" w14:textId="6825DD6B"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Kwota rezerw z tytułu odroczonego podatku dochodowego, które uległyby rozwiązaniu w przypadku utraty wartości lub zaprzestania ujmowania – zgodnie z odpowiednim standardem rachunkowości – składnika aktywów w postaci wartości niematerialnych i prawnych innych niż wartość firmy i ostrożnie wyceniane aktywa będące oprogramowaniem wyłączone z odliczania od pozycji kapitału podstawowego Tier I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3a rozporządzenia delegowanego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41/2014.</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Rezerwy z tytułu odroczonego podatku dochodowego związane z aktywami będącymi oprogramowaniem rozliczanymi jako wartości niematerialne i prawne</w:t>
            </w:r>
          </w:p>
          <w:p w14:paraId="7EDBB408" w14:textId="1AF95335"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37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t xml:space="preserve"> rozporządzenia (UE) </w:t>
            </w:r>
            <w:r w:rsidRPr="0043455E">
              <w:t>nr</w:t>
            </w:r>
            <w:r w:rsidR="0043455E" w:rsidRPr="0043455E">
              <w:t> </w:t>
            </w:r>
            <w:r w:rsidRPr="0043455E">
              <w:t>5</w:t>
            </w:r>
            <w:r>
              <w:t>75/2013</w:t>
            </w:r>
          </w:p>
          <w:p w14:paraId="7AC299D4" w14:textId="11538516"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Część rezerw z tytułu odroczonego podatku dochodowego związanych z aktywami będącymi oprogramowaniem rozliczanymi jako wartości niematerialne i prawne, którą odlicza się od pozycji kapitału podstawowego Tier I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t xml:space="preserve"> rozporządzenia (UE) </w:t>
            </w:r>
            <w:r w:rsidRPr="0043455E">
              <w:t>nr</w:t>
            </w:r>
            <w:r w:rsidR="0043455E" w:rsidRPr="0043455E">
              <w:t> </w:t>
            </w:r>
            <w:r w:rsidRPr="0043455E">
              <w:t>5</w:t>
            </w:r>
            <w:r>
              <w:t xml:space="preserve">75/2013 i </w:t>
            </w:r>
            <w:r w:rsidRPr="0043455E">
              <w:t>art.</w:t>
            </w:r>
            <w:r w:rsidR="0043455E" w:rsidRPr="0043455E">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3a rozporządzenia delegowanego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41/2014 lub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t>3</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Zaktualizowana wycena księgowa innych wartości niematerialnych i prawnych jednostek zależnych wynikających z konsolidacji jednostek zależnych, możliwych do przypisania osobom trzecim</w:t>
            </w:r>
          </w:p>
          <w:p w14:paraId="631F097E" w14:textId="6CAD8DF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37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t xml:space="preserve"> rozporządzenia (UE) </w:t>
            </w:r>
            <w:r w:rsidRPr="0043455E">
              <w:t>nr</w:t>
            </w:r>
            <w:r w:rsidR="0043455E" w:rsidRPr="0043455E">
              <w:t> </w:t>
            </w:r>
            <w:r w:rsidRPr="0043455E">
              <w:t>5</w:t>
            </w:r>
            <w:r>
              <w:t>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Kwota zaktualizowanej wyceny księgowej wartości niematerialnych i prawnych innych niż wartość firmy jednostek zależnych wynikających z konsolidacji jednostek zależnych, możliwych do przypisania osobom innym niż przedsiębiorstwa objęte konsolidacją zgodnie z częścią pierwszą tytuł II rozdział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Aktywa z tytułu odroczonego podatku dochodowego oparte na przyszłej rentowności i niewynikające z różnic przejściowych po odliczeniu powiązanych rezerw z tytułu podatku dochodowego</w:t>
            </w:r>
          </w:p>
          <w:p w14:paraId="105E273D" w14:textId="19241F8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8</w:t>
            </w:r>
            <w:r>
              <w:t xml:space="preserve"> rozporządzenia (UE) </w:t>
            </w:r>
            <w:r w:rsidRPr="0043455E">
              <w:t>nr</w:t>
            </w:r>
            <w:r w:rsidR="0043455E" w:rsidRPr="0043455E">
              <w:t> </w:t>
            </w:r>
            <w:r w:rsidRPr="0043455E">
              <w:t>5</w:t>
            </w:r>
            <w:r>
              <w:t>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Niedobór korekt z tytułu ryzyka kredytowego wobec oczekiwanych strat według metody IRB</w:t>
            </w:r>
          </w:p>
          <w:p w14:paraId="04504206" w14:textId="2773118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d)</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0, 158 i 159</w:t>
            </w:r>
            <w:r>
              <w:t xml:space="preserve"> rozporządzenia (UE) </w:t>
            </w:r>
            <w:r w:rsidRPr="0043455E">
              <w:t>nr</w:t>
            </w:r>
            <w:r w:rsidR="0043455E" w:rsidRPr="0043455E">
              <w:t> </w:t>
            </w:r>
            <w:r w:rsidRPr="0043455E">
              <w:t>5</w:t>
            </w:r>
            <w:r>
              <w:t>75/2013</w:t>
            </w:r>
          </w:p>
          <w:p w14:paraId="16018D37" w14:textId="7C385F7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Kwoty, którą należy zgłosić, „nie pomniejsza się o wzrost poziomu aktywów z tytułu odroczonego podatku dochodowego opartych na przyszłej rentowności ani o inne dodatkowe skutki podatkowe, jakie mogłyby wystąpić w przypadku wzrostu poziomu rezerw do poziomu oczekiwanych strat” (art. </w:t>
            </w:r>
            <w:r>
              <w:t xml:space="preserve">40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Aktywa funduszu emerytalnego ze zdefiniowanymi świadczeniami</w:t>
            </w:r>
          </w:p>
          <w:p w14:paraId="08FE1920" w14:textId="434162FA"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09,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e)</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1</w:t>
            </w:r>
            <w:r>
              <w:t xml:space="preserve"> rozporządzenia (UE) </w:t>
            </w:r>
            <w:r w:rsidRPr="0043455E">
              <w:t>nr</w:t>
            </w:r>
            <w:r w:rsidR="0043455E" w:rsidRPr="0043455E">
              <w:t> </w:t>
            </w:r>
            <w:r w:rsidRPr="0043455E">
              <w:t>5</w:t>
            </w:r>
            <w:r>
              <w:t>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Aktywa funduszu emerytalnego ze zdefiniowanymi świadczeniami </w:t>
            </w:r>
          </w:p>
          <w:p w14:paraId="1B1D7EAC" w14:textId="2823AC0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09 i art. 36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e)</w:t>
            </w:r>
            <w:r>
              <w:t xml:space="preserve"> rozporządzenia (UE) </w:t>
            </w:r>
            <w:r w:rsidRPr="0043455E">
              <w:t>nr</w:t>
            </w:r>
            <w:r w:rsidR="0043455E" w:rsidRPr="0043455E">
              <w:t> </w:t>
            </w:r>
            <w:r w:rsidRPr="0043455E">
              <w:t>5</w:t>
            </w:r>
            <w:r>
              <w:t>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Aktywa funduszu emerytalnego ze zdefiniowanymi świadczeniami definiuje się jako „w stosownych przypadkach, aktywa określonego funduszu lub programu emerytalnego, których wartość została obliczona po odjęciu od nich kwoty zobowiązań w ramach tego samego funduszu lub programu”.</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tu zgłosić, odpowiada kwocie zgłoszonej w bilansie (jeżeli zgłaszana jest oddzielnie).</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Rezerwy z tytułu odroczonego podatku dochodowego związane z aktywami funduszu emerytalnego ze zdefiniowanymi świadczeniami</w:t>
            </w:r>
          </w:p>
          <w:p w14:paraId="0ADB647D" w14:textId="78325C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08 i 109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1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rezerwy z tytułu odroczonego podatku dochodowego, która byłaby rozwiązana w przypadku utraty wartości aktywów funduszu emerytalnego ze zdefiniowanymi świadczeniami lub zaprzestania ich ujmowania zgodnie z mającymi zastosowanie standardami rachunkowości.</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Aktywa funduszu emerytalnego ze zdefiniowanymi świadczeniami, które instytucja może wykorzystywać w nieograniczony sposób</w:t>
            </w:r>
          </w:p>
          <w:p w14:paraId="0124E866" w14:textId="3436CEF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09 i art. 41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t xml:space="preserve"> rozporządzenia (UE) </w:t>
            </w:r>
            <w:r w:rsidRPr="0043455E">
              <w:t>nr</w:t>
            </w:r>
            <w:r w:rsidR="0043455E" w:rsidRPr="0043455E">
              <w:t> </w:t>
            </w:r>
            <w:r w:rsidRPr="0043455E">
              <w:t>5</w:t>
            </w:r>
            <w:r>
              <w:t>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pozycji tej zgłasza się jakąkolwiek kwotę tylko wtedy, gdy właściwy organ wcześniej zezwoli na zmniejszenie odliczanej kwoty aktywów funduszu emerytalnego ze zdefiniowanymi świadczeniami.</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Aktywa ujęte w tym wierszu otrzymują wagę ryzyka dla celów wymogów z tytułu ryzyka kredytowego.</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Krzyżowe powiązania kapitałowe w kapitale podstawowym Tier I</w:t>
            </w:r>
          </w:p>
          <w:p w14:paraId="635C9F86" w14:textId="4407E2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22,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g)</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4</w:t>
            </w:r>
            <w:r>
              <w:t xml:space="preserve"> rozporządzenia (UE) </w:t>
            </w:r>
            <w:r w:rsidRPr="0043455E">
              <w:t>nr</w:t>
            </w:r>
            <w:r w:rsidR="0043455E" w:rsidRPr="0043455E">
              <w:t> </w:t>
            </w:r>
            <w:r w:rsidRPr="0043455E">
              <w:t>5</w:t>
            </w:r>
            <w:r>
              <w:t>75/2013</w:t>
            </w:r>
          </w:p>
          <w:p w14:paraId="7360C4FF" w14:textId="025457B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Udziały kapitałowe w instrumentach w kapitale Tier I podmiotów sektora finansowego (zgodnie z definicją 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jeżeli istnieje krzyżowe powiązanie kapitałowe, uznane przez właściwy organ za mające na celu sztuczne zawyżanie funduszy własnych instytucji.</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Kwotę, którą należy tu zgłosić, oblicza się na podstawie pozycji długich brutto i obejmuje ona pozycje ubezpieczeniowe funduszy własnych Tier I.</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Nadwyżka odliczenia od pozycji dodatkowych w Tier I ponad kapitał dodatkowy Tier I </w:t>
            </w:r>
          </w:p>
          <w:p w14:paraId="2C188D37" w14:textId="6FF34A3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j)</w:t>
            </w:r>
            <w:r>
              <w:t xml:space="preserve"> rozporządzenia (UE) </w:t>
            </w:r>
            <w:r w:rsidRPr="0043455E">
              <w:t>nr</w:t>
            </w:r>
            <w:r w:rsidR="0043455E" w:rsidRPr="0043455E">
              <w:t> </w:t>
            </w:r>
            <w:r w:rsidRPr="0043455E">
              <w:t>5</w:t>
            </w:r>
            <w:r>
              <w:t>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uzyskiwana bezpośrednio z pozycji CA1 „Nadwyżka odliczenia od pozycji dodatkowych w Tier I ponad kapitał dodatkowy Tier I”. Kwotę tę należy odliczyć od kapitału podstawowego Tier I.</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Znaczne pakiety akcji poza sektorem finansowym, które alternatywnie mogą podlegać stosowaniu wagi ryzyka 1 250 %</w:t>
            </w:r>
          </w:p>
          <w:p w14:paraId="72A58A94" w14:textId="02335F4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k)</w:t>
            </w:r>
            <w:r>
              <w:rPr>
                <w:rStyle w:val="FormatvorlageInstructionsTabelleText"/>
                <w:rFonts w:ascii="Times New Roman" w:hAnsi="Times New Roman"/>
                <w:sz w:val="24"/>
              </w:rPr>
              <w:t xml:space="preserve"> pkt (i)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8</w:t>
            </w:r>
            <w:r>
              <w:rPr>
                <w:rStyle w:val="FormatvorlageInstructionsTabelleText"/>
                <w:rFonts w:ascii="Times New Roman" w:hAnsi="Times New Roman"/>
                <w:sz w:val="24"/>
              </w:rPr>
              <w:t>9–91</w:t>
            </w:r>
            <w:r>
              <w:t xml:space="preserve"> rozporządzenia (UE) </w:t>
            </w:r>
            <w:r w:rsidRPr="0043455E">
              <w:t>nr</w:t>
            </w:r>
            <w:r w:rsidR="0043455E" w:rsidRPr="0043455E">
              <w:t> </w:t>
            </w:r>
            <w:r w:rsidRPr="0043455E">
              <w:t>5</w:t>
            </w:r>
            <w:r>
              <w:t>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Znaczny pakiet akcji definiuje się jako „posiadany bezpośredni lub pośredni udział w przedsiębiorstwie reprezentujący co najmniej 10</w:t>
            </w:r>
            <w:r>
              <w:t> </w:t>
            </w:r>
            <w:r>
              <w:rPr>
                <w:rStyle w:val="FormatvorlageInstructionsTabelleText"/>
                <w:rFonts w:ascii="Times New Roman" w:hAnsi="Times New Roman"/>
                <w:sz w:val="24"/>
              </w:rPr>
              <w:t>% kapitału lub praw głosu lub umożliwiający wywieranie znacznego wpływu na zarządzanie tym przedsiębiorstwem”.</w:t>
            </w:r>
          </w:p>
          <w:p w14:paraId="5D3874CE" w14:textId="6845105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Zgodnie z art. 36 ust. 1 lit. k) pkt (i)</w:t>
            </w:r>
            <w:r>
              <w:t xml:space="preserve"> rozporządzenia (UE) </w:t>
            </w:r>
            <w:r w:rsidRPr="0043455E">
              <w:t>nr</w:t>
            </w:r>
            <w:r w:rsidR="0043455E" w:rsidRPr="0043455E">
              <w:t> </w:t>
            </w:r>
            <w:r w:rsidRPr="0043455E">
              <w:t>5</w:t>
            </w:r>
            <w:r>
              <w:t xml:space="preserve">75/2013 </w:t>
            </w:r>
            <w:r>
              <w:rPr>
                <w:rStyle w:val="FormatvorlageInstructionsTabelleText"/>
                <w:rFonts w:ascii="Times New Roman" w:hAnsi="Times New Roman"/>
                <w:sz w:val="24"/>
              </w:rPr>
              <w:t>znaczne pakiety akcji można w ramach rozwiązania alternatywnego odliczyć od kapitału podstawowego Tier I (używając tej pozycji) lub zastosować wobec nich wagę ryzyka równą 1 25</w:t>
            </w:r>
            <w:r w:rsidRPr="0043455E">
              <w:rPr>
                <w:rStyle w:val="FormatvorlageInstructionsTabelleText"/>
                <w:rFonts w:ascii="Times New Roman" w:hAnsi="Times New Roman"/>
                <w:sz w:val="24"/>
              </w:rPr>
              <w:t>0</w:t>
            </w:r>
            <w:r w:rsidR="0043455E" w:rsidRPr="0043455E">
              <w:t> </w:t>
            </w:r>
            <w:r w:rsidRPr="0043455E">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Pozycje sekurytyzacyjne, które alternatywnie mogą podlegać stosowaniu wagi ryzyka 1 250</w:t>
            </w:r>
            <w:r>
              <w:t> </w:t>
            </w:r>
            <w:r>
              <w:rPr>
                <w:rStyle w:val="InstructionsTabelleberschrift"/>
                <w:rFonts w:ascii="Times New Roman" w:hAnsi="Times New Roman"/>
                <w:sz w:val="24"/>
              </w:rPr>
              <w:t>%</w:t>
            </w:r>
          </w:p>
          <w:p w14:paraId="1DC138C0" w14:textId="5327C65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244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45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53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w:t>
            </w:r>
          </w:p>
          <w:p w14:paraId="18AAF006" w14:textId="3EDC0210"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tej pozycji zgłasza się pozycje sekurytyzacyjne, które są objęte wagą ryzyka równą 1 250</w:t>
            </w:r>
            <w:r>
              <w:t> </w:t>
            </w:r>
            <w:r>
              <w:rPr>
                <w:rStyle w:val="FormatvorlageInstructionsTabelleText"/>
                <w:rFonts w:ascii="Times New Roman" w:hAnsi="Times New Roman"/>
                <w:sz w:val="24"/>
              </w:rPr>
              <w:t>%, lecz które można alternatywnie odliczyć od kapitału podstawowego Tier I (art. 36 ust. 1</w:t>
            </w:r>
            <w:r>
              <w:t xml:space="preserve"> </w:t>
            </w:r>
            <w:r>
              <w:rPr>
                <w:rStyle w:val="FormatvorlageInstructionsTabelleText"/>
                <w:rFonts w:ascii="Times New Roman" w:hAnsi="Times New Roman"/>
                <w:sz w:val="24"/>
              </w:rPr>
              <w:t xml:space="preserve">lit. k) pkt (ii) 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Dostawy z późniejszym terminem rozliczenia, które alternatywnie mogą podlegać stosowaniu wagi ryzyka 1 250</w:t>
            </w:r>
            <w:r>
              <w:t> </w:t>
            </w:r>
            <w:r>
              <w:rPr>
                <w:rStyle w:val="InstructionsTabelleberschrift"/>
                <w:rFonts w:ascii="Times New Roman" w:hAnsi="Times New Roman"/>
                <w:sz w:val="24"/>
              </w:rPr>
              <w:t>%</w:t>
            </w:r>
          </w:p>
          <w:p w14:paraId="567139B5" w14:textId="76952C1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36 ust. 1 lit. k) pkt (iii) i art. 379 ust. 3</w:t>
            </w:r>
            <w:r>
              <w:t xml:space="preserve"> rozporządzenia (UE) </w:t>
            </w:r>
            <w:r w:rsidRPr="0043455E">
              <w:t>nr</w:t>
            </w:r>
            <w:r w:rsidR="0043455E" w:rsidRPr="0043455E">
              <w:t> </w:t>
            </w:r>
            <w:r w:rsidRPr="0043455E">
              <w:t>5</w:t>
            </w:r>
            <w:r>
              <w:t>75/2013</w:t>
            </w:r>
          </w:p>
          <w:p w14:paraId="50BFAA3F" w14:textId="560AEEC4"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Zgodnie z wymogami w zakresie funduszy własnych z tytułu ryzyka rozliczenia, dostawy z późniejszym terminem rozliczenia są objęte wagą ryzyka równą 1 250</w:t>
            </w:r>
            <w:r>
              <w:t> </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po</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 dniach od drugiej umownej płatności lub dostawie do wygaśnięcia transakcji. W ramach rozwiązania alternatywnego można je odliczyć od kapitału podstawowego Tier I (art. 36 ust. 1 lit. k) pkt</w:t>
            </w:r>
            <w:r>
              <w:t xml:space="preserve"> (iii) rozporządzenia (UE) </w:t>
            </w:r>
            <w:r w:rsidRPr="0043455E">
              <w:t>nr</w:t>
            </w:r>
            <w:r w:rsidR="0043455E" w:rsidRPr="0043455E">
              <w:t> </w:t>
            </w:r>
            <w:r w:rsidRPr="0043455E">
              <w:t>5</w:t>
            </w:r>
            <w:r>
              <w:t>75/2013</w:t>
            </w:r>
            <w:r>
              <w:rPr>
                <w:rStyle w:val="FormatvorlageInstructionsTabelleText"/>
                <w:rFonts w:ascii="Times New Roman" w:hAnsi="Times New Roman"/>
                <w:sz w:val="24"/>
              </w:rPr>
              <w:t>). W tym ostatnim przypadku dostawy te zgłasza się w tej pozycji.</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Pozycje w koszyku, w odniesieniu do których instytucja nie może określić wagi ryzyka przy zastosowaniu metody IRB oraz które alternatywnie mogą podlegać stosowaniu wagi ryzyka 1 250 %</w:t>
            </w:r>
          </w:p>
          <w:p w14:paraId="0AA0358B" w14:textId="0DAAEA2D"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36 ust. 1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 pkt (iv) i art. 153 ust. 8</w:t>
            </w:r>
            <w:r>
              <w:t xml:space="preserve"> rozporządzenia (UE) </w:t>
            </w:r>
            <w:r w:rsidRPr="0043455E">
              <w:t>nr</w:t>
            </w:r>
            <w:r w:rsidR="0043455E" w:rsidRPr="0043455E">
              <w:t> </w:t>
            </w:r>
            <w:r w:rsidRPr="0043455E">
              <w:t>5</w:t>
            </w:r>
            <w:r>
              <w:t>75/2013</w:t>
            </w:r>
          </w:p>
          <w:p w14:paraId="3F32CEF7" w14:textId="52DF63D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Zgodnie z</w:t>
            </w:r>
            <w:r>
              <w:rPr>
                <w:rStyle w:val="InstructionsTabelleberschrift"/>
                <w:rFonts w:ascii="Times New Roman" w:hAnsi="Times New Roman"/>
                <w:b w:val="0"/>
                <w:sz w:val="24"/>
                <w:u w:val="none"/>
              </w:rPr>
              <w:t xml:space="preserve"> art. 36 ust. 1 lit. k) pkt (iv)</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 pozycje w koszyku, w odniesieniu do których instytucja nie może określić wagi ryzyka przy zastosowaniu metody IRB</w:t>
            </w:r>
            <w:r>
              <w:rPr>
                <w:rStyle w:val="FormatvorlageInstructionsTabelleText"/>
                <w:rFonts w:ascii="Times New Roman" w:hAnsi="Times New Roman"/>
                <w:sz w:val="24"/>
              </w:rPr>
              <w:t xml:space="preserve"> mogą alternatywnie podlegać odliczeniu z kapitału podstawowego Tier I (używając tej pozycji) lub stosowaniu wagi ryzyka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Ekspozycje kapitałowe przy zastosowaniu metody modeli wewnętrznych, które alternatywnie mogą podlegać stosowaniu wagi ryzyka 1 250</w:t>
            </w:r>
            <w:r>
              <w:t> </w:t>
            </w:r>
            <w:r>
              <w:rPr>
                <w:rStyle w:val="InstructionsTabelleberschrift"/>
                <w:rFonts w:ascii="Times New Roman" w:hAnsi="Times New Roman"/>
                <w:sz w:val="24"/>
              </w:rPr>
              <w:t>%</w:t>
            </w:r>
          </w:p>
          <w:p w14:paraId="2D89DE81" w14:textId="00BB19A0"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36 ust. 1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k)</w:t>
            </w:r>
            <w:r>
              <w:rPr>
                <w:rStyle w:val="InstructionsTabelleberschrift"/>
                <w:rFonts w:ascii="Times New Roman" w:hAnsi="Times New Roman"/>
                <w:b w:val="0"/>
                <w:sz w:val="24"/>
                <w:u w:val="none"/>
              </w:rPr>
              <w:t xml:space="preserve"> pkt (v) i art. 155 ust. 4</w:t>
            </w:r>
            <w:r>
              <w:t xml:space="preserve"> rozporządzenia (UE) </w:t>
            </w:r>
            <w:r w:rsidRPr="0043455E">
              <w:t>nr</w:t>
            </w:r>
            <w:r w:rsidR="0043455E" w:rsidRPr="0043455E">
              <w:t> </w:t>
            </w:r>
            <w:r w:rsidRPr="0043455E">
              <w:t>5</w:t>
            </w:r>
            <w:r>
              <w:t>75/2013</w:t>
            </w:r>
          </w:p>
          <w:p w14:paraId="1D29C80B" w14:textId="468B8815"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Zgodnie z art. 36 ust. 1 lit. k) pkt (v)</w:t>
            </w:r>
            <w:r>
              <w:t xml:space="preserve"> rozporządzenia (UE) </w:t>
            </w:r>
            <w:r w:rsidRPr="0043455E">
              <w:t>nr</w:t>
            </w:r>
            <w:r w:rsidR="0043455E" w:rsidRPr="0043455E">
              <w:t> </w:t>
            </w:r>
            <w:r w:rsidRPr="0043455E">
              <w:t>5</w:t>
            </w:r>
            <w:r>
              <w:t>75/2013</w:t>
            </w:r>
            <w:r w:rsidR="0043455E" w:rsidRPr="0043455E">
              <w:rPr>
                <w:rStyle w:val="FormatvorlageInstructionsTabelleText"/>
                <w:rFonts w:ascii="Times New Roman" w:hAnsi="Times New Roman"/>
                <w:sz w:val="24"/>
              </w:rPr>
              <w:t>,</w:t>
            </w:r>
            <w:r w:rsidR="0043455E" w:rsidRPr="0043455E">
              <w:t xml:space="preserve"> </w:t>
            </w:r>
            <w:r>
              <w:rPr>
                <w:rStyle w:val="InstructionsTabelleberschrift"/>
                <w:rFonts w:ascii="Times New Roman" w:hAnsi="Times New Roman"/>
                <w:b w:val="0"/>
                <w:sz w:val="24"/>
                <w:u w:val="none"/>
              </w:rPr>
              <w:t>ekspozycje kapitałowe przy zastosowaniu metody modeli wewnętrznych</w:t>
            </w:r>
            <w:r>
              <w:rPr>
                <w:rStyle w:val="FormatvorlageInstructionsTabelleText"/>
                <w:rFonts w:ascii="Times New Roman" w:hAnsi="Times New Roman"/>
                <w:sz w:val="24"/>
              </w:rPr>
              <w:t xml:space="preserve"> można w ramach rozwiązania alternatywnego odliczyć od kapitału podstawowego Tier I (używając tej pozycji) lub mogą one podlegać stosowaniu wagi ryzyka 1 250 %.</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Instrumenty w kapitale podstawowym Tier I podmiotów sektora finansowego, jeżeli instytucja nie dokonała znacznej inwestycji w te podmioty</w:t>
            </w:r>
          </w:p>
          <w:p w14:paraId="3461344B" w14:textId="49BF04F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h)</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3–46,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9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i 3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7</w:t>
            </w:r>
            <w:r>
              <w:rPr>
                <w:rStyle w:val="FormatvorlageInstructionsTabelleText"/>
                <w:rFonts w:ascii="Times New Roman" w:hAnsi="Times New Roman"/>
                <w:sz w:val="24"/>
              </w:rPr>
              <w:t>9</w:t>
            </w:r>
            <w:r>
              <w:t xml:space="preserve"> rozporządzenia (UE) </w:t>
            </w:r>
            <w:r w:rsidRPr="0043455E">
              <w:t>nr</w:t>
            </w:r>
            <w:r w:rsidR="0043455E" w:rsidRPr="0043455E">
              <w:t> </w:t>
            </w:r>
            <w:r w:rsidRPr="0043455E">
              <w:t>5</w:t>
            </w:r>
            <w:r>
              <w:t>75/2013</w:t>
            </w:r>
          </w:p>
          <w:p w14:paraId="101FE476" w14:textId="63AE2A4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Część posiadanych przez instytucję udziałów kapitałowych w instrumentach podmiotów sektora finansowego (zgodnie z definicją 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w przypadkach, gdy instytucja nie dokonała znacznej inwestycji w te podmioty, którą należy odliczyć od kapitału podstawowego Tier I</w:t>
            </w:r>
            <w:r>
              <w:t>.</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opcje alternatywne dotyczące odliczeń w przypadku zastosowania konsolidacji (art. 49 ust. 2 i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Aktywa z tytułu odroczonego podatku dochodowego oparte na przyszłej rentowności i wynikające z różnic przejściowych</w:t>
            </w:r>
          </w:p>
          <w:p w14:paraId="1DACA2A1" w14:textId="7AD1815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ust. 1 lit. c); Art. 38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02E7BEC1" w14:textId="1AFA1A01" w:rsidR="0022315F" w:rsidRPr="002A677E" w:rsidRDefault="0022315F" w:rsidP="0083693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Część aktywów z tytułu odroczonego podatku dochodowego opartych na przyszłej rentowności i wynikających z różnic przejściowych (po odliczeniu części powiązanych rezerw z tytułu odroczonego podatku dochodowego zakwalifikowanych do aktywów z tytułu odroczonego podatku dochodowego wynikających z różnic przejściowych), które zgodnie z art. 38 ust. 5 lit. </w:t>
            </w:r>
            <w:r>
              <w:t>b)</w:t>
            </w:r>
            <w:r>
              <w:rPr>
                <w:rStyle w:val="FormatvorlageInstructionsTabelleText"/>
                <w:rFonts w:ascii="Times New Roman" w:hAnsi="Times New Roman"/>
                <w:sz w:val="24"/>
              </w:rPr>
              <w:t xml:space="preserve"> 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w:t>
            </w:r>
            <w:r>
              <w:t xml:space="preserve"> </w:t>
            </w:r>
            <w:r>
              <w:rPr>
                <w:rStyle w:val="FormatvorlageInstructionsTabelleText"/>
                <w:rFonts w:ascii="Times New Roman" w:hAnsi="Times New Roman"/>
                <w:sz w:val="24"/>
              </w:rPr>
              <w:t>należy odjąć, stosując próg 10 % określony w art. 48 ust. 1 lit. a)</w:t>
            </w:r>
            <w:r>
              <w:t xml:space="preserve"> tego rozporządzenia</w:t>
            </w:r>
            <w:r>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43455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Instrumenty w kapitale podstawowym Tier I podmiotów sektora finansowego, jeżeli instytucja dokonała znacznej inwestycji w te podmioty</w:t>
            </w:r>
          </w:p>
          <w:p w14:paraId="6906A14D" w14:textId="75142AE4" w:rsidR="0022315F" w:rsidRPr="002A677E" w:rsidRDefault="0022315F" w:rsidP="00487A02">
            <w:pPr>
              <w:pStyle w:val="InstructionsText"/>
              <w:rPr>
                <w:rStyle w:val="FormatvorlageInstructionsTabelleText"/>
                <w:rFonts w:ascii="Times New Roman" w:hAnsi="Times New Roman"/>
                <w:sz w:val="24"/>
              </w:rPr>
            </w:pP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i)</w:t>
            </w:r>
            <w:r>
              <w:rPr>
                <w:rStyle w:val="FormatvorlageInstructionsTabelleText"/>
                <w:rFonts w:ascii="Times New Roman" w:hAnsi="Times New Roman"/>
                <w:sz w:val="24"/>
              </w:rPr>
              <w:t xml:space="preserve">; Art. 43, 45 i 47,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9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2 i 3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7</w:t>
            </w:r>
            <w:r>
              <w:rPr>
                <w:rStyle w:val="FormatvorlageInstructionsTabelleText"/>
                <w:rFonts w:ascii="Times New Roman" w:hAnsi="Times New Roman"/>
                <w:sz w:val="24"/>
              </w:rPr>
              <w:t xml:space="preserve">9 </w:t>
            </w:r>
            <w:r>
              <w:t xml:space="preserve">rozporządzenia (UE) </w:t>
            </w:r>
            <w:r w:rsidRPr="0043455E">
              <w:t>nr</w:t>
            </w:r>
            <w:r w:rsidR="0043455E" w:rsidRPr="0043455E">
              <w:t> </w:t>
            </w:r>
            <w:r w:rsidRPr="0043455E">
              <w:t>5</w:t>
            </w:r>
            <w:r>
              <w:t>75/2013</w:t>
            </w:r>
          </w:p>
          <w:p w14:paraId="3E66EE26" w14:textId="6F8319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Część posiadanych przez instytucję udziałów kapitałowych w instrumentach w kapitale podstawowym Tier I podmiotów sektora finansowego (zgodnie z definicją 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w przypadkach, gdy instytucja dokonała znacznej inwestycji, którą to część należy odliczyć, stosując próg 10 % określony w art. 48 ust. 1 lit. b)</w:t>
            </w:r>
            <w:r>
              <w:t xml:space="preserve"> tego rozporządzenia</w:t>
            </w:r>
            <w:r>
              <w:rPr>
                <w:rStyle w:val="FormatvorlageInstructionsTabelleText"/>
                <w:rFonts w:ascii="Times New Roman" w:hAnsi="Times New Roman"/>
                <w:sz w:val="24"/>
              </w:rPr>
              <w:t>.</w:t>
            </w:r>
          </w:p>
          <w:p w14:paraId="0DCB0638" w14:textId="52FBA7C8"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opcje alternatywne dotyczące odliczeń w przypadku zastosowania konsolidacji (art. 49 ust. 1, 2 i 3</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Kwota przekraczająca próg 17,65 %</w:t>
            </w:r>
          </w:p>
          <w:p w14:paraId="242D5AEA" w14:textId="2BD586B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t xml:space="preserve"> rozporządzenia (UE) </w:t>
            </w:r>
            <w:r w:rsidRPr="0043455E">
              <w:t>nr</w:t>
            </w:r>
            <w:r w:rsidR="0043455E" w:rsidRPr="0043455E">
              <w:t> </w:t>
            </w:r>
            <w:r w:rsidRPr="0043455E">
              <w:t>5</w:t>
            </w:r>
            <w:r>
              <w:t>75/2013</w:t>
            </w:r>
          </w:p>
          <w:p w14:paraId="7B05980C" w14:textId="5D7866C0"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Część aktywów z tytułu odroczonego podatku dochodowego opartych na przyszłej rentowności i wynikających z różnic przejściowych oraz posiadane przez instytucję bezpośrednie, pośrednie i syntetyczne udziały kapitałowe w instrumentach w kapitale podstawowym Tier I podmiotów sektora finansowego (zgodnie z definicją w art. 4 ust. 1 </w:t>
            </w:r>
            <w:r w:rsidRPr="0043455E">
              <w:rPr>
                <w:rStyle w:val="FormatvorlageInstructionsTabelleText"/>
                <w:rFonts w:ascii="Times New Roman" w:hAnsi="Times New Roman"/>
                <w:sz w:val="24"/>
              </w:rPr>
              <w:t>pkt</w:t>
            </w:r>
            <w:r w:rsidR="0043455E" w:rsidRPr="0043455E">
              <w:t> </w:t>
            </w:r>
            <w:r w:rsidRPr="0043455E">
              <w:t>2</w:t>
            </w:r>
            <w:r>
              <w:t xml:space="preserve">7 rozporządzenia (UE) </w:t>
            </w:r>
            <w:r w:rsidRPr="0043455E">
              <w:t>nr</w:t>
            </w:r>
            <w:r w:rsidR="0043455E" w:rsidRPr="0043455E">
              <w:t> </w:t>
            </w:r>
            <w:r w:rsidRPr="0043455E">
              <w:t>5</w:t>
            </w:r>
            <w:r>
              <w:t>75/2013</w:t>
            </w:r>
            <w:r>
              <w:rPr>
                <w:rStyle w:val="FormatvorlageInstructionsTabelleText"/>
                <w:rFonts w:ascii="Times New Roman" w:hAnsi="Times New Roman"/>
                <w:sz w:val="24"/>
              </w:rPr>
              <w:t>) w przypadkach, gdy instytucja dokonała znacznej inwestycji, którą to część należy odliczyć, stosując próg 17,65 % określony w art. 48 ust. 2</w:t>
            </w:r>
            <w:r>
              <w:t xml:space="preserve"> tego rozporządzenia</w:t>
            </w:r>
            <w:r>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Kwota przekraczająca próg 17,65 % odnosząca się do instrumentów w kapitale podstawowym Tier I podmiotów sektora finansowego, jeżeli instytucja dokonała znacznej inwestycji w te podmioty</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Kwota przekraczająca próg 17,65 % odnosząca się do aktywów z tytułu odroczonego podatku dochodowego wynikających z różnic przejściowych</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43455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Niewystarczające pokrycie strat z tytułu ekspozycji nieobsługiwanych</w:t>
            </w:r>
          </w:p>
          <w:p w14:paraId="76458C5D" w14:textId="21BE7520" w:rsidR="0022315F" w:rsidRPr="002A677E" w:rsidRDefault="0044539D" w:rsidP="00634EC4">
            <w:pPr>
              <w:pStyle w:val="InstructionsText"/>
              <w:rPr>
                <w:rStyle w:val="InstructionsTabelleberschrift"/>
                <w:rFonts w:ascii="Times New Roman" w:hAnsi="Times New Roman"/>
                <w:sz w:val="24"/>
              </w:rPr>
            </w:pP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m)</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7c</w:t>
            </w:r>
            <w:r>
              <w:t xml:space="preserve"> rozporządzenia (UE) </w:t>
            </w:r>
            <w:r w:rsidRPr="0043455E">
              <w:t>nr</w:t>
            </w:r>
            <w:r w:rsidR="0043455E" w:rsidRPr="0043455E">
              <w:t> </w:t>
            </w:r>
            <w:r w:rsidRPr="0043455E">
              <w:t>5</w:t>
            </w:r>
            <w:r>
              <w:t>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Braki z tytułu zobowiązań dotyczących wartości minimalnej</w:t>
            </w:r>
          </w:p>
          <w:p w14:paraId="1DA8258E" w14:textId="5DB43E82"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 36 ust. 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n)</w:t>
            </w:r>
            <w:r>
              <w:rPr>
                <w:rStyle w:val="FormatvorlageInstructionsTabelleText"/>
                <w:rFonts w:ascii="Times New Roman" w:hAnsi="Times New Roman"/>
                <w:sz w:val="24"/>
              </w:rPr>
              <w:t xml:space="preserve"> i art. 132c ust. 2</w:t>
            </w:r>
            <w:r>
              <w:t xml:space="preserve"> rozporządzenia (UE) </w:t>
            </w:r>
            <w:r w:rsidRPr="0043455E">
              <w:t>nr</w:t>
            </w:r>
            <w:r w:rsidR="0043455E" w:rsidRPr="0043455E">
              <w:t> </w:t>
            </w:r>
            <w:r w:rsidRPr="0043455E">
              <w:t>5</w:t>
            </w:r>
            <w:r>
              <w:t>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Inne przewidywalne obciążenia podatkowe</w:t>
            </w:r>
          </w:p>
          <w:p w14:paraId="5267EA9F" w14:textId="4093B389"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l)</w:t>
            </w:r>
            <w:r>
              <w:t xml:space="preserve"> rozporządzenia (UE) </w:t>
            </w:r>
            <w:r w:rsidRPr="0043455E">
              <w:t>nr</w:t>
            </w:r>
            <w:r w:rsidR="0043455E" w:rsidRPr="0043455E">
              <w:t> </w:t>
            </w:r>
            <w:r w:rsidRPr="0043455E">
              <w:t>5</w:t>
            </w:r>
            <w:r>
              <w:t>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Obciążenia podatkowe związane z pozycjami kapitału podstawowego Tier I dające się przewidzieć w momencie dokonywania wyliczenia inne niż obciążenia podatkowe uwzględnione już w dowolnych innych wierszach odzwierciedlających pozycje kapitału podstawowego Tier I poprzez obniżenie kwoty danej pozycji kapitału podstawowego Tier I.</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Inne korekty w okresie przejściowym w kapitale podstawowym Tier I</w:t>
            </w:r>
          </w:p>
          <w:p w14:paraId="488DD7BC" w14:textId="7420EAA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469–478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81</w:t>
            </w:r>
            <w:r>
              <w:t xml:space="preserve"> rozporządzenia (UE) </w:t>
            </w:r>
            <w:r w:rsidRPr="0043455E">
              <w:t>nr</w:t>
            </w:r>
            <w:r w:rsidR="0043455E" w:rsidRPr="0043455E">
              <w:t> </w:t>
            </w:r>
            <w:r w:rsidRPr="0043455E">
              <w:t>5</w:t>
            </w:r>
            <w:r>
              <w:t>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odliczeń wynikające z przepisów przejściowych. Kwota, którą należy zgłosić, jest uzyskiwana bezpośrednio z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3AB64C6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xml:space="preserve">(-) Dodatkowe odliczenia od kapitału podstawowego Tier I zgodnie z art. 3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2FCD75D4" w14:textId="198B18B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w:t>
            </w:r>
            <w:r>
              <w:t xml:space="preserve"> rozporządzenia (UE) </w:t>
            </w:r>
            <w:r w:rsidRPr="0043455E">
              <w:t>nr</w:t>
            </w:r>
            <w:r w:rsidR="0043455E" w:rsidRPr="0043455E">
              <w:t> </w:t>
            </w:r>
            <w:r w:rsidRPr="0043455E">
              <w:t>5</w:t>
            </w:r>
            <w:r>
              <w:t>75/2013</w:t>
            </w:r>
          </w:p>
          <w:p w14:paraId="385DA344" w14:textId="72FBE68C"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Jeżeli instytucja podejmie decyzję o pełnym odliczeniu swoich aktywów będących oprogramowaniem zgodnie z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 xml:space="preserve">, zamiast stosować podejście określone w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3a rozporządzenia delegowanego (UE) </w:t>
            </w:r>
            <w:r w:rsidRPr="0043455E">
              <w:rPr>
                <w:rStyle w:val="InstructionsTabelleberschrift"/>
                <w:rFonts w:ascii="Times New Roman" w:hAnsi="Times New Roman"/>
                <w:b w:val="0"/>
                <w:sz w:val="24"/>
                <w:u w:val="none"/>
              </w:rPr>
              <w:t>nr</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41/2014, dodatkowo odliczona kwota nie jest zgłaszana w tym wierszu, ale w wierszu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Elementy kapitału podstawowego Tier I lub odliczenia od kapitału podstawowego Tier I – inne</w:t>
            </w:r>
          </w:p>
          <w:p w14:paraId="572AA726" w14:textId="558E30BD"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 ten ma na celu zapewnienie elastyczności wyłącznie dla celów sprawozdawczości. Wprowadza się w nim dane w tych rzadkich przypadkach, gdy nie ma ostatecznej decyzji w sprawie zgłaszania poszczególnych pozycji kapitału/odliczeń we wzorze CA1. W konsekwencji wiersz ten wypełnia się tylko wtedy, gdy elementu kapitału podstawowego Tier I lub odliczenia od elementu kapitału Tier I nie można przypisać do żadnego z wierszy </w:t>
            </w:r>
            <w:r w:rsidRPr="0043455E">
              <w:rPr>
                <w:rStyle w:val="InstructionsTabelleberschrift"/>
                <w:rFonts w:ascii="Times New Roman" w:hAnsi="Times New Roman"/>
                <w:b w:val="0"/>
                <w:sz w:val="24"/>
                <w:u w:val="none"/>
              </w:rPr>
              <w:t>od</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0</w:t>
            </w:r>
            <w:r>
              <w:rPr>
                <w:rStyle w:val="InstructionsTabelleberschrift"/>
                <w:rFonts w:ascii="Times New Roman" w:hAnsi="Times New Roman"/>
                <w:b w:val="0"/>
                <w:sz w:val="24"/>
                <w:u w:val="none"/>
              </w:rPr>
              <w:t xml:space="preserve">20 </w:t>
            </w:r>
            <w:r w:rsidRPr="0043455E">
              <w:rPr>
                <w:rStyle w:val="InstructionsTabelleberschrift"/>
                <w:rFonts w:ascii="Times New Roman" w:hAnsi="Times New Roman"/>
                <w:b w:val="0"/>
                <w:sz w:val="24"/>
                <w:u w:val="none"/>
              </w:rPr>
              <w:t>do</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24. </w:t>
            </w:r>
          </w:p>
          <w:p w14:paraId="1A5B3380" w14:textId="317AA0CB"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Wiersza tego nie używa się do uwzględniania pozycji kapitału/odliczeń, które nie są objęte zakresem stosowania</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 xml:space="preserve">, w celu </w:t>
            </w:r>
            <w:r>
              <w:rPr>
                <w:rStyle w:val="InstructionsTabelleberschrift"/>
                <w:rFonts w:ascii="Times New Roman" w:hAnsi="Times New Roman"/>
                <w:b w:val="0"/>
                <w:sz w:val="24"/>
                <w:u w:val="none"/>
              </w:rPr>
              <w:lastRenderedPageBreak/>
              <w:t>obliczenia współczynników wypłacalności (np. przypisania pozycji kapitału/odliczeń, które określono według przepisów krajowych, a które nie wchodzą w zakres stosowania</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KAPITAŁ DODATKOWY TIER I</w:t>
            </w:r>
          </w:p>
          <w:p w14:paraId="6084F8E8" w14:textId="2539776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61</w:t>
            </w:r>
            <w:r>
              <w:t xml:space="preserve"> rozporządzenia (UE) </w:t>
            </w:r>
            <w:r w:rsidRPr="0043455E">
              <w:t>nr</w:t>
            </w:r>
            <w:r w:rsidR="0043455E" w:rsidRPr="0043455E">
              <w:t> </w:t>
            </w:r>
            <w:r w:rsidRPr="0043455E">
              <w:t>5</w:t>
            </w:r>
            <w:r>
              <w:t>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Instrumenty kapitałowe i ażio emisyjne kwalifikujące się jako kapitał dodatkowy Tier I</w:t>
            </w:r>
          </w:p>
          <w:p w14:paraId="72A2A6AF" w14:textId="39ADC09E" w:rsidR="0022315F" w:rsidRPr="002A677E" w:rsidRDefault="0022315F" w:rsidP="0083693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2, 53 i 54,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W pełni opłacone, bezpośrednio wyemitowane instrumenty kapitałowe</w:t>
            </w:r>
          </w:p>
          <w:p w14:paraId="0732E830" w14:textId="66B09A2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2, 53 i 54 </w:t>
            </w:r>
            <w:r>
              <w:t xml:space="preserve">rozporządzenia (UE) </w:t>
            </w:r>
            <w:r w:rsidRPr="0043455E">
              <w:t>nr</w:t>
            </w:r>
            <w:r w:rsidR="0043455E" w:rsidRPr="0043455E">
              <w:t> </w:t>
            </w:r>
            <w:r w:rsidRPr="0043455E">
              <w:t>5</w:t>
            </w:r>
            <w:r>
              <w:t>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 z instrumentami.</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Pozycja uzupełniająca: nieuznane instrumenty kapitałowe</w:t>
            </w:r>
          </w:p>
          <w:p w14:paraId="58F688AF" w14:textId="4649314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xml:space="preserve">, e) i f), </w:t>
            </w:r>
            <w:r>
              <w:t xml:space="preserve">rozporządzenia (UE) </w:t>
            </w:r>
            <w:r w:rsidRPr="0043455E">
              <w:t>nr</w:t>
            </w:r>
            <w:r w:rsidR="0043455E" w:rsidRPr="0043455E">
              <w:t> </w:t>
            </w:r>
            <w:r w:rsidRPr="0043455E">
              <w:t>5</w:t>
            </w:r>
            <w:r>
              <w:t>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Warunki określone w tych literach odzwierciedlają różne sytuacje dotyczące kapitału, które są odwracalne, a więc kwota tu zgłoszona może zostać uznana w kolejnych okresach.</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 z instrumentami.</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Ażio emisyjne</w:t>
            </w:r>
          </w:p>
          <w:p w14:paraId="153298B7" w14:textId="6DDD58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51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t xml:space="preserve"> rozporządzenia (UE) </w:t>
            </w:r>
            <w:r w:rsidRPr="0043455E">
              <w:t>nr</w:t>
            </w:r>
            <w:r w:rsidR="0043455E" w:rsidRPr="0043455E">
              <w:t> </w:t>
            </w:r>
            <w:r w:rsidRPr="0043455E">
              <w:t>5</w:t>
            </w:r>
            <w:r>
              <w:t>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Ażio emisyjne ma takie samo znaczenie jak w mających zastosowanie standardach rachunkowości.</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w tej pozycji, stanowi część związaną z pozycją „W pełni opłacone, bezpośrednio wyemitowane instrumenty kapitałowe”.</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Instrumenty własne w kapitale dodatkowym Tier I</w:t>
            </w:r>
          </w:p>
          <w:p w14:paraId="0E23F695" w14:textId="658E359E"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p>
          <w:p w14:paraId="14B767B5" w14:textId="2D396D1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Instrumenty własne w kapitale dodatkowym Tier I będące w posiadaniu instytucji lub grupy sprawozdającej na dzień sprawozdawczy oraz kwoty instrumentów w kapitale dodatkowym Tier I, które należy odliczyć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rozporządzenia delegowanego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41/2014. Z zastrzeżeniem wyjątków przewidzianych w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tym wierszu nie zgłasza się udziałów kapitałowych zaliczanych do „Nieuznanych instrumentów kapitałowych”.</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obejmuje ażio emisyjne związane z własnymi udziałami.</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Pozycje 1.1.2.1.4–1.1.2.1.4.3 nie obejmują faktycznych ani warunkowych zobowiązań do zakupu instrumentów własnych w kapitale dodatkowym Tier I. </w:t>
            </w:r>
            <w:r>
              <w:rPr>
                <w:rStyle w:val="FormatvorlageInstructionsTabelleText"/>
                <w:rFonts w:ascii="Times New Roman" w:hAnsi="Times New Roman"/>
                <w:sz w:val="24"/>
              </w:rPr>
              <w:lastRenderedPageBreak/>
              <w:t>Faktyczne lub warunkowe zobowiązania do zakupu instrumentów własnych w kapitale dodatkowym Tier I zgłasza się oddzielnie w pozycji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7815E8B4" w14:textId="77777777" w:rsidR="0022315F" w:rsidRPr="0043455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Bezpośrednie udziały kapitałowe w instrumentach w kapitale dodatkowym Tier I</w:t>
            </w:r>
          </w:p>
          <w:p w14:paraId="7B8D41F7" w14:textId="22A00FB0" w:rsidR="0022315F" w:rsidRPr="002A677E" w:rsidRDefault="0022315F" w:rsidP="00487A02">
            <w:pPr>
              <w:pStyle w:val="InstructionsText"/>
              <w:rPr>
                <w:rStyle w:val="FormatvorlageInstructionsTabelleText"/>
                <w:rFonts w:ascii="Times New Roman" w:hAnsi="Times New Roman"/>
                <w:sz w:val="24"/>
              </w:rPr>
            </w:pP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44,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p>
          <w:p w14:paraId="7528953E" w14:textId="74AB004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Instrumenty w kapitale dodatkowym Tier I objęte pozycją 1.1.2.1.1 będące w posiadaniu instytucji należących do skonsolidowanej grupy oraz kwoty instrumentów w kapitale dodatkowym Tier I, które należy odliczyć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rozporządzenia delegowanego Komisji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Pośrednie udziały kapitałowe w instrumentach w kapitale dodatkowym Tier I</w:t>
            </w:r>
          </w:p>
          <w:p w14:paraId="042F575A" w14:textId="4A686BED" w:rsidR="0022315F" w:rsidRPr="002A677E" w:rsidRDefault="0022315F" w:rsidP="0083693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pkt (ii),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7 </w:t>
            </w:r>
            <w:r>
              <w:t xml:space="preserve">rozporządzenia (UE) </w:t>
            </w:r>
            <w:r w:rsidRPr="0043455E">
              <w:t>nr</w:t>
            </w:r>
            <w:r w:rsidR="0043455E" w:rsidRPr="0043455E">
              <w:t> </w:t>
            </w:r>
            <w:r w:rsidRPr="0043455E">
              <w:t>5</w:t>
            </w:r>
            <w:r>
              <w:t>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43455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Syntetyczne udziały kapitałowe w instrumentach w kapitale dodatkowym Tier I</w:t>
            </w:r>
          </w:p>
          <w:p w14:paraId="36010780" w14:textId="71869C37" w:rsidR="0022315F" w:rsidRPr="002A677E" w:rsidRDefault="0022315F" w:rsidP="00BA5699">
            <w:pPr>
              <w:pStyle w:val="InstructionsText"/>
              <w:rPr>
                <w:rStyle w:val="InstructionsTabelleberschrift"/>
                <w:rFonts w:ascii="Times New Roman" w:hAnsi="Times New Roman"/>
                <w:b w:val="0"/>
                <w:bCs w:val="0"/>
                <w:sz w:val="24"/>
                <w:u w:val="none"/>
              </w:rPr>
            </w:pPr>
            <w:r w:rsidRPr="0043455E">
              <w:t>A</w:t>
            </w:r>
            <w:r>
              <w:t xml:space="preserve">rt. 4 </w:t>
            </w:r>
            <w:r w:rsidRPr="0043455E">
              <w:t>ust.</w:t>
            </w:r>
            <w:r w:rsidR="0043455E" w:rsidRPr="0043455E">
              <w:t> </w:t>
            </w:r>
            <w:r w:rsidRPr="0043455E">
              <w:t>1</w:t>
            </w:r>
            <w:r>
              <w:t xml:space="preserve"> </w:t>
            </w:r>
            <w:r w:rsidRPr="0043455E">
              <w:t>pkt</w:t>
            </w:r>
            <w:r w:rsidR="0043455E" w:rsidRPr="0043455E">
              <w:t> </w:t>
            </w:r>
            <w:r w:rsidRPr="0043455E">
              <w:t>1</w:t>
            </w:r>
            <w:r>
              <w:t xml:space="preserve">26, </w:t>
            </w:r>
            <w:r w:rsidRPr="0043455E">
              <w:t>art.</w:t>
            </w:r>
            <w:r w:rsidR="0043455E" w:rsidRPr="0043455E">
              <w:t> </w:t>
            </w:r>
            <w:r w:rsidRPr="0043455E">
              <w:t>5</w:t>
            </w:r>
            <w:r>
              <w:t xml:space="preserve">2 </w:t>
            </w:r>
            <w:r w:rsidRPr="0043455E">
              <w:t>ust.</w:t>
            </w:r>
            <w:r w:rsidR="0043455E" w:rsidRPr="0043455E">
              <w:t> </w:t>
            </w:r>
            <w:r w:rsidRPr="0043455E">
              <w:t>1</w:t>
            </w:r>
            <w:r>
              <w:t xml:space="preserve"> </w:t>
            </w:r>
            <w:r w:rsidRPr="0043455E">
              <w:t>lit.</w:t>
            </w:r>
            <w:r w:rsidR="0043455E" w:rsidRPr="0043455E">
              <w:t> </w:t>
            </w:r>
            <w:r w:rsidRPr="0043455E">
              <w:t>b)</w:t>
            </w:r>
            <w: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w:t>
            </w:r>
            <w:r>
              <w:t xml:space="preserve">oraz </w:t>
            </w:r>
            <w:r w:rsidRPr="0043455E">
              <w:t>art.</w:t>
            </w:r>
            <w:r w:rsidR="0043455E" w:rsidRPr="0043455E">
              <w:t> </w:t>
            </w:r>
            <w:r w:rsidRPr="0043455E">
              <w:t>5</w:t>
            </w:r>
            <w:r>
              <w:t xml:space="preserve">7 rozporządzenia (UE) </w:t>
            </w:r>
            <w:r w:rsidRPr="0043455E">
              <w:t>nr</w:t>
            </w:r>
            <w:r w:rsidR="0043455E" w:rsidRPr="0043455E">
              <w:t> </w:t>
            </w:r>
            <w:r w:rsidRPr="0043455E">
              <w:t>5</w:t>
            </w:r>
            <w:r>
              <w:t>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Faktyczne lub warunkowe zobowiązania do zakupu instrumentów własnych w kapitale dodatkowym Tier I</w:t>
            </w:r>
          </w:p>
          <w:p w14:paraId="0F39AA25" w14:textId="4128F4CB"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p>
          <w:p w14:paraId="32411320" w14:textId="56B5990D"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Zgodnie z</w:t>
            </w:r>
            <w:r>
              <w:rPr>
                <w:rStyle w:val="FormatvorlageInstructionsTabelleText"/>
                <w:rFonts w:ascii="Times New Roman" w:hAnsi="Times New Roman"/>
                <w:sz w:val="24"/>
              </w:rPr>
              <w:t xml:space="preserve"> art. 56 lit. a)</w:t>
            </w:r>
            <w:r>
              <w:t xml:space="preserve"> rozporządzenia (UE) </w:t>
            </w:r>
            <w:r w:rsidRPr="0043455E">
              <w:t>nr</w:t>
            </w:r>
            <w:r w:rsidR="0043455E" w:rsidRPr="0043455E">
              <w:t> </w:t>
            </w:r>
            <w:r w:rsidRPr="0043455E">
              <w:t>5</w:t>
            </w:r>
            <w:r>
              <w:t xml:space="preserve">75/2013 odlicza się udziały kapitałowe we </w:t>
            </w:r>
            <w:r>
              <w:rPr>
                <w:rStyle w:val="InstructionsTabelleberschrift"/>
                <w:rFonts w:ascii="Times New Roman" w:hAnsi="Times New Roman"/>
                <w:b w:val="0"/>
                <w:sz w:val="24"/>
                <w:u w:val="none"/>
              </w:rPr>
              <w:t>„</w:t>
            </w:r>
            <w:r>
              <w:t>własnych instrumentach dodatkowych w Tier I, które instytucja mogłaby mieć obowiązek kupić na mocy istniejących zobowiązań umownych”.</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Korekty w okresie przejściowym z tytułu instrumentów w kapitale dodatkowym Tier I podlegających zasadzie praw nabytych</w:t>
            </w:r>
          </w:p>
          <w:p w14:paraId="34510A38" w14:textId="3618B8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483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 i 5,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84–487,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89 i 491 </w:t>
            </w:r>
            <w:r>
              <w:t xml:space="preserve">rozporządzenia (UE) </w:t>
            </w:r>
            <w:r w:rsidRPr="0043455E">
              <w:t>nr</w:t>
            </w:r>
            <w:r w:rsidR="0043455E" w:rsidRPr="0043455E">
              <w:t> </w:t>
            </w:r>
            <w:r w:rsidRPr="0043455E">
              <w:t>5</w:t>
            </w:r>
            <w:r>
              <w:t>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instrumentów kapitałowych podlegających w okresie przejściowym zasadzie praw nabytych jako kapitał dodatkowy Tier I. Kwota, którą należy zgłosić, jest uzyskiwana bezpośrednio z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Instrumenty emitowane przez jednostki zależne ujmowane w kapitale dodatkowym Tier I</w:t>
            </w:r>
          </w:p>
          <w:p w14:paraId="21A9CDE1" w14:textId="48187AE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83, 85 i 86</w:t>
            </w:r>
            <w:r>
              <w:t xml:space="preserve"> rozporządzenia (UE) </w:t>
            </w:r>
            <w:r w:rsidRPr="0043455E">
              <w:t>nr</w:t>
            </w:r>
            <w:r w:rsidR="0043455E" w:rsidRPr="0043455E">
              <w:t> </w:t>
            </w:r>
            <w:r w:rsidRPr="0043455E">
              <w:t>5</w:t>
            </w:r>
            <w:r>
              <w:t>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wszystkich kwot kwalifikującego się kapitału Tier I jednostek zależnych uwzględniona w skonsolidowanym kapitale dodatkowym Tier I.</w:t>
            </w:r>
          </w:p>
          <w:p w14:paraId="1FDD3CDB" w14:textId="2BAC124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Uwzględniany jest kwalifikujący się kapitał dodatkowy Tier I emitowany przez jednostkę specjalnego przeznaczenia (art. 83</w:t>
            </w:r>
            <w:r>
              <w:t xml:space="preserve"> </w:t>
            </w:r>
            <w:r>
              <w:rPr>
                <w:rStyle w:val="FormatvorlageInstructionsTabelleText"/>
                <w:rFonts w:ascii="Times New Roman" w:hAnsi="Times New Roman"/>
                <w:sz w:val="24"/>
              </w:rPr>
              <w:t xml:space="preserve">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w:t>
            </w:r>
            <w:r>
              <w:t>).</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Korekty w okresie przejściowym z tytułu dodatkowego ujęcia instrumentów emitowanych przez jednostki zależne w kapitale dodatkowym Tier I</w:t>
            </w:r>
          </w:p>
          <w:p w14:paraId="0D6F07DC" w14:textId="5BBDB2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480</w:t>
            </w:r>
            <w:r>
              <w:t xml:space="preserve"> rozporządzenia (UE) </w:t>
            </w:r>
            <w:r w:rsidRPr="0043455E">
              <w:t>nr</w:t>
            </w:r>
            <w:r w:rsidR="0043455E" w:rsidRPr="0043455E">
              <w:t> </w:t>
            </w:r>
            <w:r w:rsidRPr="0043455E">
              <w:t>5</w:t>
            </w:r>
            <w:r>
              <w:t>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kwalifikującego się kapitału Tier I uwzględnionego w skonsolidowanym kapitale dodatkowym Tier I wynikające z przepisów przejściowych. Pozycja ta jest uzyskiwana bezpośrednio z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43455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Krzyżowe powiązania kapitałowe w kapitale dodatkowym Tier I</w:t>
            </w:r>
          </w:p>
          <w:p w14:paraId="613B482E" w14:textId="5423DC8C" w:rsidR="0022315F" w:rsidRPr="002A677E" w:rsidRDefault="0022315F" w:rsidP="00487A02">
            <w:pPr>
              <w:pStyle w:val="InstructionsText"/>
              <w:rPr>
                <w:rStyle w:val="FormatvorlageInstructionsTabelleText"/>
                <w:rFonts w:ascii="Times New Roman" w:hAnsi="Times New Roman"/>
                <w:sz w:val="24"/>
              </w:rPr>
            </w:pP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22,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8 </w:t>
            </w:r>
            <w:r>
              <w:t xml:space="preserve">rozporządzenia (UE) </w:t>
            </w:r>
            <w:r w:rsidRPr="0043455E">
              <w:t>nr</w:t>
            </w:r>
            <w:r w:rsidR="0043455E" w:rsidRPr="0043455E">
              <w:t> </w:t>
            </w:r>
            <w:r w:rsidRPr="0043455E">
              <w:t>5</w:t>
            </w:r>
            <w:r>
              <w:t>75/2013</w:t>
            </w:r>
          </w:p>
          <w:p w14:paraId="3A4D093E" w14:textId="70DCFF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Udziały kapitałowe w instrumentach w kapitale dodatkowym Tier I podmiotów sektora finansowego (zgodnie z definicją 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jeżeli istnieje krzyżowe powiązanie kapitałowe, uznane przez właściwy organ za mające na celu sztuczne zawyżanie funduszy własnych instytucji.</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Kwotę, którą należy tu zgłosić, oblicza się na podstawie pozycji długich brutto i obejmuje ona dodatkowe pozycje ubezpieczeniowe funduszy własnych Tier I.</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Instrumenty w kapitale dodatkowym Tier I podmiotów sektora finansowego, jeżeli instytucja nie dokonała znacznej inwestycji w te podmioty</w:t>
            </w:r>
          </w:p>
          <w:p w14:paraId="37C6AAAE" w14:textId="5A518B99"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Art. 59, 60 i 79</w:t>
            </w:r>
            <w:r>
              <w:t xml:space="preserve"> rozporządzenia (UE) </w:t>
            </w:r>
            <w:r w:rsidRPr="0043455E">
              <w:t>nr</w:t>
            </w:r>
            <w:r w:rsidR="0043455E" w:rsidRPr="0043455E">
              <w:t> </w:t>
            </w:r>
            <w:r w:rsidRPr="0043455E">
              <w:t>5</w:t>
            </w:r>
            <w:r>
              <w:t>75/2013</w:t>
            </w:r>
          </w:p>
          <w:p w14:paraId="5B8EA05D" w14:textId="7112C7D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Część posiadanych przez instytucję udziałów kapitałowych w instrumentach podmiotów sektora finansowego (zgodnie z definicją 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w przypadkach, gdy instytucja nie dokonała znacznej inwestycji w te podmioty, którą należy odliczyć od kapitału dodatkowego Tier I.</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Instrumenty w kapitale dodatkowym Tier I podmiotów sektora finansowego, jeżeli instytucja dokonała znacznej inwestycji w te podmioty</w:t>
            </w:r>
          </w:p>
          <w:p w14:paraId="553A8EFD" w14:textId="1E94609F"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d)</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 xml:space="preserve">9 i 79 </w:t>
            </w:r>
            <w:r>
              <w:t xml:space="preserve">rozporządzenia (UE) </w:t>
            </w:r>
            <w:r w:rsidRPr="0043455E">
              <w:t>nr</w:t>
            </w:r>
            <w:r w:rsidR="0043455E" w:rsidRPr="0043455E">
              <w:t> </w:t>
            </w:r>
            <w:r w:rsidRPr="0043455E">
              <w:t>5</w:t>
            </w:r>
            <w:r>
              <w:t>75/2013</w:t>
            </w:r>
          </w:p>
          <w:p w14:paraId="428C5674" w14:textId="61925E2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Posiadane przez instytucję udziały kapitałowe w instrumentach w kapitale dodatkowym Tier I podmiotów sektora finansowego (zgodnie z definicją 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są całkowicie odliczane w przypadkach, gdy instytucja dokonała znacznej inwestycji</w:t>
            </w:r>
            <w:r>
              <w:t>.</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Nadwyżka odliczenia od pozycji w Tier II ponad kapitał Tier II </w:t>
            </w:r>
          </w:p>
          <w:p w14:paraId="6160D036" w14:textId="719139A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e)</w:t>
            </w:r>
            <w:r>
              <w:t xml:space="preserve"> rozporządzenia (UE) </w:t>
            </w:r>
            <w:r w:rsidRPr="0043455E">
              <w:t>nr</w:t>
            </w:r>
            <w:r w:rsidR="0043455E" w:rsidRPr="0043455E">
              <w:t> </w:t>
            </w:r>
            <w:r w:rsidRPr="0043455E">
              <w:t>5</w:t>
            </w:r>
            <w:r>
              <w:t>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uzyskiwana bezpośrednio z pozycji CA1 „Nadwyżka odliczenia od pozycji w Tier II ponad kapitał Tier II (odliczenie w kapitale dodatkowym Tier I)”.</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Inne korekty w okresie przejściowym w kapitale dodatkowym Tier I</w:t>
            </w:r>
          </w:p>
          <w:p w14:paraId="43690282" w14:textId="7F62F7C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472, 473a, 474, 475, 478 i 481 </w:t>
            </w:r>
            <w:r>
              <w:t xml:space="preserve">rozporządzenia (UE) </w:t>
            </w:r>
            <w:r w:rsidRPr="0043455E">
              <w:t>nr</w:t>
            </w:r>
            <w:r w:rsidR="0043455E" w:rsidRPr="0043455E">
              <w:t> </w:t>
            </w:r>
            <w:r w:rsidRPr="0043455E">
              <w:t>5</w:t>
            </w:r>
            <w:r>
              <w:t>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wynikające z przepisów przejściowych. Kwota, którą należy zgłosić, jest uzyskiwana bezpośrednio z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Nadwyżka odliczenia od pozycji dodatkowych w Tier I ponad kapitał dodatkowy Tier I (odliczenie w kapitale podstawowym Tier I)</w:t>
            </w:r>
          </w:p>
          <w:p w14:paraId="373BB7A0" w14:textId="1E35135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36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j)</w:t>
            </w:r>
            <w:r>
              <w:t xml:space="preserve"> rozporządzenia (UE) </w:t>
            </w:r>
            <w:r w:rsidRPr="0043455E">
              <w:t>nr</w:t>
            </w:r>
            <w:r w:rsidR="0043455E" w:rsidRPr="0043455E">
              <w:t> </w:t>
            </w:r>
            <w:r w:rsidRPr="0043455E">
              <w:t>5</w:t>
            </w:r>
            <w:r>
              <w:t>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Dodatkowy kapitał Tier I nie może mieć wartości ujemnej, ale możliwa jest sytuacja, w której odliczenia od pozycji dodatkowych w Tier I mają większą wartość niż kapitał dodatkowy Tier I powiększony o powiązane ażio emisyjne. W taki przypadku wartość kapitału dodatkowego Tier I musi być równa zeru, a nadwyżkę odliczenia od pozycji dodatkowych w Tier I należy odjąć od kapitału podstawowego Tier I.</w:t>
            </w:r>
          </w:p>
          <w:p w14:paraId="6B862F8A" w14:textId="2ECDBC2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Wskutek tej pozycji suma pozycji </w:t>
            </w:r>
            <w:r w:rsidRPr="0043455E">
              <w:rPr>
                <w:rStyle w:val="FormatvorlageInstructionsTabelleText"/>
                <w:rFonts w:ascii="Times New Roman" w:hAnsi="Times New Roman"/>
                <w:sz w:val="24"/>
              </w:rPr>
              <w:t>od</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.1.2.1 </w:t>
            </w:r>
            <w:r w:rsidRPr="0043455E">
              <w:rPr>
                <w:rStyle w:val="FormatvorlageInstructionsTabelleText"/>
                <w:rFonts w:ascii="Times New Roman" w:hAnsi="Times New Roman"/>
                <w:sz w:val="24"/>
              </w:rPr>
              <w:t>do</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.1.2.12 nigdy nie jest mniejsza od zera. Jeżeli jednak w pozycji tej podana jest wartość dodatnia, w pozycji 1.1.1.16 widnieje odwrotność tej liczby.</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3783BB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xml:space="preserve">(-) Dodatkowe odliczenia od kapitału dodatkowego Tier I zgodnie z art. 3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3102808F" w14:textId="13D19B8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w:t>
            </w:r>
            <w:r>
              <w:t xml:space="preserve"> rozporządzenia (UE) </w:t>
            </w:r>
            <w:r w:rsidRPr="0043455E">
              <w:t>nr</w:t>
            </w:r>
            <w:r w:rsidR="0043455E" w:rsidRPr="0043455E">
              <w:t> </w:t>
            </w:r>
            <w:r w:rsidRPr="0043455E">
              <w:t>5</w:t>
            </w:r>
            <w:r>
              <w:t>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Elementy kapitału dodatkowego Tier I lub odliczenia od kapitału dodatkowego Tier I – inne</w:t>
            </w:r>
          </w:p>
          <w:p w14:paraId="573BAB3F" w14:textId="7186A8C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 ten ma na celu zapewnienie elastyczności wyłącznie dla celów sprawozdawczości. Wprowadza się w nim dane w tych rzadkich przypadkach, gdy nie ma ostatecznej decyzji w sprawie zgłaszania poszczególnych pozycji kapitału/odliczeń we wzorze CA1. W konsekwencji wiersz ten wypełnia się tylko wtedy, gdy elementu kapitału dodatkowego Tier I lub odliczenia od elementu kapitału dodatkowego Tier I nie można przypisać do żadnego z wierszy </w:t>
            </w:r>
            <w:r w:rsidRPr="0043455E">
              <w:rPr>
                <w:rStyle w:val="InstructionsTabelleberschrift"/>
                <w:rFonts w:ascii="Times New Roman" w:hAnsi="Times New Roman"/>
                <w:b w:val="0"/>
                <w:sz w:val="24"/>
                <w:u w:val="none"/>
              </w:rPr>
              <w:t>od</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30 </w:t>
            </w:r>
            <w:r w:rsidRPr="0043455E">
              <w:rPr>
                <w:rStyle w:val="InstructionsTabelleberschrift"/>
                <w:rFonts w:ascii="Times New Roman" w:hAnsi="Times New Roman"/>
                <w:b w:val="0"/>
                <w:sz w:val="24"/>
                <w:u w:val="none"/>
              </w:rPr>
              <w:t>do</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44. </w:t>
            </w:r>
          </w:p>
          <w:p w14:paraId="27256754" w14:textId="3B903562"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Wiersza tego nie używa się do uwzględniania pozycji kapitału/odliczeń, które nie są objęte zakresem stosowania rozporządzenia (UE) </w:t>
            </w:r>
            <w:r w:rsidRPr="0043455E">
              <w:rPr>
                <w:rStyle w:val="InstructionsTabelleberschrift"/>
                <w:rFonts w:ascii="Times New Roman" w:hAnsi="Times New Roman"/>
                <w:b w:val="0"/>
                <w:sz w:val="24"/>
                <w:u w:val="none"/>
              </w:rPr>
              <w:t>nr</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 w celu obliczenia współczynników wypłacalności (np. przypisania pozycji kapitału/odliczeń, które określono według przepisów krajowych, a które nie wchodzą w zakres</w:t>
            </w:r>
            <w:r>
              <w:t xml:space="preserve"> stosowania tego rozporządzenia</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KAPITAŁ TIER II</w:t>
            </w:r>
          </w:p>
          <w:p w14:paraId="538E89BE" w14:textId="4DCFA54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71</w:t>
            </w:r>
            <w:r>
              <w:t xml:space="preserve"> rozporządzenia (UE) </w:t>
            </w:r>
            <w:r w:rsidRPr="0043455E">
              <w:t>nr</w:t>
            </w:r>
            <w:r w:rsidR="0043455E" w:rsidRPr="0043455E">
              <w:t> </w:t>
            </w:r>
            <w:r w:rsidRPr="0043455E">
              <w:t>5</w:t>
            </w:r>
            <w:r>
              <w:t>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Instrumenty kapitałowe i ażio emisyjne kwalifikujące się jako kapitał Tier II</w:t>
            </w:r>
          </w:p>
          <w:p w14:paraId="59D478DE" w14:textId="5A09A66B"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62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3–65,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7 </w:t>
            </w:r>
            <w:r>
              <w:t xml:space="preserve">rozporządzenia (UE) </w:t>
            </w:r>
            <w:r w:rsidRPr="0043455E">
              <w:t>nr</w:t>
            </w:r>
            <w:r w:rsidR="0043455E" w:rsidRPr="0043455E">
              <w:t> </w:t>
            </w:r>
            <w:r w:rsidRPr="0043455E">
              <w:t>5</w:t>
            </w:r>
            <w:r>
              <w:t>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W pełni opłacone, bezpośrednio wyemitowane instrumenty kapitałowe</w:t>
            </w:r>
          </w:p>
          <w:p w14:paraId="012F3762" w14:textId="0AC4B59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62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3 i 65 </w:t>
            </w:r>
            <w:r>
              <w:t xml:space="preserve">rozporządzenia (UE) </w:t>
            </w:r>
            <w:r w:rsidRPr="0043455E">
              <w:t>nr</w:t>
            </w:r>
            <w:r w:rsidR="0043455E" w:rsidRPr="0043455E">
              <w:t> </w:t>
            </w:r>
            <w:r w:rsidRPr="0043455E">
              <w:t>5</w:t>
            </w:r>
            <w:r>
              <w:t>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Kwota, którą należy zgłosić, nie obejmuje ażio emisyjnego związanego z instrumentami.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Takie instrumenty kapitałowe mogą obejmować kapitał własny lub zobowiązania, w tym pożyczki podporządkowane, które spełniają kryteria kwalifikowalności.</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Pozycja uzupełniająca: Nieuznane instrumenty</w:t>
            </w:r>
            <w:r>
              <w:t xml:space="preserve"> </w:t>
            </w:r>
            <w:r>
              <w:rPr>
                <w:rStyle w:val="InstructionsTabelleberschrift"/>
                <w:rFonts w:ascii="Times New Roman" w:hAnsi="Times New Roman"/>
                <w:sz w:val="24"/>
              </w:rPr>
              <w:t>kapitałowe</w:t>
            </w:r>
          </w:p>
          <w:p w14:paraId="32E9D149" w14:textId="733039A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63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xml:space="preserve">, e) i f)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4</w:t>
            </w:r>
            <w:r>
              <w:t xml:space="preserve"> rozporządzenia (UE) </w:t>
            </w:r>
            <w:r w:rsidRPr="0043455E">
              <w:t>nr</w:t>
            </w:r>
            <w:r w:rsidR="0043455E" w:rsidRPr="0043455E">
              <w:t> </w:t>
            </w:r>
            <w:r w:rsidRPr="0043455E">
              <w:t>5</w:t>
            </w:r>
            <w:r>
              <w:t>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Warunki określone w tych literach odzwierciedlają różne sytuacje dotyczące kapitału, które są odwracalne, a więc kwota tu zgłoszona może zostać uznana w kolejnych okresach.</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nie obejmuje ażio emisyjnego związanego z instrumentami.</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Takie instrumenty kapitałowe mogą obejmować kapitał własny lub zobowiązania, w tym pożyczki podporządkowane.</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Ażio emisyjne</w:t>
            </w:r>
          </w:p>
          <w:p w14:paraId="0A9E864A" w14:textId="77B1441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62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5</w:t>
            </w:r>
            <w:r>
              <w:t xml:space="preserve"> rozporządzenia (UE) </w:t>
            </w:r>
            <w:r w:rsidRPr="0043455E">
              <w:t>nr</w:t>
            </w:r>
            <w:r w:rsidR="0043455E" w:rsidRPr="0043455E">
              <w:t> </w:t>
            </w:r>
            <w:r w:rsidRPr="0043455E">
              <w:t>5</w:t>
            </w:r>
            <w:r>
              <w:t>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Ażio emisyjne ma takie samo znaczenie jak w mających zastosowanie standardach rachunkowości.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w tej pozycji, stanowi część związaną z pozycją „W pełni opłacone, bezpośrednio wyemitowane instrumenty kapitałowe”.</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43455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Instrumenty własne w kapitale Tier II</w:t>
            </w:r>
          </w:p>
          <w:p w14:paraId="64AFA1A4" w14:textId="7ED0B65B" w:rsidR="0022315F" w:rsidRPr="002A677E" w:rsidRDefault="0022315F" w:rsidP="00487A02">
            <w:pPr>
              <w:pStyle w:val="InstructionsText"/>
              <w:rPr>
                <w:rStyle w:val="FormatvorlageInstructionsTabelleText"/>
                <w:rFonts w:ascii="Times New Roman" w:hAnsi="Times New Roman"/>
                <w:sz w:val="24"/>
              </w:rPr>
            </w:pP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rt. 63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pkt (i),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7 </w:t>
            </w:r>
            <w:r>
              <w:t xml:space="preserve">rozporządzenia (UE) </w:t>
            </w:r>
            <w:r w:rsidRPr="0043455E">
              <w:t>nr</w:t>
            </w:r>
            <w:r w:rsidR="0043455E" w:rsidRPr="0043455E">
              <w:t> </w:t>
            </w:r>
            <w:r w:rsidRPr="0043455E">
              <w:t>5</w:t>
            </w:r>
            <w:r>
              <w:t>75/2013</w:t>
            </w:r>
          </w:p>
          <w:p w14:paraId="40D8F488" w14:textId="28731F0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Instrumenty własne w kapitale Tier II będące w posiadaniu instytucji lub grupy sprawozdającej na dzień sprawozdawczy oraz kwoty instrumentów w kapitale Tier II, które należy odliczyć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rozporządzenia delegowanego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41/2014. Z zastrzeżeniem wyjątków przewidzianych w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tym wierszu nie zgłasza się udziałów kapitałowych zaliczanych do „Nieuznanych instrumentów kapitałowych”.</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obejmuje ażio emisyjne związane z własnymi udziałami.</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Pozycje 1.2.1.4–1.2.1.4.3 nie obejmują faktycznych ani warunkowych zobowiązań do zakupu instrumentów własnych w kapitale Tier II. Faktyczne lub warunkowe zobowiązania do zakupu instrumentów własnych w kapitale Tier II zgłasza się oddzielnie w pozycji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Bezpośrednie udziały kapitałowe w instrumentach w kapitale Tier II</w:t>
            </w:r>
          </w:p>
          <w:p w14:paraId="09D69DCE" w14:textId="509A5BBE"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63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7 </w:t>
            </w:r>
            <w:r>
              <w:t xml:space="preserve">rozporządzenia (UE) </w:t>
            </w:r>
            <w:r w:rsidRPr="0043455E">
              <w:t>nr</w:t>
            </w:r>
            <w:r w:rsidR="0043455E" w:rsidRPr="0043455E">
              <w:t> </w:t>
            </w:r>
            <w:r w:rsidRPr="0043455E">
              <w:t>5</w:t>
            </w:r>
            <w:r>
              <w:t>75/2013</w:t>
            </w:r>
          </w:p>
          <w:p w14:paraId="0970A86E" w14:textId="284B49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Instrumenty w kapitale Tier II objęte pozycją 1.2.1.1 będące w posiadaniu instytucji należących do skonsolidowanej grupy oraz kwoty instrumentów w kapitale Tier II, które należy odliczyć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rozporządzenia delegowanego Komisji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0840</w:t>
            </w:r>
          </w:p>
        </w:tc>
        <w:tc>
          <w:tcPr>
            <w:tcW w:w="7620" w:type="dxa"/>
          </w:tcPr>
          <w:p w14:paraId="02D197A7" w14:textId="77777777" w:rsidR="0022315F" w:rsidRPr="0043455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Pośrednie udziały kapitałowe w instrumentach w kapitale Tier II</w:t>
            </w:r>
          </w:p>
          <w:p w14:paraId="3DB38496" w14:textId="27F0B68C" w:rsidR="0022315F" w:rsidRPr="002A677E" w:rsidRDefault="0022315F" w:rsidP="00BA5699">
            <w:pPr>
              <w:pStyle w:val="InstructionsText"/>
              <w:rPr>
                <w:rStyle w:val="FormatvorlageInstructionsTabelleText"/>
                <w:rFonts w:ascii="Times New Roman" w:hAnsi="Times New Roman"/>
                <w:sz w:val="24"/>
              </w:rPr>
            </w:pP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14,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3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7 </w:t>
            </w:r>
            <w:r>
              <w:t xml:space="preserve">rozporządzenia (UE) </w:t>
            </w:r>
            <w:r w:rsidRPr="0043455E">
              <w:t>nr</w:t>
            </w:r>
            <w:r w:rsidR="0043455E" w:rsidRPr="0043455E">
              <w:t> </w:t>
            </w:r>
            <w:r w:rsidRPr="0043455E">
              <w:t>5</w:t>
            </w:r>
            <w:r>
              <w:t>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Syntetyczne udziały kapitałowe w instrumentach w kapitale Tier II</w:t>
            </w:r>
          </w:p>
          <w:p w14:paraId="75AA04CA" w14:textId="0E7A14E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26,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3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7 </w:t>
            </w:r>
            <w:r>
              <w:t xml:space="preserve">rozporządzenia (UE) </w:t>
            </w:r>
            <w:r w:rsidRPr="0043455E">
              <w:t>nr</w:t>
            </w:r>
            <w:r w:rsidR="0043455E" w:rsidRPr="0043455E">
              <w:t> </w:t>
            </w:r>
            <w:r w:rsidRPr="0043455E">
              <w:t>5</w:t>
            </w:r>
            <w:r>
              <w:t>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Faktyczne lub warunkowe zobowiązania do zakupu instrumentów własnych w kapitale Tier II</w:t>
            </w:r>
          </w:p>
          <w:p w14:paraId="285FD6CB" w14:textId="00489B22"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p>
          <w:p w14:paraId="7FBFFA11" w14:textId="0F28C241"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Zgodnie z</w:t>
            </w:r>
            <w:r>
              <w:rPr>
                <w:rStyle w:val="FormatvorlageInstructionsTabelleText"/>
                <w:rFonts w:ascii="Times New Roman" w:hAnsi="Times New Roman"/>
                <w:sz w:val="24"/>
              </w:rPr>
              <w:t xml:space="preserve"> art. 66 lit. a)</w:t>
            </w:r>
            <w:r>
              <w:t xml:space="preserve"> rozporządzenia (UE) </w:t>
            </w:r>
            <w:r w:rsidRPr="0043455E">
              <w:t>nr</w:t>
            </w:r>
            <w:r w:rsidR="0043455E" w:rsidRPr="0043455E">
              <w:t> </w:t>
            </w:r>
            <w:r w:rsidRPr="0043455E">
              <w:t>5</w:t>
            </w:r>
            <w:r>
              <w:t>75/2013 odlicza się udziały kapitałowe w „instrumentach własnych w Tier II, które instytucja mogłaby mieć obowiązek kupić na mocy istniejących zobowiązań umownych”.</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Korekty w okresie przejściowym z tytułu instrumentów w kapitale Tier II podlegających zasadzie praw nabytych </w:t>
            </w:r>
          </w:p>
          <w:p w14:paraId="1FC43F31" w14:textId="51C2DCD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483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 i 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84, 486, 488, 490 i 491 </w:t>
            </w:r>
            <w:r>
              <w:t xml:space="preserve">rozporządzenia (UE) </w:t>
            </w:r>
            <w:r w:rsidRPr="0043455E">
              <w:t>nr</w:t>
            </w:r>
            <w:r w:rsidR="0043455E" w:rsidRPr="0043455E">
              <w:t> </w:t>
            </w:r>
            <w:r w:rsidRPr="0043455E">
              <w:t>5</w:t>
            </w:r>
            <w:r>
              <w:t>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Kwota instrumentów kapitałowych podlegających w okresie przejściowym zasadzie praw nabytych jako kapitał Tier II. Kwota, którą należy zgłosić, jest uzyskiwana bezpośrednio z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Instrumenty emitowane przez jednostki zależne uznane w kapitale Tier II</w:t>
            </w:r>
          </w:p>
          <w:p w14:paraId="229A9DBE" w14:textId="506F151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83, 87 i 88</w:t>
            </w:r>
            <w:r>
              <w:t xml:space="preserve"> rozporządzenia (UE) </w:t>
            </w:r>
            <w:r w:rsidRPr="0043455E">
              <w:t>nr</w:t>
            </w:r>
            <w:r w:rsidR="0043455E" w:rsidRPr="0043455E">
              <w:t> </w:t>
            </w:r>
            <w:r w:rsidRPr="0043455E">
              <w:t>5</w:t>
            </w:r>
            <w:r>
              <w:t>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wszystkich kwot uznanych funduszy własnych jednostek zależnych uwzględniona w skonsolidowanym kapitale Tier II.</w:t>
            </w:r>
          </w:p>
          <w:p w14:paraId="0E4F2E9C" w14:textId="5E26954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Uwzględniany jest kwalifikujący się kapitał Tier II emitowany przez jednostkę specjalnego przeznaczenia (art. 83</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Korekty w okresie przejściowym z tytułu dodatkowego uznania instrumentów emitowanych przez jednostki zależne w kapitale Tier II</w:t>
            </w:r>
          </w:p>
          <w:p w14:paraId="2401ACED" w14:textId="2D8E8EF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480</w:t>
            </w:r>
            <w:r>
              <w:t xml:space="preserve"> rozporządzenia (UE) </w:t>
            </w:r>
            <w:r w:rsidRPr="0043455E">
              <w:t>nr</w:t>
            </w:r>
            <w:r w:rsidR="0043455E" w:rsidRPr="0043455E">
              <w:t> </w:t>
            </w:r>
            <w:r w:rsidRPr="0043455E">
              <w:t>5</w:t>
            </w:r>
            <w:r>
              <w:t>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kwalifikujących się funduszy własnych uwzględnionych w skonsolidowanym kapitale Tier II wynikające z przepisów przejściowych. Pozycja ta jest uzyskiwana bezpośrednio z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Nadwyżka rezerw ponad oczekiwane uznane straty według metody IRB</w:t>
            </w:r>
          </w:p>
          <w:p w14:paraId="49A9F780" w14:textId="67084A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62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d)</w:t>
            </w:r>
            <w:r>
              <w:t xml:space="preserve"> rozporządzenia (UE) </w:t>
            </w:r>
            <w:r w:rsidRPr="0043455E">
              <w:t>nr</w:t>
            </w:r>
            <w:r w:rsidR="0043455E" w:rsidRPr="0043455E">
              <w:t> </w:t>
            </w:r>
            <w:r w:rsidRPr="0043455E">
              <w:t>5</w:t>
            </w:r>
            <w:r>
              <w:t>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przypadku instytucji obliczających kwoty ekspozycji ważonych ryzykiem według metody IRB pozycja ta zawiera kwoty dodatnie wynikające z porównania rezerw i oczekiwanych strat, które to kwoty kwalifikują się jako kapitał Tier II.</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Korekty z tytułu ogólnego ryzyka kredytowego według metody standardowej</w:t>
            </w:r>
          </w:p>
          <w:p w14:paraId="63615790" w14:textId="0403B78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62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t xml:space="preserve"> rozporządzenia (UE) </w:t>
            </w:r>
            <w:r w:rsidRPr="0043455E">
              <w:t>nr</w:t>
            </w:r>
            <w:r w:rsidR="0043455E" w:rsidRPr="0043455E">
              <w:t> </w:t>
            </w:r>
            <w:r w:rsidRPr="0043455E">
              <w:t>5</w:t>
            </w:r>
            <w:r>
              <w:t>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 przypadku instytucji obliczających kwoty ekspozycji ważonych ryzykiem według metody standardowej pozycja ta zawiera korekty z tytułu ogólnego ryzyka kredytowego kwalifikujące się jako kapitał Tier II.</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Krzyżowe powiązania kapitałowe w kapitale Tier II</w:t>
            </w:r>
          </w:p>
          <w:p w14:paraId="6E5AEEEF" w14:textId="5540F75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22,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8 </w:t>
            </w:r>
            <w:r>
              <w:t xml:space="preserve">rozporządzenia (UE) </w:t>
            </w:r>
            <w:r w:rsidRPr="0043455E">
              <w:t>nr</w:t>
            </w:r>
            <w:r w:rsidR="0043455E" w:rsidRPr="0043455E">
              <w:t> </w:t>
            </w:r>
            <w:r w:rsidRPr="0043455E">
              <w:t>5</w:t>
            </w:r>
            <w:r>
              <w:t>75/2013</w:t>
            </w:r>
          </w:p>
          <w:p w14:paraId="318D2ED3" w14:textId="519ACE2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Udziały kapitałowe w instrumentach w kapitale Tier II podmiotów sektora finansowego (zgodnie z definicją 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jeżeli istnieje krzyżowe powiązanie kapitałowe, uznane przez właściwy organ za mające na celu sztuczne zawyżanie funduszy własnych instytucji.</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Kwotę, którą należy tu zgłosić, oblicza się na podstawie pozycji długich brutto i obejmuje ona pozycje ubezpieczeniowe funduszy własnych Tier II i Tier III.</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Instrumenty w kapitale Tier II podmiotów sektora finansowego, jeżeli instytucja nie dokonała znacznej inwestycji w te podmioty</w:t>
            </w:r>
          </w:p>
          <w:p w14:paraId="320B6FB5" w14:textId="021997A1"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8–70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7</w:t>
            </w:r>
            <w:r>
              <w:rPr>
                <w:rStyle w:val="FormatvorlageInstructionsTabelleText"/>
                <w:rFonts w:ascii="Times New Roman" w:hAnsi="Times New Roman"/>
                <w:sz w:val="24"/>
              </w:rPr>
              <w:t xml:space="preserve">9 </w:t>
            </w:r>
            <w:r>
              <w:t xml:space="preserve">rozporządzenia (UE) </w:t>
            </w:r>
            <w:r w:rsidRPr="0043455E">
              <w:t>nr</w:t>
            </w:r>
            <w:r w:rsidR="0043455E" w:rsidRPr="0043455E">
              <w:t> </w:t>
            </w:r>
            <w:r w:rsidRPr="0043455E">
              <w:t>5</w:t>
            </w:r>
            <w:r>
              <w:t>75/2013</w:t>
            </w:r>
          </w:p>
          <w:p w14:paraId="7BC93609" w14:textId="459A0DD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Część posiadanych przez instytucję udziałów kapitałowych w instrumentach podmiotów sektora finansowego (zgodnie z definicją w art. 4 ust. 1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7</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w przypadkach, gdy instytucja nie dokonała znacznej inwestycji w te podmioty, którą należy odliczyć od kapitału Tier II</w:t>
            </w:r>
            <w:r>
              <w:t>.</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Instrumenty w kapitale Tier II podmiotów sektora finansowego, jeżeli instytucja dokonała znacznej inwestycji w te podmioty</w:t>
            </w:r>
          </w:p>
          <w:p w14:paraId="6FA90E7C" w14:textId="3A1E0D51"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4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pkt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7,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d)</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8, 69 i 79 </w:t>
            </w:r>
            <w:r>
              <w:t xml:space="preserve">rozporządzenia (UE) </w:t>
            </w:r>
            <w:r w:rsidRPr="0043455E">
              <w:t>nr</w:t>
            </w:r>
            <w:r w:rsidR="0043455E" w:rsidRPr="0043455E">
              <w:t> </w:t>
            </w:r>
            <w:r w:rsidRPr="0043455E">
              <w:t>5</w:t>
            </w:r>
            <w:r>
              <w:t>75/2013</w:t>
            </w:r>
          </w:p>
          <w:p w14:paraId="439D8CFA" w14:textId="63D5110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Posiadane przez instytucję udziały kapitałowe w instrumentach w kapitale Tier II podmiotów sektora finansowego (zgodnie z definicją w art. 4 ust. 1 </w:t>
            </w:r>
            <w:r w:rsidRPr="0043455E">
              <w:rPr>
                <w:rStyle w:val="FormatvorlageInstructionsTabelleText"/>
                <w:rFonts w:ascii="Times New Roman" w:hAnsi="Times New Roman"/>
                <w:sz w:val="24"/>
              </w:rPr>
              <w:t>pkt</w:t>
            </w:r>
            <w:r w:rsidR="0043455E" w:rsidRPr="0043455E">
              <w:t> </w:t>
            </w:r>
            <w:r w:rsidRPr="0043455E">
              <w:t>2</w:t>
            </w:r>
            <w:r>
              <w:t xml:space="preserve">7 rozporządzenia (UE) </w:t>
            </w:r>
            <w:r w:rsidRPr="0043455E">
              <w:t>nr</w:t>
            </w:r>
            <w:r w:rsidR="0043455E" w:rsidRPr="0043455E">
              <w:t> </w:t>
            </w:r>
            <w:r w:rsidRPr="0043455E">
              <w:t>5</w:t>
            </w:r>
            <w:r>
              <w:t>75/2013</w:t>
            </w:r>
            <w:r>
              <w:rPr>
                <w:rStyle w:val="FormatvorlageInstructionsTabelleText"/>
                <w:rFonts w:ascii="Times New Roman" w:hAnsi="Times New Roman"/>
                <w:sz w:val="24"/>
              </w:rPr>
              <w:t>) są całkowicie odliczane w przypadkach, gdy instytucja dokonała znacznej inwestycji.</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Nadwyżka odliczeń od zobowiązań kwalifikowalnych ponad zobowiązania kwalifikowalne</w:t>
            </w:r>
          </w:p>
          <w:p w14:paraId="596C4D13" w14:textId="31B29D79"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 66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e)</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Inne korekty w okresie przejściowym w kapitale Tier II</w:t>
            </w:r>
          </w:p>
          <w:p w14:paraId="1E667E47" w14:textId="152B13E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 472, 473a, 476, 477, 478 i 481 </w:t>
            </w:r>
            <w:r>
              <w:t xml:space="preserve">rozporządzenia (UE) </w:t>
            </w:r>
            <w:r w:rsidRPr="0043455E">
              <w:t>nr</w:t>
            </w:r>
            <w:r w:rsidR="0043455E" w:rsidRPr="0043455E">
              <w:t> </w:t>
            </w:r>
            <w:r w:rsidRPr="0043455E">
              <w:t>5</w:t>
            </w:r>
            <w:r>
              <w:t>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Korekty wynikające z przepisów przejściowych. Kwota, którą należy zgłosić, jest uzyskiwana bezpośrednio z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Nadwyżka odliczenia od pozycji w Tier II ponad kapitał Tier II (odliczenie w kapitale dodatkowym Tier I)</w:t>
            </w:r>
          </w:p>
          <w:p w14:paraId="228CB6FD" w14:textId="319A0D0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56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e)</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Kapitał Tier II nie może mieć wartości ujemnej, ale możliwa jest sytuacja, w której odliczenia od pozycji w Tier II mają większą wartość niż kapitał Tier II powiększony o powiązane ażio emisyjne. W takim przypadku wartość kapitału Tier II musi być równa zeru, a nadwyżkę odliczenia od pozycji w Tier II należy odjąć od kapitału dodatkowego Tier I.</w:t>
            </w:r>
          </w:p>
          <w:p w14:paraId="51C45BAA" w14:textId="4195824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Wskutek tej pozycji suma pozycji </w:t>
            </w:r>
            <w:r w:rsidRPr="0043455E">
              <w:rPr>
                <w:rStyle w:val="FormatvorlageInstructionsTabelleText"/>
                <w:rFonts w:ascii="Times New Roman" w:hAnsi="Times New Roman"/>
                <w:sz w:val="24"/>
              </w:rPr>
              <w:t>od</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.2.1 </w:t>
            </w:r>
            <w:r w:rsidRPr="0043455E">
              <w:rPr>
                <w:rStyle w:val="FormatvorlageInstructionsTabelleText"/>
                <w:rFonts w:ascii="Times New Roman" w:hAnsi="Times New Roman"/>
                <w:sz w:val="24"/>
              </w:rPr>
              <w:t>do</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.2.13 nigdy nie jest mniejsza od zera. Jeżeli jednak w pozycji tej podana jest wartość dodatnia, w pozycji 1.1.2.8 widnieje odwrotność tej liczby.</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D8190C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xml:space="preserve">(-) Dodatkowe odliczenia od kapitału Tier II zgodnie z art. 3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0ADB50FF" w14:textId="359C3322"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w:t>
            </w:r>
            <w:r>
              <w:t xml:space="preserve"> rozporządzenia (UE) </w:t>
            </w:r>
            <w:r w:rsidRPr="0043455E">
              <w:t>nr</w:t>
            </w:r>
            <w:r w:rsidR="0043455E" w:rsidRPr="0043455E">
              <w:t> </w:t>
            </w:r>
            <w:r w:rsidRPr="0043455E">
              <w:t>5</w:t>
            </w:r>
            <w:r>
              <w:t>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Elementy kapitału Tier II lub odliczenia od kapitału Tier II – inne </w:t>
            </w:r>
          </w:p>
          <w:p w14:paraId="07C5D4CE" w14:textId="3E9081E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 ten zapewnia elastyczność wyłącznie dla celów sprawozdawczości. Wprowadza się w nim dane w tych rzadkich przypadkach, gdy nie ma ostatecznej decyzji w sprawie zgłaszania poszczególnych pozycji kapitału/odliczeń we wzorze CA1. W konsekwencji wiersz ten wypełnia się tylko wtedy, gdy elementu kapitału podstawowego Tier II lub odliczenia od elementu kapitału Tier II nie można przypisać do żadnego z wierszy </w:t>
            </w:r>
            <w:r w:rsidRPr="0043455E">
              <w:rPr>
                <w:rStyle w:val="InstructionsTabelleberschrift"/>
                <w:rFonts w:ascii="Times New Roman" w:hAnsi="Times New Roman"/>
                <w:b w:val="0"/>
                <w:sz w:val="24"/>
                <w:u w:val="none"/>
              </w:rPr>
              <w:t>od</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50 </w:t>
            </w:r>
            <w:r w:rsidRPr="0043455E">
              <w:rPr>
                <w:rStyle w:val="InstructionsTabelleberschrift"/>
                <w:rFonts w:ascii="Times New Roman" w:hAnsi="Times New Roman"/>
                <w:b w:val="0"/>
                <w:sz w:val="24"/>
                <w:u w:val="none"/>
              </w:rPr>
              <w:t>do</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74. </w:t>
            </w:r>
          </w:p>
          <w:p w14:paraId="4B81AA3E" w14:textId="006612C0"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Wiersza tego nie używa się do uwzględniania pozycji kapitału/odliczeń, które nie są objęte zakresem stosowania rozporządzenia (UE) </w:t>
            </w:r>
            <w:r w:rsidRPr="0043455E">
              <w:rPr>
                <w:rStyle w:val="InstructionsTabelleberschrift"/>
                <w:rFonts w:ascii="Times New Roman" w:hAnsi="Times New Roman"/>
                <w:b w:val="0"/>
                <w:sz w:val="24"/>
                <w:u w:val="none"/>
              </w:rPr>
              <w:t>nr</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 w celu obliczenia współczynników wypłacalności (np. przypisania pozycji kapitału/odliczeń, które określono według przepisów krajowych, a które nie wchodzą w zakres</w:t>
            </w:r>
            <w:r>
              <w:t xml:space="preserve"> stosowania tego rozporządzenia</w:t>
            </w:r>
            <w:r>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308175823"/>
      <w:bookmarkStart w:id="42" w:name="_Toc360188327"/>
      <w:bookmarkStart w:id="43" w:name="_Toc119064773"/>
      <w:r>
        <w:rPr>
          <w:rFonts w:ascii="Times New Roman" w:hAnsi="Times New Roman"/>
          <w:sz w:val="24"/>
          <w:u w:val="none"/>
        </w:rPr>
        <w:t>1.3.</w:t>
      </w:r>
      <w:r>
        <w:tab/>
      </w:r>
      <w:r>
        <w:rPr>
          <w:rFonts w:ascii="Times New Roman" w:hAnsi="Times New Roman"/>
          <w:sz w:val="24"/>
        </w:rPr>
        <w:t>C 02.00 – WYMOGI W ZAKRESIE FUNDUSZY WŁASNYCH (CA2)</w:t>
      </w:r>
      <w:bookmarkEnd w:id="40"/>
      <w:bookmarkEnd w:id="43"/>
      <w:r>
        <w:rPr>
          <w:rFonts w:ascii="Times New Roman" w:hAnsi="Times New Roman"/>
          <w:sz w:val="24"/>
        </w:rPr>
        <w:t xml:space="preserve"> </w:t>
      </w:r>
      <w:bookmarkEnd w:id="41"/>
      <w:bookmarkEnd w:id="42"/>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9064774"/>
      <w:r>
        <w:rPr>
          <w:rFonts w:ascii="Times New Roman" w:hAnsi="Times New Roman"/>
          <w:sz w:val="24"/>
          <w:u w:val="none"/>
        </w:rPr>
        <w:t>1.3.1.</w:t>
      </w:r>
      <w:r>
        <w:tab/>
      </w:r>
      <w:r>
        <w:rPr>
          <w:rFonts w:ascii="Times New Roman" w:hAnsi="Times New Roman"/>
          <w:sz w:val="24"/>
        </w:rPr>
        <w:t>Instrukcje dotyczące poszczególnych</w:t>
      </w:r>
      <w:bookmarkEnd w:id="44"/>
      <w:bookmarkEnd w:id="45"/>
      <w:r>
        <w:rPr>
          <w:rFonts w:ascii="Times New Roman" w:hAnsi="Times New Roman"/>
          <w:sz w:val="24"/>
        </w:rPr>
        <w:t xml:space="preserve"> pozycji</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Wiersz</w:t>
            </w:r>
          </w:p>
        </w:tc>
        <w:tc>
          <w:tcPr>
            <w:tcW w:w="7274" w:type="dxa"/>
            <w:shd w:val="clear" w:color="auto" w:fill="D9D9D9"/>
          </w:tcPr>
          <w:p w14:paraId="7F3DDF83" w14:textId="77777777" w:rsidR="005643EA" w:rsidRPr="002A677E" w:rsidRDefault="002648B0" w:rsidP="00487A02">
            <w:pPr>
              <w:pStyle w:val="InstructionsText"/>
            </w:pPr>
            <w:r>
              <w:t>Odniesienia prawne i instrukcje</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ŁĄCZNA KWOTA EKSPOZYCJI NA RYZYKO</w:t>
            </w:r>
          </w:p>
          <w:p w14:paraId="3E17E533" w14:textId="64ABD3BD" w:rsidR="002648B0" w:rsidRPr="002A677E" w:rsidRDefault="002648B0" w:rsidP="00487A02">
            <w:pPr>
              <w:pStyle w:val="InstructionsText"/>
            </w:pPr>
            <w:r>
              <w:t xml:space="preserve">Art. 92 </w:t>
            </w:r>
            <w:r w:rsidRPr="0043455E">
              <w:t>ust.</w:t>
            </w:r>
            <w:r w:rsidR="0043455E" w:rsidRPr="0043455E">
              <w:t> </w:t>
            </w:r>
            <w:r w:rsidRPr="0043455E">
              <w:t>3</w:t>
            </w:r>
            <w:r>
              <w:t xml:space="preserve"> i </w:t>
            </w:r>
            <w:r w:rsidRPr="0043455E">
              <w:t>art.</w:t>
            </w:r>
            <w:r w:rsidR="0043455E" w:rsidRPr="0043455E">
              <w:t> </w:t>
            </w:r>
            <w:r w:rsidRPr="0043455E">
              <w:t>9</w:t>
            </w:r>
            <w:r>
              <w:t xml:space="preserve">5, 96 i 98 rozporządzenia (UE) </w:t>
            </w:r>
            <w:r w:rsidRPr="0043455E">
              <w:t>nr</w:t>
            </w:r>
            <w:r w:rsidR="0043455E" w:rsidRPr="0043455E">
              <w:t> </w:t>
            </w:r>
            <w:r w:rsidRPr="0043455E">
              <w:t>5</w:t>
            </w:r>
            <w:r>
              <w:t>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0B7760C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W tym: firmy inwestycyjne, o których mowa w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9</w:t>
            </w:r>
            <w:r>
              <w:rPr>
                <w:rStyle w:val="InstructionsTabelleberschrift"/>
                <w:rFonts w:ascii="Times New Roman" w:hAnsi="Times New Roman"/>
                <w:sz w:val="24"/>
              </w:rPr>
              <w:t xml:space="preserve">5 </w:t>
            </w:r>
            <w:r w:rsidRPr="0043455E">
              <w:rPr>
                <w:rStyle w:val="InstructionsTabelleberschrift"/>
                <w:rFonts w:ascii="Times New Roman" w:hAnsi="Times New Roman"/>
                <w:sz w:val="24"/>
              </w:rPr>
              <w:t>ust.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2</w:t>
            </w:r>
            <w:r>
              <w:rPr>
                <w:rStyle w:val="InstructionsTabelleberschrift"/>
                <w:rFonts w:ascii="Times New Roman" w:hAnsi="Times New Roman"/>
                <w:sz w:val="24"/>
              </w:rPr>
              <w:t xml:space="preserve"> oraz w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9</w:t>
            </w:r>
            <w:r>
              <w:rPr>
                <w:rStyle w:val="InstructionsTabelleberschrift"/>
                <w:rFonts w:ascii="Times New Roman" w:hAnsi="Times New Roman"/>
                <w:sz w:val="24"/>
              </w:rPr>
              <w:t xml:space="preserve">8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69B39CC9" w14:textId="6654999B" w:rsidR="005643EA" w:rsidRPr="002A677E" w:rsidRDefault="002648B0" w:rsidP="00487A02">
            <w:pPr>
              <w:pStyle w:val="InstructionsText"/>
            </w:pPr>
            <w:r>
              <w:t>W przypadku firm inwestycyjnych, o których mowa w art. 95 ust. </w:t>
            </w:r>
            <w:r>
              <w:rPr>
                <w:rStyle w:val="FormatvorlageInstructionsTabelleText"/>
                <w:rFonts w:ascii="Times New Roman" w:hAnsi="Times New Roman"/>
                <w:sz w:val="24"/>
              </w:rPr>
              <w:t>2</w:t>
            </w:r>
            <w:r>
              <w:t xml:space="preserve"> oraz w art. 98 rozporządzenia (UE) </w:t>
            </w:r>
            <w:r w:rsidRPr="0043455E">
              <w:t>nr</w:t>
            </w:r>
            <w:r w:rsidR="0043455E" w:rsidRPr="0043455E">
              <w:t> </w:t>
            </w:r>
            <w:r w:rsidRPr="0043455E">
              <w:t>5</w:t>
            </w:r>
            <w:r>
              <w:t>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lastRenderedPageBreak/>
              <w:t>0030</w:t>
            </w:r>
          </w:p>
        </w:tc>
        <w:tc>
          <w:tcPr>
            <w:tcW w:w="7274" w:type="dxa"/>
          </w:tcPr>
          <w:p w14:paraId="46EC9CCC" w14:textId="7CD08794"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W tym: firmy inwestycyjne, o których mowa w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9</w:t>
            </w:r>
            <w:r>
              <w:rPr>
                <w:rStyle w:val="InstructionsTabelleberschrift"/>
                <w:rFonts w:ascii="Times New Roman" w:hAnsi="Times New Roman"/>
                <w:sz w:val="24"/>
              </w:rPr>
              <w:t xml:space="preserve">6 </w:t>
            </w:r>
            <w:r w:rsidRPr="0043455E">
              <w:rPr>
                <w:rStyle w:val="InstructionsTabelleberschrift"/>
                <w:rFonts w:ascii="Times New Roman" w:hAnsi="Times New Roman"/>
                <w:sz w:val="24"/>
              </w:rPr>
              <w:t>ust.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2</w:t>
            </w:r>
            <w:r>
              <w:rPr>
                <w:rStyle w:val="InstructionsTabelleberschrift"/>
                <w:rFonts w:ascii="Times New Roman" w:hAnsi="Times New Roman"/>
                <w:sz w:val="24"/>
              </w:rPr>
              <w:t xml:space="preserve"> oraz w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9</w:t>
            </w:r>
            <w:r>
              <w:rPr>
                <w:rStyle w:val="InstructionsTabelleberschrift"/>
                <w:rFonts w:ascii="Times New Roman" w:hAnsi="Times New Roman"/>
                <w:sz w:val="24"/>
              </w:rPr>
              <w:t xml:space="preserve">7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7E481CD1" w14:textId="59D32D72" w:rsidR="005643EA" w:rsidRPr="002A677E" w:rsidRDefault="002648B0" w:rsidP="00487A02">
            <w:pPr>
              <w:pStyle w:val="InstructionsText"/>
            </w:pPr>
            <w:r>
              <w:t>W przypadku firm inwestycyjnych, o których mowa w art. 96 ust. </w:t>
            </w:r>
            <w:r>
              <w:rPr>
                <w:rStyle w:val="FormatvorlageInstructionsTabelleText"/>
                <w:rFonts w:ascii="Times New Roman" w:hAnsi="Times New Roman"/>
                <w:sz w:val="24"/>
              </w:rPr>
              <w:t>2</w:t>
            </w:r>
            <w:r>
              <w:t xml:space="preserve"> oraz w art. 97 rozporządzenia (UE) </w:t>
            </w:r>
            <w:r w:rsidRPr="0043455E">
              <w:t>nr</w:t>
            </w:r>
            <w:r w:rsidR="0043455E" w:rsidRPr="0043455E">
              <w:t> </w:t>
            </w:r>
            <w:r w:rsidRPr="0043455E">
              <w:t>5</w:t>
            </w:r>
            <w:r>
              <w:t>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KWOTY EKSPOZYCJI WAŻONYCH RYZYKIEM Z TYTUŁU RYZYKA KREDYTOWEGO, RYZYKA KREDYTOWEGO KONTRAHENTA, RYZYKA ROZMYCIA ORAZ DOSTAW Z PÓŹNIEJSZYM TERMINEM ROZLICZENIA</w:t>
            </w:r>
          </w:p>
          <w:p w14:paraId="17CFB9F6" w14:textId="51D5EAA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 92 ust. 3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Style w:val="FormatvorlageInstructionsTabelleText"/>
                <w:rFonts w:ascii="Times New Roman" w:hAnsi="Times New Roman"/>
                <w:sz w:val="24"/>
              </w:rPr>
              <w:t xml:space="preserve"> i f)</w:t>
            </w:r>
            <w:r>
              <w:t xml:space="preserve"> rozporządzenia (UE) </w:t>
            </w:r>
            <w:r w:rsidRPr="0043455E">
              <w:t>nr</w:t>
            </w:r>
            <w:r w:rsidR="0043455E" w:rsidRPr="0043455E">
              <w:t> </w:t>
            </w:r>
            <w:r w:rsidRPr="0043455E">
              <w:t>5</w:t>
            </w:r>
            <w:r>
              <w:t>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Metoda standardowa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Wzory CR SA i SEC SA na poziomie ekspozycji całkowitych</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3089D42D"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 xml:space="preserve">W tym: z tytułu dodatkowych, surowszych wymogów ostrożnościowych na podstawie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 xml:space="preserve">24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0AC666E0" w14:textId="61054B8F" w:rsidR="00802958" w:rsidRPr="002A677E" w:rsidRDefault="004852B9" w:rsidP="002A67C8">
            <w:pPr>
              <w:pStyle w:val="InstructionsText"/>
              <w:rPr>
                <w:rStyle w:val="InstructionsTabelleberschrift"/>
                <w:rFonts w:ascii="Times New Roman" w:hAnsi="Times New Roman"/>
                <w:sz w:val="24"/>
              </w:rPr>
            </w:pPr>
            <w:r>
              <w:t xml:space="preserve">Instytucje zgłaszają dodatkowe kwoty ekspozycji na ryzyko niezbędne do osiągnięcia zgodności z surowszymi wymogami ostrożnościowymi podanymi do wiadomości instytucji po przeprowadzeniu konsultacji z EUNB, zgodnie z art. 124 ust. 2 i 5 rozporządzenia (UE) </w:t>
            </w:r>
            <w:r w:rsidRPr="0043455E">
              <w:t>nr</w:t>
            </w:r>
            <w:r w:rsidR="0043455E" w:rsidRPr="0043455E">
              <w:t> </w:t>
            </w:r>
            <w:r w:rsidRPr="0043455E">
              <w:t>5</w:t>
            </w:r>
            <w:r>
              <w:t>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Kategorie ekspozycji według metody standardowej z wyłączeniem pozycji sekurytyzacyjnych</w:t>
            </w:r>
          </w:p>
          <w:p w14:paraId="43519FA5" w14:textId="1B41DBEE"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Wzór CR SA na poziomie ekspozycji całkowitych. Kategoriami ekspozycji według metody standardowej są kategorie </w:t>
            </w:r>
            <w:r>
              <w:rPr>
                <w:rStyle w:val="InstructionsTabelleberschrift"/>
                <w:rFonts w:ascii="Times New Roman" w:hAnsi="Times New Roman"/>
                <w:b w:val="0"/>
                <w:sz w:val="24"/>
                <w:u w:val="none"/>
              </w:rPr>
              <w:t>wymienione</w:t>
            </w:r>
            <w:r>
              <w:rPr>
                <w:rStyle w:val="FormatvorlageInstructionsTabelleText"/>
                <w:rFonts w:ascii="Times New Roman" w:hAnsi="Times New Roman"/>
                <w:sz w:val="24"/>
              </w:rPr>
              <w:t xml:space="preserve"> w art. 112</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z wyłączeniem pozycji sekurytyzacyjnych</w:t>
            </w:r>
            <w:r>
              <w:t>.</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Ekspozycje wobec rządów centralnych lub banków centralnych</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Zob. wzór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Ekspozycje wobec samorządów regionalnych lub władz lokalnych</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Ekspozycje wobec podmiotów sektora publicznego</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Ekspozycje wobec wielostronnych banków rozwoju</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Zob. wzór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Ekspozycje wobec organizacji międzynarodowych</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Ekspozycje wobec instytucji</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Ekspozycje wobec przedsiębiorstw</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Ekspozycje detaliczne</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Zob. wzór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Ekspozycje zabezpieczone hipotekami na nieruchomościach</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Ekspozycje, których dotyczy niewykonanie zobowiązania</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Pozycje związane ze szczególnie wysokim ryzykiem</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Obligacje zabezpieczone</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Ekspozycje z tytułu należności od instytucji i przedsiębiorstw posiadających krótkoterminową ocenę kredytową</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Przedsiębiorstwa zbiorowego inwestowania</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Ekspozycje kapitałowe</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Zob. wzór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Inne pozycje</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Zob. wzór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W tym: aktywa będące oprogramowaniem rozliczane jako wartości niematerialne i prawne</w:t>
            </w:r>
          </w:p>
          <w:p w14:paraId="7DDD0154" w14:textId="19DF1660"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Kwota ekspozycji ważonej ryzykiem dotycząca części aktywów będących oprogramowaniem rozliczanych jako wartości niematerialne i prawne, która nie jest odliczana od pozycji kapitału podstawowego Tier I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ale ważona ryzykiem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13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t xml:space="preserve"> tego rozporządzenia</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Metoda wewnętrznych ratingów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42E3FFFF"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W tym: z tytułu dodatkowych, surowszych wymogów ostrożnościowych na podstawie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 xml:space="preserve">64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600AF80E" w14:textId="278F00CF" w:rsidR="00802958" w:rsidRPr="002A677E" w:rsidRDefault="004852B9" w:rsidP="002A67C8">
            <w:pPr>
              <w:pStyle w:val="InstructionsText"/>
              <w:rPr>
                <w:rStyle w:val="InstructionsTabelleberschrift"/>
                <w:rFonts w:ascii="Times New Roman" w:hAnsi="Times New Roman"/>
                <w:sz w:val="24"/>
              </w:rPr>
            </w:pPr>
            <w:r>
              <w:t xml:space="preserve">Instytucje zgłaszają dodatkowe kwoty ekspozycji na ryzyko niezbędne do osiągnięcia zgodności z surowszymi wymogami ostrożnościowymi podanymi do wiadomości instytucji po powiadomieniu EUNB, zgodnie z art. 164 ust. 5 i 7 rozporządzenia (UE) </w:t>
            </w:r>
            <w:r w:rsidRPr="0043455E">
              <w:t>nr</w:t>
            </w:r>
            <w:r w:rsidR="0043455E" w:rsidRPr="0043455E">
              <w:t> </w:t>
            </w:r>
            <w:r w:rsidRPr="0043455E">
              <w:t>5</w:t>
            </w:r>
            <w:r>
              <w:t>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68D769F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W tym: z tytułu dodatkowych, surowszych wymogów ostrożnościowych na podstawie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 xml:space="preserve">24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0110769F" w14:textId="14B16155" w:rsidR="00802958" w:rsidRPr="002A677E" w:rsidRDefault="004852B9" w:rsidP="002A67C8">
            <w:pPr>
              <w:pStyle w:val="InstructionsText"/>
              <w:rPr>
                <w:rStyle w:val="InstructionsTabelleberschrift"/>
                <w:rFonts w:ascii="Times New Roman" w:hAnsi="Times New Roman"/>
                <w:sz w:val="24"/>
              </w:rPr>
            </w:pPr>
            <w:r>
              <w:t xml:space="preserve">Instytucje zgłaszają dodatkowe kwoty ekspozycji na ryzyko niezbędne do osiągnięcia zgodności z surowszymi wymogami ostrożnościowymi określonymi przez właściwe organy po przeprowadzeniu konsultacji z EUNB, </w:t>
            </w:r>
            <w:r>
              <w:lastRenderedPageBreak/>
              <w:t xml:space="preserve">zgodnie z art. 124 ust. 2 i 5 rozporządzenia (UE) </w:t>
            </w:r>
            <w:r w:rsidRPr="0043455E">
              <w:t>nr</w:t>
            </w:r>
            <w:r w:rsidR="0043455E" w:rsidRPr="0043455E">
              <w:t> </w:t>
            </w:r>
            <w:r w:rsidRPr="0043455E">
              <w:t>5</w:t>
            </w:r>
            <w:r>
              <w:t>75/2013, oraz powiązanymi z limitami dotyczącymi uznanej wartości rynkowej zabezpieczenia, jak określono w art. 125 ust. 2 lit. d) oraz art. 126 ust. 2 lit. d) tego rozporządzenia.</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Metody IRB w przypadku gdy nie są stosowane własne oszacowania LGD ani współczynniki konwersji</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Wzór CR IRB na poziomie ekspozycji całkowitych (jeżeli nie są stosowane własne oszacowania LGD ani współczynniki konwersji)</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Ekspozycje wobec rządów centralnych i banków centralnych</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Ekspozycje wobec instytucji</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Ekspozycje wobec przedsiębiorstw – MŚP</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Ekspozycje wobec przedsiębiorstw – kredytowanie specjalistyczne</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Zob. wzór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Ekspozycje wobec przedsiębiorstw – inne</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Metody IRB w przypadku gdy stosowane są własne oszacowania LGD lub współczynniki konwersji</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Wzór CR IRB na poziomie ekspozycji całkowitych (jeżeli stosowane są własne oszacowania LGD lub współczynniki konwersji)</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Ekspozycje wobec rządów centralnych i banków centralnych</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Ekspozycje wobec instytucji</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Zob. wzór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Ekspozycje wobec przedsiębiorstw – MŚP</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Ekspozycje wobec przedsiębiorstw – kredytowanie specjalistyczne</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Ekspozycje wobec przedsiębiorstw – inne</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Ekspozycje detaliczne – wobec MŚP zabezpieczone nieruchomością</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Zob. wzór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Ekspozycje detaliczne – ekspozycje zabezpieczone nieruchomością wobec podmiotów niebędących MŚP</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Kwalifikowane odnawialne ekspozycje detaliczne</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Ekspozycje detaliczne – inne ekspozycje wobec MŚP</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Ekspozycje detaliczne – inne ekspozycje wobec podmiotów niebędących MŚP</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Ekspozycje kapitałowe według metody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Inne aktywa niegenerujące zobowiązania kredytowego</w:t>
            </w:r>
          </w:p>
          <w:p w14:paraId="36871DF6" w14:textId="4FEDEA4B"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Kwota, którą należy zgłosić, jest kwotą ekspozycji ważonych ryzykiem obliczoną zgodnie z art. 156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W tym aktywa będące oprogramowaniem rozliczane jako wartości niematerialne i prawne</w:t>
            </w:r>
          </w:p>
          <w:p w14:paraId="2EB2DE5E" w14:textId="44FB1F0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Kwota ekspozycji ważonej ryzykiem dotycząca części aktywów będących oprogramowaniem rozliczanych jako wartości niematerialne i prawne, która nie jest odliczana od pozycji kapitału podstawowego Tier I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ale ważona ryzykiem zgodnie 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56</w:t>
            </w:r>
            <w:r>
              <w:t xml:space="preserve"> tego rozporządzenia</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Kwota ekspozycji na ryzyko z tytułu wkładu do funduszu kontrahenta centralnego na wypadek niewykonania zobowiązania</w:t>
            </w:r>
          </w:p>
          <w:p w14:paraId="7F9C499C" w14:textId="4511AC28"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 307, 308 i 309 rozporządzenia delegowanego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Pozycje sekurytyzacyjne</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Zob. wzór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ŁĄCZNA KWOTA EKSPOZYCJI NA RYZYKO ROZLICZENIA/DOSTAWY</w:t>
            </w:r>
          </w:p>
          <w:p w14:paraId="5035253C" w14:textId="7461004E"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 92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c)</w:t>
            </w:r>
            <w:r>
              <w:rPr>
                <w:rStyle w:val="FormatvorlageInstructionsTabelleText"/>
                <w:rFonts w:ascii="Times New Roman" w:hAnsi="Times New Roman"/>
                <w:sz w:val="24"/>
              </w:rPr>
              <w:t xml:space="preserve"> pkt (ii)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9</w:t>
            </w:r>
            <w:r>
              <w:rPr>
                <w:rStyle w:val="FormatvorlageInstructionsTabelleText"/>
                <w:rFonts w:ascii="Times New Roman" w:hAnsi="Times New Roman"/>
                <w:sz w:val="24"/>
              </w:rPr>
              <w:t xml:space="preserve">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Ryzyko rozliczenia/dostawy w portfelu bankowym</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Ryzyko rozliczenia/dostawy w portfelu handlowym</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ŁĄCZNA KWOTA EKSPOZYCJI NA RYZYKO Z TYTUŁU RYZYKA POZYCJI, RYZYKA WALUTOWEGO I RYZYKA CEN TOWARÓW </w:t>
            </w:r>
          </w:p>
          <w:p w14:paraId="69A11AE9" w14:textId="193A5D21"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 92 ust. 3 lit. b) pkt (i) oraz lit. c) pkt (i) i (iii) oraz art. 92 ust. 4 lit. b)</w:t>
            </w:r>
            <w:r>
              <w:t xml:space="preserve"> rozporządzenia (UE) </w:t>
            </w:r>
            <w:r w:rsidRPr="0043455E">
              <w:t>nr</w:t>
            </w:r>
            <w:r w:rsidR="0043455E" w:rsidRPr="0043455E">
              <w:t> </w:t>
            </w:r>
            <w:r w:rsidRPr="0043455E">
              <w:t>5</w:t>
            </w:r>
            <w:r>
              <w:t>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Kwota ekspozycji na ryzyko z tytułu ryzyka pozycji, ryzyka walutowego i ryzyka cen towarów według metod standardowych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Rynkowe instrumenty dłużne</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Wzór MKR SA TDI przy poziomie całkowitych wartości walut.</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Ekspozycje kapitałowe</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Wzór MKR SA EQU na poziomie całkowitych wartości rynków krajowych.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Szczególna metoda stosowana w odniesieniu do ryzyka pozycji w przedsiębiorstwach zbiorowego inwestowania</w:t>
            </w:r>
          </w:p>
          <w:p w14:paraId="5217648D" w14:textId="57CF3969"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 348 ust. 1, art. 350 ust. 3 lit. c) oraz art. 364 ust. 2 lit. a) 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w:t>
            </w:r>
          </w:p>
          <w:p w14:paraId="667963BD" w14:textId="696FFBD9"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Łączna kwota ekspozycji na ryzyko z tytułu pozycji w przedsiębiorstwach zbiorowego inwestowania, jeżeli wymogi kapitałowe oblicza się zgodnie z art. 348 ust. 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xml:space="preserve"> niezwłocznie lub w wyniku zastosowania pułapu określonego w art. 350 ust. 3 lit. c) tego rozporządzenia.</w:t>
            </w:r>
            <w:r>
              <w:rPr>
                <w:rFonts w:ascii="Times New Roman" w:hAnsi="Times New Roman"/>
                <w:sz w:val="24"/>
              </w:rPr>
              <w:t xml:space="preserve"> Zgodnie z rozporządzeniem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FormatvorlageInstructionsTabelleText"/>
                <w:rFonts w:ascii="Times New Roman" w:hAnsi="Times New Roman"/>
                <w:sz w:val="24"/>
              </w:rPr>
              <w:t>przedmiotowe pozycje nie są bezpośrednio przypisywane do ryzyka stopy procentowej ani ryzyka związanego z inwestowaniem w akcje</w:t>
            </w:r>
            <w:r>
              <w:rPr>
                <w:rFonts w:ascii="Times New Roman" w:hAnsi="Times New Roman"/>
                <w:sz w:val="24"/>
              </w:rPr>
              <w:t>.</w:t>
            </w:r>
          </w:p>
          <w:p w14:paraId="59F446CA" w14:textId="733235BD"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W przypadku stosowania metody szczególnej zgodnie z art. 348 ust. 1</w:t>
            </w:r>
            <w:r>
              <w:rPr>
                <w:rFonts w:ascii="Times New Roman" w:hAnsi="Times New Roman"/>
                <w:sz w:val="24"/>
              </w:rPr>
              <w:t xml:space="preserve"> zdanie pierwsze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xml:space="preserve"> zgłaszana kwota odpowiada kwocie stanowiącej 32 % pozycji netto danej ekspozycji przedsiębiorstwa zbiorowego inwestowania, pomnożonej przez 12,5. </w:t>
            </w:r>
          </w:p>
          <w:p w14:paraId="0B4C9A43" w14:textId="2565CB06" w:rsidR="00802958" w:rsidRPr="002A677E" w:rsidRDefault="00FF2818" w:rsidP="00836936">
            <w:pPr>
              <w:rPr>
                <w:rStyle w:val="InstructionsTabelleberschrift"/>
                <w:rFonts w:ascii="Times New Roman" w:hAnsi="Times New Roman"/>
                <w:sz w:val="24"/>
              </w:rPr>
            </w:pPr>
            <w:r>
              <w:rPr>
                <w:rStyle w:val="FormatvorlageInstructionsTabelleText"/>
                <w:rFonts w:ascii="Times New Roman" w:hAnsi="Times New Roman"/>
                <w:sz w:val="24"/>
              </w:rPr>
              <w:t>W przypadku stosowania metody szczególnej zgodnie z art. 348 ust. 1 zdanie drugie</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xml:space="preserve"> zgłaszana kwota odpowiada niższej z następujących wartości: 32 % pozycji netto odpowiedniej ekspozycji przedsiębiorstwa zbiorowego inwestowania lub różnicy między 40 % tej pozycji netto a wymogami w zakresie funduszy własnych wynikającymi z ryzyka walutowego powiązanego z tą ekspozycją przedsiębiorstwa zbiorowego inwestowania, każdorazowo pomnożonej przez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Pozycja uzupełniająca: Przedsiębiorstwa zbiorowego inwestowania, które zainwestowały wyłącznie w rynkowe instrumenty dłużne</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Łączna kwota ekspozycji na ryzyko z tytułu pozycji w przedsiębiorstwach zbiorowego inwestowania, jeżeli przedsiębiorstwo zbiorowego inwestowania zainwestowało wyłącznie w instrumenty narażone na ryzyko stopy procentowej.</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Przedsiębiorstwa zbiorowego inwestowania, które zainwestowały wyłącznie w instrumenty udziałowe lub w instrumenty mieszane</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Łączna kwota ekspozycji na ryzyko z tytułu pozycji w przedsiębiorstwach zbiorowego inwestowania, jeżeli przedsiębiorstwo zbiorowego inwestowania zainwestowało wyłącznie w instrumenty narażone na ryzyko związane z inwestowaniem w akcje albo w instrumenty mieszane lub też jeżeli części składowe przedsiębiorstwa zbiorowego inwestowania są nieznane.</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Ryzyko walutowe</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Ryzyko cen towarów</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Kwota ekspozycji na ryzyko z tytułu ryzyka pozycji, ryzyka walutowego i ryzyka cen towarów według modeli wewnętrznych</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ŁĄCZNA KWOTA EKSPOZYCJI NA RYZYKO Z TYTUŁU RYZYKA OPERACYJNEGO</w:t>
            </w:r>
          </w:p>
          <w:p w14:paraId="3811BDC4" w14:textId="06B76BF0"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 92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e)</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9</w:t>
            </w:r>
            <w:r>
              <w:rPr>
                <w:rStyle w:val="FormatvorlageInstructionsTabelleText"/>
                <w:rFonts w:ascii="Times New Roman" w:hAnsi="Times New Roman"/>
                <w:sz w:val="24"/>
              </w:rPr>
              <w:t xml:space="preserve">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4</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w:t>
            </w:r>
            <w:r>
              <w:t xml:space="preserve">rozporządzenia (UE) </w:t>
            </w:r>
            <w:r w:rsidRPr="0043455E">
              <w:t>nr</w:t>
            </w:r>
            <w:r w:rsidR="0043455E" w:rsidRPr="0043455E">
              <w:t> </w:t>
            </w:r>
            <w:r w:rsidRPr="0043455E">
              <w:t>5</w:t>
            </w:r>
            <w:r>
              <w:t>75/2013</w:t>
            </w:r>
          </w:p>
          <w:p w14:paraId="1BA9D349" w14:textId="3BE3BB7B"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W przypadku firm inwestycyjnych, o których mowa w art. 95 ust. 2, art. 96 ust. 2 oraz w art. 98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wartość tego elementu wynosi zero.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Ryzyko operacyjne według metody wskaźnika bazowego</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Ryzyko operacyjne według metody standardowej/alternatywnej metody standardowej</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Metody zaawansowanego pomiaru w odniesieniu do ryzyka operacyjnego</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DODATKOWA KWOTA EKSPOZYCJI NA RYZYKO Z TYTUŁU STAŁYCH KOSZTÓW POŚREDNICH</w:t>
            </w:r>
          </w:p>
          <w:p w14:paraId="25F8DA00" w14:textId="0050B9B3"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 95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9</w:t>
            </w:r>
            <w:r>
              <w:rPr>
                <w:rStyle w:val="FormatvorlageInstructionsTabelleText"/>
                <w:rFonts w:ascii="Times New Roman" w:hAnsi="Times New Roman"/>
                <w:sz w:val="24"/>
              </w:rPr>
              <w:t xml:space="preserve">6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9</w:t>
            </w:r>
            <w:r>
              <w:rPr>
                <w:rStyle w:val="FormatvorlageInstructionsTabelleText"/>
                <w:rFonts w:ascii="Times New Roman" w:hAnsi="Times New Roman"/>
                <w:sz w:val="24"/>
              </w:rPr>
              <w:t xml:space="preserve">7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9</w:t>
            </w:r>
            <w:r>
              <w:rPr>
                <w:rStyle w:val="FormatvorlageInstructionsTabelleText"/>
                <w:rFonts w:ascii="Times New Roman" w:hAnsi="Times New Roman"/>
                <w:sz w:val="24"/>
              </w:rPr>
              <w:t xml:space="preserve">8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6D002D9" w14:textId="71E37A68"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Jedynie w przypadku firm inwestycyjnych, o których mowa w art. 95 ust. 2, art. 96 ust. 2 oraz w art. 98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Zob. również art. 97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xml:space="preserve">. </w:t>
            </w:r>
          </w:p>
          <w:p w14:paraId="050A184D" w14:textId="13EF90DA"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Firmy inwestycyjne, o których mowa w art. 96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FormatvorlageInstructionsTabelleText"/>
                <w:rFonts w:ascii="Times New Roman" w:hAnsi="Times New Roman"/>
                <w:sz w:val="24"/>
              </w:rPr>
              <w:t>zgłaszają kwotę, o której mowa w art. 97, pomnożoną przez liczbę 12,5</w:t>
            </w:r>
            <w:r>
              <w:rPr>
                <w:rFonts w:ascii="Times New Roman" w:hAnsi="Times New Roman"/>
                <w:sz w:val="24"/>
              </w:rPr>
              <w:t>.</w:t>
            </w:r>
          </w:p>
          <w:p w14:paraId="6F52F0CD" w14:textId="2A87F376"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Firmy inwestycyjne, o których mowa w art. 95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zgłaszają w następujący sposób:</w:t>
            </w:r>
          </w:p>
          <w:p w14:paraId="5BECD677" w14:textId="0A162CA6"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jeżeli</w:t>
            </w:r>
            <w:r>
              <w:t xml:space="preserve"> kwota</w:t>
            </w:r>
            <w:r>
              <w:rPr>
                <w:rStyle w:val="FormatvorlageInstructionsTabelleText"/>
                <w:rFonts w:ascii="Times New Roman" w:hAnsi="Times New Roman"/>
                <w:sz w:val="24"/>
              </w:rPr>
              <w:t>, o której mowa w art. 95 ust. 2 lit. a)</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jest większa niż kwota, o której mowa w art. 95 ust. 2 lit. b)</w:t>
            </w:r>
            <w:r>
              <w:t xml:space="preserve"> tego rozporządzenia</w:t>
            </w:r>
            <w:r>
              <w:rPr>
                <w:rStyle w:val="FormatvorlageInstructionsTabelleText"/>
                <w:rFonts w:ascii="Times New Roman" w:hAnsi="Times New Roman"/>
                <w:sz w:val="24"/>
              </w:rPr>
              <w:t>, zgłaszają kwotę równą zero;</w:t>
            </w:r>
          </w:p>
          <w:p w14:paraId="27EC85F3" w14:textId="2BCF4314"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jeżeli</w:t>
            </w:r>
            <w:r>
              <w:t xml:space="preserve"> kwota,</w:t>
            </w:r>
            <w:r>
              <w:rPr>
                <w:rStyle w:val="FormatvorlageInstructionsTabelleText"/>
                <w:rFonts w:ascii="Times New Roman" w:hAnsi="Times New Roman"/>
                <w:sz w:val="24"/>
              </w:rPr>
              <w:t xml:space="preserve"> o której mowa w art. 95 ust. 2 lit. b)</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jest większa niż kwota, o której mowa w art. 95 ust. 2 lit. a)</w:t>
            </w:r>
            <w:r>
              <w:t xml:space="preserve"> tego rozporządzenia</w:t>
            </w:r>
            <w:r>
              <w:rPr>
                <w:rStyle w:val="FormatvorlageInstructionsTabelleText"/>
                <w:rFonts w:ascii="Times New Roman" w:hAnsi="Times New Roman"/>
                <w:sz w:val="24"/>
              </w:rPr>
              <w:t>, zgłaszają kwotę będącą wynikiem odjęcia tej drugiej kwoty od pierwszej</w:t>
            </w:r>
            <w:r>
              <w:t>.</w:t>
            </w:r>
            <w:r>
              <w:rPr>
                <w:rStyle w:val="FormatvorlageInstructionsTabelleText"/>
                <w:rFonts w:ascii="Times New Roman" w:hAnsi="Times New Roman"/>
                <w:sz w:val="24"/>
              </w:rPr>
              <w:t xml:space="preserve">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ŁĄCZNA KWOTA EKSPOZYCJI NA RYZYKO Z TYTUŁU KOREKTY WYCENY KREDYTOWEJ</w:t>
            </w:r>
          </w:p>
          <w:p w14:paraId="4C12E6E6" w14:textId="169DFF2C"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92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d)</w:t>
            </w:r>
            <w:r>
              <w:t xml:space="preserve"> rozporządzenia (UE) n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Zob. wzór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Metoda zaawansowana</w:t>
            </w:r>
          </w:p>
          <w:p w14:paraId="0DA5744E" w14:textId="771FD033"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Wymogi w zakresie funduszy własnych z tytułu ryzyka związanego z korektą wyceny kredytowej zgodnie z art. 383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Metoda standardowa</w:t>
            </w:r>
          </w:p>
          <w:p w14:paraId="1DAC725B" w14:textId="34F56DFE"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Wymogi w zakresie funduszy własnych z tytułu ryzyka związanego z korektą wyceny kredytowej zgodnie z art. 384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Zob. wzór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Na podstawie metody wyceny pierwotnej ekspozycji</w:t>
            </w:r>
          </w:p>
          <w:p w14:paraId="4CC6A343" w14:textId="21950272"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Wymogi w zakresie funduszy własnych z tytułu ryzyka związanego z korektą wyceny kredytowej zgodnie z art. 385</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Zob. wzór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ŁĄCZNA KWOTA EKSPOZYCJI NA RYZYKO Z TYTUŁU DUŻYCH EKSPOZYCJI W PORTFELU HANDLOWYM</w:t>
            </w:r>
          </w:p>
          <w:p w14:paraId="5BE39790" w14:textId="691FF873"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 92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pkt (ii) oraz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3</w:t>
            </w:r>
            <w:r>
              <w:rPr>
                <w:rStyle w:val="FormatvorlageInstructionsTabelleText"/>
                <w:rFonts w:ascii="Times New Roman" w:hAnsi="Times New Roman"/>
                <w:sz w:val="24"/>
              </w:rPr>
              <w:t xml:space="preserve">95–401 </w:t>
            </w:r>
            <w:r>
              <w:t xml:space="preserve">rozporządzenia (UE) </w:t>
            </w:r>
            <w:r w:rsidRPr="0043455E">
              <w:t>nr</w:t>
            </w:r>
            <w:r w:rsidR="0043455E" w:rsidRPr="0043455E">
              <w:t> </w:t>
            </w:r>
            <w:r w:rsidRPr="0043455E">
              <w:t>5</w:t>
            </w:r>
            <w:r>
              <w:t>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KWOTY INNYCH EKSPOZYCJI NA RYZYKO</w:t>
            </w:r>
          </w:p>
          <w:p w14:paraId="6919B260" w14:textId="64DC372F"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 3, 458 i 459</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 xml:space="preserve"> oraz kwoty ekspozycji na ryzyko, których nie można przypisać do jednej z pozycji </w:t>
            </w:r>
            <w:r w:rsidRPr="0043455E">
              <w:rPr>
                <w:rStyle w:val="InstructionsTabelleberschrift"/>
                <w:rFonts w:ascii="Times New Roman" w:hAnsi="Times New Roman"/>
                <w:b w:val="0"/>
                <w:sz w:val="24"/>
                <w:u w:val="none"/>
              </w:rPr>
              <w:t>od</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.1 </w:t>
            </w:r>
            <w:r w:rsidRPr="0043455E">
              <w:rPr>
                <w:rStyle w:val="InstructionsTabelleberschrift"/>
                <w:rFonts w:ascii="Times New Roman" w:hAnsi="Times New Roman"/>
                <w:b w:val="0"/>
                <w:sz w:val="24"/>
                <w:u w:val="none"/>
              </w:rPr>
              <w:t>do</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Instytucje zgłaszają kwoty niezbędne do osiągnięcia zgodności z:</w:t>
            </w:r>
          </w:p>
          <w:p w14:paraId="4B8BA0A4" w14:textId="38A92D4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Surowszymi wymogami ostrożnościowymi nałożonymi przez Komisję zgodnie z art. 458 i 459</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 xml:space="preserve">. </w:t>
            </w:r>
          </w:p>
          <w:p w14:paraId="469E9DD4" w14:textId="7D2DC351"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Dodatkowymi kwotami ekspozycji na ryzyko z tytułu art. 3</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lastRenderedPageBreak/>
              <w:t xml:space="preserve">Pozycja ta nie ma związku ze wzorem zawierającym szczegółowe informacje.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29240DDD" w14:textId="56E233C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 xml:space="preserve">W tym: z tytułu dodatkowych, surowszych wymogów ostrożnościowych na podstawie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4</w:t>
            </w:r>
            <w:r>
              <w:rPr>
                <w:rStyle w:val="InstructionsTabelleberschrift"/>
                <w:rFonts w:ascii="Times New Roman" w:hAnsi="Times New Roman"/>
                <w:sz w:val="24"/>
              </w:rPr>
              <w:t xml:space="preserve">58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6734B1B9" w14:textId="13EE0A6E"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 458</w:t>
            </w:r>
            <w:r>
              <w:t xml:space="preserve"> rozporządzenia (UE) </w:t>
            </w:r>
            <w:r w:rsidRPr="0043455E">
              <w:t>nr</w:t>
            </w:r>
            <w:r w:rsidR="0043455E" w:rsidRPr="0043455E">
              <w:t> </w:t>
            </w:r>
            <w:r w:rsidRPr="0043455E">
              <w:t>5</w:t>
            </w:r>
            <w:r>
              <w:t>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W tym: z tytułu wymogów dotyczących dużych ekspozycji</w:t>
            </w:r>
          </w:p>
          <w:p w14:paraId="7EA664B8" w14:textId="25E7C59B" w:rsidR="00802958" w:rsidRPr="002A677E" w:rsidRDefault="00802958" w:rsidP="00487A02">
            <w:pPr>
              <w:pStyle w:val="InstructionsText"/>
              <w:rPr>
                <w:rStyle w:val="InstructionsTabelleberschrift"/>
                <w:rFonts w:ascii="Times New Roman" w:hAnsi="Times New Roman"/>
                <w:sz w:val="24"/>
              </w:rPr>
            </w:pPr>
            <w:r>
              <w:t xml:space="preserve">Art. 458 rozporządzenia (UE) </w:t>
            </w:r>
            <w:r w:rsidRPr="0043455E">
              <w:t>nr</w:t>
            </w:r>
            <w:r w:rsidR="0043455E" w:rsidRPr="0043455E">
              <w:t> </w:t>
            </w:r>
            <w:r w:rsidRPr="0043455E">
              <w:t>5</w:t>
            </w:r>
            <w:r>
              <w:t>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W tym: z tytułu zmodyfikowanych wag ryzyka w odniesieniu do baniek spekulacyjnych dotyczących sektora nieruchomości mieszkalnych i komercyjnych</w:t>
            </w:r>
          </w:p>
          <w:p w14:paraId="51AF7235" w14:textId="2C4897B6" w:rsidR="00802958" w:rsidRPr="002A677E" w:rsidRDefault="00802958" w:rsidP="00487A02">
            <w:pPr>
              <w:pStyle w:val="InstructionsText"/>
              <w:rPr>
                <w:rStyle w:val="InstructionsTabelleberschrift"/>
                <w:rFonts w:ascii="Times New Roman" w:hAnsi="Times New Roman"/>
                <w:sz w:val="24"/>
              </w:rPr>
            </w:pPr>
            <w:r>
              <w:t xml:space="preserve">Art. 458 rozporządzenia (UE) </w:t>
            </w:r>
            <w:r w:rsidRPr="0043455E">
              <w:t>nr</w:t>
            </w:r>
            <w:r w:rsidR="0043455E" w:rsidRPr="0043455E">
              <w:t> </w:t>
            </w:r>
            <w:r w:rsidRPr="0043455E">
              <w:t>5</w:t>
            </w:r>
            <w:r>
              <w:t>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W tym: z tytułu ekspozycji wewnątrz sektora finansowego</w:t>
            </w:r>
          </w:p>
          <w:p w14:paraId="2F5ADD62" w14:textId="70F85045" w:rsidR="00802958" w:rsidRPr="002A677E" w:rsidRDefault="00802958" w:rsidP="00487A02">
            <w:pPr>
              <w:pStyle w:val="InstructionsText"/>
              <w:rPr>
                <w:rStyle w:val="InstructionsTabelleberschrift"/>
                <w:rFonts w:ascii="Times New Roman" w:hAnsi="Times New Roman"/>
                <w:sz w:val="24"/>
              </w:rPr>
            </w:pPr>
            <w:r>
              <w:t xml:space="preserve">Art. 458 rozporządzenia (UE) </w:t>
            </w:r>
            <w:r w:rsidRPr="0043455E">
              <w:t>nr</w:t>
            </w:r>
            <w:r w:rsidR="0043455E" w:rsidRPr="0043455E">
              <w:t> </w:t>
            </w:r>
            <w:r w:rsidRPr="0043455E">
              <w:t>5</w:t>
            </w:r>
            <w:r>
              <w:t>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5E23560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 xml:space="preserve">W tym: z tytułu dodatkowych, surowszych wymogów ostrożnościowych na podstawie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4</w:t>
            </w:r>
            <w:r>
              <w:rPr>
                <w:rStyle w:val="InstructionsTabelleberschrift"/>
                <w:rFonts w:ascii="Times New Roman" w:hAnsi="Times New Roman"/>
                <w:sz w:val="24"/>
              </w:rPr>
              <w:t xml:space="preserve">59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705AA238" w14:textId="3CB078A5"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 459</w:t>
            </w:r>
            <w:r>
              <w:t xml:space="preserve"> rozporządzenia (UE) </w:t>
            </w:r>
            <w:r w:rsidRPr="0043455E">
              <w:t>nr</w:t>
            </w:r>
            <w:r w:rsidR="0043455E" w:rsidRPr="0043455E">
              <w:t> </w:t>
            </w:r>
            <w:r w:rsidRPr="0043455E">
              <w:t>5</w:t>
            </w:r>
            <w:r>
              <w:t>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25D37A1F"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 xml:space="preserve">W tym: dodatkowa kwota ekspozycji na ryzyko wynikająca z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3</w:t>
            </w:r>
            <w:r>
              <w:rPr>
                <w:rStyle w:val="InstructionsTabelleberschrift"/>
                <w:rFonts w:ascii="Times New Roman" w:hAnsi="Times New Roman"/>
                <w:sz w:val="24"/>
              </w:rPr>
              <w:t xml:space="preserve">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069F0DD5" w14:textId="62250268"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3</w:t>
            </w:r>
            <w:r>
              <w:t xml:space="preserve"> rozporządzenia (UE) </w:t>
            </w:r>
            <w:r w:rsidRPr="0043455E">
              <w:t>nr</w:t>
            </w:r>
            <w:r w:rsidR="0043455E" w:rsidRPr="0043455E">
              <w:t> </w:t>
            </w:r>
            <w:r w:rsidRPr="0043455E">
              <w:t>5</w:t>
            </w:r>
            <w:r>
              <w:t>75/2013</w:t>
            </w:r>
          </w:p>
          <w:p w14:paraId="1EE2510A" w14:textId="0E8992C5" w:rsidR="00802958" w:rsidRPr="002A677E" w:rsidRDefault="00802958" w:rsidP="00836936">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Zgłasza się dodatkową kwotę ekspozycji na ryzyko. Obejmuje ona wyłącznie dodatkowe kwoty (np. jeżeli ekspozycja o wartości 100 ma wagę ryzyka równą 20 %, a instytucje stosują w oparciu o art. 3 rozporządzenia (UE) </w:t>
            </w:r>
            <w:r w:rsidRPr="0043455E">
              <w:rPr>
                <w:rStyle w:val="InstructionsTabelleberschrift"/>
                <w:rFonts w:ascii="Times New Roman" w:hAnsi="Times New Roman"/>
                <w:b w:val="0"/>
                <w:sz w:val="24"/>
                <w:u w:val="none"/>
              </w:rPr>
              <w:t>nr</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 wagę ryzyka równą 50 %</w:t>
            </w:r>
            <w:r>
              <w:t>, kwota, którą należy zgłosić, wynosi 30</w:t>
            </w:r>
            <w:r>
              <w:rPr>
                <w:rStyle w:val="InstructionsTabelleberschrift"/>
                <w:rFonts w:ascii="Times New Roman" w:hAnsi="Times New Roman"/>
                <w:b w:val="0"/>
                <w:sz w:val="24"/>
                <w:u w:val="none"/>
              </w:rPr>
              <w:t xml:space="preserve">).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308175826"/>
      <w:bookmarkStart w:id="51" w:name="_Toc360188329"/>
      <w:bookmarkStart w:id="52" w:name="_Toc119064775"/>
      <w:r>
        <w:rPr>
          <w:rFonts w:ascii="Times New Roman" w:hAnsi="Times New Roman"/>
          <w:sz w:val="24"/>
          <w:u w:val="none"/>
        </w:rPr>
        <w:t>1.4</w:t>
      </w:r>
      <w:r>
        <w:tab/>
      </w:r>
      <w:r>
        <w:rPr>
          <w:rFonts w:ascii="Times New Roman" w:hAnsi="Times New Roman"/>
          <w:sz w:val="24"/>
          <w:u w:val="none"/>
        </w:rPr>
        <w:t>C 03.00 – WSPÓŁCZYNNIKI KAPITAŁOWE ORAZ POZIOMY KAPITAŁU (CA3)</w:t>
      </w:r>
      <w:bookmarkEnd w:id="49"/>
      <w:bookmarkEnd w:id="52"/>
      <w:r>
        <w:rPr>
          <w:rFonts w:ascii="Times New Roman" w:hAnsi="Times New Roman"/>
          <w:sz w:val="24"/>
          <w:u w:val="none"/>
        </w:rPr>
        <w:t xml:space="preserve"> </w:t>
      </w:r>
      <w:bookmarkEnd w:id="50"/>
      <w:bookmarkEnd w:id="51"/>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9064776"/>
      <w:r>
        <w:rPr>
          <w:rFonts w:ascii="Times New Roman" w:hAnsi="Times New Roman"/>
          <w:sz w:val="24"/>
          <w:u w:val="none"/>
        </w:rPr>
        <w:t>1.4.1.</w:t>
      </w:r>
      <w:r>
        <w:tab/>
      </w:r>
      <w:r>
        <w:rPr>
          <w:rFonts w:ascii="Times New Roman" w:hAnsi="Times New Roman"/>
          <w:sz w:val="24"/>
        </w:rPr>
        <w:t>Instrukcje dotyczące poszczególnych</w:t>
      </w:r>
      <w:bookmarkEnd w:id="53"/>
      <w:bookmarkEnd w:id="54"/>
      <w:r>
        <w:rPr>
          <w:rFonts w:ascii="Times New Roman" w:hAnsi="Times New Roman"/>
          <w:sz w:val="24"/>
        </w:rPr>
        <w:t xml:space="preserve"> pozycji</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Wiersze</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Współczynnik kapitału podstawowego Tier I</w:t>
            </w:r>
          </w:p>
          <w:p w14:paraId="3AB50D42" w14:textId="6D6250E0" w:rsidR="005643EA" w:rsidRPr="002A677E" w:rsidRDefault="002648B0" w:rsidP="00487A02">
            <w:pPr>
              <w:pStyle w:val="InstructionsText"/>
            </w:pPr>
            <w:r>
              <w:t xml:space="preserve">Art. 92 </w:t>
            </w:r>
            <w:r w:rsidRPr="0043455E">
              <w:t>ust.</w:t>
            </w:r>
            <w:r w:rsidR="0043455E" w:rsidRPr="0043455E">
              <w:t> </w:t>
            </w:r>
            <w:r w:rsidRPr="0043455E">
              <w:t>2</w:t>
            </w:r>
            <w:r>
              <w:t xml:space="preserve"> </w:t>
            </w:r>
            <w:r w:rsidRPr="0043455E">
              <w:t>lit.</w:t>
            </w:r>
            <w:r w:rsidR="0043455E" w:rsidRPr="0043455E">
              <w:t> </w:t>
            </w:r>
            <w:r w:rsidRPr="0043455E">
              <w:t>a)</w:t>
            </w:r>
            <w:r>
              <w:t xml:space="preserve"> rozporządzenia (UE) </w:t>
            </w:r>
            <w:r w:rsidRPr="0043455E">
              <w:t>nr</w:t>
            </w:r>
            <w:r w:rsidR="0043455E" w:rsidRPr="0043455E">
              <w:t> </w:t>
            </w:r>
            <w:r w:rsidRPr="0043455E">
              <w:t>5</w:t>
            </w:r>
            <w:r>
              <w:t>75/2013</w:t>
            </w:r>
          </w:p>
          <w:p w14:paraId="4ECA63DC" w14:textId="77777777" w:rsidR="005643EA" w:rsidRPr="002A677E" w:rsidRDefault="002648B0" w:rsidP="00487A02">
            <w:pPr>
              <w:pStyle w:val="InstructionsText"/>
            </w:pPr>
            <w:r>
              <w:t>Współczynnik kapitału podstawowego Tier I stanowi kapitał podstawowy Tier I instytucji wyrażony jako odsetek łącznej kwoty ekspozycji na ryzyko.</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Nadwyżka(+)/niedobór(-) kapitału podstawowego Tier I</w:t>
            </w:r>
          </w:p>
          <w:p w14:paraId="37188E0C" w14:textId="0AC7B892" w:rsidR="005643EA" w:rsidRPr="002A677E" w:rsidRDefault="002648B0" w:rsidP="008B3A5F">
            <w:pPr>
              <w:pStyle w:val="InstructionsText"/>
            </w:pPr>
            <w:r>
              <w:t xml:space="preserve">Pozycja ta przedstawia – w wartościach bezwzględnych – kwotę nadwyżki lub niedoboru kapitału podstawowego Tier I w stosunku do wymogu określonego w art. 92 ust. 1 lit. a) rozporządzenia (UE) </w:t>
            </w:r>
            <w:r w:rsidRPr="0043455E">
              <w:t>nr</w:t>
            </w:r>
            <w:r w:rsidR="0043455E" w:rsidRPr="0043455E">
              <w:t> </w:t>
            </w:r>
            <w:r w:rsidRPr="0043455E">
              <w:t>5</w:t>
            </w:r>
            <w:r>
              <w:t>75/2013 (4,5 %), tj. bez uwzględnienia buforów kapitałowych i przepisów przejściowych dotyczących współczynnika.</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lastRenderedPageBreak/>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Współczynnik kapitału Tier I</w:t>
            </w:r>
          </w:p>
          <w:p w14:paraId="601A9262" w14:textId="5BBA154B" w:rsidR="005643EA" w:rsidRPr="002A677E" w:rsidRDefault="002648B0" w:rsidP="00487A02">
            <w:pPr>
              <w:pStyle w:val="InstructionsText"/>
            </w:pPr>
            <w:r>
              <w:t xml:space="preserve">Art. 92 </w:t>
            </w:r>
            <w:r w:rsidRPr="0043455E">
              <w:t>ust.</w:t>
            </w:r>
            <w:r w:rsidR="0043455E" w:rsidRPr="0043455E">
              <w:t> </w:t>
            </w:r>
            <w:r w:rsidRPr="0043455E">
              <w:t>2</w:t>
            </w:r>
            <w:r>
              <w:t xml:space="preserve"> </w:t>
            </w:r>
            <w:r w:rsidRPr="0043455E">
              <w:t>lit.</w:t>
            </w:r>
            <w:r w:rsidR="0043455E" w:rsidRPr="0043455E">
              <w:t> </w:t>
            </w:r>
            <w:r w:rsidRPr="0043455E">
              <w:t>b)</w:t>
            </w:r>
            <w:r>
              <w:t xml:space="preserve"> rozporządzenia (UE) </w:t>
            </w:r>
            <w:r w:rsidRPr="0043455E">
              <w:t>nr</w:t>
            </w:r>
            <w:r w:rsidR="0043455E" w:rsidRPr="0043455E">
              <w:t> </w:t>
            </w:r>
            <w:r w:rsidRPr="0043455E">
              <w:t>5</w:t>
            </w:r>
            <w:r>
              <w:t>75/2013</w:t>
            </w:r>
          </w:p>
          <w:p w14:paraId="766E9F5A" w14:textId="77777777" w:rsidR="005643EA" w:rsidRPr="002A677E" w:rsidRDefault="002648B0" w:rsidP="00487A02">
            <w:pPr>
              <w:pStyle w:val="InstructionsText"/>
            </w:pPr>
            <w:r>
              <w:t>Współczynnik kapitału Tier I stanowi kapitał Tier I instytucji wyrażony jako odsetek łącznej kwoty ekspozycji na ryzyko.</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Nadwyżka(+)/niedobór(-) kapitału Tier I</w:t>
            </w:r>
          </w:p>
          <w:p w14:paraId="7F9BAB6C" w14:textId="1AA77535" w:rsidR="005643EA" w:rsidRPr="002A677E" w:rsidRDefault="002648B0" w:rsidP="008B3A5F">
            <w:pPr>
              <w:pStyle w:val="InstructionsText"/>
            </w:pPr>
            <w:r>
              <w:t xml:space="preserve">Pozycja ta przedstawia – w wartościach bezwzględnych – kwotę nadwyżki lub niedoboru kapitału Tier I w stosunku do wymogu określonego w art. 92 ust. 1 lit. b) rozporządzenia (UE) </w:t>
            </w:r>
            <w:r w:rsidRPr="0043455E">
              <w:t>nr</w:t>
            </w:r>
            <w:r w:rsidR="0043455E" w:rsidRPr="0043455E">
              <w:t> </w:t>
            </w:r>
            <w:r w:rsidRPr="0043455E">
              <w:t>5</w:t>
            </w:r>
            <w:r>
              <w:t>75/2013 (6 %), tj. bez uwzględnienia buforów kapitałowych i przepisów przejściowych dotyczących współczynnika.</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Łączny współczynnik kapitałowy</w:t>
            </w:r>
          </w:p>
          <w:p w14:paraId="1B806A0B" w14:textId="2A279CE9" w:rsidR="005643EA" w:rsidRPr="002A677E" w:rsidRDefault="002648B0" w:rsidP="00487A02">
            <w:pPr>
              <w:pStyle w:val="InstructionsText"/>
            </w:pPr>
            <w:r>
              <w:t xml:space="preserve">Art. 92 </w:t>
            </w:r>
            <w:r w:rsidRPr="0043455E">
              <w:t>ust.</w:t>
            </w:r>
            <w:r w:rsidR="0043455E" w:rsidRPr="0043455E">
              <w:t> </w:t>
            </w:r>
            <w:r w:rsidRPr="0043455E">
              <w:t>2</w:t>
            </w:r>
            <w:r>
              <w:t xml:space="preserve"> </w:t>
            </w:r>
            <w:r w:rsidRPr="0043455E">
              <w:t>lit.</w:t>
            </w:r>
            <w:r w:rsidR="0043455E" w:rsidRPr="0043455E">
              <w:t> </w:t>
            </w:r>
            <w:r w:rsidRPr="0043455E">
              <w:t>c)</w:t>
            </w:r>
            <w:r>
              <w:t xml:space="preserve"> rozporządzenia (UE) </w:t>
            </w:r>
            <w:r w:rsidRPr="0043455E">
              <w:t>nr</w:t>
            </w:r>
            <w:r w:rsidR="0043455E" w:rsidRPr="0043455E">
              <w:t> </w:t>
            </w:r>
            <w:r w:rsidRPr="0043455E">
              <w:t>5</w:t>
            </w:r>
            <w:r>
              <w:t>75/2013</w:t>
            </w:r>
          </w:p>
          <w:p w14:paraId="2870DB19" w14:textId="77777777" w:rsidR="005643EA" w:rsidRPr="002A677E" w:rsidRDefault="002648B0" w:rsidP="00487A02">
            <w:pPr>
              <w:pStyle w:val="InstructionsText"/>
            </w:pPr>
            <w:r>
              <w:t>Łączny współczynnik kapitałowy stanowi fundusze własne danej instytucji wyrażone jako odsetek łącznej kwoty ekspozycji na ryzyko.</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Nadwyżka(+)/niedobór(-) łącznego kapitału</w:t>
            </w:r>
          </w:p>
          <w:p w14:paraId="6F40F6A3" w14:textId="4CCBC2BF" w:rsidR="005643EA" w:rsidRPr="002A677E" w:rsidRDefault="002648B0" w:rsidP="008B3A5F">
            <w:pPr>
              <w:pStyle w:val="InstructionsText"/>
            </w:pPr>
            <w:r>
              <w:t xml:space="preserve">Pozycja ta przedstawia – w wartościach bezwzględnych – kwotę nadwyżki lub niedoboru funduszy własnych w stosunku do wymogu określonego w art. 92 ust. 1 lit. c) rozporządzenia (UE) </w:t>
            </w:r>
            <w:r w:rsidRPr="0043455E">
              <w:t>nr</w:t>
            </w:r>
            <w:r w:rsidR="0043455E" w:rsidRPr="0043455E">
              <w:t> </w:t>
            </w:r>
            <w:r w:rsidRPr="0043455E">
              <w:t>5</w:t>
            </w:r>
            <w:r>
              <w:t>75/2013 (8 %), tj. bez uwzględnienia buforów kapitałowych i przepisów przejściowych dotyczących współczynnika.</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Współczynnik całkowitego wymogu kapitałowego SREP (TSCR)</w:t>
            </w:r>
          </w:p>
          <w:p w14:paraId="7EB9D06C" w14:textId="77777777" w:rsidR="009C083D" w:rsidRPr="002A677E" w:rsidRDefault="009C083D" w:rsidP="00487A02">
            <w:pPr>
              <w:pStyle w:val="InstructionsText"/>
            </w:pPr>
            <w:r>
              <w:t>Suma następujących pkt (i) oraz (ii):</w:t>
            </w:r>
          </w:p>
          <w:p w14:paraId="397DA896" w14:textId="19322B2B" w:rsidR="009C083D" w:rsidRPr="002A677E" w:rsidRDefault="009C083D" w:rsidP="00487A02">
            <w:pPr>
              <w:pStyle w:val="InstructionsText"/>
              <w:numPr>
                <w:ilvl w:val="0"/>
                <w:numId w:val="20"/>
              </w:numPr>
            </w:pPr>
            <w:r>
              <w:t xml:space="preserve">łącznego współczynnika kapitałowego (8 %), jak określono w art. 92 ust. 1 lit. c) rozporządzenia (UE) </w:t>
            </w:r>
            <w:r w:rsidRPr="0043455E">
              <w:t>nr</w:t>
            </w:r>
            <w:r w:rsidR="0043455E" w:rsidRPr="0043455E">
              <w:t> </w:t>
            </w:r>
            <w:r w:rsidRPr="0043455E">
              <w:t>5</w:t>
            </w:r>
            <w:r>
              <w:t xml:space="preserve">75/2013; </w:t>
            </w:r>
          </w:p>
          <w:p w14:paraId="24B944F5" w14:textId="2230B73B" w:rsidR="009C083D" w:rsidRPr="002A677E" w:rsidRDefault="009C083D" w:rsidP="00487A02">
            <w:pPr>
              <w:pStyle w:val="InstructionsText"/>
              <w:numPr>
                <w:ilvl w:val="0"/>
                <w:numId w:val="20"/>
              </w:numPr>
            </w:pPr>
            <w:r>
              <w:t>dodatkowych wymogów w zakresie funduszy własnych (wymogi filaru 2 – P2R), o których mowa w art. 104 ust. 1 lit. a) dyrektywy 2013/36/UE, wyrażonych jako współczynnik. Wartości te należy ustalić zgodnie z kryteriami określonymi w „Wytycznych EUNB w sprawie wspólnych procedur i metod dotyczących procesu przeglądu i oceny nadzorczej i nadzorczych testów warunków skrajnych” (EBA Guidelines on common procedures and methodologies for the supervisory review and evaluation process and supervisory stress testing (EBA SREP GL)).</w:t>
            </w:r>
          </w:p>
          <w:p w14:paraId="729722E6" w14:textId="77777777" w:rsidR="009C083D" w:rsidRPr="002A677E" w:rsidRDefault="009C083D" w:rsidP="00487A02">
            <w:pPr>
              <w:pStyle w:val="InstructionsText"/>
            </w:pPr>
            <w:r>
              <w:t>Pozycja ta musi odzwierciedlać współczynnik całkowitego wymogu kapitałowego SREP (TSCR) podany do wiadomości instytucji przez właściwy organ. TSCR zdefiniowano w sekcjach 7.4 i 7.5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Jeżeli właściwy organ nie podał żadnych dodatkowych wymogów w zakresie funduszy własnych, zgłasza się wyłącznie pkt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składający się z kapitału podstawowego Tier I </w:t>
            </w:r>
          </w:p>
          <w:p w14:paraId="131D3C90" w14:textId="77777777" w:rsidR="009C083D" w:rsidRPr="002A677E" w:rsidRDefault="009C083D" w:rsidP="00487A02">
            <w:pPr>
              <w:pStyle w:val="InstructionsText"/>
            </w:pPr>
            <w:r>
              <w:t>Suma następujących pkt (i) oraz (ii):</w:t>
            </w:r>
          </w:p>
          <w:p w14:paraId="63A912BD" w14:textId="309FD981" w:rsidR="009C083D" w:rsidRPr="002A677E" w:rsidRDefault="009C083D" w:rsidP="00487A02">
            <w:pPr>
              <w:pStyle w:val="InstructionsText"/>
              <w:numPr>
                <w:ilvl w:val="0"/>
                <w:numId w:val="21"/>
              </w:numPr>
            </w:pPr>
            <w:r>
              <w:t xml:space="preserve">współczynnika kapitału podstawowego Tier I (4,5 %), jak określono w art. 92 ust. 1 lit. a) rozporządzenia (UE) </w:t>
            </w:r>
            <w:r w:rsidRPr="0043455E">
              <w:t>nr</w:t>
            </w:r>
            <w:r w:rsidR="0043455E" w:rsidRPr="0043455E">
              <w:t> </w:t>
            </w:r>
            <w:r w:rsidRPr="0043455E">
              <w:t>5</w:t>
            </w:r>
            <w:r>
              <w:t>75/2013;</w:t>
            </w:r>
          </w:p>
          <w:p w14:paraId="6840BFDD" w14:textId="77777777" w:rsidR="0002157C" w:rsidRPr="002A677E" w:rsidRDefault="009C083D" w:rsidP="00487A02">
            <w:pPr>
              <w:pStyle w:val="InstructionsText"/>
              <w:numPr>
                <w:ilvl w:val="0"/>
                <w:numId w:val="21"/>
              </w:numPr>
              <w:rPr>
                <w:b/>
                <w:bCs/>
                <w:u w:val="single"/>
              </w:rPr>
            </w:pPr>
            <w:r>
              <w:lastRenderedPageBreak/>
              <w:t>części współczynnika P2R, o którym mowa w wierszu 0130 pkt (ii), która – zgodnie z wymogiem nałożonym przez właściwy organ – ma być utrzymywana w postaci kapitału podstawowego Tier I.</w:t>
            </w:r>
          </w:p>
          <w:p w14:paraId="170D6E02" w14:textId="77777777" w:rsidR="009C083D" w:rsidRPr="002A677E" w:rsidRDefault="00FF2818" w:rsidP="00487A02">
            <w:pPr>
              <w:pStyle w:val="InstructionsText"/>
              <w:rPr>
                <w:rStyle w:val="InstructionsTabelleberschrift"/>
                <w:rFonts w:ascii="Times New Roman" w:hAnsi="Times New Roman"/>
                <w:sz w:val="24"/>
              </w:rPr>
            </w:pPr>
            <w:r>
              <w:t>Jeżeli właściwy organ nie podał żadnych dodatkowych wymogów w zakresie funduszy własnych dotyczących posiadania funduszy w formie kapitału podstawowego Tier I, zgłasza się wyłącznie pkt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lastRenderedPageBreak/>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składający się z kapitału Tier I</w:t>
            </w:r>
          </w:p>
          <w:p w14:paraId="4C3C74C1" w14:textId="77777777" w:rsidR="009C083D" w:rsidRPr="002A677E" w:rsidRDefault="009C083D" w:rsidP="00487A02">
            <w:pPr>
              <w:pStyle w:val="InstructionsText"/>
            </w:pPr>
            <w:r>
              <w:t>Suma następujących pkt (i) oraz (ii):</w:t>
            </w:r>
          </w:p>
          <w:p w14:paraId="4657F7D0" w14:textId="5254D9BA" w:rsidR="009C083D" w:rsidRPr="002A677E" w:rsidRDefault="009C083D" w:rsidP="00487A02">
            <w:pPr>
              <w:pStyle w:val="InstructionsText"/>
              <w:numPr>
                <w:ilvl w:val="0"/>
                <w:numId w:val="22"/>
              </w:numPr>
            </w:pPr>
            <w:r>
              <w:t xml:space="preserve">współczynnika kapitału Tier I (6 %), jak określono w art. 92 ust. 1 lit. b) rozporządzenia (UE) </w:t>
            </w:r>
            <w:r w:rsidRPr="0043455E">
              <w:t>nr</w:t>
            </w:r>
            <w:r w:rsidR="0043455E" w:rsidRPr="0043455E">
              <w:t> </w:t>
            </w:r>
            <w:r w:rsidRPr="0043455E">
              <w:t>5</w:t>
            </w:r>
            <w:r>
              <w:t>75/2013;</w:t>
            </w:r>
          </w:p>
          <w:p w14:paraId="37CACF63" w14:textId="77777777" w:rsidR="009C083D" w:rsidRPr="002A677E" w:rsidRDefault="009C083D" w:rsidP="00487A02">
            <w:pPr>
              <w:pStyle w:val="InstructionsText"/>
              <w:numPr>
                <w:ilvl w:val="0"/>
                <w:numId w:val="22"/>
              </w:numPr>
              <w:rPr>
                <w:bCs/>
                <w:u w:val="single"/>
              </w:rPr>
            </w:pPr>
            <w:r>
              <w:t>części współczynnika P2R, o którym mowa w wierszu 0130 pkt (ii), która – zgodnie z wymogiem nałożonym przez właściwy organ – ma być utrzymywana w postaci kapitału Tier I.</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Jeżeli właściwy organ nie podał żadnych dodatkowych wymogów w zakresie funduszy własnych dotyczących posiadania funduszy w formie kapitału Tier I, zgłasza się wyłącznie pkt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Współczynnik łącznego wymogu kapitałowego (OCR)</w:t>
            </w:r>
          </w:p>
          <w:p w14:paraId="5488678A" w14:textId="77777777" w:rsidR="009C083D" w:rsidRPr="002A677E" w:rsidRDefault="009C083D" w:rsidP="00487A02">
            <w:pPr>
              <w:pStyle w:val="InstructionsText"/>
            </w:pPr>
            <w:r>
              <w:t>Suma następujących pkt (i) oraz (ii):</w:t>
            </w:r>
          </w:p>
          <w:p w14:paraId="0FF8F167" w14:textId="77777777" w:rsidR="009C083D" w:rsidRPr="002A677E" w:rsidRDefault="009C083D" w:rsidP="00487A02">
            <w:pPr>
              <w:pStyle w:val="InstructionsText"/>
              <w:numPr>
                <w:ilvl w:val="0"/>
                <w:numId w:val="23"/>
              </w:numPr>
            </w:pPr>
            <w:r>
              <w:t>współczynnika TSCR, o którym mowa w wierszu 0130;</w:t>
            </w:r>
          </w:p>
          <w:p w14:paraId="5C51AED8" w14:textId="37EB78E2" w:rsidR="009C083D" w:rsidRPr="002A677E" w:rsidRDefault="009C083D" w:rsidP="00487A02">
            <w:pPr>
              <w:pStyle w:val="InstructionsText"/>
              <w:numPr>
                <w:ilvl w:val="0"/>
                <w:numId w:val="23"/>
              </w:numPr>
            </w:pPr>
            <w:r>
              <w:t xml:space="preserve">współczynnika wymogu połączonego bufora, o którym mowa w art. 128 </w:t>
            </w:r>
            <w:r w:rsidRPr="0043455E">
              <w:t>pkt</w:t>
            </w:r>
            <w:r w:rsidR="0043455E" w:rsidRPr="0043455E">
              <w:t> </w:t>
            </w:r>
            <w:r w:rsidRPr="0043455E">
              <w:t>6</w:t>
            </w:r>
            <w:r>
              <w:t xml:space="preserve"> dyrektywy 2013/36/UE – w zakresie, w jakim ma on zastosowanie zgodnie z przepisami prawa.</w:t>
            </w:r>
          </w:p>
          <w:p w14:paraId="44AD77AD" w14:textId="77777777" w:rsidR="005B54BB" w:rsidRPr="002A677E" w:rsidRDefault="009C083D" w:rsidP="00487A02">
            <w:pPr>
              <w:pStyle w:val="InstructionsText"/>
            </w:pPr>
            <w:r>
              <w:t>Pozycja ta musi odzwierciedlać współczynnik łącznego wymogu kapitałowego (OCR), jak określono w sekcji 7.5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Jeżeli nie ma zastosowanie żaden wymóg w zakresie bufora, zgłasza się tylko pkt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składający się z kapitału podstawowego Tier I </w:t>
            </w:r>
          </w:p>
          <w:p w14:paraId="3190A351" w14:textId="77777777" w:rsidR="009C083D" w:rsidRPr="002A677E" w:rsidRDefault="009C083D" w:rsidP="00487A02">
            <w:pPr>
              <w:pStyle w:val="InstructionsText"/>
            </w:pPr>
            <w:r>
              <w:t>Suma następujących pkt (i) oraz (ii):</w:t>
            </w:r>
          </w:p>
          <w:p w14:paraId="14D63B29" w14:textId="77777777" w:rsidR="009C083D" w:rsidRPr="002A677E" w:rsidRDefault="009C083D" w:rsidP="00487A02">
            <w:pPr>
              <w:pStyle w:val="InstructionsText"/>
              <w:numPr>
                <w:ilvl w:val="0"/>
                <w:numId w:val="24"/>
              </w:numPr>
            </w:pPr>
            <w:r>
              <w:t>współczynnika TSCR składającego się z kapitału podstawowego Tier I, o którym mowa w wierszu 0140;</w:t>
            </w:r>
          </w:p>
          <w:p w14:paraId="79A85A79" w14:textId="2DEA0EF9" w:rsidR="009C083D" w:rsidRPr="002A677E" w:rsidRDefault="009C083D" w:rsidP="00487A02">
            <w:pPr>
              <w:pStyle w:val="InstructionsText"/>
              <w:numPr>
                <w:ilvl w:val="0"/>
                <w:numId w:val="24"/>
              </w:numPr>
              <w:rPr>
                <w:bCs/>
                <w:u w:val="single"/>
              </w:rPr>
            </w:pPr>
            <w:r>
              <w:t xml:space="preserve">współczynnika wymogu połączonego bufora, o którym mowa w art. 128 </w:t>
            </w:r>
            <w:r w:rsidRPr="0043455E">
              <w:t>pkt</w:t>
            </w:r>
            <w:r w:rsidR="0043455E" w:rsidRPr="0043455E">
              <w:t> </w:t>
            </w:r>
            <w:r w:rsidRPr="0043455E">
              <w:t>6</w:t>
            </w:r>
            <w:r>
              <w:t xml:space="preserve"> dyrektywy 2013/36/UE – w zakresie, w jakim ma on zastosowanie zgodnie z przepisami prawa.</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Jeżeli nie ma zastosowanie żaden wymóg w zakresie bufora, zgłasza się tylko pkt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składający się z kapitału Tier I</w:t>
            </w:r>
          </w:p>
          <w:p w14:paraId="554AC14C" w14:textId="77777777" w:rsidR="009C083D" w:rsidRPr="002A677E" w:rsidRDefault="009C083D" w:rsidP="00487A02">
            <w:pPr>
              <w:pStyle w:val="InstructionsText"/>
            </w:pPr>
            <w:r>
              <w:t>Suma następujących pkt (i) oraz (ii):</w:t>
            </w:r>
          </w:p>
          <w:p w14:paraId="2FE66F48" w14:textId="77777777" w:rsidR="009C083D" w:rsidRPr="002A677E" w:rsidRDefault="009C083D" w:rsidP="00487A02">
            <w:pPr>
              <w:pStyle w:val="InstructionsText"/>
              <w:numPr>
                <w:ilvl w:val="0"/>
                <w:numId w:val="25"/>
              </w:numPr>
            </w:pPr>
            <w:r>
              <w:t>współczynnika TSCR składającego się z kapitału Tier I, o którym mowa w wierszu 0150;</w:t>
            </w:r>
          </w:p>
          <w:p w14:paraId="3647DB7F" w14:textId="34CEAD27" w:rsidR="009C083D" w:rsidRPr="002A677E" w:rsidRDefault="009C083D" w:rsidP="00487A02">
            <w:pPr>
              <w:pStyle w:val="InstructionsText"/>
              <w:numPr>
                <w:ilvl w:val="0"/>
                <w:numId w:val="25"/>
              </w:numPr>
              <w:rPr>
                <w:bCs/>
                <w:u w:val="single"/>
              </w:rPr>
            </w:pPr>
            <w:r>
              <w:lastRenderedPageBreak/>
              <w:t xml:space="preserve">współczynnika wymogu połączonego bufora, o którym mowa w art. 128 </w:t>
            </w:r>
            <w:r w:rsidRPr="0043455E">
              <w:t>pkt</w:t>
            </w:r>
            <w:r w:rsidR="0043455E" w:rsidRPr="0043455E">
              <w:t> </w:t>
            </w:r>
            <w:r w:rsidRPr="0043455E">
              <w:t>6</w:t>
            </w:r>
            <w:r>
              <w:t xml:space="preserve"> dyrektywy 2013/36/UE – w zakresie, w jakim ma on zastosowanie zgodnie z przepisami prawa.</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Jeżeli nie ma zastosowanie żaden wymóg w zakresie bufora, zgłasza się tylko pkt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lastRenderedPageBreak/>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Współczynnik łącznego wymogu kapitałowego (OCR) i wytyczne filaru 2 (P2G)</w:t>
            </w:r>
          </w:p>
          <w:p w14:paraId="29A3CC59" w14:textId="77777777" w:rsidR="009C083D" w:rsidRPr="002A677E" w:rsidRDefault="009C083D" w:rsidP="00487A02">
            <w:pPr>
              <w:pStyle w:val="InstructionsText"/>
            </w:pPr>
            <w:r>
              <w:t>Suma następujących pkt (i) oraz (ii):</w:t>
            </w:r>
          </w:p>
          <w:p w14:paraId="0BE33E9D" w14:textId="77777777" w:rsidR="009C083D" w:rsidRPr="002A677E" w:rsidRDefault="009C083D" w:rsidP="00487A02">
            <w:pPr>
              <w:pStyle w:val="InstructionsText"/>
              <w:numPr>
                <w:ilvl w:val="0"/>
                <w:numId w:val="26"/>
              </w:numPr>
            </w:pPr>
            <w:r>
              <w:t>współczynnika OCR, o którym mowa w wierszu 160;</w:t>
            </w:r>
          </w:p>
          <w:p w14:paraId="27E5BD11" w14:textId="52C7857D" w:rsidR="009C083D" w:rsidRPr="002A677E" w:rsidRDefault="009C083D" w:rsidP="00487A02">
            <w:pPr>
              <w:pStyle w:val="InstructionsText"/>
              <w:numPr>
                <w:ilvl w:val="0"/>
                <w:numId w:val="26"/>
              </w:numPr>
              <w:rPr>
                <w:bCs/>
                <w:u w:val="single"/>
              </w:rPr>
            </w:pPr>
            <w:r>
              <w:t xml:space="preserve">w stosownych przypadkach wytycznych dotyczących dodatkowych funduszy własnych przekazanych przez właściwy organ (wytyczne filaru 2 – P2G), jak określono w art. 104b ust. 3 dyrektywy 2013/36/UE, wyrażonych jako współczynnik. Określa się je zgodnie z </w:t>
            </w:r>
            <w:r w:rsidRPr="0043455E">
              <w:t>pkt</w:t>
            </w:r>
            <w:r w:rsidR="0043455E" w:rsidRPr="0043455E">
              <w:t> </w:t>
            </w:r>
            <w:r w:rsidRPr="0043455E">
              <w:t>7</w:t>
            </w:r>
            <w:r>
              <w:t>.7.1 wytycznych EBA SREP GL. P2G uwzględnia się wyłącznie wówczas, gdy zostały podane do wiadomości instytucji przez właściwy organ.</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Jeżeli właściwy organ nie podał P2G, zgłasza się wyłącznie pkt (i).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i P2G: składający się z kapitału podstawowego Tier I </w:t>
            </w:r>
          </w:p>
          <w:p w14:paraId="20195C97" w14:textId="77777777" w:rsidR="009C083D" w:rsidRPr="002A677E" w:rsidRDefault="009C083D" w:rsidP="00487A02">
            <w:pPr>
              <w:pStyle w:val="InstructionsText"/>
            </w:pPr>
            <w:r>
              <w:t>Suma następujących pkt (i) oraz (ii):</w:t>
            </w:r>
          </w:p>
          <w:p w14:paraId="0801BDF0" w14:textId="77777777" w:rsidR="009C083D" w:rsidRPr="002A677E" w:rsidRDefault="009C083D" w:rsidP="00487A02">
            <w:pPr>
              <w:pStyle w:val="InstructionsText"/>
              <w:numPr>
                <w:ilvl w:val="0"/>
                <w:numId w:val="27"/>
              </w:numPr>
            </w:pPr>
            <w:r>
              <w:t>współczynnika OCR składającego się z kapitału podstawowego Tier I, o którym mowa w wierszu 0170;</w:t>
            </w:r>
          </w:p>
          <w:p w14:paraId="45E052B0" w14:textId="77777777" w:rsidR="009C083D" w:rsidRPr="002A677E" w:rsidRDefault="009C083D" w:rsidP="00487A02">
            <w:pPr>
              <w:pStyle w:val="InstructionsText"/>
              <w:numPr>
                <w:ilvl w:val="0"/>
                <w:numId w:val="27"/>
              </w:numPr>
              <w:rPr>
                <w:bCs/>
                <w:u w:val="single"/>
              </w:rPr>
            </w:pPr>
            <w:r>
              <w:t>w stosownych przypadkach część P2G, o których mowa w wierszu 0190 pkt (ii), którą zgodnie z wymogami właściwego organu należy utrzymywać w formie kapitału podstawowego Tier I. P2G uwzględnia się wyłącznie wówczas, gdy zostały podane do wiadomości instytucji przez właściwy organ.</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Jeżeli właściwy organ nie podał P2G, zgłasza się wyłącznie pkt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i P2G: składający się z kapitału Tier I </w:t>
            </w:r>
          </w:p>
          <w:p w14:paraId="25D7BB7A" w14:textId="77777777" w:rsidR="009C083D" w:rsidRPr="002A677E" w:rsidRDefault="009C083D" w:rsidP="00487A02">
            <w:pPr>
              <w:pStyle w:val="InstructionsText"/>
            </w:pPr>
            <w:r>
              <w:t>Suma następujących pkt (i) oraz (ii):</w:t>
            </w:r>
          </w:p>
          <w:p w14:paraId="603FFBBA" w14:textId="77777777" w:rsidR="009C083D" w:rsidRPr="002A677E" w:rsidRDefault="009C083D" w:rsidP="00487A02">
            <w:pPr>
              <w:pStyle w:val="InstructionsText"/>
              <w:numPr>
                <w:ilvl w:val="0"/>
                <w:numId w:val="28"/>
              </w:numPr>
            </w:pPr>
            <w:r>
              <w:t>współczynnika OCR składającego się z kapitału Tier I, o którym mowa w wierszu 0180;</w:t>
            </w:r>
          </w:p>
          <w:p w14:paraId="11A9088F" w14:textId="77777777" w:rsidR="009C083D" w:rsidRPr="002A677E" w:rsidRDefault="009C083D" w:rsidP="00487A02">
            <w:pPr>
              <w:pStyle w:val="InstructionsText"/>
              <w:numPr>
                <w:ilvl w:val="0"/>
                <w:numId w:val="28"/>
              </w:numPr>
            </w:pPr>
            <w:r>
              <w:t>w stosownych przypadkach część P2G, o których mowa w wierszu 0190 pkt (ii), którą zgodnie z wymogami właściwego organu należy utrzymywać w formie kapitału Tier I. P2G uwzględnia się wyłącznie wówczas, gdy zostały podane do wiadomości instytucji przez właściwy organ.</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Jeżeli właściwy organ nie podał P2G, zgłasza się wyłącznie pkt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2E2F63C8"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Nadwyżka(+)/niedobór(-) kapitału podstawowego Tier I z uwzględnieniem wymogów określonych w art. 92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 i art. 104a dyrektywy 2013/36/UE</w:t>
            </w:r>
          </w:p>
          <w:p w14:paraId="35245913" w14:textId="5F509418" w:rsidR="00477C45" w:rsidRPr="002A677E" w:rsidRDefault="00477C45" w:rsidP="00487A02">
            <w:pPr>
              <w:pStyle w:val="InstructionsText"/>
            </w:pPr>
            <w:r>
              <w:lastRenderedPageBreak/>
              <w:t xml:space="preserve">Pozycja ta przedstawia – w wartościach bezwzględnych – kwotę nadwyżki lub niedoboru kapitału podstawowego Tier I w stosunku do wymogów określonych w </w:t>
            </w:r>
            <w:r w:rsidRPr="0043455E">
              <w:t>art.</w:t>
            </w:r>
            <w:r w:rsidR="0043455E" w:rsidRPr="0043455E">
              <w:t> </w:t>
            </w:r>
            <w:r w:rsidRPr="0043455E">
              <w:t>9</w:t>
            </w:r>
            <w:r>
              <w:t xml:space="preserve">2 </w:t>
            </w:r>
            <w:r w:rsidRPr="0043455E">
              <w:t>ust.</w:t>
            </w:r>
            <w:r w:rsidR="0043455E" w:rsidRPr="0043455E">
              <w:t> </w:t>
            </w:r>
            <w:r w:rsidRPr="0043455E">
              <w:t>1</w:t>
            </w:r>
            <w:r>
              <w:t xml:space="preserve"> </w:t>
            </w:r>
            <w:r w:rsidRPr="0043455E">
              <w:t>lit.</w:t>
            </w:r>
            <w:r w:rsidR="0043455E" w:rsidRPr="0043455E">
              <w:t> </w:t>
            </w:r>
            <w:r w:rsidRPr="0043455E">
              <w:t>a)</w:t>
            </w:r>
            <w:r>
              <w:t xml:space="preserve"> rozporządzenia (UE) </w:t>
            </w:r>
            <w:r w:rsidRPr="0043455E">
              <w:t>nr</w:t>
            </w:r>
            <w:r w:rsidR="0043455E" w:rsidRPr="0043455E">
              <w:t> </w:t>
            </w:r>
            <w:r w:rsidRPr="0043455E">
              <w:t>5</w:t>
            </w:r>
            <w:r>
              <w:t>75/2013 (4,</w:t>
            </w:r>
            <w:r w:rsidRPr="0043455E">
              <w:t>5</w:t>
            </w:r>
            <w:r w:rsidR="0043455E" w:rsidRPr="0043455E">
              <w:t> </w:t>
            </w:r>
            <w:r w:rsidRPr="0043455E">
              <w:t>%</w:t>
            </w:r>
            <w:r>
              <w:t xml:space="preserve">) i </w:t>
            </w:r>
            <w:r w:rsidRPr="0043455E">
              <w:t>art.</w:t>
            </w:r>
            <w:r w:rsidR="0043455E" w:rsidRPr="0043455E">
              <w:t> </w:t>
            </w:r>
            <w:r w:rsidRPr="0043455E">
              <w:t>1</w:t>
            </w:r>
            <w:r>
              <w:t xml:space="preserve">04a dyrektywy 2013/36/UE, z wyłączeniem dodatkowych funduszy własnych wymaganych do łagodzenia ryzyka nadmiernej dźwigni, o których mowa w </w:t>
            </w:r>
            <w:r w:rsidRPr="0043455E">
              <w:t>ust.</w:t>
            </w:r>
            <w:r w:rsidR="0043455E" w:rsidRPr="0043455E">
              <w:t> </w:t>
            </w:r>
            <w:r w:rsidRPr="0043455E">
              <w:t>3</w:t>
            </w:r>
            <w:r>
              <w:t xml:space="preserve"> tego artykułu, w stopniu, w jakim wymóg określony w art. 104a tej dyrektywy musi zostać spełniony z wykorzystaniem kapitału podstawowego Tier I. Jeżeli dana instytucja musi wykorzystać swój kapitał podstawowy Tier I, aby spełnić wymogi określone w art. 92 ust. 1 lit. b) lub c) rozporządzenia (UE) </w:t>
            </w:r>
            <w:r w:rsidRPr="0043455E">
              <w:t>nr</w:t>
            </w:r>
            <w:r w:rsidR="0043455E" w:rsidRPr="0043455E">
              <w:t> </w:t>
            </w:r>
            <w:r w:rsidRPr="0043455E">
              <w:t>5</w:t>
            </w:r>
            <w:r>
              <w:t xml:space="preserve">75/2013 lub art. 104a dyrektywy 2013/36/UE w stopniu przekraczającym stopień, w jakim wymóg określony w </w:t>
            </w:r>
            <w:r w:rsidRPr="0043455E">
              <w:t>art.</w:t>
            </w:r>
            <w:r w:rsidR="0043455E" w:rsidRPr="0043455E">
              <w:t> </w:t>
            </w:r>
            <w:r w:rsidRPr="0043455E">
              <w:t>1</w:t>
            </w:r>
            <w:r>
              <w:t>04a tej dyrektywy musi zostać spełniony z wykorzystaniem kapitału podstawowego Tier I, zgłoszona nadwyżka lub zgłoszony niedobór muszą uwzględniać ten fakt.</w:t>
            </w:r>
          </w:p>
          <w:p w14:paraId="4E7A0CC3" w14:textId="77777777" w:rsidR="00477C45" w:rsidRPr="002A677E" w:rsidRDefault="00477C45" w:rsidP="00487A02">
            <w:pPr>
              <w:pStyle w:val="InstructionsText"/>
              <w:rPr>
                <w:rStyle w:val="InstructionsTabelleberschrift"/>
                <w:rFonts w:ascii="Times New Roman" w:hAnsi="Times New Roman"/>
                <w:sz w:val="24"/>
              </w:rPr>
            </w:pPr>
            <w:r>
              <w:t>Kwota ta odzwierciedla kapitał podstawowy Tier I dostępny na potrzeby spełnienia wymogu połączonego bufora i innych wymogów.</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lastRenderedPageBreak/>
              <w:t>0300</w:t>
            </w:r>
          </w:p>
        </w:tc>
        <w:tc>
          <w:tcPr>
            <w:tcW w:w="7620" w:type="dxa"/>
          </w:tcPr>
          <w:p w14:paraId="5B2ECFE5" w14:textId="77777777" w:rsidR="00845551" w:rsidRPr="002A677E" w:rsidRDefault="00845551" w:rsidP="00845551">
            <w:pPr>
              <w:pStyle w:val="InstructionsText"/>
            </w:pPr>
            <w:r>
              <w:rPr>
                <w:b/>
              </w:rPr>
              <w:t>Współczynnik kapitału podstawowego Tier I bez zastosowania</w:t>
            </w:r>
            <w:r>
              <w:t xml:space="preserve"> </w:t>
            </w:r>
            <w:r>
              <w:rPr>
                <w:b/>
              </w:rPr>
              <w:t>przepisów przejściowych dotyczących MSSF 9</w:t>
            </w:r>
          </w:p>
          <w:p w14:paraId="2DEA708A" w14:textId="618B152A" w:rsidR="00845551" w:rsidRPr="002A677E" w:rsidRDefault="00845551" w:rsidP="00566DB5">
            <w:pPr>
              <w:pStyle w:val="InstructionsText"/>
              <w:rPr>
                <w:rStyle w:val="InstructionsTabelleberschrift"/>
                <w:rFonts w:ascii="Times New Roman" w:hAnsi="Times New Roman"/>
                <w:sz w:val="24"/>
              </w:rPr>
            </w:pPr>
            <w:r>
              <w:t xml:space="preserve">Art. 92 </w:t>
            </w:r>
            <w:r w:rsidRPr="0043455E">
              <w:t>ust.</w:t>
            </w:r>
            <w:r w:rsidR="0043455E" w:rsidRPr="0043455E">
              <w:t> </w:t>
            </w:r>
            <w:r w:rsidRPr="0043455E">
              <w:t>2</w:t>
            </w:r>
            <w:r>
              <w:t xml:space="preserve"> </w:t>
            </w:r>
            <w:r w:rsidRPr="0043455E">
              <w:t>lit.</w:t>
            </w:r>
            <w:r w:rsidR="0043455E" w:rsidRPr="0043455E">
              <w:t> </w:t>
            </w:r>
            <w:r w:rsidRPr="0043455E">
              <w:t>a)</w:t>
            </w:r>
            <w:r>
              <w:t xml:space="preserve"> rozporządzenia (UE) </w:t>
            </w:r>
            <w:r w:rsidRPr="0043455E">
              <w:t>nr</w:t>
            </w:r>
            <w:r w:rsidR="0043455E" w:rsidRPr="0043455E">
              <w:t> </w:t>
            </w:r>
            <w:r w:rsidRPr="0043455E">
              <w:t>5</w:t>
            </w:r>
            <w:r>
              <w:t xml:space="preserve">75/2013, </w:t>
            </w:r>
            <w:r w:rsidRPr="0043455E">
              <w:rPr>
                <w:rStyle w:val="InstructionsTabelleberschrift"/>
                <w:rFonts w:ascii="Times New Roman" w:hAnsi="Times New Roman"/>
                <w:b w:val="0"/>
                <w:sz w:val="24"/>
              </w:rPr>
              <w:t>art.</w:t>
            </w:r>
            <w:r w:rsidR="0043455E" w:rsidRPr="0043455E">
              <w:rPr>
                <w:rStyle w:val="InstructionsTabelleberschrift"/>
                <w:rFonts w:ascii="Times New Roman" w:hAnsi="Times New Roman"/>
                <w:b w:val="0"/>
                <w:sz w:val="24"/>
              </w:rPr>
              <w:t> </w:t>
            </w:r>
            <w:r w:rsidRPr="0043455E">
              <w:rPr>
                <w:rStyle w:val="InstructionsTabelleberschrift"/>
                <w:rFonts w:ascii="Times New Roman" w:hAnsi="Times New Roman"/>
                <w:b w:val="0"/>
                <w:sz w:val="24"/>
              </w:rPr>
              <w:t>4</w:t>
            </w:r>
            <w:r>
              <w:rPr>
                <w:rStyle w:val="InstructionsTabelleberschrift"/>
                <w:rFonts w:ascii="Times New Roman" w:hAnsi="Times New Roman"/>
                <w:b w:val="0"/>
                <w:sz w:val="24"/>
              </w:rPr>
              <w:t xml:space="preserve">73a </w:t>
            </w:r>
            <w:r w:rsidRPr="0043455E">
              <w:rPr>
                <w:rStyle w:val="InstructionsTabelleberschrift"/>
                <w:rFonts w:ascii="Times New Roman" w:hAnsi="Times New Roman"/>
                <w:b w:val="0"/>
                <w:sz w:val="24"/>
              </w:rPr>
              <w:t>ust.</w:t>
            </w:r>
            <w:r w:rsidR="0043455E" w:rsidRPr="0043455E">
              <w:rPr>
                <w:rStyle w:val="InstructionsTabelleberschrift"/>
                <w:rFonts w:ascii="Times New Roman" w:hAnsi="Times New Roman"/>
                <w:b w:val="0"/>
                <w:sz w:val="24"/>
              </w:rPr>
              <w:t> </w:t>
            </w:r>
            <w:r w:rsidRPr="0043455E">
              <w:rPr>
                <w:rStyle w:val="InstructionsTabelleberschrift"/>
                <w:rFonts w:ascii="Times New Roman" w:hAnsi="Times New Roman"/>
                <w:b w:val="0"/>
                <w:sz w:val="24"/>
              </w:rPr>
              <w:t>8</w:t>
            </w:r>
            <w:r>
              <w:t xml:space="preserve"> tego rozporządzenia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Współczynnik kapitału Tier I bez zastosowania przepisów przejściowych dotyczących MSSF 9</w:t>
            </w:r>
          </w:p>
          <w:p w14:paraId="52B0175F" w14:textId="5C6DA936" w:rsidR="00845551" w:rsidRPr="002A677E" w:rsidRDefault="00845551" w:rsidP="00566DB5">
            <w:pPr>
              <w:pStyle w:val="InstructionsText"/>
              <w:rPr>
                <w:rStyle w:val="InstructionsTabelleberschrift"/>
                <w:rFonts w:ascii="Times New Roman" w:hAnsi="Times New Roman"/>
                <w:sz w:val="24"/>
              </w:rPr>
            </w:pPr>
            <w:r>
              <w:t xml:space="preserve">Art. 92 </w:t>
            </w:r>
            <w:r w:rsidRPr="0043455E">
              <w:t>ust.</w:t>
            </w:r>
            <w:r w:rsidR="0043455E" w:rsidRPr="0043455E">
              <w:t> </w:t>
            </w:r>
            <w:r w:rsidRPr="0043455E">
              <w:t>2</w:t>
            </w:r>
            <w:r>
              <w:t xml:space="preserve"> </w:t>
            </w:r>
            <w:r w:rsidRPr="0043455E">
              <w:t>lit.</w:t>
            </w:r>
            <w:r w:rsidR="0043455E" w:rsidRPr="0043455E">
              <w:t> </w:t>
            </w:r>
            <w:r w:rsidRPr="0043455E">
              <w:t>b)</w:t>
            </w:r>
            <w:r>
              <w:t xml:space="preserve"> rozporządzenia (UE) </w:t>
            </w:r>
            <w:r w:rsidRPr="0043455E">
              <w:t>nr</w:t>
            </w:r>
            <w:r w:rsidR="0043455E" w:rsidRPr="0043455E">
              <w:t> </w:t>
            </w:r>
            <w:r w:rsidRPr="0043455E">
              <w:t>5</w:t>
            </w:r>
            <w:r>
              <w:t xml:space="preserve">75/2013, </w:t>
            </w:r>
            <w:r w:rsidRPr="0043455E">
              <w:rPr>
                <w:rStyle w:val="InstructionsTabelleberschrift"/>
                <w:rFonts w:ascii="Times New Roman" w:hAnsi="Times New Roman"/>
                <w:b w:val="0"/>
                <w:sz w:val="24"/>
              </w:rPr>
              <w:t>art.</w:t>
            </w:r>
            <w:r w:rsidR="0043455E" w:rsidRPr="0043455E">
              <w:rPr>
                <w:rStyle w:val="InstructionsTabelleberschrift"/>
                <w:rFonts w:ascii="Times New Roman" w:hAnsi="Times New Roman"/>
                <w:b w:val="0"/>
                <w:sz w:val="24"/>
              </w:rPr>
              <w:t> </w:t>
            </w:r>
            <w:r w:rsidRPr="0043455E">
              <w:rPr>
                <w:rStyle w:val="InstructionsTabelleberschrift"/>
                <w:rFonts w:ascii="Times New Roman" w:hAnsi="Times New Roman"/>
                <w:b w:val="0"/>
                <w:sz w:val="24"/>
              </w:rPr>
              <w:t>4</w:t>
            </w:r>
            <w:r>
              <w:rPr>
                <w:rStyle w:val="InstructionsTabelleberschrift"/>
                <w:rFonts w:ascii="Times New Roman" w:hAnsi="Times New Roman"/>
                <w:b w:val="0"/>
                <w:sz w:val="24"/>
              </w:rPr>
              <w:t xml:space="preserve">73a </w:t>
            </w:r>
            <w:r w:rsidRPr="0043455E">
              <w:rPr>
                <w:rStyle w:val="InstructionsTabelleberschrift"/>
                <w:rFonts w:ascii="Times New Roman" w:hAnsi="Times New Roman"/>
                <w:b w:val="0"/>
                <w:sz w:val="24"/>
              </w:rPr>
              <w:t>ust.</w:t>
            </w:r>
            <w:r w:rsidR="0043455E" w:rsidRPr="0043455E">
              <w:rPr>
                <w:rStyle w:val="InstructionsTabelleberschrift"/>
                <w:rFonts w:ascii="Times New Roman" w:hAnsi="Times New Roman"/>
                <w:b w:val="0"/>
                <w:sz w:val="24"/>
              </w:rPr>
              <w:t> </w:t>
            </w:r>
            <w:r w:rsidRPr="0043455E">
              <w:rPr>
                <w:rStyle w:val="InstructionsTabelleberschrift"/>
                <w:rFonts w:ascii="Times New Roman" w:hAnsi="Times New Roman"/>
                <w:b w:val="0"/>
                <w:sz w:val="24"/>
              </w:rPr>
              <w:t>8</w:t>
            </w:r>
            <w:r>
              <w:t xml:space="preserve"> tego rozporządzenia</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Łączny współczynnik kapitałowy bez zastosowania przepisów przejściowych dotyczących MSSF</w:t>
            </w:r>
            <w:r>
              <w:t xml:space="preserve"> </w:t>
            </w:r>
            <w:r>
              <w:rPr>
                <w:b/>
              </w:rPr>
              <w:t>9</w:t>
            </w:r>
          </w:p>
          <w:p w14:paraId="38305F85" w14:textId="0C44960C" w:rsidR="00845551" w:rsidRPr="002A677E" w:rsidRDefault="00845551" w:rsidP="00566DB5">
            <w:pPr>
              <w:pStyle w:val="InstructionsText"/>
              <w:rPr>
                <w:rStyle w:val="InstructionsTabelleberschrift"/>
                <w:rFonts w:ascii="Times New Roman" w:hAnsi="Times New Roman"/>
                <w:sz w:val="24"/>
              </w:rPr>
            </w:pPr>
            <w:r>
              <w:t xml:space="preserve">Art. 92 </w:t>
            </w:r>
            <w:r w:rsidRPr="0043455E">
              <w:t>ust.</w:t>
            </w:r>
            <w:r w:rsidR="0043455E" w:rsidRPr="0043455E">
              <w:t> </w:t>
            </w:r>
            <w:r w:rsidRPr="0043455E">
              <w:t>2</w:t>
            </w:r>
            <w:r>
              <w:t xml:space="preserve"> </w:t>
            </w:r>
            <w:r w:rsidRPr="0043455E">
              <w:t>lit.</w:t>
            </w:r>
            <w:r w:rsidR="0043455E" w:rsidRPr="0043455E">
              <w:t> </w:t>
            </w:r>
            <w:r w:rsidRPr="0043455E">
              <w:t>c)</w:t>
            </w:r>
            <w:r>
              <w:t xml:space="preserve"> rozporządzenia (UE) </w:t>
            </w:r>
            <w:r w:rsidRPr="0043455E">
              <w:t>nr</w:t>
            </w:r>
            <w:r w:rsidR="0043455E" w:rsidRPr="0043455E">
              <w:t> </w:t>
            </w:r>
            <w:r w:rsidRPr="0043455E">
              <w:t>5</w:t>
            </w:r>
            <w:r>
              <w:t xml:space="preserve">75/2013,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73a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8</w:t>
            </w:r>
            <w:r>
              <w:t xml:space="preserve"> tego rozporządzenia</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308175830"/>
      <w:bookmarkStart w:id="60" w:name="_Toc360188331"/>
      <w:bookmarkStart w:id="61" w:name="_Toc119064777"/>
      <w:r>
        <w:rPr>
          <w:rFonts w:ascii="Times New Roman" w:hAnsi="Times New Roman"/>
          <w:sz w:val="24"/>
          <w:u w:val="none"/>
        </w:rPr>
        <w:t>1.5.</w:t>
      </w:r>
      <w:r>
        <w:tab/>
      </w:r>
      <w:r>
        <w:rPr>
          <w:rFonts w:ascii="Times New Roman" w:hAnsi="Times New Roman"/>
          <w:sz w:val="24"/>
        </w:rPr>
        <w:t>C 04.00 – POZYCJE UZUPEŁNIAJĄCE (CA4)</w:t>
      </w:r>
      <w:bookmarkEnd w:id="58"/>
      <w:bookmarkEnd w:id="61"/>
      <w:r>
        <w:rPr>
          <w:rFonts w:ascii="Times New Roman" w:hAnsi="Times New Roman"/>
          <w:sz w:val="24"/>
        </w:rPr>
        <w:t xml:space="preserve"> </w:t>
      </w:r>
      <w:bookmarkEnd w:id="59"/>
      <w:bookmarkEnd w:id="60"/>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9064778"/>
      <w:r>
        <w:rPr>
          <w:rFonts w:ascii="Times New Roman" w:hAnsi="Times New Roman"/>
          <w:sz w:val="24"/>
          <w:u w:val="none"/>
        </w:rPr>
        <w:t>1.5.1.</w:t>
      </w:r>
      <w:r>
        <w:tab/>
      </w:r>
      <w:r>
        <w:rPr>
          <w:rFonts w:ascii="Times New Roman" w:hAnsi="Times New Roman"/>
          <w:sz w:val="24"/>
        </w:rPr>
        <w:t>Instrukcje dotyczące poszczególnych</w:t>
      </w:r>
      <w:bookmarkEnd w:id="62"/>
      <w:bookmarkEnd w:id="63"/>
      <w:r>
        <w:rPr>
          <w:rFonts w:ascii="Times New Roman" w:hAnsi="Times New Roman"/>
          <w:sz w:val="24"/>
        </w:rPr>
        <w:t xml:space="preserve"> pozycji</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Wiersze</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Aktywa z tytułu odroczonego podatku dochodowego razem</w:t>
            </w:r>
          </w:p>
          <w:p w14:paraId="064512C3" w14:textId="77777777" w:rsidR="005643EA" w:rsidRPr="002A677E" w:rsidRDefault="002648B0" w:rsidP="00487A02">
            <w:pPr>
              <w:pStyle w:val="InstructionsText"/>
            </w:pPr>
            <w:r>
              <w:t>Kwota, którą należy zgłosić w tej pozycji, jest równa kwocie zgłoszonej w najnowszym zweryfikowanym/zbadanym bilansie księgowym.</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Aktywa z tytułu odroczonego podatku dochodowego nieoparte na przyszłej rentowności</w:t>
            </w:r>
          </w:p>
          <w:p w14:paraId="481999B0" w14:textId="44B7C547" w:rsidR="005643EA" w:rsidRPr="002A677E" w:rsidRDefault="002648B0" w:rsidP="00487A02">
            <w:pPr>
              <w:pStyle w:val="InstructionsText"/>
            </w:pPr>
            <w:r>
              <w:t xml:space="preserve">Art. 39 </w:t>
            </w:r>
            <w:r w:rsidRPr="0043455E">
              <w:t>ust.</w:t>
            </w:r>
            <w:r w:rsidR="0043455E" w:rsidRPr="0043455E">
              <w:t> </w:t>
            </w:r>
            <w:r w:rsidRPr="0043455E">
              <w:t>2</w:t>
            </w:r>
            <w:r>
              <w:t xml:space="preserve"> rozporządzenia (UE) </w:t>
            </w:r>
            <w:r w:rsidRPr="0043455E">
              <w:t>nr</w:t>
            </w:r>
            <w:r w:rsidR="0043455E" w:rsidRPr="0043455E">
              <w:t> </w:t>
            </w:r>
            <w:r w:rsidRPr="0043455E">
              <w:t>5</w:t>
            </w:r>
            <w:r>
              <w:t>75/2013</w:t>
            </w:r>
          </w:p>
          <w:p w14:paraId="1929DFCA" w14:textId="0B972749" w:rsidR="005643EA" w:rsidRPr="002A677E" w:rsidRDefault="002648B0" w:rsidP="00487A02">
            <w:pPr>
              <w:pStyle w:val="InstructionsText"/>
            </w:pPr>
            <w:r>
              <w:lastRenderedPageBreak/>
              <w:t>Aktywa z tytułu odroczonego podatku dochodowego, które zostały utworzone przed dniem 23 listopada 20</w:t>
            </w:r>
            <w:r w:rsidRPr="0043455E">
              <w:t>16</w:t>
            </w:r>
            <w:r w:rsidR="0043455E" w:rsidRPr="0043455E">
              <w:t> </w:t>
            </w:r>
            <w:r w:rsidRPr="0043455E">
              <w:t>r.</w:t>
            </w:r>
            <w:r>
              <w:t xml:space="preserve"> i nie opierają się na przyszłej rentowności, a tym samym podlegają zastosowaniu wagi ryzyka.</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lastRenderedPageBreak/>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Aktywa z tytułu odroczonego podatku dochodowego oparte na przyszłej rentowności i niewynikające z różnic przejściowych</w:t>
            </w:r>
          </w:p>
          <w:p w14:paraId="42A728ED" w14:textId="6A5ECE4A" w:rsidR="005643EA" w:rsidRPr="002A677E" w:rsidRDefault="002648B0" w:rsidP="00487A02">
            <w:pPr>
              <w:pStyle w:val="InstructionsText"/>
            </w:pPr>
            <w:r>
              <w:t xml:space="preserve">Art. 36 </w:t>
            </w:r>
            <w:r w:rsidRPr="0043455E">
              <w:t>ust.</w:t>
            </w:r>
            <w:r w:rsidR="0043455E" w:rsidRPr="0043455E">
              <w:t> </w:t>
            </w:r>
            <w:r w:rsidRPr="0043455E">
              <w:t>1</w:t>
            </w:r>
            <w:r>
              <w:t xml:space="preserve"> </w:t>
            </w:r>
            <w:r w:rsidRPr="0043455E">
              <w:t>lit.</w:t>
            </w:r>
            <w:r w:rsidR="0043455E" w:rsidRPr="0043455E">
              <w:t> </w:t>
            </w:r>
            <w:r w:rsidRPr="0043455E">
              <w:t>c)</w:t>
            </w:r>
            <w:r>
              <w:t xml:space="preserve"> oraz </w:t>
            </w:r>
            <w:r w:rsidRPr="0043455E">
              <w:t>art.</w:t>
            </w:r>
            <w:r w:rsidR="0043455E" w:rsidRPr="0043455E">
              <w:t> </w:t>
            </w:r>
            <w:r w:rsidRPr="0043455E">
              <w:t>3</w:t>
            </w:r>
            <w:r>
              <w:t xml:space="preserve">8 rozporządzenia (UE) </w:t>
            </w:r>
            <w:r w:rsidRPr="0043455E">
              <w:t>nr</w:t>
            </w:r>
            <w:r w:rsidR="0043455E" w:rsidRPr="0043455E">
              <w:t> </w:t>
            </w:r>
            <w:r w:rsidRPr="0043455E">
              <w:t>5</w:t>
            </w:r>
            <w:r>
              <w:t>75/2013</w:t>
            </w:r>
          </w:p>
          <w:p w14:paraId="21D9DB00" w14:textId="77777777" w:rsidR="005643EA" w:rsidRPr="002A677E" w:rsidRDefault="002648B0" w:rsidP="00487A02">
            <w:pPr>
              <w:pStyle w:val="InstructionsText"/>
            </w:pPr>
            <w:r>
              <w:t>Aktywa z tytułu odroczonego podatku dochodowego, które są oparte na przyszłej rentowności, ale nie wynikają z różnic przejściowych, i tym samym nie są objęte żadnymi progami (tj. są w całości odliczane od kapitału podstawowego Tier I).</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Aktywa z tytułu odroczonego podatku dochodowego oparte na przyszłej rentowności i wynikające z różnic przejściowych</w:t>
            </w:r>
          </w:p>
          <w:p w14:paraId="5D01C3C3" w14:textId="39BCD0F9" w:rsidR="005643EA" w:rsidRPr="002A677E" w:rsidRDefault="002648B0" w:rsidP="00487A02">
            <w:pPr>
              <w:pStyle w:val="InstructionsText"/>
            </w:pPr>
            <w:r>
              <w:t xml:space="preserve">Art. 36 ust. 1 lit. c); Art. 38 i </w:t>
            </w:r>
            <w:r w:rsidRPr="0043455E">
              <w:t>art.</w:t>
            </w:r>
            <w:r w:rsidR="0043455E" w:rsidRPr="0043455E">
              <w:t> </w:t>
            </w:r>
            <w:r w:rsidRPr="0043455E">
              <w:t>4</w:t>
            </w:r>
            <w:r>
              <w:t xml:space="preserve">8 </w:t>
            </w:r>
            <w:r w:rsidRPr="0043455E">
              <w:t>ust.</w:t>
            </w:r>
            <w:r w:rsidR="0043455E" w:rsidRPr="0043455E">
              <w:t> </w:t>
            </w:r>
            <w:r w:rsidRPr="0043455E">
              <w:t>1</w:t>
            </w:r>
            <w:r>
              <w:t xml:space="preserve"> </w:t>
            </w:r>
            <w:r w:rsidRPr="0043455E">
              <w:t>lit.</w:t>
            </w:r>
            <w:r w:rsidR="0043455E" w:rsidRPr="0043455E">
              <w:t> </w:t>
            </w:r>
            <w:r w:rsidRPr="0043455E">
              <w:t>a)</w:t>
            </w:r>
            <w:r>
              <w:t xml:space="preserve"> rozporządzenia (UE) </w:t>
            </w:r>
            <w:r w:rsidRPr="0043455E">
              <w:t>nr</w:t>
            </w:r>
            <w:r w:rsidR="0043455E" w:rsidRPr="0043455E">
              <w:t> </w:t>
            </w:r>
            <w:r w:rsidRPr="0043455E">
              <w:t>5</w:t>
            </w:r>
            <w:r>
              <w:t>75/2013</w:t>
            </w:r>
          </w:p>
          <w:p w14:paraId="27BFEBDB" w14:textId="59CCE23C" w:rsidR="005643EA" w:rsidRPr="002A677E" w:rsidRDefault="002648B0" w:rsidP="00487A02">
            <w:pPr>
              <w:pStyle w:val="InstructionsText"/>
            </w:pPr>
            <w:r>
              <w:t xml:space="preserve">Aktywa z tytułu odroczonego podatku dochodowego, które są oparte na przyszłej rentowności i wynikają z różnic przejściowych, a tym samym ich odliczenie od kapitału podstawowego Tier I jest objęte progami wynoszącymi 10 % i 17,65 % określonymi w art. 48 rozporządzenia (UE) </w:t>
            </w:r>
            <w:r w:rsidRPr="0043455E">
              <w:t>nr</w:t>
            </w:r>
            <w:r w:rsidR="0043455E" w:rsidRPr="0043455E">
              <w:t> </w:t>
            </w:r>
            <w:r w:rsidRPr="0043455E">
              <w:t>5</w:t>
            </w:r>
            <w:r>
              <w:t>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Rezerwy z tytułu odroczonego podatku dochodowego razem</w:t>
            </w:r>
          </w:p>
          <w:p w14:paraId="67FF7D87" w14:textId="77777777" w:rsidR="005643EA" w:rsidRPr="002A677E" w:rsidRDefault="002648B0" w:rsidP="00487A02">
            <w:pPr>
              <w:pStyle w:val="InstructionsText"/>
            </w:pPr>
            <w:r>
              <w:t>Kwota, którą należy zgłosić w tej pozycji, jest równa kwocie zgłoszonej w ostatnim zweryfikowanym/zbadanym bilansie księgowym.</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Rezerwy z tytułu odroczonego podatku dochodowego niepodlegające odliczeniu od aktywów z tytułu odroczonego podatku dochodowego opartych na przyszłej rentowności</w:t>
            </w:r>
          </w:p>
          <w:p w14:paraId="738C6A5B" w14:textId="11896EB8" w:rsidR="005643EA" w:rsidRPr="002A677E" w:rsidRDefault="002648B0" w:rsidP="00487A02">
            <w:pPr>
              <w:pStyle w:val="InstructionsText"/>
            </w:pPr>
            <w:r>
              <w:t xml:space="preserve">Art. 38 </w:t>
            </w:r>
            <w:r w:rsidRPr="0043455E">
              <w:t>ust.</w:t>
            </w:r>
            <w:r w:rsidR="0043455E" w:rsidRPr="0043455E">
              <w:t> </w:t>
            </w:r>
            <w:r w:rsidRPr="0043455E">
              <w:t>3</w:t>
            </w:r>
            <w:r>
              <w:t xml:space="preserve"> i 4 rozporządzenia (UE) </w:t>
            </w:r>
            <w:r w:rsidRPr="0043455E">
              <w:t>nr</w:t>
            </w:r>
            <w:r w:rsidR="0043455E" w:rsidRPr="0043455E">
              <w:t> </w:t>
            </w:r>
            <w:r w:rsidRPr="0043455E">
              <w:t>5</w:t>
            </w:r>
            <w:r>
              <w:t>75/2013</w:t>
            </w:r>
          </w:p>
          <w:p w14:paraId="6CD92B54" w14:textId="40BD41A4" w:rsidR="005643EA" w:rsidRPr="002A677E" w:rsidRDefault="002648B0" w:rsidP="00F42FE9">
            <w:pPr>
              <w:pStyle w:val="InstructionsText"/>
            </w:pPr>
            <w:r>
              <w:t xml:space="preserve">Rezerwy z tytułu odroczonego podatku dochodowego, w przypadku których warunki określone w art. 38 ust. 3 i 4 rozporządzenia (UE) </w:t>
            </w:r>
            <w:r w:rsidRPr="0043455E">
              <w:t>nr</w:t>
            </w:r>
            <w:r w:rsidR="0043455E" w:rsidRPr="0043455E">
              <w:t> </w:t>
            </w:r>
            <w:r w:rsidRPr="0043455E">
              <w:t>5</w:t>
            </w:r>
            <w:r>
              <w:t>75/2013 nie są spełnione. Pozycja ta obejmuje zatem rezerwy z tytułu odroczonego podatku dochodowego, które pomniejszają kwotę wartości firmy, inne wartości niematerialne i prawne lub odliczane obowiązkowo aktywa funduszu emerytalnego ze zdefiniowanymi świadczeniami, zgłaszane odpowiednio w pozycjach CA1 1.1.1.10.3, 1.1.1.11.2 oraz 1.1.1.14.2.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Rezerwy z tytułu odroczonego podatku dochodowego podlegające odliczeniu od aktywów z tytułu odroczonego podatku dochodowego opartych na przyszłej rentowności</w:t>
            </w:r>
          </w:p>
          <w:p w14:paraId="74A43E2C" w14:textId="135B9254" w:rsidR="005643EA" w:rsidRPr="002A677E" w:rsidRDefault="002648B0" w:rsidP="00487A02">
            <w:pPr>
              <w:pStyle w:val="InstructionsText"/>
            </w:pPr>
            <w:r>
              <w:t xml:space="preserve">Art. 38 rozporządzenia (UE) </w:t>
            </w:r>
            <w:r w:rsidRPr="0043455E">
              <w:t>nr</w:t>
            </w:r>
            <w:r w:rsidR="0043455E" w:rsidRPr="0043455E">
              <w:t> </w:t>
            </w:r>
            <w:r w:rsidRPr="0043455E">
              <w:t>5</w:t>
            </w:r>
            <w:r>
              <w:t>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Podlegające odliczeniu rezerwy z tytułu odroczonego podatku dochodowego powiązane z aktywami z tytułu odroczonego podatku dochodowego opartymi na przyszłej rentowności i niewynikającymi z różnic przejściowych</w:t>
            </w:r>
          </w:p>
          <w:p w14:paraId="322BE481" w14:textId="38F0D3D3" w:rsidR="005643EA" w:rsidRPr="002A677E" w:rsidRDefault="002648B0" w:rsidP="00487A02">
            <w:pPr>
              <w:pStyle w:val="InstructionsText"/>
            </w:pPr>
            <w:r>
              <w:t xml:space="preserve">Art. 38 </w:t>
            </w:r>
            <w:r w:rsidRPr="0043455E">
              <w:t>ust.</w:t>
            </w:r>
            <w:r w:rsidR="0043455E" w:rsidRPr="0043455E">
              <w:t> </w:t>
            </w:r>
            <w:r w:rsidRPr="0043455E">
              <w:t>3</w:t>
            </w:r>
            <w:r>
              <w:t xml:space="preserve">, 4 i 5 rozporządzenia (UE) </w:t>
            </w:r>
            <w:r w:rsidRPr="0043455E">
              <w:t>nr</w:t>
            </w:r>
            <w:r w:rsidR="0043455E" w:rsidRPr="0043455E">
              <w:t> </w:t>
            </w:r>
            <w:r w:rsidRPr="0043455E">
              <w:t>5</w:t>
            </w:r>
            <w:r>
              <w:t>75/2013</w:t>
            </w:r>
          </w:p>
          <w:p w14:paraId="58E9ED0C" w14:textId="279DBB38" w:rsidR="005643EA" w:rsidRPr="002A677E" w:rsidRDefault="002648B0" w:rsidP="00F42FE9">
            <w:pPr>
              <w:pStyle w:val="InstructionsText"/>
            </w:pPr>
            <w:r>
              <w:lastRenderedPageBreak/>
              <w:t xml:space="preserve">Rezerwy z tytułu odroczonego podatku dochodowego mogące pomniejszać kwotę aktywów z tytułu odroczonego podatku dochodowego, które to aktywa są oparte na przyszłej rentowności, </w:t>
            </w:r>
            <w:r>
              <w:rPr>
                <w:rStyle w:val="FormatvorlageInstructionsTabelleText"/>
                <w:rFonts w:ascii="Times New Roman" w:hAnsi="Times New Roman"/>
                <w:sz w:val="24"/>
              </w:rPr>
              <w:t>zgodnie z</w:t>
            </w:r>
            <w:r>
              <w:t xml:space="preserve"> art. 38 ust. 3 i 4 rozporządzenia (UE) </w:t>
            </w:r>
            <w:r w:rsidRPr="0043455E">
              <w:t>nr</w:t>
            </w:r>
            <w:r w:rsidR="0043455E" w:rsidRPr="0043455E">
              <w:t> </w:t>
            </w:r>
            <w:r w:rsidRPr="0043455E">
              <w:t>5</w:t>
            </w:r>
            <w:r>
              <w:t xml:space="preserve">75/2013, i nie są zakwalifikowane do aktywów z tytułu odroczonego podatku dochodowego opartych na przyszłej rentowności i wynikających z różnic przejściowych, jak określono w art. 38 ust. 5 rozporządzenia (UE) </w:t>
            </w:r>
            <w:r w:rsidRPr="0043455E">
              <w:t>nr</w:t>
            </w:r>
            <w:r w:rsidR="0043455E" w:rsidRPr="0043455E">
              <w:t> </w:t>
            </w:r>
            <w:r w:rsidRPr="0043455E">
              <w:t>5</w:t>
            </w:r>
            <w:r>
              <w:t>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Podlegające odliczeniu rezerwy z tytułu odroczonego podatku dochodowego powiązane z aktywami z tytułu odroczonego podatku dochodowego opartymi na przyszłej rentowności i wynikającymi z różnic przejściowych</w:t>
            </w:r>
          </w:p>
          <w:p w14:paraId="7363CE15" w14:textId="29949F32" w:rsidR="005643EA" w:rsidRPr="002A677E" w:rsidRDefault="002648B0" w:rsidP="00487A02">
            <w:pPr>
              <w:pStyle w:val="InstructionsText"/>
            </w:pPr>
            <w:r>
              <w:t xml:space="preserve">Art. 38 </w:t>
            </w:r>
            <w:r w:rsidRPr="0043455E">
              <w:t>ust.</w:t>
            </w:r>
            <w:r w:rsidR="0043455E" w:rsidRPr="0043455E">
              <w:t> </w:t>
            </w:r>
            <w:r w:rsidRPr="0043455E">
              <w:t>3</w:t>
            </w:r>
            <w:r>
              <w:t xml:space="preserve">, 4 i 5 rozporządzenia (UE) </w:t>
            </w:r>
            <w:r w:rsidRPr="0043455E">
              <w:t>nr</w:t>
            </w:r>
            <w:r w:rsidR="0043455E" w:rsidRPr="0043455E">
              <w:t> </w:t>
            </w:r>
            <w:r w:rsidRPr="0043455E">
              <w:t>5</w:t>
            </w:r>
            <w:r>
              <w:t>75/2013</w:t>
            </w:r>
          </w:p>
          <w:p w14:paraId="56E5FD8E" w14:textId="57C6B8CB" w:rsidR="005643EA" w:rsidRPr="002A677E" w:rsidRDefault="002648B0" w:rsidP="00F42FE9">
            <w:pPr>
              <w:pStyle w:val="InstructionsText"/>
            </w:pPr>
            <w:r>
              <w:t xml:space="preserve">Rezerwy z tytułu odroczonego podatku dochodowego mogące pomniejszać kwotę aktywów z tytułu odroczonego podatku dochodowego, które to aktywa są oparte na przyszłej rentowności, </w:t>
            </w:r>
            <w:r>
              <w:rPr>
                <w:rStyle w:val="FormatvorlageInstructionsTabelleText"/>
                <w:rFonts w:ascii="Times New Roman" w:hAnsi="Times New Roman"/>
                <w:sz w:val="24"/>
              </w:rPr>
              <w:t>zgodnie z</w:t>
            </w:r>
            <w:r>
              <w:t xml:space="preserve"> art. 38 ust. 3 i 4 rozporządzenia (UE) </w:t>
            </w:r>
            <w:r w:rsidRPr="0043455E">
              <w:t>nr</w:t>
            </w:r>
            <w:r w:rsidR="0043455E" w:rsidRPr="0043455E">
              <w:t> </w:t>
            </w:r>
            <w:r w:rsidRPr="0043455E">
              <w:t>5</w:t>
            </w:r>
            <w:r>
              <w:t xml:space="preserve">75/2013, i są zakwalifikowane do aktywów z tytułu odroczonego podatku dochodowego opartych na przyszłej rentowności i wynikających z różnic przejściowych, jak określono w art. 38 ust. 5 rozporządzenia (UE) </w:t>
            </w:r>
            <w:r w:rsidRPr="0043455E">
              <w:t>nr</w:t>
            </w:r>
            <w:r w:rsidR="0043455E" w:rsidRPr="0043455E">
              <w:t> </w:t>
            </w:r>
            <w:r w:rsidRPr="0043455E">
              <w:t>5</w:t>
            </w:r>
            <w:r>
              <w:t>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Nadpłaty podatku i straty podatkowe przeniesione na poprzednie lata</w:t>
            </w:r>
          </w:p>
          <w:p w14:paraId="1695947D" w14:textId="33597F0D" w:rsidR="00550113" w:rsidRPr="002A677E" w:rsidRDefault="00201704" w:rsidP="00487A02">
            <w:pPr>
              <w:pStyle w:val="InstructionsText"/>
            </w:pPr>
            <w:r>
              <w:t xml:space="preserve">Art. 39 </w:t>
            </w:r>
            <w:r w:rsidRPr="0043455E">
              <w:t>ust.</w:t>
            </w:r>
            <w:r w:rsidR="0043455E" w:rsidRPr="0043455E">
              <w:t> </w:t>
            </w:r>
            <w:r w:rsidRPr="0043455E">
              <w:t>1</w:t>
            </w:r>
            <w:r>
              <w:t xml:space="preserve"> rozporządzenia (UE) </w:t>
            </w:r>
            <w:r w:rsidRPr="0043455E">
              <w:t>nr</w:t>
            </w:r>
            <w:r w:rsidR="0043455E" w:rsidRPr="0043455E">
              <w:t> </w:t>
            </w:r>
            <w:r w:rsidRPr="0043455E">
              <w:t>5</w:t>
            </w:r>
            <w:r>
              <w:t>75/2013</w:t>
            </w:r>
          </w:p>
          <w:p w14:paraId="036E36C9" w14:textId="4E803790" w:rsidR="00550113" w:rsidRPr="002A677E" w:rsidRDefault="00550113" w:rsidP="00487A02">
            <w:pPr>
              <w:pStyle w:val="InstructionsText"/>
              <w:rPr>
                <w:rStyle w:val="InstructionsTabelleberschrift"/>
                <w:rFonts w:ascii="Times New Roman" w:hAnsi="Times New Roman"/>
                <w:b w:val="0"/>
                <w:bCs w:val="0"/>
                <w:sz w:val="24"/>
                <w:u w:val="none"/>
              </w:rPr>
            </w:pPr>
            <w:r>
              <w:t xml:space="preserve">Kwota nadpłat podatku i strat podatkowych przeniesionych na poprzednie lata, która nie jest odliczana od funduszy własnych zgodnie z </w:t>
            </w:r>
            <w:r w:rsidRPr="0043455E">
              <w:t>art.</w:t>
            </w:r>
            <w:r w:rsidR="0043455E" w:rsidRPr="0043455E">
              <w:t> </w:t>
            </w:r>
            <w:r w:rsidRPr="0043455E">
              <w:t>3</w:t>
            </w:r>
            <w:r>
              <w:t xml:space="preserve">9 </w:t>
            </w:r>
            <w:r w:rsidRPr="0043455E">
              <w:t>ust.</w:t>
            </w:r>
            <w:r w:rsidR="0043455E" w:rsidRPr="0043455E">
              <w:t> </w:t>
            </w:r>
            <w:r w:rsidRPr="0043455E">
              <w:t>1</w:t>
            </w:r>
            <w:r>
              <w:t xml:space="preserve"> rozporządzenia (UE) </w:t>
            </w:r>
            <w:r w:rsidRPr="0043455E">
              <w:t>nr</w:t>
            </w:r>
            <w:r w:rsidR="0043455E" w:rsidRPr="0043455E">
              <w:t> </w:t>
            </w:r>
            <w:r w:rsidRPr="0043455E">
              <w:t>5</w:t>
            </w:r>
            <w:r>
              <w:t>75/2013; zgłoszona kwota jest kwotą przed zastosowaniem wag ryzyka.</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Aktywa z tytułu odroczonego podatku dochodowego podlegające wadze ryzyka równej 250</w:t>
            </w:r>
            <w:r>
              <w:t> </w:t>
            </w:r>
            <w:r>
              <w:rPr>
                <w:rStyle w:val="InstructionsTabelleberschrift"/>
                <w:rFonts w:ascii="Times New Roman" w:hAnsi="Times New Roman"/>
                <w:sz w:val="24"/>
              </w:rPr>
              <w:t>%</w:t>
            </w:r>
          </w:p>
          <w:p w14:paraId="3250EE36" w14:textId="093D42FD" w:rsidR="00DF65DF" w:rsidRPr="002A677E" w:rsidRDefault="00201704" w:rsidP="00487A02">
            <w:pPr>
              <w:pStyle w:val="InstructionsText"/>
            </w:pPr>
            <w:r>
              <w:t xml:space="preserve">Art. 48 </w:t>
            </w:r>
            <w:r w:rsidRPr="0043455E">
              <w:t>ust.</w:t>
            </w:r>
            <w:r w:rsidR="0043455E" w:rsidRPr="0043455E">
              <w:t> </w:t>
            </w:r>
            <w:r w:rsidRPr="0043455E">
              <w:t>4</w:t>
            </w:r>
            <w:r>
              <w:t xml:space="preserve"> rozporządzenia (UE) </w:t>
            </w:r>
            <w:r w:rsidRPr="0043455E">
              <w:t>nr</w:t>
            </w:r>
            <w:r w:rsidR="0043455E" w:rsidRPr="0043455E">
              <w:t> </w:t>
            </w:r>
            <w:r w:rsidRPr="0043455E">
              <w:t>5</w:t>
            </w:r>
            <w:r>
              <w:t>75/2013</w:t>
            </w:r>
          </w:p>
          <w:p w14:paraId="65CF5C4A" w14:textId="380A095D" w:rsidR="00DF65DF" w:rsidRPr="002A677E" w:rsidRDefault="00DF65DF" w:rsidP="00566DB5">
            <w:pPr>
              <w:pStyle w:val="InstructionsText"/>
              <w:rPr>
                <w:rStyle w:val="InstructionsTabelleberschrift"/>
                <w:rFonts w:ascii="Times New Roman" w:hAnsi="Times New Roman"/>
                <w:b w:val="0"/>
                <w:bCs w:val="0"/>
                <w:sz w:val="24"/>
                <w:u w:val="none"/>
              </w:rPr>
            </w:pPr>
            <w:r>
              <w:t xml:space="preserve">Kwota aktywów z tytułu odroczonego podatku dochodowego opartych na przyszłej rentowności i wynikających z różnic przejściowych, które nie są odliczane zgodnie z art. 48 ust. 1 rozporządzenia (UE) </w:t>
            </w:r>
            <w:r w:rsidRPr="0043455E">
              <w:t>nr</w:t>
            </w:r>
            <w:r w:rsidR="0043455E" w:rsidRPr="0043455E">
              <w:t> </w:t>
            </w:r>
            <w:r w:rsidRPr="0043455E">
              <w:t>5</w:t>
            </w:r>
            <w:r>
              <w:t>75/2013, ale podlegają wadze ryzyka równej 250 % zgodnie z art. 48 ust. 4 tego rozporządzenia, z uwzględnieniem wpływu art. 470, art. 478 ust. 2 i art. 473a ust. 7 lit. a) tego samego rozporządzenia. Zgłoszona kwota jest kwotą aktywów z tytułu odroczonego podatku dochodowego przed zastosowaniem wagi ryzyka.</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Aktywa z tytułu odroczonego podatku dochodowego podlegające wadze ryzyka równej</w:t>
            </w:r>
            <w:r>
              <w:t xml:space="preserve"> </w:t>
            </w:r>
            <w:r>
              <w:rPr>
                <w:rStyle w:val="InstructionsTabelleberschrift"/>
                <w:rFonts w:ascii="Times New Roman" w:hAnsi="Times New Roman"/>
                <w:sz w:val="24"/>
              </w:rPr>
              <w:t>0 %</w:t>
            </w:r>
          </w:p>
          <w:p w14:paraId="76CA7E3C" w14:textId="32E97F5F" w:rsidR="00DF65DF" w:rsidRPr="002A677E" w:rsidRDefault="00DF65DF" w:rsidP="00487A02">
            <w:pPr>
              <w:pStyle w:val="InstructionsText"/>
            </w:pPr>
            <w:r>
              <w:t xml:space="preserve">Art. 469 ust. 1 lit. d), art. 470, </w:t>
            </w:r>
            <w:r w:rsidRPr="0043455E">
              <w:t>art.</w:t>
            </w:r>
            <w:r w:rsidR="0043455E" w:rsidRPr="0043455E">
              <w:t> </w:t>
            </w:r>
            <w:r w:rsidRPr="0043455E">
              <w:t>4</w:t>
            </w:r>
            <w:r>
              <w:t xml:space="preserve">72 </w:t>
            </w:r>
            <w:r w:rsidRPr="0043455E">
              <w:t>ust.</w:t>
            </w:r>
            <w:r w:rsidR="0043455E" w:rsidRPr="0043455E">
              <w:t> </w:t>
            </w:r>
            <w:r w:rsidRPr="0043455E">
              <w:t>5</w:t>
            </w:r>
            <w:r>
              <w:t xml:space="preserve"> i </w:t>
            </w:r>
            <w:r w:rsidRPr="0043455E">
              <w:t>art.</w:t>
            </w:r>
            <w:r w:rsidR="0043455E" w:rsidRPr="0043455E">
              <w:t> </w:t>
            </w:r>
            <w:r w:rsidRPr="0043455E">
              <w:t>4</w:t>
            </w:r>
            <w:r>
              <w:t xml:space="preserve">78 rozporządzenia (UE) </w:t>
            </w:r>
            <w:r w:rsidRPr="0043455E">
              <w:t>nr</w:t>
            </w:r>
            <w:r w:rsidR="0043455E" w:rsidRPr="0043455E">
              <w:t> </w:t>
            </w:r>
            <w:r w:rsidRPr="0043455E">
              <w:t>5</w:t>
            </w:r>
            <w:r>
              <w:t>75/2013</w:t>
            </w:r>
          </w:p>
          <w:p w14:paraId="5159B743" w14:textId="138CC30E" w:rsidR="00DF65DF" w:rsidRPr="002A677E" w:rsidRDefault="00DF65DF" w:rsidP="00985B99">
            <w:pPr>
              <w:pStyle w:val="InstructionsText"/>
              <w:rPr>
                <w:rStyle w:val="InstructionsTabelleberschrift"/>
                <w:rFonts w:ascii="Times New Roman" w:hAnsi="Times New Roman"/>
                <w:b w:val="0"/>
                <w:bCs w:val="0"/>
                <w:sz w:val="24"/>
                <w:u w:val="none"/>
              </w:rPr>
            </w:pPr>
            <w:r>
              <w:t xml:space="preserve">Kwota aktywów z tytułu odroczonego podatku dochodowego opartych na przyszłej rentowności i wynikających z różnic przejściowych, które nie są odliczane zgodnie z art. 469 ust. 1 lit. d), art. 470 rozporządzenia </w:t>
            </w:r>
            <w:r>
              <w:lastRenderedPageBreak/>
              <w:t xml:space="preserve">(UE) </w:t>
            </w:r>
            <w:r w:rsidRPr="0043455E">
              <w:t>nr</w:t>
            </w:r>
            <w:r w:rsidR="0043455E" w:rsidRPr="0043455E">
              <w:t> </w:t>
            </w:r>
            <w:r w:rsidRPr="0043455E">
              <w:t>5</w:t>
            </w:r>
            <w:r>
              <w:t>75/2013, art. 478 ust. 2 i art. 473a ust. 7 lit. a) tego rozporządzenia, ale podlegają wadze ryzyka równej 0 % zgodnie z art. 472 ust. 5 tego rozporządzenia. Zgłoszona kwota jest kwotą aktywów z tytułu odroczonego podatku dochodowego przed zastosowaniem wagi ryzyka.</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lastRenderedPageBreak/>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Aktywa będące oprogramowaniem rozliczane jako wartości niematerialne i prawne wyłączone z odliczania od kapitału podstawowego Tier I</w:t>
            </w:r>
          </w:p>
          <w:p w14:paraId="44F69E3F" w14:textId="5F0F29A0" w:rsidR="00674BF5" w:rsidRPr="002A677E" w:rsidRDefault="00674BF5" w:rsidP="00487A02">
            <w:pPr>
              <w:pStyle w:val="InstructionsText"/>
            </w:pPr>
            <w:r>
              <w:t xml:space="preserve">Art. 36 </w:t>
            </w:r>
            <w:r w:rsidRPr="0043455E">
              <w:t>ust.</w:t>
            </w:r>
            <w:r w:rsidR="0043455E" w:rsidRPr="0043455E">
              <w:t> </w:t>
            </w:r>
            <w:r w:rsidRPr="0043455E">
              <w:t>1</w:t>
            </w:r>
            <w:r>
              <w:t xml:space="preserve"> </w:t>
            </w:r>
            <w:r w:rsidRPr="0043455E">
              <w:t>lit.</w:t>
            </w:r>
            <w:r w:rsidR="0043455E" w:rsidRPr="0043455E">
              <w:t> </w:t>
            </w:r>
            <w:r w:rsidRPr="0043455E">
              <w:t>b)</w:t>
            </w:r>
            <w:r>
              <w:t xml:space="preserve"> rozporządzenia (UE) </w:t>
            </w:r>
            <w:r w:rsidRPr="0043455E">
              <w:t>nr</w:t>
            </w:r>
            <w:r w:rsidR="0043455E" w:rsidRPr="0043455E">
              <w:t> </w:t>
            </w:r>
            <w:r w:rsidRPr="0043455E">
              <w:t>5</w:t>
            </w:r>
            <w:r>
              <w:t>75/2013</w:t>
            </w:r>
          </w:p>
          <w:p w14:paraId="4421B226" w14:textId="5B9F18A0" w:rsidR="00674BF5" w:rsidRPr="002A677E" w:rsidRDefault="00674BF5" w:rsidP="00487A02">
            <w:pPr>
              <w:pStyle w:val="InstructionsText"/>
              <w:rPr>
                <w:rStyle w:val="InstructionsTabelleberschrift"/>
                <w:rFonts w:ascii="Times New Roman" w:hAnsi="Times New Roman"/>
                <w:sz w:val="24"/>
              </w:rPr>
            </w:pPr>
            <w:r>
              <w:t xml:space="preserve">Instytucje zgłaszają kwotę ostrożnie wycenianych aktywów będących oprogramowaniem wyłączonych z odliczania od pozycji kapitału podstawowego Tier I zgodnie z </w:t>
            </w:r>
            <w:r w:rsidRPr="0043455E">
              <w:t>art.</w:t>
            </w:r>
            <w:r w:rsidR="0043455E" w:rsidRPr="0043455E">
              <w:t> </w:t>
            </w:r>
            <w:r w:rsidRPr="0043455E">
              <w:t>1</w:t>
            </w:r>
            <w:r>
              <w:t xml:space="preserve">3a rozporządzenia delegowanego (UE) </w:t>
            </w:r>
            <w:r w:rsidRPr="0043455E">
              <w:t>nr</w:t>
            </w:r>
            <w:r w:rsidR="0043455E" w:rsidRPr="0043455E">
              <w:t> </w:t>
            </w:r>
            <w:r w:rsidRPr="0043455E">
              <w:t>2</w:t>
            </w:r>
            <w:r>
              <w:t>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AT1 Instrumenty kapitałowe oraz powiązane ażio emisyjne sklasyfikowane jako kapitał własny zgodnie z obowiązującymi standardami rachunkowości</w:t>
            </w:r>
          </w:p>
          <w:p w14:paraId="30206890" w14:textId="77777777" w:rsidR="00674BF5" w:rsidRPr="002A677E" w:rsidRDefault="00674BF5" w:rsidP="00487A02">
            <w:pPr>
              <w:pStyle w:val="InstructionsText"/>
              <w:rPr>
                <w:rStyle w:val="InstructionsTabelleberschrift"/>
                <w:rFonts w:ascii="Times New Roman" w:hAnsi="Times New Roman"/>
                <w:sz w:val="24"/>
              </w:rPr>
            </w:pPr>
            <w:r>
              <w:t>Kwota instrumentów w kapitale dodatkowym Tier I wraz z powiązanymi ażio emisyjnymi, które sklasyfikowano jako kapitał własny zgodnie z obowiązującymi standardami rachunkowości</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AT1 Instrumenty kapitałowe oraz powiązane ażio emisyjne sklasyfikowane jako zobowiązania zgodnie z obowiązującymi standardami rachunkowości</w:t>
            </w:r>
          </w:p>
          <w:p w14:paraId="79E6E78E" w14:textId="77777777" w:rsidR="00674BF5" w:rsidRPr="002A677E" w:rsidRDefault="00674BF5" w:rsidP="00487A02">
            <w:pPr>
              <w:pStyle w:val="InstructionsText"/>
              <w:rPr>
                <w:rStyle w:val="InstructionsTabelleberschrift"/>
                <w:rFonts w:ascii="Times New Roman" w:hAnsi="Times New Roman"/>
                <w:sz w:val="24"/>
              </w:rPr>
            </w:pPr>
            <w:r>
              <w:t>Kwota instrumentów w kapitale dodatkowym Tier I wraz z powiązanymi ażio emisyjnymi, które sklasyfikowano jako zobowiązania zgodnie z obowiązującym standardem rachunkowości</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Nadwyżka (+) lub niedobór (-) korekt ryzyka kredytowego, dodatkowych korekt wartości oraz innych redukcji funduszy własnych wobec oczekiwanych strat w odniesieniu do ekspozycji, których nie dotyczy niewykonanie zobowiązania, według metody IRB</w:t>
            </w:r>
          </w:p>
          <w:p w14:paraId="30E72DCC" w14:textId="318F594D" w:rsidR="00674BF5" w:rsidRPr="002A677E" w:rsidRDefault="00674BF5" w:rsidP="00487A02">
            <w:pPr>
              <w:pStyle w:val="InstructionsText"/>
            </w:pPr>
            <w:r>
              <w:t xml:space="preserve">Art. 36 </w:t>
            </w:r>
            <w:r w:rsidRPr="0043455E">
              <w:t>ust.</w:t>
            </w:r>
            <w:r w:rsidR="0043455E" w:rsidRPr="0043455E">
              <w:t> </w:t>
            </w:r>
            <w:r w:rsidRPr="0043455E">
              <w:t>1</w:t>
            </w:r>
            <w:r>
              <w:t xml:space="preserve"> </w:t>
            </w:r>
            <w:r w:rsidRPr="0043455E">
              <w:t>lit.</w:t>
            </w:r>
            <w:r w:rsidR="0043455E" w:rsidRPr="0043455E">
              <w:t> </w:t>
            </w:r>
            <w:r w:rsidRPr="0043455E">
              <w:t>d)</w:t>
            </w:r>
            <w:r>
              <w:t xml:space="preserve">, </w:t>
            </w:r>
            <w:r w:rsidRPr="0043455E">
              <w:t>art.</w:t>
            </w:r>
            <w:r w:rsidR="0043455E" w:rsidRPr="0043455E">
              <w:t> </w:t>
            </w:r>
            <w:r w:rsidRPr="0043455E">
              <w:t>6</w:t>
            </w:r>
            <w:r>
              <w:t xml:space="preserve">2 </w:t>
            </w:r>
            <w:r w:rsidRPr="0043455E">
              <w:t>lit.</w:t>
            </w:r>
            <w:r w:rsidR="0043455E" w:rsidRPr="0043455E">
              <w:t> </w:t>
            </w:r>
            <w:r w:rsidRPr="0043455E">
              <w:t>d)</w:t>
            </w:r>
            <w:r>
              <w:t xml:space="preserve">, </w:t>
            </w:r>
            <w:r w:rsidRPr="0043455E">
              <w:t>art.</w:t>
            </w:r>
            <w:r w:rsidR="0043455E" w:rsidRPr="0043455E">
              <w:t> </w:t>
            </w:r>
            <w:r w:rsidRPr="0043455E">
              <w:t>1</w:t>
            </w:r>
            <w:r>
              <w:t xml:space="preserve">58 i 159 rozporządzenia (UE) </w:t>
            </w:r>
            <w:r w:rsidRPr="0043455E">
              <w:t>nr</w:t>
            </w:r>
            <w:r w:rsidR="0043455E" w:rsidRPr="0043455E">
              <w:t> </w:t>
            </w:r>
            <w:r w:rsidRPr="0043455E">
              <w:t>5</w:t>
            </w:r>
            <w:r>
              <w:t>75/2013</w:t>
            </w:r>
          </w:p>
          <w:p w14:paraId="2FD4B9C9" w14:textId="77777777" w:rsidR="00674BF5" w:rsidRPr="002A677E" w:rsidRDefault="00674BF5" w:rsidP="00487A02">
            <w:pPr>
              <w:pStyle w:val="InstructionsText"/>
            </w:pPr>
            <w:r>
              <w:t>Pozycję tę zgłaszają wyłącznie instytucje stosujące metodę IRB.</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Całkowite korekty ryzyka kredytowego, dodatkowe korekty wartości oraz inne redukcje funduszy własnych kwalifikujące się do uwzględnienia w obliczeniach kwoty oczekiwanej straty</w:t>
            </w:r>
          </w:p>
          <w:p w14:paraId="4C89842E" w14:textId="33EDF869" w:rsidR="00674BF5" w:rsidRPr="002A677E" w:rsidRDefault="00674BF5" w:rsidP="00487A02">
            <w:pPr>
              <w:pStyle w:val="InstructionsText"/>
            </w:pPr>
            <w:r>
              <w:t xml:space="preserve">Art. 159 rozporządzenia (UE) </w:t>
            </w:r>
            <w:r w:rsidRPr="0043455E">
              <w:t>nr</w:t>
            </w:r>
            <w:r w:rsidR="0043455E" w:rsidRPr="0043455E">
              <w:t> </w:t>
            </w:r>
            <w:r w:rsidRPr="0043455E">
              <w:t>5</w:t>
            </w:r>
            <w:r>
              <w:t>75/2013</w:t>
            </w:r>
          </w:p>
          <w:p w14:paraId="52A0ACC8" w14:textId="77777777" w:rsidR="00674BF5" w:rsidRPr="002A677E" w:rsidRDefault="00674BF5" w:rsidP="00487A02">
            <w:pPr>
              <w:pStyle w:val="InstructionsText"/>
            </w:pPr>
            <w:r>
              <w:t>Pozycję tę zgłaszają wyłącznie instytucje stosujące metodę IRB.</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Korekty z tytułu ogólnego ryzyka kredytowego</w:t>
            </w:r>
          </w:p>
          <w:p w14:paraId="0F1C0767" w14:textId="31D32083" w:rsidR="00674BF5" w:rsidRPr="002A677E" w:rsidRDefault="00674BF5" w:rsidP="00487A02">
            <w:pPr>
              <w:pStyle w:val="InstructionsText"/>
            </w:pPr>
            <w:r>
              <w:t xml:space="preserve">Art. 159 rozporządzenia (UE) </w:t>
            </w:r>
            <w:r w:rsidRPr="0043455E">
              <w:t>nr</w:t>
            </w:r>
            <w:r w:rsidR="0043455E" w:rsidRPr="0043455E">
              <w:t> </w:t>
            </w:r>
            <w:r w:rsidRPr="0043455E">
              <w:t>5</w:t>
            </w:r>
            <w:r>
              <w:t>75/2013</w:t>
            </w:r>
          </w:p>
          <w:p w14:paraId="4154ADBE" w14:textId="77777777" w:rsidR="00674BF5" w:rsidRPr="002A677E" w:rsidRDefault="00674BF5" w:rsidP="00487A02">
            <w:pPr>
              <w:pStyle w:val="InstructionsText"/>
            </w:pPr>
            <w:r>
              <w:t>Pozycję tę zgłaszają wyłącznie instytucje stosujące metodę IRB.</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Korekty z tytułu szczególnego ryzyka kredytowego</w:t>
            </w:r>
          </w:p>
          <w:p w14:paraId="224BBAEC" w14:textId="2345B704" w:rsidR="00674BF5" w:rsidRPr="002A677E" w:rsidRDefault="00674BF5" w:rsidP="00487A02">
            <w:pPr>
              <w:pStyle w:val="InstructionsText"/>
            </w:pPr>
            <w:r>
              <w:t xml:space="preserve">Art. 159 rozporządzenia (UE) </w:t>
            </w:r>
            <w:r w:rsidRPr="0043455E">
              <w:t>nr</w:t>
            </w:r>
            <w:r w:rsidR="0043455E" w:rsidRPr="0043455E">
              <w:t> </w:t>
            </w:r>
            <w:r w:rsidRPr="0043455E">
              <w:t>5</w:t>
            </w:r>
            <w:r>
              <w:t>75/2013</w:t>
            </w:r>
          </w:p>
          <w:p w14:paraId="4E4EA60F" w14:textId="77777777" w:rsidR="00674BF5" w:rsidRPr="002A677E" w:rsidRDefault="00674BF5" w:rsidP="00487A02">
            <w:pPr>
              <w:pStyle w:val="InstructionsText"/>
            </w:pPr>
            <w:r>
              <w:lastRenderedPageBreak/>
              <w:t>Pozycję tę zgłaszają wyłącznie instytucje stosujące metodę IRB.</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lastRenderedPageBreak/>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Dodatkowe korekty wartości i inne redukcje funduszy własnych</w:t>
            </w:r>
          </w:p>
          <w:p w14:paraId="3FD23FCE" w14:textId="2054CB6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34, 110 i 159</w:t>
            </w:r>
            <w:r>
              <w:t xml:space="preserve"> rozporządzenia (UE) </w:t>
            </w:r>
            <w:r w:rsidRPr="0043455E">
              <w:t>nr</w:t>
            </w:r>
            <w:r w:rsidR="0043455E" w:rsidRPr="0043455E">
              <w:t> </w:t>
            </w:r>
            <w:r w:rsidRPr="0043455E">
              <w:t>5</w:t>
            </w:r>
            <w:r>
              <w:t>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Pozycję tę zgłaszają wyłącznie instytucje stosujące metodę IRB.</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Oczekiwane uznane straty razem </w:t>
            </w:r>
          </w:p>
          <w:p w14:paraId="4E24DA26" w14:textId="7DF7D0EC" w:rsidR="00674BF5" w:rsidRPr="002A677E" w:rsidRDefault="00674BF5" w:rsidP="00487A02">
            <w:pPr>
              <w:pStyle w:val="InstructionsText"/>
            </w:pPr>
            <w:r>
              <w:t xml:space="preserve">Art. 158 ust. 5, 6 i 10 oraz art. 159 rozporządzenia delegowanego (UE) </w:t>
            </w:r>
            <w:r w:rsidRPr="0043455E">
              <w:t>nr</w:t>
            </w:r>
            <w:r w:rsidR="0043455E" w:rsidRPr="0043455E">
              <w:t> </w:t>
            </w:r>
            <w:r w:rsidRPr="0043455E">
              <w:t>5</w:t>
            </w:r>
            <w:r>
              <w:t>75/2013</w:t>
            </w:r>
          </w:p>
          <w:p w14:paraId="76D1C43C" w14:textId="77777777" w:rsidR="00674BF5" w:rsidRPr="002A677E" w:rsidRDefault="00674BF5" w:rsidP="00487A02">
            <w:pPr>
              <w:pStyle w:val="InstructionsText"/>
            </w:pPr>
            <w:r>
              <w:t>Pozycję tę zgłaszają wyłącznie instytucje stosujące metodę IRB. Zgłasza się wyłącznie oczekiwaną stratę związaną z ekspozycjami, których nie dotyczy niewykonanie zobowiązania.</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Nadwyżka (+) lub niedobór (-) korekt z tytułu szczególnego ryzyka kredytowego wobec oczekiwanych strat w odniesieniu do ekspozycji, których dotyczy niewykonanie zobowiązania, według metody IRB</w:t>
            </w:r>
          </w:p>
          <w:p w14:paraId="27D461A9" w14:textId="7F747BC0" w:rsidR="00674BF5" w:rsidRPr="002A677E" w:rsidRDefault="00674BF5" w:rsidP="00487A02">
            <w:pPr>
              <w:pStyle w:val="InstructionsText"/>
            </w:pPr>
            <w:r>
              <w:t xml:space="preserve">Art. 36 </w:t>
            </w:r>
            <w:r w:rsidRPr="0043455E">
              <w:t>ust.</w:t>
            </w:r>
            <w:r w:rsidR="0043455E" w:rsidRPr="0043455E">
              <w:t> </w:t>
            </w:r>
            <w:r w:rsidRPr="0043455E">
              <w:t>1</w:t>
            </w:r>
            <w:r>
              <w:t xml:space="preserve"> </w:t>
            </w:r>
            <w:r w:rsidRPr="0043455E">
              <w:t>lit.</w:t>
            </w:r>
            <w:r w:rsidR="0043455E" w:rsidRPr="0043455E">
              <w:t> </w:t>
            </w:r>
            <w:r w:rsidRPr="0043455E">
              <w:t>d)</w:t>
            </w:r>
            <w:r>
              <w:t xml:space="preserve">, </w:t>
            </w:r>
            <w:r w:rsidRPr="0043455E">
              <w:t>art.</w:t>
            </w:r>
            <w:r w:rsidR="0043455E" w:rsidRPr="0043455E">
              <w:t> </w:t>
            </w:r>
            <w:r w:rsidRPr="0043455E">
              <w:t>6</w:t>
            </w:r>
            <w:r>
              <w:t xml:space="preserve">2 </w:t>
            </w:r>
            <w:r w:rsidRPr="0043455E">
              <w:t>lit.</w:t>
            </w:r>
            <w:r w:rsidR="0043455E" w:rsidRPr="0043455E">
              <w:t> </w:t>
            </w:r>
            <w:r w:rsidRPr="0043455E">
              <w:t>d)</w:t>
            </w:r>
            <w:r>
              <w:t xml:space="preserve">, </w:t>
            </w:r>
            <w:r w:rsidRPr="0043455E">
              <w:t>art.</w:t>
            </w:r>
            <w:r w:rsidR="0043455E" w:rsidRPr="0043455E">
              <w:t> </w:t>
            </w:r>
            <w:r w:rsidRPr="0043455E">
              <w:t>1</w:t>
            </w:r>
            <w:r>
              <w:t xml:space="preserve">58 i 159 rozporządzenia (UE) </w:t>
            </w:r>
            <w:r w:rsidRPr="0043455E">
              <w:t>nr</w:t>
            </w:r>
            <w:r w:rsidR="0043455E" w:rsidRPr="0043455E">
              <w:t> </w:t>
            </w:r>
            <w:r w:rsidRPr="0043455E">
              <w:t>5</w:t>
            </w:r>
            <w:r>
              <w:t>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Pozycję tę zgłaszają wyłącznie instytucje stosujące metodę IRB.</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Korekty z tytułu szczególnego ryzyka kredytowego oraz pozycje ujmowane w podobny sposób</w:t>
            </w:r>
          </w:p>
          <w:p w14:paraId="43A68A00" w14:textId="02DF8664" w:rsidR="00674BF5" w:rsidRPr="002A677E" w:rsidRDefault="00674BF5" w:rsidP="00487A02">
            <w:pPr>
              <w:pStyle w:val="InstructionsText"/>
            </w:pPr>
            <w:r>
              <w:t xml:space="preserve">Art. 159 rozporządzenia (UE) </w:t>
            </w:r>
            <w:r w:rsidRPr="0043455E">
              <w:t>nr</w:t>
            </w:r>
            <w:r w:rsidR="0043455E" w:rsidRPr="0043455E">
              <w:t> </w:t>
            </w:r>
            <w:r w:rsidRPr="0043455E">
              <w:t>5</w:t>
            </w:r>
            <w:r>
              <w:t>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Pozycję tę zgłaszają wyłącznie instytucje stosujące metodę IRB.</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Oczekiwane uznane straty razem</w:t>
            </w:r>
          </w:p>
          <w:p w14:paraId="13C1AF08" w14:textId="529C8E42" w:rsidR="00674BF5" w:rsidRPr="002A677E" w:rsidRDefault="00674BF5" w:rsidP="00487A02">
            <w:pPr>
              <w:pStyle w:val="InstructionsText"/>
              <w:rPr>
                <w:rStyle w:val="InstructionsTabelleberschrift"/>
                <w:rFonts w:ascii="Times New Roman" w:hAnsi="Times New Roman"/>
                <w:sz w:val="24"/>
              </w:rPr>
            </w:pPr>
            <w:r>
              <w:t xml:space="preserve">Art. 158 ust. 5, 6 i 10 oraz art. 159 rozporządzenia delegowanego (UE) </w:t>
            </w:r>
            <w:r w:rsidRPr="0043455E">
              <w:t>nr</w:t>
            </w:r>
            <w:r w:rsidR="0043455E" w:rsidRPr="0043455E">
              <w:t> </w:t>
            </w:r>
            <w:r w:rsidRPr="0043455E">
              <w:t>5</w:t>
            </w:r>
            <w:r>
              <w:t>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Pozycję tę zgłaszają wyłącznie instytucje stosujące metodę IRB. Zgłasza się wyłącznie oczekiwaną stratę związaną z ekspozycjami, których dotyczy niewykonanie zobowiązania.</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Kwoty ekspozycji ważonych ryzykiem na potrzeby obliczenia pułapu nadwyżki rezerwy kwalifikującej się jako kapitał Tier II</w:t>
            </w:r>
          </w:p>
          <w:p w14:paraId="73903EE6" w14:textId="2915FFD4" w:rsidR="00674BF5" w:rsidRPr="002A677E" w:rsidRDefault="00674BF5" w:rsidP="00487A02">
            <w:pPr>
              <w:pStyle w:val="InstructionsText"/>
            </w:pPr>
            <w:r>
              <w:t xml:space="preserve">Art. 62 </w:t>
            </w:r>
            <w:r w:rsidRPr="0043455E">
              <w:t>lit.</w:t>
            </w:r>
            <w:r w:rsidR="0043455E" w:rsidRPr="0043455E">
              <w:t> </w:t>
            </w:r>
            <w:r w:rsidRPr="0043455E">
              <w:t>d)</w:t>
            </w:r>
            <w:r>
              <w:t xml:space="preserve"> rozporządzenia (UE) </w:t>
            </w:r>
            <w:r w:rsidRPr="0043455E">
              <w:t>nr</w:t>
            </w:r>
            <w:r w:rsidR="0043455E" w:rsidRPr="0043455E">
              <w:t> </w:t>
            </w:r>
            <w:r w:rsidRPr="0043455E">
              <w:t>5</w:t>
            </w:r>
            <w:r>
              <w:t>75/2013</w:t>
            </w:r>
          </w:p>
          <w:p w14:paraId="7FC9FB95" w14:textId="560F71E4" w:rsidR="00674BF5" w:rsidRPr="002A677E" w:rsidRDefault="00674BF5" w:rsidP="00487A02">
            <w:pPr>
              <w:pStyle w:val="InstructionsText"/>
            </w:pPr>
            <w:r>
              <w:t xml:space="preserve">W przypadku instytucji stosujących metodę IRB górny pułap nadwyżki rezerwy (w stosunku do oczekiwanych strat) kwalifikującej się do włączenia do kapitału Tier II wynosi 0,6 % kwot ekspozycji ważonych ryzykiem obliczonych </w:t>
            </w:r>
            <w:r>
              <w:rPr>
                <w:rStyle w:val="FormatvorlageInstructionsTabelleText"/>
                <w:rFonts w:ascii="Times New Roman" w:hAnsi="Times New Roman"/>
                <w:sz w:val="24"/>
              </w:rPr>
              <w:t>zgodnie z</w:t>
            </w:r>
            <w:r>
              <w:t xml:space="preserve"> metodą IRB, zgodnie z art. 62 lit. d) rozporządzenia (UE) </w:t>
            </w:r>
            <w:r w:rsidRPr="0043455E">
              <w:t>nr</w:t>
            </w:r>
            <w:r w:rsidR="0043455E" w:rsidRPr="0043455E">
              <w:t> </w:t>
            </w:r>
            <w:r w:rsidRPr="0043455E">
              <w:t>5</w:t>
            </w:r>
            <w:r>
              <w:t>75/2013.</w:t>
            </w:r>
          </w:p>
          <w:p w14:paraId="02C5710E" w14:textId="5DD39A5D" w:rsidR="00674BF5" w:rsidRPr="002A677E" w:rsidRDefault="00674BF5" w:rsidP="00487A02">
            <w:pPr>
              <w:pStyle w:val="InstructionsText"/>
            </w:pPr>
            <w:r>
              <w:t>Kwota, którą należy zgłosić w tej pozycji, jest kwotą ekspozycji ważonych ryzykiem (tj. nie jest mnożona przez 0,6 %), która stanowi podstawę dla obliczenia pułapu.</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Rezerwy brutto kwalifikujące się do włączenia do kapitału Tier II razem</w:t>
            </w:r>
          </w:p>
          <w:p w14:paraId="1E001C6E" w14:textId="221F64AE" w:rsidR="00674BF5" w:rsidRPr="002A677E" w:rsidRDefault="00674BF5" w:rsidP="00487A02">
            <w:pPr>
              <w:pStyle w:val="InstructionsText"/>
            </w:pPr>
            <w:r>
              <w:t xml:space="preserve">Art. 62 </w:t>
            </w:r>
            <w:r w:rsidRPr="0043455E">
              <w:t>lit.</w:t>
            </w:r>
            <w:r w:rsidR="0043455E" w:rsidRPr="0043455E">
              <w:t> </w:t>
            </w:r>
            <w:r w:rsidRPr="0043455E">
              <w:t>c)</w:t>
            </w:r>
            <w:r>
              <w:t xml:space="preserve"> rozporządzenia (UE) </w:t>
            </w:r>
            <w:r w:rsidRPr="0043455E">
              <w:t>nr</w:t>
            </w:r>
            <w:r w:rsidR="0043455E" w:rsidRPr="0043455E">
              <w:t> </w:t>
            </w:r>
            <w:r w:rsidRPr="0043455E">
              <w:t>5</w:t>
            </w:r>
            <w:r>
              <w:t>75/2013</w:t>
            </w:r>
          </w:p>
          <w:p w14:paraId="054F6F39" w14:textId="77777777" w:rsidR="00674BF5" w:rsidRPr="002A677E" w:rsidRDefault="00674BF5" w:rsidP="00487A02">
            <w:pPr>
              <w:pStyle w:val="InstructionsText"/>
            </w:pPr>
            <w:r>
              <w:t>Pozycja ta obejmuje korekty z tytułu ogólnego ryzyka kredytowego, które kwalifikują się do włączenia do kapitału Tier II, przed uwzględnieniem pułapu.</w:t>
            </w:r>
          </w:p>
          <w:p w14:paraId="536A8737" w14:textId="77777777" w:rsidR="00674BF5" w:rsidRPr="002A677E" w:rsidRDefault="00674BF5" w:rsidP="00487A02">
            <w:pPr>
              <w:pStyle w:val="InstructionsText"/>
            </w:pPr>
            <w:r>
              <w:t>Kwota, którą należy zgłosić, jest kwotą przed skutkami podatkowymi.</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Kwoty ekspozycji ważonych ryzykiem na potrzeby obliczenia pułapu rezerwy kwalifikującej się jako kapitał Tier II</w:t>
            </w:r>
          </w:p>
          <w:p w14:paraId="4E8EDB11" w14:textId="0542CE0E" w:rsidR="00674BF5" w:rsidRPr="002A677E" w:rsidRDefault="00674BF5" w:rsidP="00487A02">
            <w:pPr>
              <w:pStyle w:val="InstructionsText"/>
            </w:pPr>
            <w:r>
              <w:t xml:space="preserve">Art. 62 </w:t>
            </w:r>
            <w:r w:rsidRPr="0043455E">
              <w:t>lit.</w:t>
            </w:r>
            <w:r w:rsidR="0043455E" w:rsidRPr="0043455E">
              <w:t> </w:t>
            </w:r>
            <w:r w:rsidRPr="0043455E">
              <w:t>c)</w:t>
            </w:r>
            <w:r>
              <w:t xml:space="preserve"> rozporządzenia (UE) </w:t>
            </w:r>
            <w:r w:rsidRPr="0043455E">
              <w:t>nr</w:t>
            </w:r>
            <w:r w:rsidR="0043455E" w:rsidRPr="0043455E">
              <w:t> </w:t>
            </w:r>
            <w:r w:rsidRPr="0043455E">
              <w:t>5</w:t>
            </w:r>
            <w:r>
              <w:t>75/2013</w:t>
            </w:r>
          </w:p>
          <w:p w14:paraId="5976FED4" w14:textId="48C9EF2C" w:rsidR="00674BF5" w:rsidRPr="002A677E" w:rsidRDefault="00674BF5" w:rsidP="00487A02">
            <w:pPr>
              <w:pStyle w:val="InstructionsText"/>
            </w:pPr>
            <w:r>
              <w:t xml:space="preserve">Zgodnie z art. 62 lit. c) rozporządzenia (UE) </w:t>
            </w:r>
            <w:r w:rsidRPr="0043455E">
              <w:t>nr</w:t>
            </w:r>
            <w:r w:rsidR="0043455E" w:rsidRPr="0043455E">
              <w:t> </w:t>
            </w:r>
            <w:r w:rsidRPr="0043455E">
              <w:t>5</w:t>
            </w:r>
            <w:r>
              <w:t>75/2013 korekty z tytułu ryzyka kredytowego kwalifikujące się do włączenia do kapitału Tier II mogą wynosić maksymalnie 1,25 % kwot ekspozycji ważonych ryzykiem.</w:t>
            </w:r>
          </w:p>
          <w:p w14:paraId="451AFB2F" w14:textId="6455831B" w:rsidR="00674BF5" w:rsidRPr="002A677E" w:rsidRDefault="00674BF5" w:rsidP="00487A02">
            <w:pPr>
              <w:pStyle w:val="InstructionsText"/>
            </w:pPr>
            <w:r>
              <w:t>Kwota, którą należy zgłosić w tej pozycji, jest kwotą ekspozycji ważonych ryzykiem (tj. nie jest mnożona przez 1,25 %), która stanowi podstawę dla obliczenia pułapu.</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Próg niepodlegających odliczeniu udziałów kapitałowych w podmiotach sektora finansowego, jeżeli instytucja nie dokonała znacznej inwestycji w te podmioty</w:t>
            </w:r>
          </w:p>
          <w:p w14:paraId="2577F674" w14:textId="6410C34B" w:rsidR="00674BF5" w:rsidRPr="002A677E" w:rsidRDefault="00674BF5" w:rsidP="00487A02">
            <w:pPr>
              <w:pStyle w:val="InstructionsText"/>
            </w:pPr>
            <w:r>
              <w:t xml:space="preserve">Art. 46 </w:t>
            </w:r>
            <w:r w:rsidRPr="0043455E">
              <w:t>ust.</w:t>
            </w:r>
            <w:r w:rsidR="0043455E" w:rsidRPr="0043455E">
              <w:t> </w:t>
            </w:r>
            <w:r w:rsidRPr="0043455E">
              <w:t>1</w:t>
            </w:r>
            <w:r>
              <w:t xml:space="preserve"> </w:t>
            </w:r>
            <w:r w:rsidRPr="0043455E">
              <w:t>lit.</w:t>
            </w:r>
            <w:r w:rsidR="0043455E" w:rsidRPr="0043455E">
              <w:t> </w:t>
            </w:r>
            <w:r w:rsidRPr="0043455E">
              <w:t>a)</w:t>
            </w:r>
            <w:r>
              <w:t xml:space="preserve"> rozporządzenia (UE) </w:t>
            </w:r>
            <w:r w:rsidRPr="0043455E">
              <w:t>nr</w:t>
            </w:r>
            <w:r w:rsidR="0043455E" w:rsidRPr="0043455E">
              <w:t> </w:t>
            </w:r>
            <w:r w:rsidRPr="0043455E">
              <w:t>5</w:t>
            </w:r>
            <w:r>
              <w:t>75/2013</w:t>
            </w:r>
          </w:p>
          <w:p w14:paraId="063689F3" w14:textId="3A81A5C8" w:rsidR="00674BF5" w:rsidRPr="002A677E" w:rsidRDefault="00674BF5" w:rsidP="00487A02">
            <w:pPr>
              <w:pStyle w:val="InstructionsText"/>
            </w:pPr>
            <w:r>
              <w:t>Pozycja ta zawiera próg, do którego nie odlicza się udziałów kapitałowych w podmiotach sektora finansowego, jeżeli instytucja nie dokonała znacznej inwestycji w te podmioty. Kwotę otrzymuje się przez zsumowanie wszystkich pozycji, które stanowią podstawę progu, i pomnożenie uzyskanej w ten sposób sumy przez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79D274AE"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Próg</w:t>
            </w:r>
            <w:r>
              <w:t xml:space="preserve"> </w:t>
            </w:r>
            <w:r>
              <w:rPr>
                <w:rStyle w:val="InstructionsTabelleberschrift"/>
                <w:rFonts w:ascii="Times New Roman" w:hAnsi="Times New Roman"/>
                <w:sz w:val="24"/>
              </w:rPr>
              <w:t>na poziomie 1</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r>
              <w:rPr>
                <w:rStyle w:val="InstructionsTabelleberschrift"/>
                <w:rFonts w:ascii="Times New Roman" w:hAnsi="Times New Roman"/>
                <w:sz w:val="24"/>
              </w:rPr>
              <w:t xml:space="preserve"> instrumentów w kapitale podstawowym Tier I </w:t>
            </w:r>
          </w:p>
          <w:p w14:paraId="654AD885" w14:textId="0AF86EE9" w:rsidR="00674BF5" w:rsidRPr="002A677E" w:rsidRDefault="00674BF5" w:rsidP="00487A02">
            <w:pPr>
              <w:pStyle w:val="InstructionsText"/>
            </w:pPr>
            <w:r>
              <w:t xml:space="preserve">Art. 48 </w:t>
            </w:r>
            <w:r w:rsidRPr="0043455E">
              <w:t>ust.</w:t>
            </w:r>
            <w:r w:rsidR="0043455E" w:rsidRPr="0043455E">
              <w:t> </w:t>
            </w:r>
            <w:r w:rsidRPr="0043455E">
              <w:t>1</w:t>
            </w:r>
            <w:r>
              <w:t xml:space="preserve"> </w:t>
            </w:r>
            <w:r w:rsidRPr="0043455E">
              <w:t>lit.</w:t>
            </w:r>
            <w:r w:rsidR="0043455E" w:rsidRPr="0043455E">
              <w:t> </w:t>
            </w:r>
            <w:r w:rsidRPr="0043455E">
              <w:t>a)</w:t>
            </w:r>
            <w:r>
              <w:t xml:space="preserve"> i b) rozporządzenia (UE) </w:t>
            </w:r>
            <w:r w:rsidRPr="0043455E">
              <w:t>nr</w:t>
            </w:r>
            <w:r w:rsidR="0043455E" w:rsidRPr="0043455E">
              <w:t> </w:t>
            </w:r>
            <w:r w:rsidRPr="0043455E">
              <w:t>5</w:t>
            </w:r>
            <w:r>
              <w:t>75/2013</w:t>
            </w:r>
          </w:p>
          <w:p w14:paraId="0361524B" w14:textId="15843BAD" w:rsidR="00674BF5" w:rsidRPr="002A677E" w:rsidRDefault="00674BF5" w:rsidP="00487A02">
            <w:pPr>
              <w:pStyle w:val="InstructionsText"/>
            </w:pPr>
            <w:r>
              <w:t>Pozycja ta zawiera wynoszący 10 % próg dla udziałów kapitałowych w podmiotach sektora finansowego, jeżeli instytucja dokonała znacznej inwestycji, i dla aktywów z tytułu odroczonego podatku dochodowego opartych na przyszłej rentowności i wynikających z różnic przejściowych.</w:t>
            </w:r>
          </w:p>
          <w:p w14:paraId="479EB0E8" w14:textId="0CF20FC7" w:rsidR="00674BF5" w:rsidRPr="002A677E" w:rsidRDefault="00674BF5" w:rsidP="00487A02">
            <w:pPr>
              <w:pStyle w:val="InstructionsText"/>
            </w:pPr>
            <w:r>
              <w:t>Kwotę otrzymuje się przez zsumowanie wszystkich pozycji, które stanowią podstawę progu, i pomnożenie uzyskanej w ten sposób sumy przez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Próg na poziomie 17.65 % instrumentów w kapitale podstawowym Tier I </w:t>
            </w:r>
          </w:p>
          <w:p w14:paraId="1D5CF966" w14:textId="6510455D" w:rsidR="00674BF5" w:rsidRPr="002A677E" w:rsidRDefault="00674BF5" w:rsidP="00487A02">
            <w:pPr>
              <w:pStyle w:val="InstructionsText"/>
            </w:pPr>
            <w:r>
              <w:t xml:space="preserve">Art. 48 </w:t>
            </w:r>
            <w:r w:rsidRPr="0043455E">
              <w:t>ust.</w:t>
            </w:r>
            <w:r w:rsidR="0043455E" w:rsidRPr="0043455E">
              <w:t> </w:t>
            </w:r>
            <w:r w:rsidRPr="0043455E">
              <w:t>1</w:t>
            </w:r>
            <w:r>
              <w:t xml:space="preserve"> rozporządzenia (UE) </w:t>
            </w:r>
            <w:r w:rsidRPr="0043455E">
              <w:t>nr</w:t>
            </w:r>
            <w:r w:rsidR="0043455E" w:rsidRPr="0043455E">
              <w:t> </w:t>
            </w:r>
            <w:r w:rsidRPr="0043455E">
              <w:t>5</w:t>
            </w:r>
            <w:r>
              <w:t>75/2013</w:t>
            </w:r>
          </w:p>
          <w:p w14:paraId="12D87189" w14:textId="3D53F40C" w:rsidR="00674BF5" w:rsidRPr="002A677E" w:rsidRDefault="00674BF5" w:rsidP="00487A02">
            <w:pPr>
              <w:pStyle w:val="InstructionsText"/>
            </w:pPr>
            <w:r>
              <w:t xml:space="preserve">Pozycja ta zawiera wynoszący 17,65 % próg dla udziałów kapitałowych w podmiotach sektora finansowego, jeżeli instytucja dokonała znacznej </w:t>
            </w:r>
            <w:r>
              <w:lastRenderedPageBreak/>
              <w:t>inwestycji, i dla aktywów z tytułu odroczonego podatku dochodowego opartych na przyszłej rentowności i wynikających z różnic przejściowych, który to próg stosuje się po zastosowaniu progu wynoszącego 10 %.</w:t>
            </w:r>
          </w:p>
          <w:p w14:paraId="14884015" w14:textId="35F6C84F" w:rsidR="00674BF5" w:rsidRPr="002A677E" w:rsidRDefault="00674BF5" w:rsidP="00487A02">
            <w:pPr>
              <w:pStyle w:val="InstructionsText"/>
            </w:pPr>
            <w:r>
              <w:t>Próg należy obliczyć się w taki sposób, aby kwota tych dwóch uznanych pozycji nie przekroczyła 15 % ostatecznego kapitału podstawowego Tier I, tj. kapitału podstawowego Tier I obliczonego po wszystkich odliczeniach, nie uwzględniając korekty wynikającej z przepisów przejściowych.</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lastRenderedPageBreak/>
              <w:t>0225</w:t>
            </w:r>
          </w:p>
        </w:tc>
        <w:tc>
          <w:tcPr>
            <w:tcW w:w="7049" w:type="dxa"/>
          </w:tcPr>
          <w:p w14:paraId="4DB6B6BB" w14:textId="77777777" w:rsidR="00674BF5" w:rsidRPr="0043455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Uznany kapitał do celów związanych ze znacznymi pakietami akcji poza sektorem finansowym</w:t>
            </w:r>
          </w:p>
          <w:p w14:paraId="758CEFE8" w14:textId="5897EB81" w:rsidR="00674BF5" w:rsidRPr="002A677E" w:rsidRDefault="00674BF5" w:rsidP="00F42FE9">
            <w:pPr>
              <w:pStyle w:val="InstructionsText"/>
              <w:rPr>
                <w:rStyle w:val="InstructionsTabelleberschrift"/>
                <w:rFonts w:ascii="Times New Roman" w:hAnsi="Times New Roman"/>
                <w:sz w:val="24"/>
              </w:rPr>
            </w:pPr>
            <w:r w:rsidRPr="0043455E">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rt. 4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1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a)</w:t>
            </w:r>
            <w:r>
              <w:t xml:space="preserve"> rozporządzenia (UE) </w:t>
            </w:r>
            <w:r w:rsidRPr="0043455E">
              <w:t>nr</w:t>
            </w:r>
            <w:r w:rsidR="0043455E" w:rsidRPr="0043455E">
              <w:t> </w:t>
            </w:r>
            <w:r w:rsidRPr="0043455E">
              <w:t>5</w:t>
            </w:r>
            <w:r>
              <w:t>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Udziały kapitałowe w kapitale podstawowym Tier I podmiotów sektora finansowego, jeżeli instytucja nie dokonała znacznej inwestycji w te podmioty, po odliczeniu pozycji krótkich</w:t>
            </w:r>
          </w:p>
          <w:p w14:paraId="2254EDFA" w14:textId="0B04ED1C" w:rsidR="00674BF5" w:rsidRPr="002A677E" w:rsidRDefault="00674BF5" w:rsidP="00487A02">
            <w:pPr>
              <w:pStyle w:val="InstructionsText"/>
            </w:pPr>
            <w:r>
              <w:t xml:space="preserve">Art. 44, 45, 46 i 49 rozporządzenia (UE) </w:t>
            </w:r>
            <w:r w:rsidRPr="0043455E">
              <w:t>nr</w:t>
            </w:r>
            <w:r w:rsidR="0043455E" w:rsidRPr="0043455E">
              <w:t> </w:t>
            </w:r>
            <w:r w:rsidRPr="0043455E">
              <w:t>5</w:t>
            </w:r>
            <w:r>
              <w:t>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Bezpośrednie udziały kapitałowe w kapitale podstawowym Tier I podmiotów sektora finansowego, jeżeli instytucja nie dokonała znacznej inwestycji w te podmioty</w:t>
            </w:r>
          </w:p>
          <w:p w14:paraId="659E1D80" w14:textId="0F2F3734" w:rsidR="00674BF5" w:rsidRPr="002A677E" w:rsidRDefault="00674BF5" w:rsidP="00487A02">
            <w:pPr>
              <w:pStyle w:val="InstructionsText"/>
            </w:pPr>
            <w:r>
              <w:t xml:space="preserve">Art. 44, 45, 46 i 49 rozporządzenia (UE) </w:t>
            </w:r>
            <w:r w:rsidRPr="0043455E">
              <w:t>nr</w:t>
            </w:r>
            <w:r w:rsidR="0043455E" w:rsidRPr="0043455E">
              <w:t> </w:t>
            </w:r>
            <w:r w:rsidRPr="0043455E">
              <w:t>5</w:t>
            </w:r>
            <w:r>
              <w:t>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Bezpośrednie udziały kapitałowe brutto w kapitale podstawowym Tier I podmiotów sektora finansowego, jeżeli instytucja nie dokonała znacznej inwestycji w te podmioty</w:t>
            </w:r>
          </w:p>
          <w:p w14:paraId="13ECC0FA" w14:textId="4EE7C60F" w:rsidR="00674BF5" w:rsidRPr="002A677E" w:rsidRDefault="00674BF5" w:rsidP="00487A02">
            <w:pPr>
              <w:pStyle w:val="InstructionsText"/>
            </w:pPr>
            <w:r>
              <w:t xml:space="preserve">Art. 44, 46 i 49 rozporządzenia (UE) </w:t>
            </w:r>
            <w:r w:rsidRPr="0043455E">
              <w:t>nr</w:t>
            </w:r>
            <w:r w:rsidR="0043455E" w:rsidRPr="0043455E">
              <w:t> </w:t>
            </w:r>
            <w:r w:rsidRPr="0043455E">
              <w:t>5</w:t>
            </w:r>
            <w:r>
              <w:t>75/2013</w:t>
            </w:r>
          </w:p>
          <w:p w14:paraId="7CB3E9B2" w14:textId="77777777" w:rsidR="00674BF5" w:rsidRPr="002A677E" w:rsidRDefault="00674BF5" w:rsidP="00487A02">
            <w:pPr>
              <w:pStyle w:val="InstructionsText"/>
            </w:pPr>
            <w:r>
              <w:t>Bezpośrednie udziały kapitałowe w kapitale podstawowym Tier I podmiotów sektora finansowego, jeżeli instytucja nie dokonała znacznej inwestycji w te podmioty, z wyłączeniem:</w:t>
            </w:r>
          </w:p>
          <w:p w14:paraId="1D194F52" w14:textId="77777777" w:rsidR="00674BF5" w:rsidRPr="002A677E" w:rsidRDefault="00674BF5" w:rsidP="00487A02">
            <w:pPr>
              <w:pStyle w:val="InstructionsText"/>
            </w:pPr>
            <w:r>
              <w:t>a)</w:t>
            </w:r>
            <w:r>
              <w:tab/>
              <w:t xml:space="preserve">pozycji z tytułu gwarantowania emisji utrzymywanych nie dłużej niż przez 5 dni roboczych; </w:t>
            </w:r>
          </w:p>
          <w:p w14:paraId="6F04C7CA" w14:textId="78EB2E1F" w:rsidR="00674BF5" w:rsidRPr="002A677E" w:rsidRDefault="00674BF5" w:rsidP="00487A02">
            <w:pPr>
              <w:pStyle w:val="InstructionsText"/>
            </w:pPr>
            <w:r>
              <w:t>b)</w:t>
            </w:r>
            <w:r>
              <w:tab/>
              <w:t xml:space="preserve">kwot związanych z inwestycjami, w odniesieniu do których zastosowano którekolwiek z rozwiązań alternatywnych określonych w </w:t>
            </w:r>
            <w:r w:rsidRPr="0043455E">
              <w:t>art.</w:t>
            </w:r>
            <w:r w:rsidR="0043455E" w:rsidRPr="0043455E">
              <w:t> </w:t>
            </w:r>
            <w:r w:rsidRPr="0043455E">
              <w:t>4</w:t>
            </w:r>
            <w:r>
              <w:t xml:space="preserve">9; oraz </w:t>
            </w:r>
          </w:p>
          <w:p w14:paraId="257189C5" w14:textId="6FA058A2" w:rsidR="00674BF5" w:rsidRPr="002A677E" w:rsidRDefault="00674BF5" w:rsidP="00F42FE9">
            <w:pPr>
              <w:pStyle w:val="InstructionsText"/>
            </w:pPr>
            <w:r>
              <w:t>c)</w:t>
            </w:r>
            <w:r>
              <w:tab/>
              <w:t xml:space="preserve">udziałów kapitałowych, które traktuje się jako krzyżowe powiązania kapitałowe zgodnie z art. 36 ust. 1 lit. g) rozporządzenia (UE) </w:t>
            </w:r>
            <w:r w:rsidRPr="0043455E">
              <w:t>nr</w:t>
            </w:r>
            <w:r w:rsidR="0043455E" w:rsidRPr="0043455E">
              <w:t> </w:t>
            </w:r>
            <w:r w:rsidRPr="0043455E">
              <w:t>5</w:t>
            </w:r>
            <w:r>
              <w:t>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Dozwolone kompensowanie pozycji krótkich w odniesieniu do bezpośrednich udziałów kapitałowych brutto ujętych powyżej</w:t>
            </w:r>
          </w:p>
          <w:p w14:paraId="75CB2494" w14:textId="2DC7506C" w:rsidR="00674BF5" w:rsidRPr="002A677E" w:rsidRDefault="00674BF5" w:rsidP="00487A02">
            <w:pPr>
              <w:pStyle w:val="InstructionsText"/>
            </w:pPr>
            <w:r>
              <w:t xml:space="preserve">Art. 45 rozporządzenia (UE) </w:t>
            </w:r>
            <w:r w:rsidRPr="0043455E">
              <w:t>nr</w:t>
            </w:r>
            <w:r w:rsidR="0043455E" w:rsidRPr="0043455E">
              <w:t> </w:t>
            </w:r>
            <w:r w:rsidRPr="0043455E">
              <w:t>5</w:t>
            </w:r>
            <w:r>
              <w:t>75/2013</w:t>
            </w:r>
          </w:p>
          <w:p w14:paraId="0D472F64" w14:textId="07976C95" w:rsidR="00674BF5" w:rsidRPr="002A677E" w:rsidRDefault="00674BF5" w:rsidP="00487A02">
            <w:pPr>
              <w:pStyle w:val="InstructionsText"/>
            </w:pPr>
            <w:r>
              <w:t xml:space="preserve">W art. 45 lit. a) rozporządzenia (UE) </w:t>
            </w:r>
            <w:r w:rsidRPr="0043455E">
              <w:t>nr</w:t>
            </w:r>
            <w:r w:rsidR="0043455E" w:rsidRPr="0043455E">
              <w:t> </w:t>
            </w:r>
            <w:r w:rsidRPr="0043455E">
              <w:t>5</w:t>
            </w:r>
            <w:r>
              <w:t xml:space="preserve">75/2013 dopuszcza się kompensowanie pozycji krótkich dotyczących tej samej ekspozycji bazowej, pod warunkiem że termin zapadalności pozycji krótkiej jest taki </w:t>
            </w:r>
            <w:r>
              <w:lastRenderedPageBreak/>
              <w:t>sam jak termin zapadalności pozycji długiej lub jest późniejszy albo rezydualny termin zapadalności pozycji krótkiej wynosi co najmniej rok.</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lastRenderedPageBreak/>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Pośrednie udziały kapitałowe w kapitale podstawowym Tier I podmiotów sektora finansowego, jeżeli instytucja nie dokonała znacznej inwestycji w te podmioty</w:t>
            </w:r>
          </w:p>
          <w:p w14:paraId="358D5E9A" w14:textId="019A3527"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4</w:t>
            </w:r>
            <w:r>
              <w:t xml:space="preserve">4 i 45 rozporządzenia (UE) </w:t>
            </w:r>
            <w:r w:rsidRPr="0043455E">
              <w:t>nr</w:t>
            </w:r>
            <w:r w:rsidR="0043455E" w:rsidRPr="0043455E">
              <w:t> </w:t>
            </w:r>
            <w:r w:rsidRPr="0043455E">
              <w:t>5</w:t>
            </w:r>
            <w:r>
              <w:t>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Pośrednie udziały kapitałowe brutto w kapitale podstawowym Tier I podmiotów sektora finansowego, jeżeli instytucja nie dokonała znacznej inwestycji w te podmioty</w:t>
            </w:r>
          </w:p>
          <w:p w14:paraId="2732B6AD" w14:textId="57BBE501"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4</w:t>
            </w:r>
            <w:r>
              <w:t xml:space="preserve">4 i 45 rozporządzenia (UE) </w:t>
            </w:r>
            <w:r w:rsidRPr="0043455E">
              <w:t>nr</w:t>
            </w:r>
            <w:r w:rsidR="0043455E" w:rsidRPr="0043455E">
              <w:t> </w:t>
            </w:r>
            <w:r w:rsidRPr="0043455E">
              <w:t>5</w:t>
            </w:r>
            <w:r>
              <w:t>75/2013</w:t>
            </w:r>
          </w:p>
          <w:p w14:paraId="5F96C9B6" w14:textId="77777777" w:rsidR="00674BF5" w:rsidRPr="002A677E" w:rsidRDefault="00674BF5" w:rsidP="00487A02">
            <w:pPr>
              <w:pStyle w:val="InstructionsText"/>
            </w:pPr>
            <w:r>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14:paraId="36C5342B" w14:textId="533A1FFE" w:rsidR="00674BF5" w:rsidRPr="002A677E" w:rsidRDefault="00674BF5" w:rsidP="00F42FE9">
            <w:pPr>
              <w:pStyle w:val="InstructionsText"/>
            </w:pPr>
            <w:r>
              <w:t xml:space="preserve">Udziały kapitałowe, które traktuje się jako krzyżowe powiązania kapitałowe zgodnie z art. 36 ust. 1 lit. g) rozporządzenia (UE) </w:t>
            </w:r>
            <w:r w:rsidRPr="0043455E">
              <w:t>nr</w:t>
            </w:r>
            <w:r w:rsidR="0043455E" w:rsidRPr="0043455E">
              <w:t> </w:t>
            </w:r>
            <w:r w:rsidRPr="0043455E">
              <w:t>5</w:t>
            </w:r>
            <w:r>
              <w:t>75/2013, nie są uwzględniane.</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Dozwolone kompensowanie pozycji krótkich w odniesieniu do pośrednich udziałów kapitałowych brutto ujętych powyżej</w:t>
            </w:r>
          </w:p>
          <w:p w14:paraId="7BD0D59F" w14:textId="78C5875B"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4</w:t>
            </w:r>
            <w:r>
              <w:t xml:space="preserve">5 rozporządzenia (UE) </w:t>
            </w:r>
            <w:r w:rsidRPr="0043455E">
              <w:t>nr</w:t>
            </w:r>
            <w:r w:rsidR="0043455E" w:rsidRPr="0043455E">
              <w:t> </w:t>
            </w:r>
            <w:r w:rsidRPr="0043455E">
              <w:t>5</w:t>
            </w:r>
            <w:r>
              <w:t>75/2013</w:t>
            </w:r>
          </w:p>
          <w:p w14:paraId="15A025FB" w14:textId="496D2A04" w:rsidR="00674BF5" w:rsidRPr="002A677E" w:rsidRDefault="00674BF5" w:rsidP="00487A02">
            <w:pPr>
              <w:pStyle w:val="InstructionsText"/>
            </w:pPr>
            <w:r>
              <w:t xml:space="preserve">W art. 45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Syntetyczne udziały kapitałowe w kapitale podstawowym Tier I podmiotów sektora finansowego, jeżeli instytucja nie dokonała znacznej inwestycji w te podmioty</w:t>
            </w:r>
          </w:p>
          <w:p w14:paraId="5572FBC1" w14:textId="0C8C413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26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4 i 45</w:t>
            </w:r>
            <w:r>
              <w:t xml:space="preserve"> rozporządzenia (UE) </w:t>
            </w:r>
            <w:r w:rsidRPr="0043455E">
              <w:t>nr</w:t>
            </w:r>
            <w:r w:rsidR="0043455E" w:rsidRPr="0043455E">
              <w:t> </w:t>
            </w:r>
            <w:r w:rsidRPr="0043455E">
              <w:t>5</w:t>
            </w:r>
            <w:r>
              <w:t>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Syntetyczne udziały kapitałowe brutto w kapitale podstawowym Tier I podmiotów sektora finansowego, jeżeli instytucja nie dokonała znacznej inwestycji w te podmioty</w:t>
            </w:r>
          </w:p>
          <w:p w14:paraId="08489D8F" w14:textId="5E0ACF2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26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4 i 45</w:t>
            </w:r>
            <w:r>
              <w:t xml:space="preserve"> rozporządzenia (UE) </w:t>
            </w:r>
            <w:r w:rsidRPr="0043455E">
              <w:t>nr</w:t>
            </w:r>
            <w:r w:rsidR="0043455E" w:rsidRPr="0043455E">
              <w:t> </w:t>
            </w:r>
            <w:r w:rsidRPr="0043455E">
              <w:t>5</w:t>
            </w:r>
            <w:r>
              <w:t>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Dozwolone kompensowanie pozycji krótkich w odniesieniu do syntetycznych udziałów kapitałowych brutto ujętych powyżej</w:t>
            </w:r>
          </w:p>
          <w:p w14:paraId="76BF8245" w14:textId="63D024A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26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5</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w:t>
            </w:r>
          </w:p>
          <w:p w14:paraId="2BF58BE0" w14:textId="54A277DE" w:rsidR="002D31E5" w:rsidRPr="002A677E" w:rsidRDefault="002D31E5" w:rsidP="00712F56">
            <w:pPr>
              <w:pStyle w:val="InstructionsText"/>
              <w:rPr>
                <w:rStyle w:val="InstructionsTabelleberschrift"/>
                <w:rFonts w:ascii="Times New Roman" w:hAnsi="Times New Roman"/>
                <w:b w:val="0"/>
                <w:sz w:val="24"/>
                <w:u w:val="none"/>
              </w:rPr>
            </w:pPr>
            <w:r>
              <w:t xml:space="preserve">W art. 45 lit. a) rozporządzenia (UE) </w:t>
            </w:r>
            <w:r w:rsidRPr="0043455E">
              <w:t>nr</w:t>
            </w:r>
            <w:r w:rsidR="0043455E" w:rsidRPr="0043455E">
              <w:t> </w:t>
            </w:r>
            <w:r w:rsidRPr="0043455E">
              <w:t>5</w:t>
            </w:r>
            <w:r>
              <w:t xml:space="preserve">75/2013 dopuszcza się kompensowanie pozycji krótkich dotyczących tej samej ekspozycji bazowej, pod warunkiem że termin zapadalności pozycji krótkiej jest taki </w:t>
            </w:r>
            <w:r>
              <w:lastRenderedPageBreak/>
              <w:t>sam jak termin zapadalności pozycji długiej lub jest późniejszy albo rezydualny termin zapadalności pozycji krótkiej wynosi co najmniej rok.</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lastRenderedPageBreak/>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Udziały kapitałowe w kapitale dodatkowym Tier I podmiotów sektora finansowego, jeżeli instytucja nie dokonała znacznej inwestycji w te podmioty, po odliczeniu pozycji krótkich</w:t>
            </w:r>
          </w:p>
          <w:p w14:paraId="3A7268AA" w14:textId="012968D0" w:rsidR="00674BF5" w:rsidRPr="002A677E" w:rsidRDefault="00674BF5" w:rsidP="00487A02">
            <w:pPr>
              <w:pStyle w:val="InstructionsText"/>
            </w:pPr>
            <w:r>
              <w:t xml:space="preserve">Art. 58, 59 i 60 rozporządzenia (UE) </w:t>
            </w:r>
            <w:r w:rsidRPr="0043455E">
              <w:t>nr</w:t>
            </w:r>
            <w:r w:rsidR="0043455E" w:rsidRPr="0043455E">
              <w:t> </w:t>
            </w:r>
            <w:r w:rsidRPr="0043455E">
              <w:t>5</w:t>
            </w:r>
            <w:r>
              <w:t>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Bezpośrednie udziały kapitałowe w kapitale dodatkowym Tier I podmiotów sektora finansowego, jeżeli instytucja nie dokonała znacznej inwestycji w te podmioty</w:t>
            </w:r>
          </w:p>
          <w:p w14:paraId="12F9644D" w14:textId="0DF6183E" w:rsidR="00674BF5" w:rsidRPr="002A677E" w:rsidRDefault="00674BF5" w:rsidP="00487A02">
            <w:pPr>
              <w:pStyle w:val="InstructionsText"/>
            </w:pPr>
            <w:r>
              <w:t xml:space="preserve">Art. 58 i 59 oraz art. 60 ust. 2 rozporządzenia (UE) </w:t>
            </w:r>
            <w:r w:rsidRPr="0043455E">
              <w:t>nr</w:t>
            </w:r>
            <w:r w:rsidR="0043455E" w:rsidRPr="0043455E">
              <w:t> </w:t>
            </w:r>
            <w:r w:rsidRPr="0043455E">
              <w:t>5</w:t>
            </w:r>
            <w:r>
              <w:t>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Bezpośrednie udziały kapitałowe brutto w kapitale dodatkowym Tier I podmiotów sektora finansowego, jeżeli instytucja nie dokonała znacznej inwestycji w te podmioty</w:t>
            </w:r>
          </w:p>
          <w:p w14:paraId="7DF04F57" w14:textId="4681DF25" w:rsidR="00674BF5" w:rsidRPr="002A677E" w:rsidRDefault="00674BF5" w:rsidP="00487A02">
            <w:pPr>
              <w:pStyle w:val="InstructionsText"/>
            </w:pPr>
            <w:r>
              <w:t xml:space="preserve">Art. 58 i art. 60 ust. 2 rozporządzenia (UE) </w:t>
            </w:r>
            <w:r w:rsidRPr="0043455E">
              <w:t>nr</w:t>
            </w:r>
            <w:r w:rsidR="0043455E" w:rsidRPr="0043455E">
              <w:t> </w:t>
            </w:r>
            <w:r w:rsidRPr="0043455E">
              <w:t>5</w:t>
            </w:r>
            <w:r>
              <w:t>75/2013</w:t>
            </w:r>
          </w:p>
          <w:p w14:paraId="0720C102" w14:textId="77777777" w:rsidR="00674BF5" w:rsidRPr="002A677E" w:rsidRDefault="00674BF5" w:rsidP="00487A02">
            <w:pPr>
              <w:pStyle w:val="InstructionsText"/>
            </w:pPr>
            <w:r>
              <w:t>Bezpośrednie udziały kapitałowe w kapitale dodatkowym Tier I podmiotów sektora finansowego, jeżeli instytucja nie dokonała znacznej inwestycji w te podmioty, z wyłączeniem:</w:t>
            </w:r>
          </w:p>
          <w:p w14:paraId="0E991BB5" w14:textId="77777777" w:rsidR="00674BF5" w:rsidRPr="002A677E" w:rsidRDefault="00674BF5" w:rsidP="00487A02">
            <w:pPr>
              <w:pStyle w:val="InstructionsText"/>
            </w:pPr>
            <w:r>
              <w:t>a)</w:t>
            </w:r>
            <w:r>
              <w:tab/>
              <w:t xml:space="preserve">pozycji z tytułu gwarantowania emisji utrzymywanych nie dłużej niż przez 5 dni roboczych; oraz </w:t>
            </w:r>
          </w:p>
          <w:p w14:paraId="22C8A827" w14:textId="4D1594A2" w:rsidR="00674BF5" w:rsidRPr="002A677E" w:rsidRDefault="00674BF5" w:rsidP="00F42FE9">
            <w:pPr>
              <w:pStyle w:val="InstructionsText"/>
            </w:pPr>
            <w:r>
              <w:t>b)</w:t>
            </w:r>
            <w:r>
              <w:tab/>
              <w:t xml:space="preserve">udziałów kapitałowych, które traktuje się jako krzyżowe powiązania kapitałowe zgodnie z art. 56 lit. b) rozporządzenia (UE) </w:t>
            </w:r>
            <w:r w:rsidRPr="0043455E">
              <w:t>nr</w:t>
            </w:r>
            <w:r w:rsidR="0043455E" w:rsidRPr="0043455E">
              <w:t> </w:t>
            </w:r>
            <w:r w:rsidRPr="0043455E">
              <w:t>5</w:t>
            </w:r>
            <w:r>
              <w:t>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Dozwolone kompensowanie pozycji krótkich w odniesieniu do bezpośrednich udziałów kapitałowych brutto ujętych powyżej</w:t>
            </w:r>
          </w:p>
          <w:p w14:paraId="37E8F418" w14:textId="5B6822A9" w:rsidR="00674BF5" w:rsidRPr="002A677E" w:rsidRDefault="00674BF5" w:rsidP="00487A02">
            <w:pPr>
              <w:pStyle w:val="InstructionsText"/>
            </w:pPr>
            <w:r>
              <w:t xml:space="preserve">Art. 59 rozporządzenia (UE) </w:t>
            </w:r>
            <w:r w:rsidRPr="0043455E">
              <w:t>nr</w:t>
            </w:r>
            <w:r w:rsidR="0043455E" w:rsidRPr="0043455E">
              <w:t> </w:t>
            </w:r>
            <w:r w:rsidRPr="0043455E">
              <w:t>5</w:t>
            </w:r>
            <w:r>
              <w:t>75/2013</w:t>
            </w:r>
          </w:p>
          <w:p w14:paraId="7EE8FF1A" w14:textId="27F489A8" w:rsidR="00674BF5" w:rsidRPr="002A677E" w:rsidRDefault="00674BF5" w:rsidP="00487A02">
            <w:pPr>
              <w:pStyle w:val="InstructionsText"/>
            </w:pPr>
            <w:r>
              <w:t xml:space="preserve">W art. 59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Pośrednie udziały kapitałowe w kapitale dodatkowym Tier I podmiotów sektora finansowego, jeżeli instytucja nie dokonała znacznej inwestycji w te podmioty</w:t>
            </w:r>
          </w:p>
          <w:p w14:paraId="59B259D6" w14:textId="0FDEC27C"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5</w:t>
            </w:r>
            <w:r>
              <w:t xml:space="preserve">8 i 59 rozporządzenia (UE) </w:t>
            </w:r>
            <w:r w:rsidRPr="0043455E">
              <w:t>nr</w:t>
            </w:r>
            <w:r w:rsidR="0043455E" w:rsidRPr="0043455E">
              <w:t> </w:t>
            </w:r>
            <w:r w:rsidRPr="0043455E">
              <w:t>5</w:t>
            </w:r>
            <w:r>
              <w:t>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Pośrednie udziały kapitałowe brutto w kapitale dodatkowym Tier I podmiotów sektora finansowego, jeżeli instytucja nie dokonała znacznej inwestycji w te podmioty</w:t>
            </w:r>
          </w:p>
          <w:p w14:paraId="43E165CB" w14:textId="4EE6B74D"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5</w:t>
            </w:r>
            <w:r>
              <w:t xml:space="preserve">8 i 59 rozporządzenia (UE) </w:t>
            </w:r>
            <w:r w:rsidRPr="0043455E">
              <w:t>nr</w:t>
            </w:r>
            <w:r w:rsidR="0043455E" w:rsidRPr="0043455E">
              <w:t> </w:t>
            </w:r>
            <w:r w:rsidRPr="0043455E">
              <w:t>5</w:t>
            </w:r>
            <w:r>
              <w:t>75/2013</w:t>
            </w:r>
          </w:p>
          <w:p w14:paraId="390AEC9F" w14:textId="77777777" w:rsidR="00674BF5" w:rsidRPr="002A677E" w:rsidRDefault="00674BF5" w:rsidP="00487A02">
            <w:pPr>
              <w:pStyle w:val="InstructionsText"/>
            </w:pPr>
            <w:r>
              <w:t>Kwotą, którą należy zgłosić, są pośrednie udziały kapitałowe w portfelu handlowym instrumentów kapitałowych podmiotów sektora finanso</w:t>
            </w:r>
            <w:r>
              <w:lastRenderedPageBreak/>
              <w:t>wego, które to udziały przyjmują postać indeksowych papierów wartościowych. Uzyskuje się ją poprzez obliczenie ekspozycji bazowej z tytułu instrumentów kapitałowych podmiotów sektora finansowego objętych tymi indeksami.</w:t>
            </w:r>
          </w:p>
          <w:p w14:paraId="73245B5D" w14:textId="63D51967" w:rsidR="00674BF5" w:rsidRPr="002A677E" w:rsidRDefault="00674BF5" w:rsidP="00F42FE9">
            <w:pPr>
              <w:pStyle w:val="InstructionsText"/>
            </w:pPr>
            <w:r>
              <w:t xml:space="preserve">Udziały kapitałowe, które traktuje się jako krzyżowe powiązania kapitałowe zgodnie z art. 56 lit. b) rozporządzenia (UE) </w:t>
            </w:r>
            <w:r w:rsidRPr="0043455E">
              <w:t>nr</w:t>
            </w:r>
            <w:r w:rsidR="0043455E" w:rsidRPr="0043455E">
              <w:t> </w:t>
            </w:r>
            <w:r w:rsidRPr="0043455E">
              <w:t>5</w:t>
            </w:r>
            <w:r>
              <w:t>75/2013, nie są uwzględniane.</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lastRenderedPageBreak/>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Dozwolone kompensowanie pozycji krótkich w odniesieniu do pośrednich udziałów kapitałowych brutto ujętych powyżej</w:t>
            </w:r>
          </w:p>
          <w:p w14:paraId="4C6BA351" w14:textId="3B9F2F48"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5</w:t>
            </w:r>
            <w:r>
              <w:t xml:space="preserve">9 rozporządzenia (UE) </w:t>
            </w:r>
            <w:r w:rsidRPr="0043455E">
              <w:t>nr</w:t>
            </w:r>
            <w:r w:rsidR="0043455E" w:rsidRPr="0043455E">
              <w:t> </w:t>
            </w:r>
            <w:r w:rsidRPr="0043455E">
              <w:t>5</w:t>
            </w:r>
            <w:r>
              <w:t>75/2013</w:t>
            </w:r>
          </w:p>
          <w:p w14:paraId="5865285A" w14:textId="594301FC" w:rsidR="00674BF5" w:rsidRPr="002A677E" w:rsidRDefault="00674BF5" w:rsidP="00487A02">
            <w:pPr>
              <w:pStyle w:val="InstructionsText"/>
            </w:pPr>
            <w:r>
              <w:t xml:space="preserve">W art. 59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Syntetyczne udziały kapitałowe w kapitale dodatkowym Tier I podmiotów sektora finansowego, jeżeli instytucja nie dokonała znacznej inwestycji w te podmioty</w:t>
            </w:r>
          </w:p>
          <w:p w14:paraId="6F95928A" w14:textId="5134AF43"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5</w:t>
            </w:r>
            <w:r>
              <w:t xml:space="preserve">8 i 59 rozporządzenia (UE) </w:t>
            </w:r>
            <w:r w:rsidRPr="0043455E">
              <w:t>nr</w:t>
            </w:r>
            <w:r w:rsidR="0043455E" w:rsidRPr="0043455E">
              <w:t> </w:t>
            </w:r>
            <w:r w:rsidRPr="0043455E">
              <w:t>5</w:t>
            </w:r>
            <w:r>
              <w:t>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Syntetyczne udziały kapitałowe brutto w kapitale dodatkowym Tier I podmiotów sektora finansowego, jeżeli instytucja nie dokonała znacznej inwestycji w te podmioty</w:t>
            </w:r>
          </w:p>
          <w:p w14:paraId="1E01B361" w14:textId="35C173B9"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5</w:t>
            </w:r>
            <w:r>
              <w:t xml:space="preserve">8 i 59 rozporządzenia (UE) </w:t>
            </w:r>
            <w:r w:rsidRPr="0043455E">
              <w:t>nr</w:t>
            </w:r>
            <w:r w:rsidR="0043455E" w:rsidRPr="0043455E">
              <w:t> </w:t>
            </w:r>
            <w:r w:rsidRPr="0043455E">
              <w:t>5</w:t>
            </w:r>
            <w:r>
              <w:t>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Dozwolone kompensowanie pozycji krótkich w odniesieniu do syntetycznych udziałów kapitałowych brutto ujętych powyżej</w:t>
            </w:r>
          </w:p>
          <w:p w14:paraId="7150C7D0" w14:textId="262BF0B1"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5</w:t>
            </w:r>
            <w:r>
              <w:t xml:space="preserve">9 rozporządzenia (UE) </w:t>
            </w:r>
            <w:r w:rsidRPr="0043455E">
              <w:t>nr</w:t>
            </w:r>
            <w:r w:rsidR="0043455E" w:rsidRPr="0043455E">
              <w:t> </w:t>
            </w:r>
            <w:r w:rsidRPr="0043455E">
              <w:t>5</w:t>
            </w:r>
            <w:r>
              <w:t>75/2013.</w:t>
            </w:r>
          </w:p>
          <w:p w14:paraId="430E6934" w14:textId="48978F07" w:rsidR="002D31E5" w:rsidRPr="002A677E" w:rsidRDefault="002D31E5" w:rsidP="000D04B6">
            <w:pPr>
              <w:pStyle w:val="InstructionsText"/>
              <w:rPr>
                <w:rStyle w:val="InstructionsTabelleberschrift"/>
                <w:rFonts w:ascii="Times New Roman" w:hAnsi="Times New Roman"/>
                <w:b w:val="0"/>
                <w:bCs w:val="0"/>
                <w:sz w:val="24"/>
                <w:u w:val="none"/>
              </w:rPr>
            </w:pPr>
            <w:r>
              <w:t xml:space="preserve">W art. 59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Udziały kapitałowe w kapitale Tier II podmiotów sektora finansowego, jeżeli instytucja nie dokonała znacznej inwestycji w te podmioty, po odliczeniu pozycji krótkich</w:t>
            </w:r>
          </w:p>
          <w:p w14:paraId="224C7B55" w14:textId="131ADF12" w:rsidR="00674BF5" w:rsidRPr="002A677E" w:rsidRDefault="00674BF5" w:rsidP="00487A02">
            <w:pPr>
              <w:pStyle w:val="InstructionsText"/>
            </w:pPr>
            <w:r>
              <w:t xml:space="preserve">Art. 68, 69 i 70 rozporządzenia (UE) </w:t>
            </w:r>
            <w:r w:rsidRPr="0043455E">
              <w:t>nr</w:t>
            </w:r>
            <w:r w:rsidR="0043455E" w:rsidRPr="0043455E">
              <w:t> </w:t>
            </w:r>
            <w:r w:rsidRPr="0043455E">
              <w:t>5</w:t>
            </w:r>
            <w:r>
              <w:t>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Bezpośrednie udziały kapitałowe w kapitale Tier II podmiotów sektora finansowego, jeżeli instytucja nie dokonała znacznej inwestycji w te podmioty</w:t>
            </w:r>
          </w:p>
          <w:p w14:paraId="30F375DF" w14:textId="68720792" w:rsidR="00674BF5" w:rsidRPr="002A677E" w:rsidRDefault="00674BF5" w:rsidP="00487A02">
            <w:pPr>
              <w:pStyle w:val="InstructionsText"/>
            </w:pPr>
            <w:r>
              <w:t xml:space="preserve">Art. 68 i 69 oraz art. 70 </w:t>
            </w:r>
            <w:r w:rsidRPr="0043455E">
              <w:t>ust.</w:t>
            </w:r>
            <w:r w:rsidR="0043455E" w:rsidRPr="0043455E">
              <w:t> </w:t>
            </w:r>
            <w:r w:rsidRPr="0043455E">
              <w:t>2</w:t>
            </w:r>
            <w:r>
              <w:t xml:space="preserve"> rozporządzenia (UE) </w:t>
            </w:r>
            <w:r w:rsidRPr="0043455E">
              <w:t>nr</w:t>
            </w:r>
            <w:r w:rsidR="0043455E" w:rsidRPr="0043455E">
              <w:t> </w:t>
            </w:r>
            <w:r w:rsidRPr="0043455E">
              <w:t>5</w:t>
            </w:r>
            <w:r>
              <w:t>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lastRenderedPageBreak/>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Bezpośrednie udziały kapitałowe brutto w kapitale Tier II podmiotów sektora finansowego, jeżeli instytucja nie dokonała znacznej inwestycji w te podmioty</w:t>
            </w:r>
          </w:p>
          <w:p w14:paraId="7E8958A2" w14:textId="0D0E4161" w:rsidR="00674BF5" w:rsidRPr="002A677E" w:rsidRDefault="00674BF5" w:rsidP="00487A02">
            <w:pPr>
              <w:pStyle w:val="InstructionsText"/>
            </w:pPr>
            <w:r>
              <w:t xml:space="preserve">Art. 68 i art. 70 ust. 2 rozporządzenia (UE) </w:t>
            </w:r>
            <w:r w:rsidRPr="0043455E">
              <w:t>nr</w:t>
            </w:r>
            <w:r w:rsidR="0043455E" w:rsidRPr="0043455E">
              <w:t> </w:t>
            </w:r>
            <w:r w:rsidRPr="0043455E">
              <w:t>5</w:t>
            </w:r>
            <w:r>
              <w:t>75/2013</w:t>
            </w:r>
          </w:p>
          <w:p w14:paraId="761A3E27" w14:textId="77777777" w:rsidR="00674BF5" w:rsidRPr="002A677E" w:rsidRDefault="00674BF5" w:rsidP="00487A02">
            <w:pPr>
              <w:pStyle w:val="InstructionsText"/>
            </w:pPr>
            <w:r>
              <w:t>Bezpośrednie udziały kapitałowe w kapitale Tier II podmiotów sektora finansowego, jeżeli instytucja nie dokonała znacznej inwestycji w te podmioty, z wyłączeniem:</w:t>
            </w:r>
          </w:p>
          <w:p w14:paraId="67CF4F62" w14:textId="77777777" w:rsidR="00674BF5" w:rsidRPr="002A677E" w:rsidRDefault="00674BF5" w:rsidP="00487A02">
            <w:pPr>
              <w:pStyle w:val="InstructionsText"/>
            </w:pPr>
            <w:r>
              <w:t>a)</w:t>
            </w:r>
            <w:r>
              <w:tab/>
              <w:t xml:space="preserve">pozycji z tytułu gwarantowania emisji utrzymywanych nie dłużej niż przez 5 dni roboczych; oraz </w:t>
            </w:r>
          </w:p>
          <w:p w14:paraId="17254E20" w14:textId="47AF6A49" w:rsidR="00674BF5" w:rsidRPr="002A677E" w:rsidRDefault="00674BF5" w:rsidP="0049092A">
            <w:pPr>
              <w:pStyle w:val="InstructionsText"/>
            </w:pPr>
            <w:r>
              <w:t>b)</w:t>
            </w:r>
            <w:r>
              <w:tab/>
              <w:t xml:space="preserve">udziałów kapitałowych, które traktuje się jako krzyżowe powiązania kapitałowe zgodnie z art. 66 lit. b) rozporządzenia (UE) </w:t>
            </w:r>
            <w:r w:rsidRPr="0043455E">
              <w:t>nr</w:t>
            </w:r>
            <w:r w:rsidR="0043455E" w:rsidRPr="0043455E">
              <w:t> </w:t>
            </w:r>
            <w:r w:rsidRPr="0043455E">
              <w:t>5</w:t>
            </w:r>
            <w:r>
              <w:t>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Dozwolone kompensowanie pozycji krótkich w odniesieniu do bezpośrednich udziałów kapitałowych brutto ujętych powyżej</w:t>
            </w:r>
          </w:p>
          <w:p w14:paraId="7BF2A908" w14:textId="5AFC33FD" w:rsidR="00674BF5" w:rsidRPr="002A677E" w:rsidRDefault="00674BF5" w:rsidP="00487A02">
            <w:pPr>
              <w:pStyle w:val="InstructionsText"/>
            </w:pPr>
            <w:r>
              <w:t xml:space="preserve">Art. 69 rozporządzenia (UE) </w:t>
            </w:r>
            <w:r w:rsidRPr="0043455E">
              <w:t>nr</w:t>
            </w:r>
            <w:r w:rsidR="0043455E" w:rsidRPr="0043455E">
              <w:t> </w:t>
            </w:r>
            <w:r w:rsidRPr="0043455E">
              <w:t>5</w:t>
            </w:r>
            <w:r>
              <w:t>75/2013</w:t>
            </w:r>
          </w:p>
          <w:p w14:paraId="274B938A" w14:textId="36931E44" w:rsidR="00674BF5" w:rsidRPr="002A677E" w:rsidRDefault="00674BF5" w:rsidP="00487A02">
            <w:pPr>
              <w:pStyle w:val="InstructionsText"/>
            </w:pPr>
            <w:r>
              <w:t xml:space="preserve">W art. 69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Pośrednie udziały kapitałowe w kapitale Tier II podmiotów sektora finansowego, jeżeli instytucja nie dokonała znacznej inwestycji w te podmioty</w:t>
            </w:r>
          </w:p>
          <w:p w14:paraId="43041074" w14:textId="7B899042" w:rsidR="00674BF5" w:rsidRPr="002A677E" w:rsidRDefault="00674BF5" w:rsidP="0049092A">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6</w:t>
            </w:r>
            <w:r>
              <w:t xml:space="preserve">8 i 69 rozporządzenia (UE) </w:t>
            </w:r>
            <w:r w:rsidRPr="0043455E">
              <w:t>nr</w:t>
            </w:r>
            <w:r w:rsidR="0043455E" w:rsidRPr="0043455E">
              <w:t> </w:t>
            </w:r>
            <w:r w:rsidRPr="0043455E">
              <w:t>5</w:t>
            </w:r>
            <w:r>
              <w:t>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Pośrednie udziały kapitałowe brutto w kapitale Tier II podmiotów sektora finansowego, jeżeli instytucja nie dokonała znacznej inwestycji w te podmioty</w:t>
            </w:r>
          </w:p>
          <w:p w14:paraId="7AA5A636" w14:textId="7487B890"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6</w:t>
            </w:r>
            <w:r>
              <w:t xml:space="preserve">8 i 69 rozporządzenia (UE) </w:t>
            </w:r>
            <w:r w:rsidRPr="0043455E">
              <w:t>nr</w:t>
            </w:r>
            <w:r w:rsidR="0043455E" w:rsidRPr="0043455E">
              <w:t> </w:t>
            </w:r>
            <w:r w:rsidRPr="0043455E">
              <w:t>5</w:t>
            </w:r>
            <w:r>
              <w:t>75/2013</w:t>
            </w:r>
          </w:p>
          <w:p w14:paraId="3FE65871" w14:textId="77777777" w:rsidR="00674BF5" w:rsidRPr="002A677E" w:rsidRDefault="00674BF5" w:rsidP="00487A02">
            <w:pPr>
              <w:pStyle w:val="InstructionsText"/>
            </w:pPr>
            <w:r>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14:paraId="02DBB428" w14:textId="10A2C60D" w:rsidR="00674BF5" w:rsidRPr="002A677E" w:rsidRDefault="00674BF5" w:rsidP="00487A02">
            <w:pPr>
              <w:pStyle w:val="InstructionsText"/>
            </w:pPr>
            <w:r>
              <w:t xml:space="preserve">Udziały kapitałowe, które traktuje się jako krzyżowe powiązania kapitałowe zgodnie z art. 66 lit. b) rozporządzenia (UE) </w:t>
            </w:r>
            <w:r w:rsidRPr="0043455E">
              <w:t>nr</w:t>
            </w:r>
            <w:r w:rsidR="0043455E" w:rsidRPr="0043455E">
              <w:t> </w:t>
            </w:r>
            <w:r w:rsidRPr="0043455E">
              <w:t>5</w:t>
            </w:r>
            <w:r>
              <w:t>75/2013, nie są uwzględniane.</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Dozwolone kompensowanie pozycji krótkich w odniesieniu do pośrednich udziałów kapitałowych brutto ujętych powyżej</w:t>
            </w:r>
          </w:p>
          <w:p w14:paraId="6B7BF87B" w14:textId="342340C1"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6</w:t>
            </w:r>
            <w:r>
              <w:t xml:space="preserve">9 rozporządzenia (UE) </w:t>
            </w:r>
            <w:r w:rsidRPr="0043455E">
              <w:t>nr</w:t>
            </w:r>
            <w:r w:rsidR="0043455E" w:rsidRPr="0043455E">
              <w:t> </w:t>
            </w:r>
            <w:r w:rsidRPr="0043455E">
              <w:t>5</w:t>
            </w:r>
            <w:r>
              <w:t>75/2013</w:t>
            </w:r>
          </w:p>
          <w:p w14:paraId="0DF8664C" w14:textId="5F6CF722" w:rsidR="00674BF5" w:rsidRPr="002A677E" w:rsidRDefault="00674BF5" w:rsidP="00487A02">
            <w:pPr>
              <w:pStyle w:val="InstructionsText"/>
            </w:pPr>
            <w:r>
              <w:lastRenderedPageBreak/>
              <w:t xml:space="preserve">W art. 69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lastRenderedPageBreak/>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Syntetyczne udziały kapitałowe w kapitale Tier II podmiotów sektora finansowego, jeżeli instytucja nie dokonała znacznej inwestycji w te podmioty</w:t>
            </w:r>
          </w:p>
          <w:p w14:paraId="5911CD95" w14:textId="5F502008" w:rsidR="00674BF5" w:rsidRPr="002A677E" w:rsidRDefault="00674BF5" w:rsidP="00487A02">
            <w:pPr>
              <w:pStyle w:val="InstructionsText"/>
              <w:rPr>
                <w:rStyle w:val="InstructionsTabelleberschrift"/>
                <w:rFonts w:ascii="Times New Roman" w:hAnsi="Times New Roman"/>
                <w:sz w:val="24"/>
              </w:rPr>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6</w:t>
            </w:r>
            <w:r>
              <w:t xml:space="preserve">8 i 69 rozporządzenia (UE) </w:t>
            </w:r>
            <w:r w:rsidRPr="0043455E">
              <w:t>nr</w:t>
            </w:r>
            <w:r w:rsidR="0043455E" w:rsidRPr="0043455E">
              <w:t> </w:t>
            </w:r>
            <w:r w:rsidRPr="0043455E">
              <w:t>5</w:t>
            </w:r>
            <w:r>
              <w:t>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Syntetyczne udziały kapitałowe brutto w kapitale Tier II podmiotów sektora finansowego, jeżeli instytucja nie dokonała znacznej inwestycji w te podmioty</w:t>
            </w:r>
          </w:p>
          <w:p w14:paraId="6F24CEB3" w14:textId="226DC38B" w:rsidR="00674BF5" w:rsidRPr="002A677E" w:rsidRDefault="0049092A" w:rsidP="00487A02">
            <w:pPr>
              <w:pStyle w:val="InstructionsText"/>
              <w:rPr>
                <w:rStyle w:val="InstructionsTabelleberschrift"/>
                <w:rFonts w:ascii="Times New Roman" w:hAnsi="Times New Roman"/>
                <w:b w:val="0"/>
                <w:bCs w:val="0"/>
                <w:sz w:val="24"/>
                <w:u w:val="none"/>
              </w:rPr>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6</w:t>
            </w:r>
            <w:r>
              <w:t xml:space="preserve">8 i 69 rozporządzenia (UE) </w:t>
            </w:r>
            <w:r w:rsidRPr="0043455E">
              <w:t>nr</w:t>
            </w:r>
            <w:r w:rsidR="0043455E" w:rsidRPr="0043455E">
              <w:t> </w:t>
            </w:r>
            <w:r w:rsidRPr="0043455E">
              <w:t>5</w:t>
            </w:r>
            <w:r>
              <w:t>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Dozwolone kompensowanie pozycji krótkich w odniesieniu do syntetycznych udziałów kapitałowych brutto ujętych powyżej</w:t>
            </w:r>
          </w:p>
          <w:p w14:paraId="28087537" w14:textId="1671A989"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i </w:t>
            </w:r>
            <w:r w:rsidRPr="0043455E">
              <w:t>art.</w:t>
            </w:r>
            <w:r w:rsidR="0043455E" w:rsidRPr="0043455E">
              <w:t> </w:t>
            </w:r>
            <w:r w:rsidRPr="0043455E">
              <w:t>6</w:t>
            </w:r>
            <w:r>
              <w:t xml:space="preserve">9 rozporządzenia (UE) </w:t>
            </w:r>
            <w:r w:rsidRPr="0043455E">
              <w:t>nr</w:t>
            </w:r>
            <w:r w:rsidR="0043455E" w:rsidRPr="0043455E">
              <w:t> </w:t>
            </w:r>
            <w:r w:rsidRPr="0043455E">
              <w:t>5</w:t>
            </w:r>
            <w:r>
              <w:t>75/2013</w:t>
            </w:r>
          </w:p>
          <w:p w14:paraId="67857B5F" w14:textId="062C7435" w:rsidR="002D31E5" w:rsidRPr="002A677E" w:rsidRDefault="002D31E5" w:rsidP="000D04B6">
            <w:pPr>
              <w:pStyle w:val="InstructionsText"/>
              <w:rPr>
                <w:rStyle w:val="InstructionsTabelleberschrift"/>
                <w:rFonts w:ascii="Times New Roman" w:hAnsi="Times New Roman"/>
                <w:b w:val="0"/>
                <w:bCs w:val="0"/>
                <w:sz w:val="24"/>
                <w:u w:val="none"/>
              </w:rPr>
            </w:pPr>
            <w:r>
              <w:t xml:space="preserve">W art. 69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Udziały kapitałowe w kapitale podstawowym Tier I podmiotów sektora finansowego, jeżeli instytucja dokonała znacznej inwestycji w te podmioty, po odliczeniu pozycji krótkich</w:t>
            </w:r>
          </w:p>
          <w:p w14:paraId="6B37F020" w14:textId="38EA5B57" w:rsidR="00674BF5" w:rsidRPr="002A677E" w:rsidRDefault="00674BF5" w:rsidP="00487A02">
            <w:pPr>
              <w:pStyle w:val="InstructionsText"/>
            </w:pPr>
            <w:r>
              <w:t xml:space="preserve">Art. 44, 45, 47 i 49 rozporządzenia (UE) </w:t>
            </w:r>
            <w:r w:rsidRPr="0043455E">
              <w:t>nr</w:t>
            </w:r>
            <w:r w:rsidR="0043455E" w:rsidRPr="0043455E">
              <w:t> </w:t>
            </w:r>
            <w:r w:rsidRPr="0043455E">
              <w:t>5</w:t>
            </w:r>
            <w:r>
              <w:t>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Bezpośrednie udziały kapitałowe w kapitale podstawowym Tier I podmiotów sektora finansowego, jeżeli instytucja dokonała znacznej inwestycji w te podmioty</w:t>
            </w:r>
          </w:p>
          <w:p w14:paraId="5F45543E" w14:textId="623775D0" w:rsidR="00674BF5" w:rsidRPr="002A677E" w:rsidRDefault="00674BF5" w:rsidP="00487A02">
            <w:pPr>
              <w:pStyle w:val="InstructionsText"/>
            </w:pPr>
            <w:r>
              <w:t xml:space="preserve">Art. 44, 45, 47 i 49 rozporządzenia (UE) </w:t>
            </w:r>
            <w:r w:rsidRPr="0043455E">
              <w:t>nr</w:t>
            </w:r>
            <w:r w:rsidR="0043455E" w:rsidRPr="0043455E">
              <w:t> </w:t>
            </w:r>
            <w:r w:rsidRPr="0043455E">
              <w:t>5</w:t>
            </w:r>
            <w:r>
              <w:t>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Bezpośrednie udziały kapitałowe brutto w kapitale podstawowym Tier I podmiotów sektora finansowego, jeżeli instytucja dokonała znacznej inwestycji w te podmioty</w:t>
            </w:r>
          </w:p>
          <w:p w14:paraId="6D7C87B8" w14:textId="5F9E0E3D" w:rsidR="00674BF5" w:rsidRPr="002A677E" w:rsidRDefault="00674BF5" w:rsidP="00487A02">
            <w:pPr>
              <w:pStyle w:val="InstructionsText"/>
            </w:pPr>
            <w:r>
              <w:t xml:space="preserve">Art. 44, 45, 47 i 49 rozporządzenia (UE) </w:t>
            </w:r>
            <w:r w:rsidRPr="0043455E">
              <w:t>nr</w:t>
            </w:r>
            <w:r w:rsidR="0043455E" w:rsidRPr="0043455E">
              <w:t> </w:t>
            </w:r>
            <w:r w:rsidRPr="0043455E">
              <w:t>5</w:t>
            </w:r>
            <w:r>
              <w:t>75/2013</w:t>
            </w:r>
          </w:p>
          <w:p w14:paraId="5D6F7E46" w14:textId="77777777" w:rsidR="00674BF5" w:rsidRPr="002A677E" w:rsidRDefault="00674BF5" w:rsidP="00487A02">
            <w:pPr>
              <w:pStyle w:val="InstructionsText"/>
            </w:pPr>
            <w:r>
              <w:t>Bezpośrednie udziały kapitałowe w kapitale podstawowym Tier I podmiotów sektora finansowego, jeżeli instytucja dokonała znacznej inwestycji, z wyłączeniem:</w:t>
            </w:r>
          </w:p>
          <w:p w14:paraId="194C3AF1" w14:textId="77777777" w:rsidR="00674BF5" w:rsidRPr="002A677E" w:rsidRDefault="00674BF5" w:rsidP="00487A02">
            <w:pPr>
              <w:pStyle w:val="InstructionsText"/>
            </w:pPr>
            <w:r>
              <w:t>a)</w:t>
            </w:r>
            <w:r>
              <w:tab/>
              <w:t xml:space="preserve">pozycji z tytułu gwarantowania emisji utrzymywanych nie dłużej niż przez 5 dni roboczych; </w:t>
            </w:r>
          </w:p>
          <w:p w14:paraId="1C7DFE87" w14:textId="6F37E71D" w:rsidR="00674BF5" w:rsidRPr="002A677E" w:rsidRDefault="00674BF5" w:rsidP="00487A02">
            <w:pPr>
              <w:pStyle w:val="InstructionsText"/>
            </w:pPr>
            <w:r>
              <w:t>b)</w:t>
            </w:r>
            <w:r>
              <w:tab/>
              <w:t xml:space="preserve">kwot związanych z inwestycjami, w odniesieniu do których zastosowano którekolwiek z rozwiązań alternatywnych określonych w </w:t>
            </w:r>
            <w:r w:rsidRPr="0043455E">
              <w:t>art.</w:t>
            </w:r>
            <w:r w:rsidR="0043455E" w:rsidRPr="0043455E">
              <w:t> </w:t>
            </w:r>
            <w:r w:rsidRPr="0043455E">
              <w:t>4</w:t>
            </w:r>
            <w:r>
              <w:t xml:space="preserve">9; oraz </w:t>
            </w:r>
          </w:p>
          <w:p w14:paraId="289A45C1" w14:textId="710768AB" w:rsidR="00674BF5" w:rsidRPr="002A677E" w:rsidRDefault="00674BF5" w:rsidP="0049092A">
            <w:pPr>
              <w:pStyle w:val="InstructionsText"/>
            </w:pPr>
            <w:r>
              <w:lastRenderedPageBreak/>
              <w:t>c)</w:t>
            </w:r>
            <w:r>
              <w:tab/>
              <w:t xml:space="preserve">udziałów kapitałowych, które traktuje się jako krzyżowe powiązania kapitałowe zgodnie z art. 36 ust. 1 lit. g) rozporządzenia (UE) </w:t>
            </w:r>
            <w:r w:rsidRPr="0043455E">
              <w:t>nr</w:t>
            </w:r>
            <w:r w:rsidR="0043455E" w:rsidRPr="0043455E">
              <w:t> </w:t>
            </w:r>
            <w:r w:rsidRPr="0043455E">
              <w:t>5</w:t>
            </w:r>
            <w:r>
              <w:t>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lastRenderedPageBreak/>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Dozwolone kompensowanie pozycji krótkich w odniesieniu do bezpośrednich udziałów kapitałowych brutto ujętych powyżej</w:t>
            </w:r>
          </w:p>
          <w:p w14:paraId="10FC314D" w14:textId="0123F938" w:rsidR="00674BF5" w:rsidRPr="002A677E" w:rsidRDefault="00674BF5" w:rsidP="00487A02">
            <w:pPr>
              <w:pStyle w:val="InstructionsText"/>
            </w:pPr>
            <w:r>
              <w:t xml:space="preserve">Art. 45 rozporządzenia (UE) </w:t>
            </w:r>
            <w:r w:rsidRPr="0043455E">
              <w:t>nr</w:t>
            </w:r>
            <w:r w:rsidR="0043455E" w:rsidRPr="0043455E">
              <w:t> </w:t>
            </w:r>
            <w:r w:rsidRPr="0043455E">
              <w:t>5</w:t>
            </w:r>
            <w:r>
              <w:t>75/2013</w:t>
            </w:r>
          </w:p>
          <w:p w14:paraId="35FC1C5B" w14:textId="4D02D518" w:rsidR="00674BF5" w:rsidRPr="002A677E" w:rsidRDefault="00674BF5" w:rsidP="00487A02">
            <w:pPr>
              <w:pStyle w:val="InstructionsText"/>
            </w:pPr>
            <w:r>
              <w:t xml:space="preserve">W art. 45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Pośrednie udziały kapitałowe w kapitale podstawowym Tier I podmiotów sektora finansowego, jeżeli instytucja dokonała znacznej inwestycji w te podmioty</w:t>
            </w:r>
          </w:p>
          <w:p w14:paraId="1B562CC7" w14:textId="773C6448"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4</w:t>
            </w:r>
            <w:r>
              <w:t xml:space="preserve">4 i 45 rozporządzenia (UE) </w:t>
            </w:r>
            <w:r w:rsidRPr="0043455E">
              <w:t>nr</w:t>
            </w:r>
            <w:r w:rsidR="0043455E" w:rsidRPr="0043455E">
              <w:t> </w:t>
            </w:r>
            <w:r w:rsidRPr="0043455E">
              <w:t>5</w:t>
            </w:r>
            <w:r>
              <w:t>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Pośrednie udziały kapitałowe brutto w kapitale podstawowym Tier I podmiotów sektora finansowego, jeżeli instytucja dokonała znacznej inwestycji w te podmioty</w:t>
            </w:r>
          </w:p>
          <w:p w14:paraId="5813E86E" w14:textId="6F670C53"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4</w:t>
            </w:r>
            <w:r>
              <w:t xml:space="preserve">4 i 45 rozporządzenia (UE) </w:t>
            </w:r>
            <w:r w:rsidRPr="0043455E">
              <w:t>nr</w:t>
            </w:r>
            <w:r w:rsidR="0043455E" w:rsidRPr="0043455E">
              <w:t> </w:t>
            </w:r>
            <w:r w:rsidRPr="0043455E">
              <w:t>5</w:t>
            </w:r>
            <w:r>
              <w:t>75/2013</w:t>
            </w:r>
          </w:p>
          <w:p w14:paraId="0EC89C74" w14:textId="77777777" w:rsidR="00674BF5" w:rsidRPr="002A677E" w:rsidRDefault="00674BF5" w:rsidP="00487A02">
            <w:pPr>
              <w:pStyle w:val="InstructionsText"/>
            </w:pPr>
            <w:r>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14:paraId="4126D579" w14:textId="381BC3A2" w:rsidR="00674BF5" w:rsidRPr="002A677E" w:rsidRDefault="00674BF5" w:rsidP="0049092A">
            <w:pPr>
              <w:pStyle w:val="InstructionsText"/>
            </w:pPr>
            <w:r>
              <w:t xml:space="preserve">Udziały kapitałowe, które traktuje się jako krzyżowe powiązania kapitałowe zgodnie z art. 36 ust. 1 lit. g) rozporządzenia (UE) </w:t>
            </w:r>
            <w:r w:rsidRPr="0043455E">
              <w:t>nr</w:t>
            </w:r>
            <w:r w:rsidR="0043455E" w:rsidRPr="0043455E">
              <w:t> </w:t>
            </w:r>
            <w:r w:rsidRPr="0043455E">
              <w:t>5</w:t>
            </w:r>
            <w:r>
              <w:t>75/2013, nie są uwzględniane.</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Dozwolone kompensowanie pozycji krótkich w odniesieniu do pośrednich udziałów kapitałowych brutto ujętych powyżej</w:t>
            </w:r>
          </w:p>
          <w:p w14:paraId="181DE37A" w14:textId="53DED9DD"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4</w:t>
            </w:r>
            <w:r>
              <w:t xml:space="preserve">5 rozporządzenia (UE) </w:t>
            </w:r>
            <w:r w:rsidRPr="0043455E">
              <w:t>nr</w:t>
            </w:r>
            <w:r w:rsidR="0043455E" w:rsidRPr="0043455E">
              <w:t> </w:t>
            </w:r>
            <w:r w:rsidRPr="0043455E">
              <w:t>5</w:t>
            </w:r>
            <w:r>
              <w:t>75/2013</w:t>
            </w:r>
          </w:p>
          <w:p w14:paraId="4DAC7E7C" w14:textId="15C1EACA" w:rsidR="00674BF5" w:rsidRPr="002A677E" w:rsidRDefault="0049092A" w:rsidP="00487A02">
            <w:pPr>
              <w:pStyle w:val="InstructionsText"/>
            </w:pPr>
            <w:r>
              <w:t xml:space="preserve">W art. 45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Syntetyczne udziały kapitałowe w kapitale podstawowym Tier I podmiotów sektora finansowego, jeżeli instytucja dokonała znacznej inwestycji w te podmioty</w:t>
            </w:r>
          </w:p>
          <w:p w14:paraId="55D438C1" w14:textId="615BE3D0"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4</w:t>
            </w:r>
            <w:r>
              <w:t xml:space="preserve">4 i 45 rozporządzenia (UE) </w:t>
            </w:r>
            <w:r w:rsidRPr="0043455E">
              <w:t>nr</w:t>
            </w:r>
            <w:r w:rsidR="0043455E" w:rsidRPr="0043455E">
              <w:t> </w:t>
            </w:r>
            <w:r w:rsidRPr="0043455E">
              <w:t>5</w:t>
            </w:r>
            <w:r>
              <w:t>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lastRenderedPageBreak/>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Syntetyczne udziały kapitałowe brutto w kapitale podstawowym Tier I podmiotów sektora finansowego, jeżeli instytucja dokonała znacznej inwestycji w te podmioty</w:t>
            </w:r>
          </w:p>
          <w:p w14:paraId="0CEA3976" w14:textId="3ADAD4C9"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4</w:t>
            </w:r>
            <w:r>
              <w:t xml:space="preserve">4 i 45 rozporządzenia (UE) </w:t>
            </w:r>
            <w:r w:rsidRPr="0043455E">
              <w:t>nr</w:t>
            </w:r>
            <w:r w:rsidR="0043455E" w:rsidRPr="0043455E">
              <w:t> </w:t>
            </w:r>
            <w:r w:rsidRPr="0043455E">
              <w:t>5</w:t>
            </w:r>
            <w:r>
              <w:t>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Dozwolone kompensowanie pozycji krótkich w odniesieniu do syntetycznych udziałów kapitałowych brutto ujętych powyżej</w:t>
            </w:r>
          </w:p>
          <w:p w14:paraId="18C7966C" w14:textId="16BA57E6"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4</w:t>
            </w:r>
            <w:r>
              <w:t xml:space="preserve">5 rozporządzenia (UE) </w:t>
            </w:r>
            <w:r w:rsidRPr="0043455E">
              <w:t>nr</w:t>
            </w:r>
            <w:r w:rsidR="0043455E" w:rsidRPr="0043455E">
              <w:t> </w:t>
            </w:r>
            <w:r w:rsidRPr="0043455E">
              <w:t>5</w:t>
            </w:r>
            <w:r>
              <w:t>75/2013</w:t>
            </w:r>
          </w:p>
          <w:p w14:paraId="3BE278C3" w14:textId="535A81B1" w:rsidR="002D31E5" w:rsidRPr="002A677E" w:rsidRDefault="0049092A" w:rsidP="000D04B6">
            <w:pPr>
              <w:pStyle w:val="InstructionsText"/>
            </w:pPr>
            <w:r>
              <w:t xml:space="preserve">W art. 45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17906D6A"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Inwestycje w kapitał podstawowy Tier I podmiotów sektora finansowego, jeżeli instytucja dokonała znacznej inwestycji w te podmioty – podlegające wadze ryzyka wynoszącej 250 %</w:t>
            </w:r>
          </w:p>
          <w:p w14:paraId="6A824A8C" w14:textId="2BF1F50C" w:rsidR="00916197" w:rsidRPr="002A677E" w:rsidRDefault="00916197" w:rsidP="00487A02">
            <w:pPr>
              <w:pStyle w:val="InstructionsText"/>
            </w:pPr>
            <w:r>
              <w:t xml:space="preserve">Art. 48 </w:t>
            </w:r>
            <w:r w:rsidRPr="0043455E">
              <w:t>ust.</w:t>
            </w:r>
            <w:r w:rsidR="0043455E" w:rsidRPr="0043455E">
              <w:t> </w:t>
            </w:r>
            <w:r w:rsidRPr="0043455E">
              <w:t>4</w:t>
            </w:r>
            <w:r>
              <w:t xml:space="preserve"> rozporządzenia (UE) </w:t>
            </w:r>
            <w:r w:rsidRPr="0043455E">
              <w:t>nr</w:t>
            </w:r>
            <w:r w:rsidR="0043455E" w:rsidRPr="0043455E">
              <w:t> </w:t>
            </w:r>
            <w:r w:rsidRPr="0043455E">
              <w:t>5</w:t>
            </w:r>
            <w:r>
              <w:t>75/2013</w:t>
            </w:r>
          </w:p>
          <w:p w14:paraId="2372BE1E" w14:textId="07D43900" w:rsidR="00916197" w:rsidRPr="002A677E" w:rsidRDefault="00916197" w:rsidP="00487A02">
            <w:pPr>
              <w:pStyle w:val="InstructionsText"/>
            </w:pPr>
            <w:r>
              <w:t xml:space="preserve">Kwota znacznych inwestycji w kapitał podstawowy Tier I podmiotów sektora finansowego, która nie jest odliczana na podstawie art. 48 ust. 1 rozporządzenia (UE) </w:t>
            </w:r>
            <w:r w:rsidRPr="0043455E">
              <w:t>nr</w:t>
            </w:r>
            <w:r w:rsidR="0043455E" w:rsidRPr="0043455E">
              <w:t> </w:t>
            </w:r>
            <w:r w:rsidRPr="0043455E">
              <w:t>5</w:t>
            </w:r>
            <w:r>
              <w:t>75/2013, ale podlega wadze ryzyka równej 250 % zgodnie z art. 48 ust. 4 tego rozporządzenia.</w:t>
            </w:r>
          </w:p>
          <w:p w14:paraId="03F455E6" w14:textId="77777777" w:rsidR="00916197" w:rsidRPr="002A677E" w:rsidRDefault="00916197" w:rsidP="00487A02">
            <w:pPr>
              <w:pStyle w:val="InstructionsText"/>
              <w:rPr>
                <w:rStyle w:val="InstructionsTabelleberschrift"/>
                <w:rFonts w:ascii="Times New Roman" w:hAnsi="Times New Roman"/>
                <w:sz w:val="24"/>
              </w:rPr>
            </w:pPr>
            <w:r>
              <w:t>Kwota, którą należy zgłosić, jest kwotą znacznych inwestycji przed zastosowaniem wagi ryzyka.</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Udziały kapitałowe w kapitale dodatkowym Tier I podmiotów sektora finansowego, jeżeli instytucja dokonała znacznej inwestycji w te podmioty, po odliczeniu pozycji krótkich</w:t>
            </w:r>
          </w:p>
          <w:p w14:paraId="0CF06C76" w14:textId="2A9F7208" w:rsidR="00674BF5" w:rsidRPr="002A677E" w:rsidRDefault="00674BF5" w:rsidP="00487A02">
            <w:pPr>
              <w:pStyle w:val="InstructionsText"/>
            </w:pPr>
            <w:r>
              <w:t xml:space="preserve">Art. 58 i 59 rozporządzenia (UE) </w:t>
            </w:r>
            <w:r w:rsidRPr="0043455E">
              <w:t>nr</w:t>
            </w:r>
            <w:r w:rsidR="0043455E" w:rsidRPr="0043455E">
              <w:t> </w:t>
            </w:r>
            <w:r w:rsidRPr="0043455E">
              <w:t>5</w:t>
            </w:r>
            <w:r>
              <w:t>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Bezpośrednie udziały kapitałowe w kapitale dodatkowym Tier I podmiotów sektora finansowego, jeżeli instytucja dokonała znacznej inwestycji w te podmioty</w:t>
            </w:r>
          </w:p>
          <w:p w14:paraId="328FC504" w14:textId="3D727C95" w:rsidR="00674BF5" w:rsidRPr="002A677E" w:rsidRDefault="00674BF5" w:rsidP="00487A02">
            <w:pPr>
              <w:pStyle w:val="InstructionsText"/>
            </w:pPr>
            <w:r>
              <w:t xml:space="preserve">Art. 58 i 59 rozporządzenia (UE) </w:t>
            </w:r>
            <w:r w:rsidRPr="0043455E">
              <w:t>nr</w:t>
            </w:r>
            <w:r w:rsidR="0043455E" w:rsidRPr="0043455E">
              <w:t> </w:t>
            </w:r>
            <w:r w:rsidRPr="0043455E">
              <w:t>5</w:t>
            </w:r>
            <w:r>
              <w:t>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Bezpośrednie udziały kapitałowe brutto w kapitale dodatkowym Tier I podmiotów sektora finansowego, jeżeli instytucja dokonała znacznej inwestycji w te podmioty</w:t>
            </w:r>
          </w:p>
          <w:p w14:paraId="2E0EA9D7" w14:textId="76F17DF4" w:rsidR="00674BF5" w:rsidRPr="002A677E" w:rsidRDefault="00674BF5" w:rsidP="00487A02">
            <w:pPr>
              <w:pStyle w:val="InstructionsText"/>
            </w:pPr>
            <w:r>
              <w:t xml:space="preserve">Art. 58 rozporządzenia (UE) </w:t>
            </w:r>
            <w:r w:rsidRPr="0043455E">
              <w:t>nr</w:t>
            </w:r>
            <w:r w:rsidR="0043455E" w:rsidRPr="0043455E">
              <w:t> </w:t>
            </w:r>
            <w:r w:rsidRPr="0043455E">
              <w:t>5</w:t>
            </w:r>
            <w:r>
              <w:t>75/2013</w:t>
            </w:r>
          </w:p>
          <w:p w14:paraId="03966E1B" w14:textId="77777777" w:rsidR="00674BF5" w:rsidRPr="002A677E" w:rsidRDefault="00674BF5" w:rsidP="00487A02">
            <w:pPr>
              <w:pStyle w:val="InstructionsText"/>
            </w:pPr>
            <w:r>
              <w:t>Bezpośrednie udziały kapitałowe w kapitale dodatkowym Tier I podmiotów sektora finansowego, jeżeli instytucja dokonała znacznej inwestycji, z wyłączeniem:</w:t>
            </w:r>
          </w:p>
          <w:p w14:paraId="3D0AC2D9" w14:textId="472228D6" w:rsidR="00674BF5" w:rsidRPr="002A677E" w:rsidRDefault="00674BF5" w:rsidP="00487A02">
            <w:pPr>
              <w:pStyle w:val="InstructionsText"/>
            </w:pPr>
            <w:r>
              <w:t>a)</w:t>
            </w:r>
            <w:r>
              <w:tab/>
              <w:t xml:space="preserve">pozycji z tytułu gwarantowania emisji utrzymywanych nie dłużej niż przez 5 dni roboczych (art. 56 lit. d) rozporządzenia (UE) </w:t>
            </w:r>
            <w:r w:rsidRPr="0043455E">
              <w:t>nr</w:t>
            </w:r>
            <w:r w:rsidR="0043455E" w:rsidRPr="0043455E">
              <w:t> </w:t>
            </w:r>
            <w:r w:rsidRPr="0043455E">
              <w:t>5</w:t>
            </w:r>
            <w:r>
              <w:t>75/2013); oraz</w:t>
            </w:r>
          </w:p>
          <w:p w14:paraId="60E1CBC8" w14:textId="0FB58109" w:rsidR="00674BF5" w:rsidRPr="002A677E" w:rsidRDefault="00674BF5" w:rsidP="00487A02">
            <w:pPr>
              <w:pStyle w:val="InstructionsText"/>
            </w:pPr>
            <w:r>
              <w:lastRenderedPageBreak/>
              <w:t>b)</w:t>
            </w:r>
            <w:r>
              <w:tab/>
              <w:t xml:space="preserve">udziałów kapitałowych, które traktuje się jako krzyżowe powiązania kapitałowe zgodnie z art. 56 lit. b) rozporządzenia (UE) </w:t>
            </w:r>
            <w:r w:rsidRPr="0043455E">
              <w:t>nr</w:t>
            </w:r>
            <w:r w:rsidR="0043455E" w:rsidRPr="0043455E">
              <w:t> </w:t>
            </w:r>
            <w:r w:rsidRPr="0043455E">
              <w:t>5</w:t>
            </w:r>
            <w:r>
              <w:t>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lastRenderedPageBreak/>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Dozwolone kompensowanie pozycji krótkich w odniesieniu do bezpośrednich udziałów kapitałowych brutto ujętych powyżej</w:t>
            </w:r>
          </w:p>
          <w:p w14:paraId="2E52B3A7" w14:textId="1B0467F7" w:rsidR="00674BF5" w:rsidRPr="002A677E" w:rsidRDefault="00674BF5" w:rsidP="00487A02">
            <w:pPr>
              <w:pStyle w:val="InstructionsText"/>
            </w:pPr>
            <w:r>
              <w:t xml:space="preserve">Art. 59 rozporządzenia (UE) </w:t>
            </w:r>
            <w:r w:rsidRPr="0043455E">
              <w:t>nr</w:t>
            </w:r>
            <w:r w:rsidR="0043455E" w:rsidRPr="0043455E">
              <w:t> </w:t>
            </w:r>
            <w:r w:rsidRPr="0043455E">
              <w:t>5</w:t>
            </w:r>
            <w:r>
              <w:t>75/2013</w:t>
            </w:r>
          </w:p>
          <w:p w14:paraId="35C2E855" w14:textId="2E692A6F" w:rsidR="00674BF5" w:rsidRPr="002A677E" w:rsidRDefault="0049092A" w:rsidP="0049092A">
            <w:pPr>
              <w:pStyle w:val="InstructionsText"/>
            </w:pPr>
            <w:r>
              <w:t xml:space="preserve">W art. 59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Pośrednie udziały kapitałowe w kapitale dodatkowym Tier I podmiotów sektora finansowego, jeżeli instytucja dokonała znacznej inwestycji w te podmioty</w:t>
            </w:r>
          </w:p>
          <w:p w14:paraId="19C1DEF8" w14:textId="0090987D" w:rsidR="00674BF5" w:rsidRPr="002A677E" w:rsidRDefault="00674BF5"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5</w:t>
            </w:r>
            <w:r>
              <w:t xml:space="preserve">8 i 59 rozporządzenia (UE) </w:t>
            </w:r>
            <w:r w:rsidRPr="0043455E">
              <w:t>nr</w:t>
            </w:r>
            <w:r w:rsidR="0043455E" w:rsidRPr="0043455E">
              <w:t> </w:t>
            </w:r>
            <w:r w:rsidRPr="0043455E">
              <w:t>5</w:t>
            </w:r>
            <w:r>
              <w:t>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Pośrednie udziały kapitałowe brutto w kapitale dodatkowym Tier I podmiotów sektora finansowego, jeżeli instytucja dokonała znacznej inwestycji w te podmioty</w:t>
            </w:r>
          </w:p>
          <w:p w14:paraId="7DC4C453" w14:textId="1BD03860"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5</w:t>
            </w:r>
            <w:r>
              <w:t xml:space="preserve">8 i 59 rozporządzenia (UE) </w:t>
            </w:r>
            <w:r w:rsidRPr="0043455E">
              <w:t>nr</w:t>
            </w:r>
            <w:r w:rsidR="0043455E" w:rsidRPr="0043455E">
              <w:t> </w:t>
            </w:r>
            <w:r w:rsidRPr="0043455E">
              <w:t>5</w:t>
            </w:r>
            <w:r>
              <w:t>75/2013</w:t>
            </w:r>
          </w:p>
          <w:p w14:paraId="00AC9B4B" w14:textId="77777777" w:rsidR="00674BF5" w:rsidRPr="002A677E" w:rsidRDefault="00674BF5" w:rsidP="00487A02">
            <w:pPr>
              <w:pStyle w:val="InstructionsText"/>
            </w:pPr>
            <w:r>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14:paraId="78CE3887" w14:textId="50D586B2" w:rsidR="00674BF5" w:rsidRPr="002A677E" w:rsidRDefault="00674BF5" w:rsidP="0049092A">
            <w:pPr>
              <w:pStyle w:val="InstructionsText"/>
            </w:pPr>
            <w:r>
              <w:t xml:space="preserve">Udziały kapitałowe, które traktuje się jako krzyżowe powiązania kapitałowe zgodnie z art. 56 lit. b) rozporządzenia (UE) </w:t>
            </w:r>
            <w:r w:rsidRPr="0043455E">
              <w:t>nr</w:t>
            </w:r>
            <w:r w:rsidR="0043455E" w:rsidRPr="0043455E">
              <w:t> </w:t>
            </w:r>
            <w:r w:rsidRPr="0043455E">
              <w:t>5</w:t>
            </w:r>
            <w:r>
              <w:t>75/2013, nie są uwzględniane.</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Dozwolone kompensowanie pozycji krótkich w odniesieniu do pośrednich udziałów kapitałowych brutto ujętych powyżej</w:t>
            </w:r>
          </w:p>
          <w:p w14:paraId="4204B379" w14:textId="11B71D70"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i </w:t>
            </w:r>
            <w:r w:rsidRPr="0043455E">
              <w:t>art.</w:t>
            </w:r>
            <w:r w:rsidR="0043455E" w:rsidRPr="0043455E">
              <w:t> </w:t>
            </w:r>
            <w:r w:rsidRPr="0043455E">
              <w:t>5</w:t>
            </w:r>
            <w:r>
              <w:t xml:space="preserve">9 rozporządzenia (UE) </w:t>
            </w:r>
            <w:r w:rsidRPr="0043455E">
              <w:t>nr</w:t>
            </w:r>
            <w:r w:rsidR="0043455E" w:rsidRPr="0043455E">
              <w:t> </w:t>
            </w:r>
            <w:r w:rsidRPr="0043455E">
              <w:t>5</w:t>
            </w:r>
            <w:r>
              <w:t>75/2013</w:t>
            </w:r>
          </w:p>
          <w:p w14:paraId="4965F77B" w14:textId="10183CAD" w:rsidR="00674BF5" w:rsidRPr="002A677E" w:rsidRDefault="00674BF5" w:rsidP="00487A02">
            <w:pPr>
              <w:pStyle w:val="InstructionsText"/>
            </w:pPr>
            <w:r>
              <w:t xml:space="preserve">W art. 59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Syntetyczne udziały kapitałowe w kapitale dodatkowym Tier I podmiotów sektora finansowego, jeżeli instytucja dokonała znacznej inwestycji w te podmioty</w:t>
            </w:r>
          </w:p>
          <w:p w14:paraId="0E5DA288" w14:textId="0D5A234F"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5</w:t>
            </w:r>
            <w:r>
              <w:t xml:space="preserve">8 i 59 rozporządzenia (UE) </w:t>
            </w:r>
            <w:r w:rsidRPr="0043455E">
              <w:t>nr</w:t>
            </w:r>
            <w:r w:rsidR="0043455E" w:rsidRPr="0043455E">
              <w:t> </w:t>
            </w:r>
            <w:r w:rsidRPr="0043455E">
              <w:t>5</w:t>
            </w:r>
            <w:r>
              <w:t>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lastRenderedPageBreak/>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Syntetyczne udziały kapitałowe brutto w kapitale dodatkowym Tier I podmiotów sektora finansowego, jeżeli instytucja dokonała znacznej inwestycji w te podmioty</w:t>
            </w:r>
          </w:p>
          <w:p w14:paraId="77AF1B3F" w14:textId="5E2B7569"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5</w:t>
            </w:r>
            <w:r>
              <w:t xml:space="preserve">8 i 59 rozporządzenia (UE) </w:t>
            </w:r>
            <w:r w:rsidRPr="0043455E">
              <w:t>nr</w:t>
            </w:r>
            <w:r w:rsidR="0043455E" w:rsidRPr="0043455E">
              <w:t> </w:t>
            </w:r>
            <w:r w:rsidRPr="0043455E">
              <w:t>5</w:t>
            </w:r>
            <w:r>
              <w:t>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Dozwolone kompensowanie pozycji krótkich w odniesieniu do syntetycznych udziałów kapitałowych brutto ujętych powyżej</w:t>
            </w:r>
          </w:p>
          <w:p w14:paraId="01DCC3FD" w14:textId="3BE282DC" w:rsidR="00674BF5" w:rsidRPr="002A677E" w:rsidRDefault="002E796C"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i </w:t>
            </w:r>
            <w:r w:rsidRPr="0043455E">
              <w:t>art.</w:t>
            </w:r>
            <w:r w:rsidR="0043455E" w:rsidRPr="0043455E">
              <w:t> </w:t>
            </w:r>
            <w:r w:rsidRPr="0043455E">
              <w:t>5</w:t>
            </w:r>
            <w:r>
              <w:t xml:space="preserve">9 rozporządzenia (UE) </w:t>
            </w:r>
            <w:r w:rsidRPr="0043455E">
              <w:t>nr</w:t>
            </w:r>
            <w:r w:rsidR="0043455E" w:rsidRPr="0043455E">
              <w:t> </w:t>
            </w:r>
            <w:r w:rsidRPr="0043455E">
              <w:t>5</w:t>
            </w:r>
            <w:r>
              <w:t>75/2013</w:t>
            </w:r>
          </w:p>
          <w:p w14:paraId="0D578373" w14:textId="011AB262" w:rsidR="002D31E5" w:rsidRPr="002A677E" w:rsidRDefault="002E796C" w:rsidP="000D04B6">
            <w:pPr>
              <w:pStyle w:val="InstructionsText"/>
              <w:rPr>
                <w:rStyle w:val="InstructionsTabelleberschrift"/>
                <w:rFonts w:ascii="Times New Roman" w:hAnsi="Times New Roman"/>
                <w:b w:val="0"/>
                <w:bCs w:val="0"/>
                <w:sz w:val="24"/>
                <w:u w:val="none"/>
              </w:rPr>
            </w:pPr>
            <w:r>
              <w:t xml:space="preserve">W art. 59 lit. a) rozporządzenia (UE) </w:t>
            </w:r>
            <w:r w:rsidRPr="0043455E">
              <w:t>nr</w:t>
            </w:r>
            <w:r w:rsidR="0043455E" w:rsidRPr="0043455E">
              <w:t> </w:t>
            </w:r>
            <w:r w:rsidRPr="0043455E">
              <w:t>5</w:t>
            </w:r>
            <w:r>
              <w:t xml:space="preserve">75/2013 </w:t>
            </w:r>
            <w:r>
              <w:rPr>
                <w:rStyle w:val="InstructionsTabelleberschrift"/>
                <w:rFonts w:ascii="Times New Roman" w:hAnsi="Times New Roman"/>
                <w:b w:val="0"/>
                <w:sz w:val="24"/>
                <w:u w:val="none"/>
              </w:rPr>
              <w:t>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Udziały kapitałowe w kapitale Tier II podmiotów sektora finansowego, jeżeli instytucja dokonała znacznej inwestycji, po odliczeniu pozycji krótkich</w:t>
            </w:r>
          </w:p>
          <w:p w14:paraId="1F613CCF" w14:textId="65B88E13" w:rsidR="00674BF5" w:rsidRPr="002A677E" w:rsidRDefault="00674BF5" w:rsidP="00487A02">
            <w:pPr>
              <w:pStyle w:val="InstructionsText"/>
            </w:pPr>
            <w:r>
              <w:t xml:space="preserve">Art. 68 i 69 rozporządzenia (UE) </w:t>
            </w:r>
            <w:r w:rsidRPr="0043455E">
              <w:t>nr</w:t>
            </w:r>
            <w:r w:rsidR="0043455E" w:rsidRPr="0043455E">
              <w:t> </w:t>
            </w:r>
            <w:r w:rsidRPr="0043455E">
              <w:t>5</w:t>
            </w:r>
            <w:r>
              <w:t>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Bezpośrednie udziały kapitałowe w kapitale Tier II podmiotów sektora finansowego, jeżeli instytucja dokonała znacznej inwestycji w te podmioty</w:t>
            </w:r>
          </w:p>
          <w:p w14:paraId="485F6D02" w14:textId="5933C296" w:rsidR="00674BF5" w:rsidRPr="002A677E" w:rsidRDefault="00674BF5" w:rsidP="00487A02">
            <w:pPr>
              <w:pStyle w:val="InstructionsText"/>
            </w:pPr>
            <w:r>
              <w:t xml:space="preserve">Art. 68 i 69 rozporządzenia (UE) </w:t>
            </w:r>
            <w:r w:rsidRPr="0043455E">
              <w:t>nr</w:t>
            </w:r>
            <w:r w:rsidR="0043455E" w:rsidRPr="0043455E">
              <w:t> </w:t>
            </w:r>
            <w:r w:rsidRPr="0043455E">
              <w:t>5</w:t>
            </w:r>
            <w:r>
              <w:t>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Bezpośrednie udziały kapitałowe brutto w kapitale Tier II podmiotów sektora finansowego, jeżeli instytucja dokonała znacznej inwestycji w te podmioty</w:t>
            </w:r>
          </w:p>
          <w:p w14:paraId="0F5F1DD3" w14:textId="3372627C" w:rsidR="00674BF5" w:rsidRPr="002A677E" w:rsidRDefault="00674BF5" w:rsidP="00487A02">
            <w:pPr>
              <w:pStyle w:val="InstructionsText"/>
            </w:pPr>
            <w:r>
              <w:t xml:space="preserve">Art. 68 rozporządzenia (UE) </w:t>
            </w:r>
            <w:r w:rsidRPr="0043455E">
              <w:t>nr</w:t>
            </w:r>
            <w:r w:rsidR="0043455E" w:rsidRPr="0043455E">
              <w:t> </w:t>
            </w:r>
            <w:r w:rsidRPr="0043455E">
              <w:t>5</w:t>
            </w:r>
            <w:r>
              <w:t>75/2013</w:t>
            </w:r>
          </w:p>
          <w:p w14:paraId="4F07DA01" w14:textId="77777777" w:rsidR="00674BF5" w:rsidRPr="002A677E" w:rsidRDefault="00674BF5" w:rsidP="00487A02">
            <w:pPr>
              <w:pStyle w:val="InstructionsText"/>
            </w:pPr>
            <w:r>
              <w:t>Bezpośrednie udziały kapitałowe w kapitale Tier II podmiotów sektora finansowego, jeżeli instytucja dokonała znacznej inwestycji w te podmioty, z wyłączeniem:</w:t>
            </w:r>
          </w:p>
          <w:p w14:paraId="7B433499" w14:textId="10E3AE82" w:rsidR="00674BF5" w:rsidRPr="002A677E" w:rsidRDefault="00674BF5" w:rsidP="00487A02">
            <w:pPr>
              <w:pStyle w:val="InstructionsText"/>
            </w:pPr>
            <w:r>
              <w:t>a)</w:t>
            </w:r>
            <w:r>
              <w:tab/>
              <w:t xml:space="preserve">pozycji z tytułu gwarantowania emisji utrzymywanych nie dłużej niż przez 5 dni roboczych (art. 66 lit. d) rozporządzenia (UE) </w:t>
            </w:r>
            <w:r w:rsidRPr="0043455E">
              <w:t>nr</w:t>
            </w:r>
            <w:r w:rsidR="0043455E" w:rsidRPr="0043455E">
              <w:t> </w:t>
            </w:r>
            <w:r w:rsidRPr="0043455E">
              <w:t>5</w:t>
            </w:r>
            <w:r>
              <w:t xml:space="preserve">75/2013); oraz </w:t>
            </w:r>
          </w:p>
          <w:p w14:paraId="5C45C26C" w14:textId="69D79432" w:rsidR="00674BF5" w:rsidRPr="002A677E" w:rsidRDefault="00674BF5" w:rsidP="00487A02">
            <w:pPr>
              <w:pStyle w:val="InstructionsText"/>
            </w:pPr>
            <w:r>
              <w:t>b)</w:t>
            </w:r>
            <w:r>
              <w:tab/>
              <w:t xml:space="preserve">udziałów kapitałowych, które traktuje się jako krzyżowe powiązania kapitałowe zgodnie z art. 66 lit. b) rozporządzenia (UE) </w:t>
            </w:r>
            <w:r w:rsidRPr="0043455E">
              <w:t>nr</w:t>
            </w:r>
            <w:r w:rsidR="0043455E" w:rsidRPr="0043455E">
              <w:t> </w:t>
            </w:r>
            <w:r w:rsidRPr="0043455E">
              <w:t>5</w:t>
            </w:r>
            <w:r>
              <w:t>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Dozwolone kompensowanie pozycji krótkich w odniesieniu do bezpośrednich udziałów kapitałowych brutto ujętych powyżej</w:t>
            </w:r>
          </w:p>
          <w:p w14:paraId="3A2E5C60" w14:textId="2A942426" w:rsidR="00674BF5" w:rsidRPr="002A677E" w:rsidRDefault="00674BF5" w:rsidP="00487A02">
            <w:pPr>
              <w:pStyle w:val="InstructionsText"/>
            </w:pPr>
            <w:r>
              <w:t xml:space="preserve">Art. 69 rozporządzenia (UE) </w:t>
            </w:r>
            <w:r w:rsidRPr="0043455E">
              <w:t>nr</w:t>
            </w:r>
            <w:r w:rsidR="0043455E" w:rsidRPr="0043455E">
              <w:t> </w:t>
            </w:r>
            <w:r w:rsidRPr="0043455E">
              <w:t>5</w:t>
            </w:r>
            <w:r>
              <w:t>75/2013</w:t>
            </w:r>
          </w:p>
          <w:p w14:paraId="1F9A96A9" w14:textId="59F553C9" w:rsidR="00674BF5" w:rsidRPr="002A677E" w:rsidRDefault="00674BF5" w:rsidP="00487A02">
            <w:pPr>
              <w:pStyle w:val="InstructionsText"/>
            </w:pPr>
            <w:r>
              <w:t xml:space="preserve">W art. 69 lit. a) rozporządzenia (UE) </w:t>
            </w:r>
            <w:r w:rsidRPr="0043455E">
              <w:t>nr</w:t>
            </w:r>
            <w:r w:rsidR="0043455E" w:rsidRPr="0043455E">
              <w:t> </w:t>
            </w:r>
            <w:r w:rsidRPr="0043455E">
              <w:t>5</w:t>
            </w:r>
            <w:r>
              <w:t xml:space="preserve">75/2013 dopuszcza się kompensowanie pozycji krótkich dotyczących tej samej ekspozycji bazowej, pod warunkiem że termin zapadalności pozycji krótkiej jest taki </w:t>
            </w:r>
            <w:r>
              <w:lastRenderedPageBreak/>
              <w:t>sam jak termin zapadalności pozycji długiej lub jest późniejszy albo rezydualny termin zapadalności pozycji krótkiej wynosi co najmniej rok.</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lastRenderedPageBreak/>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Pośrednie udziały kapitałowe w kapitale Tier II podmiotów sektora finansowego, jeżeli instytucja dokonała znacznej inwestycji w te podmioty</w:t>
            </w:r>
          </w:p>
          <w:p w14:paraId="046EED40" w14:textId="3C844D3A"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6</w:t>
            </w:r>
            <w:r>
              <w:t xml:space="preserve">8 i 69 rozporządzenia (UE) </w:t>
            </w:r>
            <w:r w:rsidRPr="0043455E">
              <w:t>nr</w:t>
            </w:r>
            <w:r w:rsidR="0043455E" w:rsidRPr="0043455E">
              <w:t> </w:t>
            </w:r>
            <w:r w:rsidRPr="0043455E">
              <w:t>5</w:t>
            </w:r>
            <w:r>
              <w:t>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Pośrednie udziały kapitałowe brutto w kapitale Tier II podmiotów sektora finansowego, jeżeli instytucja dokonała znacznej inwestycji w te podmioty</w:t>
            </w:r>
          </w:p>
          <w:p w14:paraId="3474C99C" w14:textId="0B00005E"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6</w:t>
            </w:r>
            <w:r>
              <w:t xml:space="preserve">8 i 69 rozporządzenia (UE) </w:t>
            </w:r>
            <w:r w:rsidRPr="0043455E">
              <w:t>nr</w:t>
            </w:r>
            <w:r w:rsidR="0043455E" w:rsidRPr="0043455E">
              <w:t> </w:t>
            </w:r>
            <w:r w:rsidRPr="0043455E">
              <w:t>5</w:t>
            </w:r>
            <w:r>
              <w:t>75/2013</w:t>
            </w:r>
          </w:p>
          <w:p w14:paraId="7F67225C" w14:textId="77777777" w:rsidR="00674BF5" w:rsidRPr="002A677E" w:rsidRDefault="00674BF5" w:rsidP="00487A02">
            <w:pPr>
              <w:pStyle w:val="InstructionsText"/>
            </w:pPr>
            <w:r>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14:paraId="329E2892" w14:textId="0FA79CF5" w:rsidR="00674BF5" w:rsidRPr="002A677E" w:rsidRDefault="00674BF5" w:rsidP="00487A02">
            <w:pPr>
              <w:pStyle w:val="InstructionsText"/>
            </w:pPr>
            <w:r>
              <w:t xml:space="preserve">Udziały kapitałowe, które traktuje się jako krzyżowe powiązania kapitałowe zgodnie z art. 66 lit. b) rozporządzenia (UE) </w:t>
            </w:r>
            <w:r w:rsidRPr="0043455E">
              <w:t>nr</w:t>
            </w:r>
            <w:r w:rsidR="0043455E" w:rsidRPr="0043455E">
              <w:t> </w:t>
            </w:r>
            <w:r w:rsidRPr="0043455E">
              <w:t>5</w:t>
            </w:r>
            <w:r>
              <w:t>75/2013, nie są uwzględniane.</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Dozwolone kompensowanie pozycji krótkich w odniesieniu do pośrednich udziałów kapitałowych brutto ujętych powyżej</w:t>
            </w:r>
          </w:p>
          <w:p w14:paraId="10889AF5" w14:textId="2C14B31D" w:rsidR="00674BF5" w:rsidRPr="002A677E" w:rsidRDefault="0049092A"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14 oraz </w:t>
            </w:r>
            <w:r w:rsidRPr="0043455E">
              <w:t>art.</w:t>
            </w:r>
            <w:r w:rsidR="0043455E" w:rsidRPr="0043455E">
              <w:t> </w:t>
            </w:r>
            <w:r w:rsidRPr="0043455E">
              <w:t>6</w:t>
            </w:r>
            <w:r>
              <w:t xml:space="preserve">9 rozporządzenia (UE) </w:t>
            </w:r>
            <w:r w:rsidRPr="0043455E">
              <w:t>nr</w:t>
            </w:r>
            <w:r w:rsidR="0043455E" w:rsidRPr="0043455E">
              <w:t> </w:t>
            </w:r>
            <w:r w:rsidRPr="0043455E">
              <w:t>5</w:t>
            </w:r>
            <w:r>
              <w:t>75/2013</w:t>
            </w:r>
          </w:p>
          <w:p w14:paraId="63AD6731" w14:textId="6D9B7BA6" w:rsidR="00674BF5" w:rsidRPr="002A677E" w:rsidRDefault="00674BF5" w:rsidP="00487A02">
            <w:pPr>
              <w:pStyle w:val="InstructionsText"/>
            </w:pPr>
            <w:r>
              <w:t xml:space="preserve">W art. 69 lit. a) rozporządzenia (UE) </w:t>
            </w:r>
            <w:r w:rsidRPr="0043455E">
              <w:t>nr</w:t>
            </w:r>
            <w:r w:rsidR="0043455E" w:rsidRPr="0043455E">
              <w:t> </w:t>
            </w:r>
            <w:r w:rsidRPr="0043455E">
              <w:t>5</w:t>
            </w:r>
            <w:r>
              <w:t>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Syntetyczne udziały kapitałowe w kapitale Tier II podmiotów sektora finansowego, jeżeli instytucja dokonała znacznej inwestycji w te podmioty</w:t>
            </w:r>
          </w:p>
          <w:p w14:paraId="49CA99E2" w14:textId="48456953"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6</w:t>
            </w:r>
            <w:r>
              <w:t xml:space="preserve">8 i 69 rozporządzenia (UE) </w:t>
            </w:r>
            <w:r w:rsidRPr="0043455E">
              <w:t>nr</w:t>
            </w:r>
            <w:r w:rsidR="0043455E" w:rsidRPr="0043455E">
              <w:t> </w:t>
            </w:r>
            <w:r w:rsidRPr="0043455E">
              <w:t>5</w:t>
            </w:r>
            <w:r>
              <w:t>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Syntetyczne udziały kapitałowe brutto w kapitale Tier II podmiotów sektora finansowego, jeżeli instytucja dokonała znacznej inwestycji w te podmioty</w:t>
            </w:r>
          </w:p>
          <w:p w14:paraId="0BC112DF" w14:textId="69182866"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6</w:t>
            </w:r>
            <w:r>
              <w:t xml:space="preserve">8 i 69 rozporządzenia (UE) </w:t>
            </w:r>
            <w:r w:rsidRPr="0043455E">
              <w:t>nr</w:t>
            </w:r>
            <w:r w:rsidR="0043455E" w:rsidRPr="0043455E">
              <w:t> </w:t>
            </w:r>
            <w:r w:rsidRPr="0043455E">
              <w:t>5</w:t>
            </w:r>
            <w:r>
              <w:t>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Dozwolone kompensowanie pozycji krótkich w odniesieniu do syntetycznych udziałów kapitałowych brutto ujętych powyżej</w:t>
            </w:r>
          </w:p>
          <w:p w14:paraId="6446C4C9" w14:textId="231C89CF" w:rsidR="00674BF5" w:rsidRPr="002A677E" w:rsidRDefault="002E796C" w:rsidP="00487A02">
            <w:pPr>
              <w:pStyle w:val="InstructionsText"/>
            </w:pPr>
            <w:r>
              <w:t xml:space="preserve">Art. 4 </w:t>
            </w:r>
            <w:r w:rsidRPr="0043455E">
              <w:t>ust.</w:t>
            </w:r>
            <w:r w:rsidR="0043455E" w:rsidRPr="0043455E">
              <w:t> </w:t>
            </w:r>
            <w:r w:rsidRPr="0043455E">
              <w:t>1</w:t>
            </w:r>
            <w:r>
              <w:t xml:space="preserve"> </w:t>
            </w:r>
            <w:r w:rsidRPr="0043455E">
              <w:t>pkt</w:t>
            </w:r>
            <w:r w:rsidR="0043455E" w:rsidRPr="0043455E">
              <w:t> </w:t>
            </w:r>
            <w:r w:rsidRPr="0043455E">
              <w:t>1</w:t>
            </w:r>
            <w:r>
              <w:t xml:space="preserve">26 oraz </w:t>
            </w:r>
            <w:r w:rsidRPr="0043455E">
              <w:t>art.</w:t>
            </w:r>
            <w:r w:rsidR="0043455E" w:rsidRPr="0043455E">
              <w:t> </w:t>
            </w:r>
            <w:r w:rsidRPr="0043455E">
              <w:t>6</w:t>
            </w:r>
            <w:r>
              <w:t xml:space="preserve">9 rozporządzenia (UE) </w:t>
            </w:r>
            <w:r w:rsidRPr="0043455E">
              <w:t>nr</w:t>
            </w:r>
            <w:r w:rsidR="0043455E" w:rsidRPr="0043455E">
              <w:t> </w:t>
            </w:r>
            <w:r w:rsidRPr="0043455E">
              <w:t>5</w:t>
            </w:r>
            <w:r>
              <w:t>75/2013</w:t>
            </w:r>
          </w:p>
          <w:p w14:paraId="09F84D62" w14:textId="561AEB83" w:rsidR="002D31E5" w:rsidRPr="002A677E" w:rsidRDefault="002E796C" w:rsidP="000D04B6">
            <w:pPr>
              <w:pStyle w:val="InstructionsText"/>
              <w:rPr>
                <w:rStyle w:val="InstructionsTabelleberschrift"/>
                <w:rFonts w:ascii="Times New Roman" w:hAnsi="Times New Roman"/>
                <w:b w:val="0"/>
                <w:bCs w:val="0"/>
                <w:sz w:val="24"/>
                <w:u w:val="none"/>
              </w:rPr>
            </w:pPr>
            <w:r>
              <w:t xml:space="preserve">W art. 69 lit. a) rozporządzenia (UE) </w:t>
            </w:r>
            <w:r w:rsidRPr="0043455E">
              <w:t>nr</w:t>
            </w:r>
            <w:r w:rsidR="0043455E" w:rsidRPr="0043455E">
              <w:t> </w:t>
            </w:r>
            <w:r w:rsidRPr="0043455E">
              <w:t>5</w:t>
            </w:r>
            <w:r>
              <w:t xml:space="preserve">75/2013 </w:t>
            </w:r>
            <w:r>
              <w:rPr>
                <w:rStyle w:val="InstructionsTabelleberschrift"/>
                <w:rFonts w:ascii="Times New Roman" w:hAnsi="Times New Roman"/>
                <w:b w:val="0"/>
                <w:sz w:val="24"/>
                <w:u w:val="none"/>
              </w:rPr>
              <w:t xml:space="preserve">dopuszcza się kompensowanie pozycji krótkich dotyczących tej samej ekspozycji bazowej, pod warunkiem że termin zapadalności pozycji krótkiej jest taki </w:t>
            </w:r>
            <w:r>
              <w:rPr>
                <w:rStyle w:val="InstructionsTabelleberschrift"/>
                <w:rFonts w:ascii="Times New Roman" w:hAnsi="Times New Roman"/>
                <w:b w:val="0"/>
                <w:sz w:val="24"/>
                <w:u w:val="none"/>
              </w:rPr>
              <w:lastRenderedPageBreak/>
              <w:t>sam jak termin zapadalności pozycji długiej lub jest późniejszy albo rezydualny termin zapadalności pozycji krótkiej wynosi co najmniej rok.</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lastRenderedPageBreak/>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Ekspozycje ważone ryzykiem z tytułu udziałów kapitałowych w kapitale podstawowym Tier I podmiotów sektora finansowego, nieodliczone od kapitału podstawowego Tier I instytucji</w:t>
            </w:r>
          </w:p>
          <w:p w14:paraId="042A9075" w14:textId="18A23611" w:rsidR="00674BF5" w:rsidRPr="002A677E" w:rsidRDefault="00674BF5" w:rsidP="00487A02">
            <w:pPr>
              <w:pStyle w:val="InstructionsText"/>
            </w:pPr>
            <w:r>
              <w:t xml:space="preserve">Art. 46 ust. 4, art. 48 ust. 4 i art. 49 ust. 4 rozporządzenia (UE) </w:t>
            </w:r>
            <w:r w:rsidRPr="0043455E">
              <w:t>nr</w:t>
            </w:r>
            <w:r w:rsidR="0043455E" w:rsidRPr="0043455E">
              <w:t> </w:t>
            </w:r>
            <w:r w:rsidRPr="0043455E">
              <w:t>5</w:t>
            </w:r>
            <w:r>
              <w:t>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Ekspozycje ważone ryzykiem z tytułu udziałów kapitałowych w kapitale dodatkowym Tier I podmiotów sektora finansowego, nieodliczone od kapitału dodatkowego Tier I instytucji</w:t>
            </w:r>
          </w:p>
          <w:p w14:paraId="22F50EEA" w14:textId="73F74BEA" w:rsidR="00674BF5" w:rsidRPr="002A677E" w:rsidRDefault="00674BF5" w:rsidP="00487A02">
            <w:pPr>
              <w:pStyle w:val="InstructionsText"/>
            </w:pPr>
            <w:r>
              <w:t xml:space="preserve">Art. 60 </w:t>
            </w:r>
            <w:r w:rsidRPr="0043455E">
              <w:t>ust.</w:t>
            </w:r>
            <w:r w:rsidR="0043455E" w:rsidRPr="0043455E">
              <w:t> </w:t>
            </w:r>
            <w:r w:rsidRPr="0043455E">
              <w:t>4</w:t>
            </w:r>
            <w:r>
              <w:t xml:space="preserve"> rozporządzenia (UE) </w:t>
            </w:r>
            <w:r w:rsidRPr="0043455E">
              <w:t>nr</w:t>
            </w:r>
            <w:r w:rsidR="0043455E" w:rsidRPr="0043455E">
              <w:t> </w:t>
            </w:r>
            <w:r w:rsidRPr="0043455E">
              <w:t>5</w:t>
            </w:r>
            <w:r>
              <w:t>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Ekspozycje ważone ryzykiem z tytułu udziałów kapitałowych w kapitale Tier II podmiotów sektora finansowego, nieodliczone od kapitału Tier II instytucji</w:t>
            </w:r>
          </w:p>
          <w:p w14:paraId="6575F047" w14:textId="466BB154" w:rsidR="00674BF5" w:rsidRPr="002A677E" w:rsidRDefault="00674BF5" w:rsidP="00487A02">
            <w:pPr>
              <w:pStyle w:val="InstructionsText"/>
            </w:pPr>
            <w:r>
              <w:t xml:space="preserve">Art. 70 </w:t>
            </w:r>
            <w:r w:rsidRPr="0043455E">
              <w:t>ust.</w:t>
            </w:r>
            <w:r w:rsidR="0043455E" w:rsidRPr="0043455E">
              <w:t> </w:t>
            </w:r>
            <w:r w:rsidRPr="0043455E">
              <w:t>4</w:t>
            </w:r>
            <w:r>
              <w:t xml:space="preserve"> rozporządzenia (UE) </w:t>
            </w:r>
            <w:r w:rsidRPr="0043455E">
              <w:t>nr</w:t>
            </w:r>
            <w:r w:rsidR="0043455E" w:rsidRPr="0043455E">
              <w:t> </w:t>
            </w:r>
            <w:r w:rsidRPr="0043455E">
              <w:t>5</w:t>
            </w:r>
            <w:r>
              <w:t>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Posiadane instrumenty w kapitale podstawowym Tier I podmiotów sektora finansowego, jeżeli instytucja nie dokonała znacznej inwestycji w te podmioty, podlegające tymczasowemu odstępstwu</w:t>
            </w:r>
          </w:p>
          <w:p w14:paraId="52FE2147" w14:textId="15ABD84D" w:rsidR="00674BF5" w:rsidRPr="002A677E" w:rsidRDefault="00674BF5" w:rsidP="00487A02">
            <w:pPr>
              <w:pStyle w:val="InstructionsText"/>
            </w:pPr>
            <w:r>
              <w:t xml:space="preserve">Art. 79 rozporządzenia (UE) </w:t>
            </w:r>
            <w:r w:rsidRPr="0043455E">
              <w:t>nr</w:t>
            </w:r>
            <w:r w:rsidR="0043455E" w:rsidRPr="0043455E">
              <w:t> </w:t>
            </w:r>
            <w:r w:rsidRPr="0043455E">
              <w:t>5</w:t>
            </w:r>
            <w:r>
              <w:t>75/2013</w:t>
            </w:r>
          </w:p>
          <w:p w14:paraId="7A4F7070" w14:textId="77777777" w:rsidR="00674BF5" w:rsidRPr="002A677E" w:rsidRDefault="00674BF5" w:rsidP="00487A02">
            <w:pPr>
              <w:pStyle w:val="InstructionsText"/>
            </w:pPr>
            <w:r>
              <w:t>Właściwy organ może tymczasowo odstąpić od stosowania przepisów dotyczących odliczania od kapitału podstawowego Tier I z powodu posiadanych przez instytucję instrumentów określonego podmiotu sektora finansowego, jeżeli uzna, że celem tych posiadanych udziałów jest pomoc finansowa przeznaczona na reorganizację i uratowanie tej jednostki.</w:t>
            </w:r>
          </w:p>
          <w:p w14:paraId="54997C1C" w14:textId="77777777" w:rsidR="00674BF5" w:rsidRPr="002A677E" w:rsidRDefault="00674BF5" w:rsidP="00487A02">
            <w:pPr>
              <w:pStyle w:val="InstructionsText"/>
            </w:pPr>
            <w:r>
              <w:t>Należy zauważyć, że instrumenty te zgłasza się również w pozycji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Posiadane instrumenty w kapitale podstawowym Tier I podmiotów sektora finansowego, jeżeli instytucja dokonała znacznej inwestycji w te podmioty, podlegające tymczasowemu odstępstwu</w:t>
            </w:r>
          </w:p>
          <w:p w14:paraId="03608A1D" w14:textId="191C2EE5" w:rsidR="00674BF5" w:rsidRPr="002A677E" w:rsidRDefault="00674BF5" w:rsidP="00487A02">
            <w:pPr>
              <w:pStyle w:val="InstructionsText"/>
            </w:pPr>
            <w:r>
              <w:t xml:space="preserve">Art. 79 rozporządzenia (UE) </w:t>
            </w:r>
            <w:r w:rsidRPr="0043455E">
              <w:t>nr</w:t>
            </w:r>
            <w:r w:rsidR="0043455E" w:rsidRPr="0043455E">
              <w:t> </w:t>
            </w:r>
            <w:r w:rsidRPr="0043455E">
              <w:t>5</w:t>
            </w:r>
            <w:r>
              <w:t>75/2013</w:t>
            </w:r>
          </w:p>
          <w:p w14:paraId="299F3BCD" w14:textId="77777777" w:rsidR="00674BF5" w:rsidRPr="002A677E" w:rsidRDefault="00674BF5" w:rsidP="00487A02">
            <w:pPr>
              <w:pStyle w:val="InstructionsText"/>
            </w:pPr>
            <w:r>
              <w:t>Właściwy organ może odstąpić od stosowania przepisów dotyczących odliczania od kapitału podstawowego Tier I z powodu posiadanych przez instytucję instrumentów określonego podmiotu sektora finansowego, jeżeli uzna, że celem tych posiadanych udziałów jest pomoc finansowa przeznaczona na reorganizację i uratowanie tej jednostki.</w:t>
            </w:r>
          </w:p>
          <w:p w14:paraId="5CC5E2F7" w14:textId="77777777" w:rsidR="00674BF5" w:rsidRPr="002A677E" w:rsidRDefault="00674BF5" w:rsidP="00487A02">
            <w:pPr>
              <w:pStyle w:val="InstructionsText"/>
            </w:pPr>
            <w:r>
              <w:t>Należy zauważyć, że instrumenty te zgłasza się również w pozycji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Posiadane instrumenty w kapitale dodatkowym Tier I podmiotów sektora finansowego, jeżeli instytucja nie dokonała znacznej inwestycji w te podmioty, podlegające tymczasowemu odstępstwu</w:t>
            </w:r>
          </w:p>
          <w:p w14:paraId="5E0DD8A4" w14:textId="5166D010" w:rsidR="00674BF5" w:rsidRPr="002A677E" w:rsidRDefault="00674BF5" w:rsidP="00487A02">
            <w:pPr>
              <w:pStyle w:val="InstructionsText"/>
            </w:pPr>
            <w:r>
              <w:t xml:space="preserve">Art. 79 rozporządzenia (UE) </w:t>
            </w:r>
            <w:r w:rsidRPr="0043455E">
              <w:t>nr</w:t>
            </w:r>
            <w:r w:rsidR="0043455E" w:rsidRPr="0043455E">
              <w:t> </w:t>
            </w:r>
            <w:r w:rsidRPr="0043455E">
              <w:t>5</w:t>
            </w:r>
            <w:r>
              <w:t>75/2013</w:t>
            </w:r>
          </w:p>
          <w:p w14:paraId="543CF2E7" w14:textId="77777777" w:rsidR="00674BF5" w:rsidRPr="002A677E" w:rsidRDefault="00674BF5" w:rsidP="00487A02">
            <w:pPr>
              <w:pStyle w:val="InstructionsText"/>
            </w:pPr>
            <w:r>
              <w:lastRenderedPageBreak/>
              <w:t>Właściwy organ może tymczasowo odstąpić od stosowania przepisów dotyczących odliczania od kapitału dodatkowego Tier I z powodu posiadanych przez instytucję instrumentów określonego podmiotu sektora finansowego, jeżeli uzna, że celem tych posiadanych udziałów jest pomoc finansowa przeznaczona na reorganizację i uratowanie tej jednostki.</w:t>
            </w:r>
          </w:p>
          <w:p w14:paraId="413F7444" w14:textId="77777777" w:rsidR="00674BF5" w:rsidRPr="002A677E" w:rsidRDefault="00674BF5" w:rsidP="00487A02">
            <w:pPr>
              <w:pStyle w:val="InstructionsText"/>
            </w:pPr>
            <w:r>
              <w:t>Należy zauważyć, że instrumenty te zgłasza się również w pozycji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lastRenderedPageBreak/>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Posiadane instrumenty w kapitale dodatkowym Tier I podmiotów sektora finansowego, jeżeli instytucja dokonała znacznej inwestycji w te podmioty, podlegające tymczasowemu odstępstwu</w:t>
            </w:r>
          </w:p>
          <w:p w14:paraId="13D7F84D" w14:textId="346FCA0C" w:rsidR="00674BF5" w:rsidRPr="002A677E" w:rsidRDefault="00674BF5" w:rsidP="00487A02">
            <w:pPr>
              <w:pStyle w:val="InstructionsText"/>
            </w:pPr>
            <w:r>
              <w:t xml:space="preserve">Art. 79 rozporządzenia (UE) </w:t>
            </w:r>
            <w:r w:rsidRPr="0043455E">
              <w:t>nr</w:t>
            </w:r>
            <w:r w:rsidR="0043455E" w:rsidRPr="0043455E">
              <w:t> </w:t>
            </w:r>
            <w:r w:rsidRPr="0043455E">
              <w:t>5</w:t>
            </w:r>
            <w:r>
              <w:t>75/2013</w:t>
            </w:r>
          </w:p>
          <w:p w14:paraId="5F5D5B71" w14:textId="77777777" w:rsidR="00674BF5" w:rsidRPr="002A677E" w:rsidRDefault="00674BF5" w:rsidP="00487A02">
            <w:pPr>
              <w:pStyle w:val="InstructionsText"/>
            </w:pPr>
            <w:r>
              <w:t>Właściwy organ może tymczasowo odstąpić od stosowania przepisów dotyczących odliczania od kapitału dodatkowego Tier I z powodu posiadanych przez instytucję instrumentów określonego podmiotu sektora finansowego, jeżeli uzna, że celem tych posiadanych udziałów jest pomoc finansowa przeznaczona na reorganizację i uratowanie tej jednostki.</w:t>
            </w:r>
          </w:p>
          <w:p w14:paraId="1B89E41B" w14:textId="77777777" w:rsidR="00674BF5" w:rsidRPr="002A677E" w:rsidRDefault="00674BF5" w:rsidP="00487A02">
            <w:pPr>
              <w:pStyle w:val="InstructionsText"/>
            </w:pPr>
            <w:r>
              <w:t>Należy zauważyć, że instrumenty te zgłasza się również w pozycji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Posiadane instrumenty w kapitale Tier II podmiotów sektora finansowego, jeżeli instytucja nie dokonała znacznej inwestycji w te podmioty, podlegające tymczasowemu odstępstwu</w:t>
            </w:r>
          </w:p>
          <w:p w14:paraId="18A36D10" w14:textId="0573E3E5" w:rsidR="00674BF5" w:rsidRPr="002A677E" w:rsidRDefault="00674BF5" w:rsidP="00487A02">
            <w:pPr>
              <w:pStyle w:val="InstructionsText"/>
            </w:pPr>
            <w:r>
              <w:t xml:space="preserve">Art. 79 rozporządzenia (UE) </w:t>
            </w:r>
            <w:r w:rsidRPr="0043455E">
              <w:t>nr</w:t>
            </w:r>
            <w:r w:rsidR="0043455E" w:rsidRPr="0043455E">
              <w:t> </w:t>
            </w:r>
            <w:r w:rsidRPr="0043455E">
              <w:t>5</w:t>
            </w:r>
            <w:r>
              <w:t>75/2013</w:t>
            </w:r>
          </w:p>
          <w:p w14:paraId="509BBCB4" w14:textId="77777777" w:rsidR="00674BF5" w:rsidRPr="002A677E" w:rsidRDefault="00674BF5" w:rsidP="00487A02">
            <w:pPr>
              <w:pStyle w:val="InstructionsText"/>
            </w:pPr>
            <w:r>
              <w:t>Właściwy organ może odstąpić od stosowania przepisów dotyczących odliczania od kapitału Tier II z powodu posiadanych przez instytucję instrumentów określonego podmiotu sektora finansowego, jeżeli uzna, że celem tych posiadanych udziałów jest pomoc finansowa przeznaczona na reorganizację i uratowanie tej jednostki.</w:t>
            </w:r>
          </w:p>
          <w:p w14:paraId="01A32095" w14:textId="77777777" w:rsidR="00674BF5" w:rsidRPr="002A677E" w:rsidRDefault="00674BF5" w:rsidP="00487A02">
            <w:pPr>
              <w:pStyle w:val="InstructionsText"/>
            </w:pPr>
            <w:r>
              <w:t>Należy zauważyć, że instrumenty te zgłasza się również w pozycji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Posiadane instrumenty w kapitale Tier II podmiotów sektora finansowego, jeżeli instytucja dokonała znacznej inwestycji w te podmioty, podlegające tymczasowemu odstępstwu</w:t>
            </w:r>
          </w:p>
          <w:p w14:paraId="1DF87BB9" w14:textId="27C373AD" w:rsidR="00674BF5" w:rsidRPr="002A677E" w:rsidRDefault="00674BF5" w:rsidP="00487A02">
            <w:pPr>
              <w:pStyle w:val="InstructionsText"/>
            </w:pPr>
            <w:r>
              <w:t xml:space="preserve">Art. 79 rozporządzenia (UE) </w:t>
            </w:r>
            <w:r w:rsidRPr="0043455E">
              <w:t>nr</w:t>
            </w:r>
            <w:r w:rsidR="0043455E" w:rsidRPr="0043455E">
              <w:t> </w:t>
            </w:r>
            <w:r w:rsidRPr="0043455E">
              <w:t>5</w:t>
            </w:r>
            <w:r>
              <w:t>75/2013</w:t>
            </w:r>
          </w:p>
          <w:p w14:paraId="60AF3036" w14:textId="77777777" w:rsidR="00674BF5" w:rsidRPr="002A677E" w:rsidRDefault="00674BF5" w:rsidP="00487A02">
            <w:pPr>
              <w:pStyle w:val="InstructionsText"/>
            </w:pPr>
            <w:r>
              <w:t>Właściwy organ może odstąpić od stosowania przepisów dotyczących odliczania od kapitału Tier II z powodu posiadanych przez instytucję instrumentów określonego podmiotu sektora finansowego, jeżeli uzna, że celem tych posiadanych udziałów jest pomoc finansowa przeznaczona na reorganizację i uratowanie tej jednostki.</w:t>
            </w:r>
          </w:p>
          <w:p w14:paraId="3BD976D0" w14:textId="77777777" w:rsidR="00674BF5" w:rsidRPr="002A677E" w:rsidRDefault="00674BF5" w:rsidP="00487A02">
            <w:pPr>
              <w:pStyle w:val="InstructionsText"/>
            </w:pPr>
            <w:r>
              <w:t>Należy zauważyć, że instrumenty te zgłasza się również w pozycji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Wymóg połączonego bufora</w:t>
            </w:r>
          </w:p>
          <w:p w14:paraId="3532B662" w14:textId="091A8057" w:rsidR="00674BF5" w:rsidRPr="002A677E" w:rsidRDefault="00674BF5" w:rsidP="00487A02">
            <w:pPr>
              <w:pStyle w:val="InstructionsText"/>
            </w:pPr>
            <w:r>
              <w:t xml:space="preserve">Art. 128 </w:t>
            </w:r>
            <w:r w:rsidRPr="0043455E">
              <w:t>pkt</w:t>
            </w:r>
            <w:r w:rsidR="0043455E" w:rsidRPr="0043455E">
              <w:t> </w:t>
            </w:r>
            <w:r w:rsidRPr="0043455E">
              <w:t>6</w:t>
            </w:r>
            <w:r>
              <w:t xml:space="preserve"> dyrektywy 2013/36/UE</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Bufor zabezpieczający</w:t>
            </w:r>
          </w:p>
          <w:p w14:paraId="281A5B21" w14:textId="213578BD" w:rsidR="00674BF5" w:rsidRPr="002A677E" w:rsidRDefault="00674BF5" w:rsidP="00487A02">
            <w:pPr>
              <w:pStyle w:val="InstructionsText"/>
            </w:pPr>
            <w:r>
              <w:t xml:space="preserve">Art. 128 </w:t>
            </w:r>
            <w:r w:rsidRPr="0043455E">
              <w:t>pkt</w:t>
            </w:r>
            <w:r w:rsidR="0043455E" w:rsidRPr="0043455E">
              <w:t> </w:t>
            </w:r>
            <w:r w:rsidRPr="0043455E">
              <w:t>1</w:t>
            </w:r>
            <w:r>
              <w:t xml:space="preserve"> oraz </w:t>
            </w:r>
            <w:r w:rsidRPr="0043455E">
              <w:t>art.</w:t>
            </w:r>
            <w:r w:rsidR="0043455E" w:rsidRPr="0043455E">
              <w:t> </w:t>
            </w:r>
            <w:r w:rsidRPr="0043455E">
              <w:t>1</w:t>
            </w:r>
            <w:r>
              <w:t xml:space="preserve">29 dyrektywy 2013/36/UE </w:t>
            </w:r>
          </w:p>
          <w:p w14:paraId="1626DA15" w14:textId="255F0BA8" w:rsidR="00674BF5" w:rsidRPr="002A677E" w:rsidRDefault="00674BF5" w:rsidP="00487A02">
            <w:pPr>
              <w:pStyle w:val="InstructionsText"/>
            </w:pPr>
            <w:r>
              <w:lastRenderedPageBreak/>
              <w:t>Zgodnie z art. 129 ust. 1 dyrektywy 2013/36/UE bufor zabezpieczający jest dodatkową kwotą kapitału podstawowego Tier I. Ze względu na fakt, że wynosząca 2,</w:t>
            </w:r>
            <w:r w:rsidRPr="0043455E">
              <w:t>5</w:t>
            </w:r>
            <w:r w:rsidR="0043455E" w:rsidRPr="0043455E">
              <w:t> </w:t>
            </w:r>
            <w:r w:rsidRPr="0043455E">
              <w:t>%</w:t>
            </w:r>
            <w:r>
              <w:t xml:space="preserve"> wartość bufora zabezpieczającego jest stała, kwotę zgłasza się w tym wierszu.</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Bufor zabezpieczający wynikający z ryzyka makroostrożnościowego lub ryzyka systemowego zidentyfikowanego na poziomie państwa członkowskiego </w:t>
            </w:r>
          </w:p>
          <w:p w14:paraId="3A52B7F6" w14:textId="77A803E4" w:rsidR="00674BF5" w:rsidRPr="002A677E" w:rsidRDefault="00674BF5" w:rsidP="00487A02">
            <w:pPr>
              <w:pStyle w:val="InstructionsText"/>
            </w:pPr>
            <w:r>
              <w:t xml:space="preserve">Art. 458 </w:t>
            </w:r>
            <w:r w:rsidRPr="0043455E">
              <w:t>ust.</w:t>
            </w:r>
            <w:r w:rsidR="0043455E" w:rsidRPr="0043455E">
              <w:t> </w:t>
            </w:r>
            <w:r w:rsidRPr="0043455E">
              <w:t>2</w:t>
            </w:r>
            <w:r>
              <w:t xml:space="preserve"> </w:t>
            </w:r>
            <w:r w:rsidRPr="0043455E">
              <w:t>lit.</w:t>
            </w:r>
            <w:r w:rsidR="0043455E" w:rsidRPr="0043455E">
              <w:t> </w:t>
            </w:r>
            <w:r w:rsidRPr="0043455E">
              <w:t>d)</w:t>
            </w:r>
            <w:r>
              <w:t xml:space="preserve"> pkt (iv) rozporządzenia (UE) </w:t>
            </w:r>
            <w:r w:rsidRPr="0043455E">
              <w:t>nr</w:t>
            </w:r>
            <w:r w:rsidR="0043455E" w:rsidRPr="0043455E">
              <w:t> </w:t>
            </w:r>
            <w:r w:rsidRPr="0043455E">
              <w:t>5</w:t>
            </w:r>
            <w:r>
              <w:t>75/2013</w:t>
            </w:r>
          </w:p>
          <w:p w14:paraId="12681F1A" w14:textId="35A59F60" w:rsidR="00674BF5" w:rsidRPr="002A677E" w:rsidRDefault="00674BF5" w:rsidP="00487A02">
            <w:pPr>
              <w:pStyle w:val="InstructionsText"/>
            </w:pPr>
            <w:r>
              <w:t xml:space="preserve">W tym wierszu zgłasza się kwotę bufora zabezpieczającego wynikającego z ryzyka makroostrożnościowego lub ryzyka systemowego zidentyfikowanego na poziomie państwa członkowskiego, która może być wymagana zgodnie z art. 458 rozporządzenia (UE) </w:t>
            </w:r>
            <w:r w:rsidRPr="0043455E">
              <w:t>nr</w:t>
            </w:r>
            <w:r w:rsidR="0043455E" w:rsidRPr="0043455E">
              <w:t> </w:t>
            </w:r>
            <w:r w:rsidRPr="0043455E">
              <w:t>5</w:t>
            </w:r>
            <w:r>
              <w:t>75/2013 poza buforem zabezpieczającym.</w:t>
            </w:r>
          </w:p>
          <w:p w14:paraId="3F7DEDE7" w14:textId="77777777" w:rsidR="00674BF5" w:rsidRPr="002A677E" w:rsidRDefault="00674BF5" w:rsidP="00487A02">
            <w:pPr>
              <w:pStyle w:val="InstructionsText"/>
            </w:pPr>
            <w:r>
              <w:t>Zgłoszona kwota odpowiada kwocie funduszy własnych niezbędnych do spełnienia odpowiednich wymogów w zakresie buforów kapitałowych na dzień sprawozdawczy.</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Specyficzny dla instytucji bufor antycykliczny </w:t>
            </w:r>
          </w:p>
          <w:p w14:paraId="63DAB6ED" w14:textId="7C232FC1" w:rsidR="00674BF5" w:rsidRPr="002A677E" w:rsidRDefault="00674BF5" w:rsidP="00487A02">
            <w:pPr>
              <w:pStyle w:val="InstructionsText"/>
            </w:pPr>
            <w:r>
              <w:t xml:space="preserve">Art. 128 </w:t>
            </w:r>
            <w:r w:rsidRPr="0043455E">
              <w:t>pkt</w:t>
            </w:r>
            <w:r w:rsidR="0043455E" w:rsidRPr="0043455E">
              <w:t> </w:t>
            </w:r>
            <w:r w:rsidRPr="0043455E">
              <w:t>2</w:t>
            </w:r>
            <w:r>
              <w:t xml:space="preserve">, </w:t>
            </w:r>
            <w:r w:rsidRPr="0043455E">
              <w:t>art.</w:t>
            </w:r>
            <w:r w:rsidR="0043455E" w:rsidRPr="0043455E">
              <w:t> </w:t>
            </w:r>
            <w:r w:rsidRPr="0043455E">
              <w:t>1</w:t>
            </w:r>
            <w:r>
              <w:t xml:space="preserve">30 oraz </w:t>
            </w:r>
            <w:r w:rsidRPr="0043455E">
              <w:t>art.</w:t>
            </w:r>
            <w:r w:rsidR="0043455E" w:rsidRPr="0043455E">
              <w:t> </w:t>
            </w:r>
            <w:r w:rsidRPr="0043455E">
              <w:t>1</w:t>
            </w:r>
            <w:r>
              <w:t xml:space="preserve">35–140 dyrektywy 2013/36/UE </w:t>
            </w:r>
          </w:p>
          <w:p w14:paraId="58A89809" w14:textId="77777777" w:rsidR="00674BF5" w:rsidRPr="002A677E" w:rsidRDefault="00674BF5" w:rsidP="00487A02">
            <w:pPr>
              <w:pStyle w:val="InstructionsText"/>
            </w:pPr>
            <w:r>
              <w:t>Zgłoszona kwota odpowiada kwocie funduszy własnych niezbędnych do spełnienia odpowiednich wymogów w zakresie buforów kapitałowych na dzień sprawozdawczy.</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Bufor ryzyka systemowego </w:t>
            </w:r>
          </w:p>
          <w:p w14:paraId="775A8901" w14:textId="1D8231CE" w:rsidR="00674BF5" w:rsidRPr="002A677E" w:rsidRDefault="00674BF5" w:rsidP="00487A02">
            <w:pPr>
              <w:pStyle w:val="InstructionsText"/>
            </w:pPr>
            <w:r>
              <w:t xml:space="preserve">Art. 128 </w:t>
            </w:r>
            <w:r w:rsidRPr="0043455E">
              <w:t>pkt</w:t>
            </w:r>
            <w:r w:rsidR="0043455E" w:rsidRPr="0043455E">
              <w:t> </w:t>
            </w:r>
            <w:r w:rsidRPr="0043455E">
              <w:t>5</w:t>
            </w:r>
            <w:r>
              <w:t xml:space="preserve">, </w:t>
            </w:r>
            <w:r w:rsidRPr="0043455E">
              <w:t>art.</w:t>
            </w:r>
            <w:r w:rsidR="0043455E" w:rsidRPr="0043455E">
              <w:t> </w:t>
            </w:r>
            <w:r w:rsidRPr="0043455E">
              <w:t>1</w:t>
            </w:r>
            <w:r>
              <w:t xml:space="preserve">33 i 134 dyrektywy 2013/36/UE </w:t>
            </w:r>
          </w:p>
          <w:p w14:paraId="6746F441" w14:textId="77777777" w:rsidR="00674BF5" w:rsidRPr="002A677E" w:rsidRDefault="00674BF5" w:rsidP="00487A02">
            <w:pPr>
              <w:pStyle w:val="InstructionsText"/>
            </w:pPr>
            <w:r>
              <w:t>Zgłoszona kwota odpowiada kwocie funduszy własnych niezbędnych do spełnienia odpowiednich wymogów w zakresie buforów kapitałowych na dzień sprawozdawczy.</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Bufor globalnych instytucji o znaczeniu systemowym</w:t>
            </w:r>
          </w:p>
          <w:p w14:paraId="50CFDE15" w14:textId="03300191"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128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31</w:t>
            </w:r>
            <w:r>
              <w:t xml:space="preserve"> dyrektywy 2013/36/UE</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Zgłoszona kwota odpowiada kwocie funduszy własnych niezbędnych do spełnienia odpowiednich wymogów w zakresie buforów kapitałowych na dzień sprawozdawczy.</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Bufor innych instytucji o znaczeniu systemowym </w:t>
            </w:r>
          </w:p>
          <w:p w14:paraId="248DFF6D" w14:textId="177FAD6E"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128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31</w:t>
            </w:r>
            <w:r>
              <w:t xml:space="preserve"> dyrektywy 2013/36/UE</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Zgłoszona kwota odpowiada kwocie funduszy własnych niezbędnych do spełnienia odpowiednich wymogów w zakresie buforów kapitałowych na dzień sprawozdawczy.</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Wymogi w zakresie funduszy własnych związane z korektami w ramach filaru II</w:t>
            </w:r>
          </w:p>
          <w:p w14:paraId="48BC9978" w14:textId="16F0B11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104a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t>dyrektywy 2013/36/UE</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Jeżeli właściwy organ uzna, że instytucja musi obliczyć dodatkowe wymogi w zakresie funduszy własnych z powodów związanych z filarem </w:t>
            </w:r>
            <w:r>
              <w:rPr>
                <w:rStyle w:val="InstructionsTabelleberschrift"/>
                <w:rFonts w:ascii="Times New Roman" w:hAnsi="Times New Roman"/>
                <w:b w:val="0"/>
                <w:sz w:val="24"/>
                <w:u w:val="none"/>
              </w:rPr>
              <w:lastRenderedPageBreak/>
              <w:t xml:space="preserve">II, te dodatkowe wymogi w zakresie funduszy własnych zgłasza się w tym wierszu.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lastRenderedPageBreak/>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Kapitał założycielski</w:t>
            </w:r>
          </w:p>
          <w:p w14:paraId="25C262EC" w14:textId="1990CA4C" w:rsidR="00674BF5" w:rsidRPr="002A677E" w:rsidRDefault="00674BF5" w:rsidP="00836936">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12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8–31 </w:t>
            </w:r>
            <w:r>
              <w:t>dyrektywy 2013/36/UE</w:t>
            </w:r>
            <w:r>
              <w:rPr>
                <w:rStyle w:val="InstructionsTabelleberschrift"/>
                <w:rFonts w:ascii="Times New Roman" w:hAnsi="Times New Roman"/>
                <w:b w:val="0"/>
                <w:sz w:val="24"/>
                <w:u w:val="none"/>
              </w:rPr>
              <w:t xml:space="preserve"> oraz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3</w:t>
            </w:r>
            <w:r>
              <w:t xml:space="preserve"> rozporządzenia (UE) </w:t>
            </w:r>
            <w:r w:rsidRPr="0043455E">
              <w:t>nr</w:t>
            </w:r>
            <w:r w:rsidR="0043455E" w:rsidRPr="0043455E">
              <w:t> </w:t>
            </w:r>
            <w:r w:rsidRPr="0043455E">
              <w:t>5</w:t>
            </w:r>
            <w:r>
              <w:t>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Fundusze własne oparte na stałych kosztach pośrednich</w:t>
            </w:r>
          </w:p>
          <w:p w14:paraId="5047BBAB" w14:textId="012200A4" w:rsidR="00674BF5" w:rsidRDefault="00674BF5" w:rsidP="002E796C">
            <w:pPr>
              <w:pStyle w:val="InstructionsText"/>
            </w:pPr>
            <w:r>
              <w:rPr>
                <w:rStyle w:val="InstructionsTabelleberschrift"/>
                <w:rFonts w:ascii="Times New Roman" w:hAnsi="Times New Roman"/>
                <w:b w:val="0"/>
                <w:sz w:val="24"/>
                <w:u w:val="none"/>
              </w:rPr>
              <w:t>Art. 95 ust.</w:t>
            </w:r>
            <w:r>
              <w:rPr>
                <w:rStyle w:val="InstructionsTabelleberschrift"/>
                <w:rFonts w:ascii="Times New Roman" w:hAnsi="Times New Roman"/>
                <w:b w:val="0"/>
                <w:sz w:val="24"/>
              </w:rPr>
              <w:t xml:space="preserve">2 </w:t>
            </w:r>
            <w:r w:rsidRPr="0043455E">
              <w:rPr>
                <w:rStyle w:val="InstructionsTabelleberschrift"/>
                <w:rFonts w:ascii="Times New Roman" w:hAnsi="Times New Roman"/>
                <w:b w:val="0"/>
                <w:sz w:val="24"/>
              </w:rPr>
              <w:t>lit.</w:t>
            </w:r>
            <w:r w:rsidR="0043455E" w:rsidRPr="0043455E">
              <w:rPr>
                <w:rStyle w:val="InstructionsTabelleberschrift"/>
                <w:rFonts w:ascii="Times New Roman" w:hAnsi="Times New Roman"/>
                <w:b w:val="0"/>
                <w:sz w:val="24"/>
              </w:rPr>
              <w:t> </w:t>
            </w:r>
            <w:r w:rsidRPr="0043455E">
              <w:rPr>
                <w:rStyle w:val="InstructionsTabelleberschrift"/>
                <w:rFonts w:ascii="Times New Roman" w:hAnsi="Times New Roman"/>
                <w:b w:val="0"/>
                <w:sz w:val="24"/>
              </w:rPr>
              <w:t>b)</w:t>
            </w:r>
            <w:r>
              <w:rPr>
                <w:rStyle w:val="InstructionsTabelleberschrift"/>
                <w:rFonts w:ascii="Times New Roman" w:hAnsi="Times New Roman"/>
                <w:b w:val="0"/>
                <w:sz w:val="24"/>
              </w:rPr>
              <w:t xml:space="preserve">, </w:t>
            </w:r>
            <w:r w:rsidRPr="0043455E">
              <w:rPr>
                <w:rStyle w:val="InstructionsTabelleberschrift"/>
                <w:rFonts w:ascii="Times New Roman" w:hAnsi="Times New Roman"/>
                <w:b w:val="0"/>
                <w:sz w:val="24"/>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6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b)</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7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8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a)</w:t>
            </w:r>
            <w:r>
              <w:t xml:space="preserve">rozporządzenia (UE) </w:t>
            </w:r>
            <w:r w:rsidRPr="0043455E">
              <w:t>nr</w:t>
            </w:r>
            <w:r w:rsidR="0043455E" w:rsidRPr="0043455E">
              <w:t> </w:t>
            </w:r>
            <w:r w:rsidRPr="0043455E">
              <w:t>5</w:t>
            </w:r>
            <w:r>
              <w:t>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Zgłaszana kwota odpowiada wymogowi w zakresie funduszy własnych wynikającemu z zastosowania wyżej wymienionych artykułów.</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Zagraniczne pierwotne ekspozycje</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Informacje niezbędne do obliczenia progu dla zgłaszania wzoru CR GB</w:t>
            </w:r>
            <w:r>
              <w:t xml:space="preserve"> </w:t>
            </w:r>
            <w:r>
              <w:rPr>
                <w:rStyle w:val="InstructionsTabelleberschrift"/>
                <w:rFonts w:ascii="Times New Roman" w:hAnsi="Times New Roman"/>
                <w:b w:val="0"/>
                <w:sz w:val="24"/>
                <w:u w:val="none"/>
              </w:rPr>
              <w:t>zgodnie z</w:t>
            </w:r>
            <w:r>
              <w:t xml:space="preserve"> art. 5 ust. 5 niniejszego rozporządzenia wykonawczego.</w:t>
            </w:r>
            <w:r>
              <w:rPr>
                <w:rStyle w:val="InstructionsTabelleberschrift"/>
                <w:rFonts w:ascii="Times New Roman" w:hAnsi="Times New Roman"/>
                <w:b w:val="0"/>
                <w:sz w:val="24"/>
                <w:u w:val="none"/>
              </w:rPr>
              <w:t xml:space="preserve"> Próg oblicza się na podstawie pierwotnej ekspozycji przed uwzględnieniem współczynników konwersji.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Ekspozycje uznaje się za krajowe w przypadku, gdy są to ekspozycje wobec kontrahentów zlokalizowanych w państwie członkowskim, w którym dana instytucja ma swoją siedzibę.</w:t>
            </w:r>
          </w:p>
          <w:p w14:paraId="298968ED" w14:textId="014C0074"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Na zasadzie odstępstwa od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1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 niniejszego rozporządzenia wykonawczego wiersz ten należy zawsze wypełniać.</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Całkowita wartość pierwotnych ekspozycji</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Informacje niezbędne do obliczenia progu dla zgłaszania wzoru</w:t>
            </w:r>
            <w:r>
              <w:t xml:space="preserve"> CR GB </w:t>
            </w:r>
            <w:r>
              <w:rPr>
                <w:rStyle w:val="InstructionsTabelleberschrift"/>
                <w:rFonts w:ascii="Times New Roman" w:hAnsi="Times New Roman"/>
                <w:b w:val="0"/>
                <w:sz w:val="24"/>
                <w:u w:val="none"/>
              </w:rPr>
              <w:t>zgodnie z</w:t>
            </w:r>
            <w:r>
              <w:t xml:space="preserve"> art. 5 ust. 5 niniejszego rozporządzenia wykonawczego.</w:t>
            </w:r>
            <w:r>
              <w:rPr>
                <w:rStyle w:val="InstructionsTabelleberschrift"/>
                <w:rFonts w:ascii="Times New Roman" w:hAnsi="Times New Roman"/>
                <w:b w:val="0"/>
                <w:sz w:val="24"/>
                <w:u w:val="none"/>
              </w:rPr>
              <w:t xml:space="preserve"> Próg oblicza się na podstawie pierwotnej ekspozycji przed uwzględnieniem współczynników konwersji.</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Ekspozycje uznaje się za krajowe w przypadku, gdy są to ekspozycje wobec kontrahentów zlokalizowanych w państwie członkowskim, w którym dana instytucja ma swoją siedzibę.</w:t>
            </w:r>
          </w:p>
          <w:p w14:paraId="4AF971EF" w14:textId="59D338AD"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Na zasadzie odstępstwa od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1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 niniejszego rozporządzenia wykonawczego wiersz ten należy zawsze wypełniać.</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308175834"/>
      <w:bookmarkStart w:id="70" w:name="_Toc119064779"/>
      <w:r>
        <w:rPr>
          <w:rFonts w:ascii="Times New Roman" w:hAnsi="Times New Roman"/>
          <w:sz w:val="24"/>
        </w:rPr>
        <w:t>1.6</w:t>
      </w:r>
      <w:r>
        <w:tab/>
      </w:r>
      <w:r>
        <w:rPr>
          <w:rFonts w:ascii="Times New Roman" w:hAnsi="Times New Roman"/>
          <w:sz w:val="24"/>
        </w:rPr>
        <w:t>PRZEPISY PRZEJŚCIOWE oraz INSTRUMENTY PODLEGAJĄCE ZASADZIE PRAW NABYTYCH: INSTRUMENTY NIESTANOWIĄCE POMOCY PAŃSTWA (CA5</w:t>
      </w:r>
      <w:bookmarkEnd w:id="67"/>
      <w:r>
        <w:rPr>
          <w:rFonts w:ascii="Times New Roman" w:hAnsi="Times New Roman"/>
          <w:sz w:val="24"/>
        </w:rPr>
        <w:t>)</w:t>
      </w:r>
      <w:bookmarkEnd w:id="68"/>
      <w:bookmarkEnd w:id="70"/>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9064780"/>
      <w:bookmarkEnd w:id="69"/>
      <w:r>
        <w:rPr>
          <w:rFonts w:ascii="Times New Roman" w:hAnsi="Times New Roman"/>
          <w:sz w:val="24"/>
        </w:rPr>
        <w:t>1.6.1</w:t>
      </w:r>
      <w:r>
        <w:tab/>
      </w:r>
      <w:r>
        <w:rPr>
          <w:rFonts w:ascii="Times New Roman" w:hAnsi="Times New Roman"/>
          <w:sz w:val="24"/>
        </w:rPr>
        <w:t>Uwagi ogólne</w:t>
      </w:r>
      <w:bookmarkEnd w:id="71"/>
      <w:bookmarkEnd w:id="72"/>
      <w:bookmarkEnd w:id="73"/>
      <w:bookmarkEnd w:id="74"/>
    </w:p>
    <w:p w14:paraId="41003114" w14:textId="4815E08B" w:rsidR="00783881" w:rsidRPr="002A677E" w:rsidRDefault="0043455E" w:rsidP="00487A02">
      <w:pPr>
        <w:pStyle w:val="InstructionsText2"/>
        <w:numPr>
          <w:ilvl w:val="0"/>
          <w:numId w:val="0"/>
        </w:numPr>
        <w:ind w:left="1353" w:hanging="360"/>
      </w:pPr>
      <w:fldSimple w:instr=" seq paragraphs ">
        <w:r w:rsidR="008F3052">
          <w:t>16</w:t>
        </w:r>
      </w:fldSimple>
      <w:r w:rsidR="008F3052">
        <w:t>.</w:t>
      </w:r>
      <w:r w:rsidR="008F3052">
        <w:tab/>
        <w:t xml:space="preserve">Wzór CA5 zawiera podsumowanie obliczeń składników funduszy własnych i odliczeń podlegających przepisom przejściowym określonym w </w:t>
      </w:r>
      <w:r w:rsidR="008F3052" w:rsidRPr="0043455E">
        <w:t>art.</w:t>
      </w:r>
      <w:r w:rsidRPr="0043455E">
        <w:t> </w:t>
      </w:r>
      <w:r w:rsidR="008F3052" w:rsidRPr="0043455E">
        <w:t>4</w:t>
      </w:r>
      <w:r w:rsidR="008F3052">
        <w:t xml:space="preserve">65–491, 494a i 494b rozporządzenia (UE) </w:t>
      </w:r>
      <w:r w:rsidR="008F3052" w:rsidRPr="0043455E">
        <w:t>nr</w:t>
      </w:r>
      <w:r w:rsidRPr="0043455E">
        <w:t> </w:t>
      </w:r>
      <w:r w:rsidR="008F3052" w:rsidRPr="0043455E">
        <w:t>5</w:t>
      </w:r>
      <w:r w:rsidR="008F3052">
        <w:t xml:space="preserve">75/2013. </w:t>
      </w:r>
    </w:p>
    <w:p w14:paraId="3F679519" w14:textId="77777777" w:rsidR="00496C53" w:rsidRPr="002A677E" w:rsidRDefault="0043455E" w:rsidP="00487A02">
      <w:pPr>
        <w:pStyle w:val="InstructionsText2"/>
        <w:numPr>
          <w:ilvl w:val="0"/>
          <w:numId w:val="0"/>
        </w:numPr>
        <w:ind w:left="1353" w:hanging="360"/>
      </w:pPr>
      <w:fldSimple w:instr=" seq paragraphs ">
        <w:r w:rsidR="008F3052">
          <w:t>17</w:t>
        </w:r>
      </w:fldSimple>
      <w:r w:rsidR="008F3052">
        <w:t>.</w:t>
      </w:r>
      <w:r w:rsidR="008F3052">
        <w:tab/>
        <w:t>Struktura CA5 jest następująca:</w:t>
      </w:r>
    </w:p>
    <w:p w14:paraId="03CFA8D7" w14:textId="77777777" w:rsidR="002648B0" w:rsidRPr="002A677E" w:rsidRDefault="00125707" w:rsidP="00487A02">
      <w:pPr>
        <w:pStyle w:val="InstructionsText2"/>
        <w:numPr>
          <w:ilvl w:val="0"/>
          <w:numId w:val="0"/>
        </w:numPr>
        <w:ind w:left="1353" w:hanging="360"/>
      </w:pPr>
      <w:r>
        <w:lastRenderedPageBreak/>
        <w:t>a)</w:t>
      </w:r>
      <w:r>
        <w:tab/>
        <w:t>Wzór CA5.1 zawiera podsumowanie całkowitych korekt, których należy dokonać w odniesieniu do różnych elementów funduszy własnych (zgłoszonych w CA1 zgodnie z przepisami końcowymi) wskutek stosowania przepisów przejściowych. Elementy tego wzoru są przedstawiane jako „korekty” różnych składników kapitału w CA1, aby odzwierciedlić w składnikach funduszy własnych skutki przepisów przejściowych;</w:t>
      </w:r>
    </w:p>
    <w:p w14:paraId="508D01E4" w14:textId="77777777" w:rsidR="002648B0" w:rsidRPr="002A677E" w:rsidRDefault="00125707" w:rsidP="00487A02">
      <w:pPr>
        <w:pStyle w:val="InstructionsText2"/>
        <w:numPr>
          <w:ilvl w:val="0"/>
          <w:numId w:val="0"/>
        </w:numPr>
        <w:ind w:left="1353" w:hanging="360"/>
      </w:pPr>
      <w:r>
        <w:t>b)</w:t>
      </w:r>
      <w:r>
        <w:tab/>
        <w:t xml:space="preserve">wzór 5.2 zawiera dalsze szczegóły dotyczące obliczania tych instrumentów podlegających zasadzie praw nabytych, które nie stanowią pomocy państwa. </w:t>
      </w:r>
    </w:p>
    <w:bookmarkStart w:id="75"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Instytucje zgłaszają w pierwszych czterech kolumnach korekty kapitału podstawowego Tier I, kapitału dodatkowego Tier I i kapitału Tier II, a także kwotę, którą należy traktować jako aktywa ważone ryzykiem. Instytucje są również zobowiązane do zgłaszania w kolumnie 0050 mającej zastosowanie wartości procentowej, a w kolumnie 0060 uznanej kwoty bez uwzględnienia przepisów przejściowych.</w:t>
      </w:r>
    </w:p>
    <w:p w14:paraId="1008CEFB" w14:textId="53CB4107" w:rsidR="005643EA" w:rsidRPr="002A677E" w:rsidRDefault="0043455E" w:rsidP="00487A02">
      <w:pPr>
        <w:pStyle w:val="InstructionsText2"/>
        <w:numPr>
          <w:ilvl w:val="0"/>
          <w:numId w:val="0"/>
        </w:numPr>
        <w:ind w:left="1353" w:hanging="360"/>
      </w:pPr>
      <w:fldSimple w:instr=" seq paragraphs ">
        <w:r w:rsidR="008F3052">
          <w:t>19</w:t>
        </w:r>
      </w:fldSimple>
      <w:r w:rsidR="008F3052">
        <w:t>.</w:t>
      </w:r>
      <w:r w:rsidR="008F3052">
        <w:tab/>
        <w:t xml:space="preserve">Instytucje zgłaszają elementy w CA5 wyłącznie w okresie, w którym zastosowanie mają przepisy przejściowe określone w części dziesiątej rozporządzenia (UE) </w:t>
      </w:r>
      <w:r w:rsidR="008F3052" w:rsidRPr="0043455E">
        <w:t>nr</w:t>
      </w:r>
      <w:r w:rsidRPr="0043455E">
        <w:t> </w:t>
      </w:r>
      <w:r w:rsidR="008F3052" w:rsidRPr="0043455E">
        <w:t>5</w:t>
      </w:r>
      <w:r w:rsidR="008F3052">
        <w:t>75/2013.</w:t>
      </w:r>
    </w:p>
    <w:p w14:paraId="3CF93C3D" w14:textId="77777777" w:rsidR="005643EA" w:rsidRPr="002A677E" w:rsidRDefault="0043455E" w:rsidP="00487A02">
      <w:pPr>
        <w:pStyle w:val="InstructionsText2"/>
        <w:numPr>
          <w:ilvl w:val="0"/>
          <w:numId w:val="0"/>
        </w:numPr>
        <w:ind w:left="1353" w:hanging="360"/>
      </w:pPr>
      <w:fldSimple w:instr=" seq paragraphs ">
        <w:r w:rsidR="008F3052">
          <w:t>20</w:t>
        </w:r>
      </w:fldSimple>
      <w:r w:rsidR="008F3052">
        <w:t>.</w:t>
      </w:r>
      <w:r w:rsidR="008F3052">
        <w:tab/>
        <w:t>Niektóre przepisy przejściowe zobowiązują do odliczeń od kapitału Tier I. W takim przypadku kwota rezydualna odliczenia lub odliczeń stosuje się do kapitału Tier I, a jeżeli kapitał dodatkowy Tier I jest niewystarczający do absorpcji tej kwoty, wówczas nadwyżkę odlicza się od kapitału podstawowego Tier I.</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360188335"/>
      <w:bookmarkStart w:id="78" w:name="_Toc308175836"/>
      <w:bookmarkStart w:id="79" w:name="_Toc119064781"/>
      <w:bookmarkEnd w:id="75"/>
      <w:r>
        <w:rPr>
          <w:rFonts w:ascii="Times New Roman" w:hAnsi="Times New Roman"/>
          <w:sz w:val="24"/>
        </w:rPr>
        <w:t>1.6.2.</w:t>
      </w:r>
      <w:r>
        <w:tab/>
      </w:r>
      <w:r>
        <w:rPr>
          <w:rFonts w:ascii="Times New Roman" w:hAnsi="Times New Roman"/>
          <w:sz w:val="24"/>
        </w:rPr>
        <w:t>C 05.01 – PRZEPISY PRZEJŚCIOWE (CA5.1)</w:t>
      </w:r>
      <w:bookmarkEnd w:id="76"/>
      <w:bookmarkEnd w:id="79"/>
      <w:r>
        <w:rPr>
          <w:rFonts w:ascii="Times New Roman" w:hAnsi="Times New Roman"/>
          <w:sz w:val="24"/>
        </w:rPr>
        <w:t xml:space="preserve"> </w:t>
      </w:r>
      <w:bookmarkEnd w:id="77"/>
      <w:bookmarkEnd w:id="78"/>
    </w:p>
    <w:p w14:paraId="5B4CCD13" w14:textId="05458E39" w:rsidR="002648B0" w:rsidRPr="002A677E" w:rsidRDefault="0043455E" w:rsidP="00487A02">
      <w:pPr>
        <w:pStyle w:val="InstructionsText2"/>
        <w:numPr>
          <w:ilvl w:val="0"/>
          <w:numId w:val="0"/>
        </w:numPr>
        <w:ind w:left="1353" w:hanging="360"/>
      </w:pPr>
      <w:fldSimple w:instr=" seq paragraphs ">
        <w:r w:rsidR="008F3052">
          <w:t>21</w:t>
        </w:r>
      </w:fldSimple>
      <w:r w:rsidR="008F3052">
        <w:t>.</w:t>
      </w:r>
      <w:r w:rsidR="008F3052">
        <w:tab/>
        <w:t xml:space="preserve">Instytucje zgłaszają we wzorze CA5.1 przepisy przejściowe dotyczące składników funduszy własnych zgodnie z art. 465–491, 494a i 494b rozporządzenia (UE) </w:t>
      </w:r>
      <w:r w:rsidR="008F3052" w:rsidRPr="0043455E">
        <w:t>nr</w:t>
      </w:r>
      <w:r w:rsidRPr="0043455E">
        <w:t> </w:t>
      </w:r>
      <w:r w:rsidR="008F3052" w:rsidRPr="0043455E">
        <w:t>5</w:t>
      </w:r>
      <w:r w:rsidR="008F3052">
        <w:t xml:space="preserve">75/2013 w porównaniu ze stosowaniem przepisów końcowych określonych w części drugiej tytuł II rozporządzenia (UE) </w:t>
      </w:r>
      <w:r w:rsidR="008F3052" w:rsidRPr="0043455E">
        <w:t>nr</w:t>
      </w:r>
      <w:r w:rsidRPr="0043455E">
        <w:t> </w:t>
      </w:r>
      <w:r w:rsidR="008F3052" w:rsidRPr="0043455E">
        <w:t>5</w:t>
      </w:r>
      <w:r w:rsidR="008F3052">
        <w:t xml:space="preserve">75/2013. </w:t>
      </w:r>
    </w:p>
    <w:p w14:paraId="2C643F4D" w14:textId="3A8F56D9" w:rsidR="00783881" w:rsidRPr="002A677E" w:rsidRDefault="0043455E" w:rsidP="00487A02">
      <w:pPr>
        <w:pStyle w:val="InstructionsText2"/>
        <w:numPr>
          <w:ilvl w:val="0"/>
          <w:numId w:val="0"/>
        </w:numPr>
        <w:ind w:left="1353" w:hanging="360"/>
      </w:pPr>
      <w:fldSimple w:instr=" seq paragraphs ">
        <w:r w:rsidR="008F3052">
          <w:t>22</w:t>
        </w:r>
      </w:fldSimple>
      <w:r w:rsidR="008F3052">
        <w:t>.</w:t>
      </w:r>
      <w:r w:rsidR="008F3052">
        <w:tab/>
        <w:t xml:space="preserve">Instytucje zgłaszają w wierszach 0060–0065 informacje na temat przepisów przejściowych dotyczących instrumentów podlegających zasadzie praw nabytych. Dane liczbowe, które należy zgłosić w wierszu 0060 w CA5.1, odzwierciedlają przepisy przejściowe zawarte w rozporządzeniu (UE) </w:t>
      </w:r>
      <w:r w:rsidR="008F3052" w:rsidRPr="0043455E">
        <w:t>nr</w:t>
      </w:r>
      <w:r w:rsidRPr="0043455E">
        <w:t> </w:t>
      </w:r>
      <w:r w:rsidR="008F3052" w:rsidRPr="0043455E">
        <w:t>5</w:t>
      </w:r>
      <w:r w:rsidR="008F3052">
        <w:t>75/2013 w wersji mającej zastosowanie do dnia 26 czerwca 20</w:t>
      </w:r>
      <w:r w:rsidR="008F3052" w:rsidRPr="0043455E">
        <w:t>19</w:t>
      </w:r>
      <w:r w:rsidRPr="0043455E">
        <w:t> </w:t>
      </w:r>
      <w:r w:rsidR="008F3052" w:rsidRPr="0043455E">
        <w:t>r.</w:t>
      </w:r>
      <w:r w:rsidR="008F3052">
        <w:t xml:space="preserve"> i można je uzyskać na podstawie odpowiednich sekcji CA5.2. Wiersze 0061–0065 odzwierciedlają wpływ przepisów przejściowych zawartych w art. 494a i 494b rozporządzenia (UE) </w:t>
      </w:r>
      <w:r w:rsidR="008F3052" w:rsidRPr="0043455E">
        <w:t>nr</w:t>
      </w:r>
      <w:r w:rsidRPr="0043455E">
        <w:t> </w:t>
      </w:r>
      <w:r w:rsidR="008F3052" w:rsidRPr="0043455E">
        <w:t>5</w:t>
      </w:r>
      <w:r w:rsidR="008F3052">
        <w:t>75/2013.</w:t>
      </w:r>
    </w:p>
    <w:p w14:paraId="1CDD27F2" w14:textId="2C64F241" w:rsidR="00496C53" w:rsidRPr="002A677E" w:rsidRDefault="0043455E" w:rsidP="00487A02">
      <w:pPr>
        <w:pStyle w:val="InstructionsText2"/>
        <w:numPr>
          <w:ilvl w:val="0"/>
          <w:numId w:val="0"/>
        </w:numPr>
        <w:ind w:left="1353" w:hanging="360"/>
      </w:pPr>
      <w:fldSimple w:instr=" seq paragraphs ">
        <w:r w:rsidR="008F3052">
          <w:t>23</w:t>
        </w:r>
      </w:fldSimple>
      <w:r w:rsidR="008F3052">
        <w:t>.</w:t>
      </w:r>
      <w:r w:rsidR="008F3052">
        <w:tab/>
        <w:t xml:space="preserve">W wierszach 0070–0092 instytucje zgłaszają informacje na temat przepisów przejściowych dotyczących udziałów mniejszości i instrumentów dodatkowych w kapitale Tier I i Tier II wyemitowanych przez jednostki zależne (zgodnie z art. 479 i 480 rozporządzenia (UE) </w:t>
      </w:r>
      <w:r w:rsidR="008F3052" w:rsidRPr="0043455E">
        <w:t>nr</w:t>
      </w:r>
      <w:r w:rsidRPr="0043455E">
        <w:t> </w:t>
      </w:r>
      <w:r w:rsidR="008F3052" w:rsidRPr="0043455E">
        <w:t>5</w:t>
      </w:r>
      <w:r w:rsidR="008F3052">
        <w:t>75/2013).</w:t>
      </w:r>
    </w:p>
    <w:p w14:paraId="6B522084" w14:textId="77777777" w:rsidR="00783881" w:rsidRPr="002A677E" w:rsidRDefault="0043455E" w:rsidP="00487A02">
      <w:pPr>
        <w:pStyle w:val="InstructionsText2"/>
        <w:numPr>
          <w:ilvl w:val="0"/>
          <w:numId w:val="0"/>
        </w:numPr>
        <w:ind w:left="1353" w:hanging="360"/>
      </w:pPr>
      <w:fldSimple w:instr=" seq paragraphs ">
        <w:r w:rsidR="008F3052">
          <w:t>24</w:t>
        </w:r>
      </w:fldSimple>
      <w:r w:rsidR="008F3052">
        <w:t>.</w:t>
      </w:r>
      <w:r w:rsidR="008F3052">
        <w:tab/>
        <w:t>W wierszu 0100 i w wierszach kolejnych instytucje zgłaszają informacje odnoszące się do wpływu przepisów przejściowych dotyczących niezrealizowanych zysków i strat, odliczeń, dodatkowych filtrów i odliczeń oraz MSSF 9.</w:t>
      </w:r>
    </w:p>
    <w:p w14:paraId="48B64B3C" w14:textId="77777777" w:rsidR="005643EA" w:rsidRPr="002A677E" w:rsidRDefault="0043455E" w:rsidP="00487A02">
      <w:pPr>
        <w:pStyle w:val="InstructionsText2"/>
        <w:numPr>
          <w:ilvl w:val="0"/>
          <w:numId w:val="0"/>
        </w:numPr>
        <w:ind w:left="1353" w:hanging="360"/>
      </w:pPr>
      <w:fldSimple w:instr=" seq paragraphs ">
        <w:r w:rsidR="008F3052">
          <w:t>25</w:t>
        </w:r>
      </w:fldSimple>
      <w:r w:rsidR="008F3052">
        <w:t>.</w:t>
      </w:r>
      <w:r w:rsidR="008F3052">
        <w:tab/>
        <w:t xml:space="preserve">Może się zdarzyć, że odliczenia od kapitału podstawowego Tier I, kapitału dodatkowego Tier I lub kapitału Tier II wynikające z przepisów przejściowych przekraczają kapitał podstawowy Tier I, kapitał dodatkowy Tier I lub kapitał Tier II instytucji. Taki skutek – jeżeli wynika z przepisów przejściowych – zgłasza się we wzorze CA1, wykorzystując odpowiednie komórki. W konsekwencji korekty w kolumnach wzoru CA5 nie obejmują żadnych efektów zewnętrznych w przypadku niewystarczającego dostępnego kapitału.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9064782"/>
      <w:r>
        <w:rPr>
          <w:rFonts w:ascii="Times New Roman" w:hAnsi="Times New Roman"/>
          <w:sz w:val="24"/>
        </w:rPr>
        <w:t>1.6.2.1</w:t>
      </w:r>
      <w:r>
        <w:tab/>
      </w:r>
      <w:r>
        <w:rPr>
          <w:rFonts w:ascii="Times New Roman" w:hAnsi="Times New Roman"/>
          <w:sz w:val="24"/>
        </w:rPr>
        <w:t>Instrukcje dotyczące poszczególnych pozycji</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Kolumny</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 w kapitale podstawowym Tier I</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 w kapitale dodatkowym Tier I</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 w kapitale Tier II</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Korekty uwzględnione w aktywach ważonych ryzykiem</w:t>
            </w:r>
          </w:p>
          <w:p w14:paraId="126FBA33" w14:textId="6961364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Kolumna 0040 zawiera odpowiednie kwoty stanowiące korektę łącznej kwoty ekspozycji na ryzyko, o której mowa w art. 92 ust. 3</w:t>
            </w:r>
            <w:r>
              <w:t xml:space="preserve"> rozporządzenia (UE) </w:t>
            </w:r>
            <w:r w:rsidRPr="0043455E">
              <w:t>nr</w:t>
            </w:r>
            <w:r w:rsidR="0043455E" w:rsidRPr="0043455E">
              <w:t> </w:t>
            </w:r>
            <w:r w:rsidRPr="0043455E">
              <w:t>5</w:t>
            </w:r>
            <w:r>
              <w:t xml:space="preserve">75/2013, </w:t>
            </w:r>
            <w:r>
              <w:rPr>
                <w:rStyle w:val="InstructionsTabelleText"/>
                <w:rFonts w:ascii="Times New Roman" w:hAnsi="Times New Roman"/>
                <w:sz w:val="24"/>
              </w:rPr>
              <w:t>w wyniku zastosowania przepisów przejściowych</w:t>
            </w:r>
            <w:r>
              <w:t>.</w:t>
            </w:r>
            <w:r>
              <w:rPr>
                <w:rStyle w:val="InstructionsTabelleText"/>
                <w:rFonts w:ascii="Times New Roman" w:hAnsi="Times New Roman"/>
                <w:sz w:val="24"/>
              </w:rPr>
              <w:t xml:space="preserve"> Zgłoszone kwoty uwzględniają zastosowanie przepisów części trzeciej tytuł II rozdział 2 </w:t>
            </w:r>
            <w:r w:rsidRPr="0043455E">
              <w:rPr>
                <w:rStyle w:val="InstructionsTabelleText"/>
                <w:rFonts w:ascii="Times New Roman" w:hAnsi="Times New Roman"/>
                <w:sz w:val="24"/>
              </w:rPr>
              <w:t>lub</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3</w:t>
            </w:r>
            <w:r>
              <w:rPr>
                <w:rStyle w:val="InstructionsTabelleText"/>
                <w:rFonts w:ascii="Times New Roman" w:hAnsi="Times New Roman"/>
                <w:sz w:val="24"/>
              </w:rPr>
              <w:t xml:space="preserve"> lub części trzeciej tytuł IV zgodnie z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9</w:t>
            </w:r>
            <w:r>
              <w:rPr>
                <w:rStyle w:val="InstructionsTabelleText"/>
                <w:rFonts w:ascii="Times New Roman" w:hAnsi="Times New Roman"/>
                <w:sz w:val="24"/>
              </w:rPr>
              <w:t xml:space="preserve">2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t xml:space="preserve"> rozporządzenia (UE) </w:t>
            </w:r>
            <w:r w:rsidRPr="0043455E">
              <w:t>nr</w:t>
            </w:r>
            <w:r w:rsidR="0043455E" w:rsidRPr="0043455E">
              <w:t> </w:t>
            </w:r>
            <w:r w:rsidRPr="0043455E">
              <w:t>5</w:t>
            </w:r>
            <w:r>
              <w:t>75/2013</w:t>
            </w:r>
            <w:r>
              <w:rPr>
                <w:rStyle w:val="InstructionsTabelleText"/>
                <w:rFonts w:ascii="Times New Roman" w:hAnsi="Times New Roman"/>
                <w:sz w:val="24"/>
              </w:rPr>
              <w:t xml:space="preserve">. Oznacza to, że kwoty przejściowe podlegające przepisom części trzeciej tytuł II rozdział 2 </w:t>
            </w:r>
            <w:r w:rsidRPr="0043455E">
              <w:rPr>
                <w:rStyle w:val="InstructionsTabelleText"/>
                <w:rFonts w:ascii="Times New Roman" w:hAnsi="Times New Roman"/>
                <w:sz w:val="24"/>
              </w:rPr>
              <w:t>lub</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3</w:t>
            </w:r>
            <w:r>
              <w:rPr>
                <w:rStyle w:val="InstructionsTabelleText"/>
                <w:rFonts w:ascii="Times New Roman" w:hAnsi="Times New Roman"/>
                <w:sz w:val="24"/>
              </w:rPr>
              <w:t xml:space="preserve"> zgłasza się jako kwoty ekspozycji ważonej ryzykiem, natomiast kwoty przejściowe podlegające przepisom części trzeciej tytuł IV muszą odpowiadać wymogom w zakresie funduszy własnych pomnożonym przez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Chociaż kolumny 0010–0030 są bezpośrednio związane ze wzorem CA1, korekty w łącznej kwocie ekspozycji na ryzyko nie są bezpośrednio powiązane z odpowiednimi wzorami dotyczącymi ryzyka kredytowego. Jeżeli istnieją korekty w łącznej kwocie ekspozycji na ryzyko wynikające z przepisów przejściowych, korekty te ujmuje się bezpośrednio we wzorach CR SA, CR IRB, CR EQU IRB, MKR SA TDI, MKR SA EQU lub MKR IM. Dodatkowo skutki te zgłasza się w kolumnie 0040 wzoru CA5.1. W konsekwencji kwoty te są jedynie pozycjami uzupełniającymi.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Mająca zastosowanie wartość procentowa</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Uznana kwota nieobjęta przepisami przejściowymi</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Kolumna ta obejmuje kwotę każdego instrumentu przed zastosowaniem przepisów przejściowych, tj. kwota bazowa mająca znaczenie dla obliczenia korekt.</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Wiersze</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Korekty razem</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lastRenderedPageBreak/>
              <w:t>Wiersz ten odzwierciedla ogólny skutek korekt różnych rodzajów kapitału w okresie przejściowym oraz kwoty ważone ryzykiem wynikające z tych korekt</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Instrumenty podlegające zasadzie praw nabytych</w:t>
            </w:r>
          </w:p>
          <w:p w14:paraId="31C271FA" w14:textId="2E2D0021"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 483–491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Wiersz ten odzwierciedla ogólny skutek instrumentów podlegających w okresie przejściowym zasadzie praw nabytych w różnych rodzajach kapitału.</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Instrumenty niestanowiące pomocy państwa</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Kwoty, które należy zgłosić, uzyskuje się z kolumny 060 wzoru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Instrumenty wyemitowane za pośrednictwem spółek celowych</w:t>
            </w:r>
          </w:p>
          <w:p w14:paraId="1A210662" w14:textId="0DA4A681"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 494a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557C1C61"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Instrumenty wyemitowane przed dniem 27 czerwca 20</w:t>
            </w:r>
            <w:r w:rsidRPr="0043455E">
              <w:rPr>
                <w:rStyle w:val="InstructionsTabelleberschrift"/>
                <w:rFonts w:ascii="Times New Roman" w:hAnsi="Times New Roman"/>
                <w:sz w:val="24"/>
              </w:rPr>
              <w:t>19</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r.</w:t>
            </w:r>
            <w:r>
              <w:rPr>
                <w:rStyle w:val="InstructionsTabelleberschrift"/>
                <w:rFonts w:ascii="Times New Roman" w:hAnsi="Times New Roman"/>
                <w:sz w:val="24"/>
              </w:rPr>
              <w:t>, które nie spełniają kryteriów kwalifikowalności związanych z uprawnieniami do umorzenia i konwersji zgodnie z art. 59</w:t>
            </w:r>
            <w:r>
              <w:rPr>
                <w:rFonts w:ascii="Times New Roman" w:hAnsi="Times New Roman"/>
                <w:sz w:val="24"/>
              </w:rPr>
              <w:t xml:space="preserve"> dyrektywy 2014/59/UE</w:t>
            </w:r>
            <w:r>
              <w:rPr>
                <w:rStyle w:val="InstructionsTabelleberschrift"/>
                <w:rFonts w:ascii="Times New Roman" w:hAnsi="Times New Roman"/>
                <w:sz w:val="24"/>
              </w:rPr>
              <w:t xml:space="preserve"> lub podlegają uzgodnieniom dotyczącym potrącenia lub kompensowania</w:t>
            </w:r>
          </w:p>
          <w:p w14:paraId="3AFF70BC" w14:textId="2B1469E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494b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4949FCE" w14:textId="3AB8CB11"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kwotę instrumentów objętych zakresem stosowania art. 494b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b w:val="0"/>
                <w:sz w:val="24"/>
                <w:u w:val="none"/>
              </w:rPr>
              <w:t>które nie spełniają co najmniej jednego spośród kryteriów kwalifikowalności określonych odpowiednio w art. 52 ust. 1 lit. p), q) i r)</w:t>
            </w:r>
            <w:r>
              <w:rPr>
                <w:rFonts w:ascii="Times New Roman" w:hAnsi="Times New Roman"/>
                <w:sz w:val="24"/>
              </w:rPr>
              <w:t xml:space="preserve"> tego rozporządzenia </w:t>
            </w:r>
            <w:r>
              <w:rPr>
                <w:rStyle w:val="InstructionsTabelleberschrift"/>
                <w:rFonts w:ascii="Times New Roman" w:hAnsi="Times New Roman"/>
                <w:b w:val="0"/>
                <w:sz w:val="24"/>
                <w:u w:val="none"/>
              </w:rPr>
              <w:t>lub art. 63 lit. n), o) i p)</w:t>
            </w:r>
            <w:r>
              <w:rPr>
                <w:rFonts w:ascii="Times New Roman" w:hAnsi="Times New Roman"/>
                <w:sz w:val="24"/>
              </w:rPr>
              <w:t xml:space="preserve"> </w:t>
            </w:r>
            <w:r>
              <w:rPr>
                <w:rStyle w:val="InstructionsTabelleberschrift"/>
                <w:rFonts w:ascii="Times New Roman" w:hAnsi="Times New Roman"/>
                <w:b w:val="0"/>
                <w:sz w:val="24"/>
                <w:u w:val="none"/>
              </w:rPr>
              <w:t>tego rozporządzenia.</w:t>
            </w:r>
          </w:p>
          <w:p w14:paraId="04C394EE" w14:textId="33E89CD8"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 przypadku instrumentów w Tier II kwalifikujących się zgodnie z art. 494b ust.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należy przestrzegać przepisów w zakresie </w:t>
            </w:r>
            <w:r>
              <w:rPr>
                <w:rStyle w:val="InstructionsTabelleberschrift"/>
                <w:rFonts w:ascii="Times New Roman" w:hAnsi="Times New Roman"/>
                <w:b w:val="0"/>
                <w:sz w:val="24"/>
                <w:u w:val="none"/>
              </w:rPr>
              <w:t>amortyzacji określonych w art. 64</w:t>
            </w:r>
            <w:r>
              <w:rPr>
                <w:rFonts w:ascii="Times New Roman" w:hAnsi="Times New Roman"/>
                <w:sz w:val="24"/>
              </w:rPr>
              <w:t xml:space="preserve"> tego rozporządzenia .</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298D162"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 xml:space="preserve">w tym: instrumenty bez prawnego lub umownego obowiązku umorzenia lub konwersji po wykonaniu uprawnień wynikających z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9 dyrektywy 2014/59/UE</w:t>
            </w:r>
          </w:p>
          <w:p w14:paraId="688A6549" w14:textId="142D2D4B"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494b,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2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 xml:space="preserve">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3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n)</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05C93A3" w14:textId="448DF6FE"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kwotę instrumentów objętych zakresem stosowania art. 494b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b w:val="0"/>
                <w:sz w:val="24"/>
                <w:u w:val="none"/>
              </w:rPr>
              <w:t>które nie spełniają kryteriów kwalifikowalności określonych odpowiednio w art. 52 ust. 1 lit. p) lub art. 63 lit. n) tego rozporządzenia.</w:t>
            </w:r>
          </w:p>
          <w:p w14:paraId="1A98A032" w14:textId="46B329D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Dotyczy to również instrumentów, które dodatkowo nie spełniają kryteriów kwalifikowalności określonych odpowiednio w art. 52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q)</w:t>
            </w:r>
            <w:r>
              <w:rPr>
                <w:rStyle w:val="InstructionsTabelleberschrift"/>
                <w:rFonts w:ascii="Times New Roman" w:hAnsi="Times New Roman"/>
                <w:b w:val="0"/>
                <w:sz w:val="24"/>
                <w:u w:val="none"/>
              </w:rPr>
              <w:t xml:space="preserve"> lub r)</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w:t>
            </w:r>
            <w:r>
              <w:rPr>
                <w:rStyle w:val="InstructionsTabelleberschrift"/>
                <w:rFonts w:ascii="Times New Roman" w:hAnsi="Times New Roman"/>
                <w:b w:val="0"/>
                <w:sz w:val="24"/>
                <w:u w:val="none"/>
              </w:rPr>
              <w:t>art. 63</w:t>
            </w:r>
            <w:r>
              <w:rPr>
                <w:rFonts w:ascii="Times New Roman" w:hAnsi="Times New Roman"/>
                <w:sz w:val="24"/>
              </w:rPr>
              <w:t xml:space="preserve"> lit. o) lub p) </w:t>
            </w:r>
            <w:r>
              <w:rPr>
                <w:rStyle w:val="InstructionsTabelleberschrift"/>
                <w:rFonts w:ascii="Times New Roman" w:hAnsi="Times New Roman"/>
                <w:b w:val="0"/>
                <w:sz w:val="24"/>
                <w:u w:val="none"/>
              </w:rPr>
              <w:t>tego rozporządzenia</w:t>
            </w:r>
            <w:r>
              <w:rPr>
                <w:rFonts w:ascii="Times New Roman" w:hAnsi="Times New Roman"/>
                <w:sz w:val="24"/>
              </w:rPr>
              <w:t>.</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5F753DDC"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 xml:space="preserve">w tym: instrumenty podlegające prawu państwa trzeciego bez skutecznego i możliwego do wyegzekwowania wykonywania uprawnień wynikających z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9 dyrektywy 2014/59/UE</w:t>
            </w:r>
          </w:p>
          <w:p w14:paraId="138666DE" w14:textId="2707A20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Art. 494b,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2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q)</w:t>
            </w:r>
            <w:r>
              <w:rPr>
                <w:rStyle w:val="InstructionsTabelleberschrift"/>
                <w:rFonts w:ascii="Times New Roman" w:hAnsi="Times New Roman"/>
                <w:b w:val="0"/>
                <w:sz w:val="24"/>
                <w:u w:val="none"/>
              </w:rPr>
              <w:t xml:space="preserve">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3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o)</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6250647" w14:textId="1A47DB7D"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kwotę instrumentów objętych zakresem stosowania art. 494b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b w:val="0"/>
                <w:sz w:val="24"/>
                <w:u w:val="none"/>
              </w:rPr>
              <w:t>które nie spełniają kryteriów kwalifikowalności określonych odpowiednio w art. 52 ust. 1 lit. q) lub art. 63 lit. o) tego rozporządzenia.</w:t>
            </w:r>
          </w:p>
          <w:p w14:paraId="756E8B09" w14:textId="41322205"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Dotyczy to również instrumentów, które dodatkowo nie spełniają kryteriów kwalifikowalności określonych odpowiednio w art. 52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 xml:space="preserve"> lub r)</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w:t>
            </w:r>
            <w:r>
              <w:rPr>
                <w:rStyle w:val="InstructionsTabelleberschrift"/>
                <w:rFonts w:ascii="Times New Roman" w:hAnsi="Times New Roman"/>
                <w:b w:val="0"/>
                <w:sz w:val="24"/>
                <w:u w:val="none"/>
              </w:rPr>
              <w:t>art. 63</w:t>
            </w:r>
            <w:r>
              <w:rPr>
                <w:rFonts w:ascii="Times New Roman" w:hAnsi="Times New Roman"/>
                <w:sz w:val="24"/>
              </w:rPr>
              <w:t xml:space="preserve"> lit. n) lub p) </w:t>
            </w:r>
            <w:r>
              <w:rPr>
                <w:rStyle w:val="InstructionsTabelleberschrift"/>
                <w:rFonts w:ascii="Times New Roman" w:hAnsi="Times New Roman"/>
                <w:b w:val="0"/>
                <w:sz w:val="24"/>
                <w:u w:val="none"/>
              </w:rPr>
              <w:t>tego rozporządzenia</w:t>
            </w:r>
            <w:r>
              <w:rPr>
                <w:rFonts w:ascii="Times New Roman" w:hAnsi="Times New Roman"/>
                <w:sz w:val="24"/>
              </w:rPr>
              <w:t>.</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w tym: instrumenty podlegające uzgodnieniom dotyczącym potrącenia lub kompensowania</w:t>
            </w:r>
          </w:p>
          <w:p w14:paraId="26F51056" w14:textId="3BC46F19"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494b,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2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r)</w:t>
            </w:r>
            <w:r>
              <w:rPr>
                <w:rStyle w:val="InstructionsTabelleberschrift"/>
                <w:rFonts w:ascii="Times New Roman" w:hAnsi="Times New Roman"/>
                <w:b w:val="0"/>
                <w:sz w:val="24"/>
                <w:u w:val="none"/>
              </w:rPr>
              <w:t xml:space="preserve">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3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p)</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28071E2" w14:textId="2B460AC9"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kwotę instrumentów objętych zakresem stosowania art. 494b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b w:val="0"/>
                <w:sz w:val="24"/>
                <w:u w:val="none"/>
              </w:rPr>
              <w:t>które nie spełniają kryteriów kwalifikowalności określonych odpowiednio w art. 52 ust. 1 lit. r)</w:t>
            </w:r>
            <w:r>
              <w:rPr>
                <w:rFonts w:ascii="Times New Roman" w:hAnsi="Times New Roman"/>
                <w:sz w:val="24"/>
              </w:rPr>
              <w:t xml:space="preserve"> lub </w:t>
            </w:r>
            <w:r>
              <w:rPr>
                <w:rStyle w:val="InstructionsTabelleberschrift"/>
                <w:rFonts w:ascii="Times New Roman" w:hAnsi="Times New Roman"/>
                <w:b w:val="0"/>
                <w:sz w:val="24"/>
                <w:u w:val="none"/>
              </w:rPr>
              <w:t>art. 63 lit. p) tego rozporządzenia.</w:t>
            </w:r>
          </w:p>
          <w:p w14:paraId="349DBF3F" w14:textId="1379355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Dotyczy to również instrumentów, które dodatkowo nie spełniają kryteriów kwalifikowalności określonych odpowiednio w art. 52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p)</w:t>
            </w:r>
            <w:r>
              <w:rPr>
                <w:rStyle w:val="InstructionsTabelleberschrift"/>
                <w:rFonts w:ascii="Times New Roman" w:hAnsi="Times New Roman"/>
                <w:b w:val="0"/>
                <w:sz w:val="24"/>
                <w:u w:val="none"/>
              </w:rPr>
              <w:t xml:space="preserve"> lub q)</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w:t>
            </w:r>
            <w:r>
              <w:rPr>
                <w:rStyle w:val="InstructionsTabelleberschrift"/>
                <w:rFonts w:ascii="Times New Roman" w:hAnsi="Times New Roman"/>
                <w:b w:val="0"/>
                <w:sz w:val="24"/>
                <w:u w:val="none"/>
              </w:rPr>
              <w:t>art. 63</w:t>
            </w:r>
            <w:r>
              <w:rPr>
                <w:rFonts w:ascii="Times New Roman" w:hAnsi="Times New Roman"/>
                <w:sz w:val="24"/>
              </w:rPr>
              <w:t xml:space="preserve"> lit. n) lub o) </w:t>
            </w:r>
            <w:r>
              <w:rPr>
                <w:rStyle w:val="InstructionsTabelleberschrift"/>
                <w:rFonts w:ascii="Times New Roman" w:hAnsi="Times New Roman"/>
                <w:b w:val="0"/>
                <w:sz w:val="24"/>
                <w:u w:val="none"/>
              </w:rPr>
              <w:t>tego rozporządzenia</w:t>
            </w:r>
            <w:r>
              <w:rPr>
                <w:rFonts w:ascii="Times New Roman" w:hAnsi="Times New Roman"/>
                <w:sz w:val="24"/>
              </w:rPr>
              <w:t>.</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Udziały mniejszościowe i ekwiwalenty</w:t>
            </w:r>
          </w:p>
          <w:p w14:paraId="463F1E68" w14:textId="78E2356F"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 479 i 480</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Wiersz ten odzwierciedla skutki przepisów przejściowych w odniesieniu do udziałów mniejszości kwalifikujących się jako kapitał podstawowy Tier I; kwalifikujących się instrumentów w kapitale Tier I uznanych za skonsolidowany kapitał dodatkowy Tier I; oraz kwalifikujących się funduszy własnych uznanych za skonsolidowany kapitał Tier II.</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Instrumenty kapitałowe i pozycje, które nie kwalifikują się jako udziały mniejszości</w:t>
            </w:r>
          </w:p>
          <w:p w14:paraId="29374C1D" w14:textId="4FBEEE73"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 479 </w:t>
            </w:r>
            <w:r>
              <w:t xml:space="preserve">rozporządzenia (UE) </w:t>
            </w:r>
            <w:r w:rsidRPr="0043455E">
              <w:t>nr</w:t>
            </w:r>
            <w:r w:rsidR="0043455E" w:rsidRPr="0043455E">
              <w:t> </w:t>
            </w:r>
            <w:r w:rsidRPr="0043455E">
              <w:t>5</w:t>
            </w:r>
            <w:r>
              <w:t>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Kwotą, którą należy zgłosić w kolumnie 060 tego wiersza, jest kwota kwalifikująca się jako rezerwy skonsolidowane zgodnie z poprzednim rozporządzeniem.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Uznanie udziałów mniejszości w skonsolidowanych funduszach własnych w okresie przejściowym</w:t>
            </w:r>
          </w:p>
          <w:p w14:paraId="768DEBF4" w14:textId="1042246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 84 i 480</w:t>
            </w:r>
            <w:r>
              <w:t xml:space="preserve"> rozporządzenia (UE) </w:t>
            </w:r>
            <w:r w:rsidRPr="0043455E">
              <w:t>nr</w:t>
            </w:r>
            <w:r w:rsidR="0043455E" w:rsidRPr="0043455E">
              <w:t> </w:t>
            </w:r>
            <w:r w:rsidRPr="0043455E">
              <w:t>5</w:t>
            </w:r>
            <w:r>
              <w:t>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Kwotą, którą należy zgłosić w kolumnie 0060 tego wiersza, jest uznana kwota bez uwzględnienia przepisów przejściowych.</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Uznanie kwalifikującego się kapitału dodatkowego Tier I w skonsolidowanych funduszach własnych w okresie przejściowym</w:t>
            </w:r>
          </w:p>
          <w:p w14:paraId="785C1131" w14:textId="22EAEBA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 85 i 480</w:t>
            </w:r>
            <w:r>
              <w:t xml:space="preserve"> rozporządzenia (UE) </w:t>
            </w:r>
            <w:r w:rsidRPr="0043455E">
              <w:t>nr</w:t>
            </w:r>
            <w:r w:rsidR="0043455E" w:rsidRPr="0043455E">
              <w:t> </w:t>
            </w:r>
            <w:r w:rsidRPr="0043455E">
              <w:t>5</w:t>
            </w:r>
            <w:r>
              <w:t>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Kwotą, którą należy zgłosić w kolumnie 0060 tego wiersza, jest uznana kwota bez uwzględnienia przepisów przejściowych.</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Uznanie kwalifikującego się kapitału Tier II w skonsolidowanych funduszach własnych w okresie przejściowym</w:t>
            </w:r>
          </w:p>
          <w:p w14:paraId="5DAEB4D6" w14:textId="1838C011"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 87 i 480</w:t>
            </w:r>
            <w:r>
              <w:t xml:space="preserve"> rozporządzenia (UE) </w:t>
            </w:r>
            <w:r w:rsidRPr="0043455E">
              <w:t>nr</w:t>
            </w:r>
            <w:r w:rsidR="0043455E" w:rsidRPr="0043455E">
              <w:t> </w:t>
            </w:r>
            <w:r w:rsidRPr="0043455E">
              <w:t>5</w:t>
            </w:r>
            <w:r>
              <w:t>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Kwotą, którą należy zgłosić w kolumnie 0060 tego wiersza, jest uznana kwota bez uwzględnienia przepisów przejściowych.</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Inne korekty w okresie przejściowym</w:t>
            </w:r>
          </w:p>
          <w:p w14:paraId="28576D7B" w14:textId="615D8D0A"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 468–478 i 481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Wiersz ten odzwierciedla ogólny skutek korekt w okresie przejściowym w odliczeniach różnych rodzajów kapitału, niezrealizowanych zyskach i stratach, dodatkowych filtrach i odliczeniach oraz kwoty ważone ryzykiem wynikające z tych korekt.</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Niezrealizowane zyski i straty z tytułu niektórych ekspozycji dłużnych wobec rządów centralnych, samorządów regionalnych, władz lokalnych i podmiotów sektora publicznego</w:t>
            </w:r>
          </w:p>
          <w:p w14:paraId="0C5B0916" w14:textId="4A25DA74"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Art. 468</w:t>
            </w:r>
            <w:r>
              <w:t xml:space="preserve"> rozporządzenia (UE) </w:t>
            </w:r>
            <w:r w:rsidRPr="0043455E">
              <w:t>nr</w:t>
            </w:r>
            <w:r w:rsidR="0043455E" w:rsidRPr="0043455E">
              <w:t> </w:t>
            </w:r>
            <w:r w:rsidRPr="0043455E">
              <w:t>5</w:t>
            </w:r>
            <w:r>
              <w:t>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w tym: kwota A</w:t>
            </w:r>
          </w:p>
          <w:p w14:paraId="45720F9F" w14:textId="4046D71E"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Kwota A wyliczona zgodnie ze wzorem, o którym mowa w art. 468 ust. 1</w:t>
            </w:r>
            <w:r>
              <w:t xml:space="preserve"> rozporządzenia (UE) </w:t>
            </w:r>
            <w:r w:rsidRPr="0043455E">
              <w:t>nr</w:t>
            </w:r>
            <w:r w:rsidR="0043455E" w:rsidRPr="0043455E">
              <w:t> </w:t>
            </w:r>
            <w:r w:rsidRPr="0043455E">
              <w:t>5</w:t>
            </w:r>
            <w:r>
              <w:t>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Odliczenia</w:t>
            </w:r>
          </w:p>
          <w:p w14:paraId="01804965" w14:textId="618AAA7A"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 36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oraz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69–478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Wiersz ten odzwierciedla ogólny skutek przepisów przejściowych dla odliczeń.</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Aktywa z tytułu odroczonego podatku dochodowego oparte na przyszłej rentowności i niewynikające z różnic przejściowych</w:t>
            </w:r>
          </w:p>
          <w:p w14:paraId="34284203" w14:textId="52EE5DF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36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c)</w:t>
            </w:r>
            <w:r>
              <w:rPr>
                <w:rStyle w:val="InstructionsTabelleText"/>
                <w:rFonts w:ascii="Times New Roman" w:hAnsi="Times New Roman"/>
                <w:sz w:val="24"/>
              </w:rPr>
              <w:t xml:space="preserve">,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69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72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78</w:t>
            </w:r>
            <w:r>
              <w:t xml:space="preserve"> rozporządzenia (UE) </w:t>
            </w:r>
            <w:r w:rsidRPr="0043455E">
              <w:t>nr</w:t>
            </w:r>
            <w:r w:rsidR="0043455E" w:rsidRPr="0043455E">
              <w:t> </w:t>
            </w:r>
            <w:r w:rsidRPr="0043455E">
              <w:t>5</w:t>
            </w:r>
            <w:r>
              <w:t>75/2013</w:t>
            </w:r>
          </w:p>
          <w:p w14:paraId="0779310E" w14:textId="368B859C"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Przy określaniu kwoty wyżej wspomnianych aktywów z tytułu odroczonego podatku dochodowego, którą należy odliczyć, instytucje biorą pod uwagę przepisy art. 38</w:t>
            </w:r>
            <w:r>
              <w:t xml:space="preserve"> rozporządzenia (UE) </w:t>
            </w:r>
            <w:r w:rsidRPr="0043455E">
              <w:t>nr</w:t>
            </w:r>
            <w:r w:rsidR="0043455E" w:rsidRPr="0043455E">
              <w:t> </w:t>
            </w:r>
            <w:r w:rsidRPr="0043455E">
              <w:t>5</w:t>
            </w:r>
            <w:r>
              <w:t xml:space="preserve">75/2013 </w:t>
            </w:r>
            <w:r>
              <w:rPr>
                <w:rStyle w:val="InstructionsTabelleText"/>
                <w:rFonts w:ascii="Times New Roman" w:hAnsi="Times New Roman"/>
                <w:sz w:val="24"/>
              </w:rPr>
              <w:t>dotyczące zmniejszenia aktywów z tytułu odroczonego podatku dochodowego o rezerwy z tytułu odroczonego podatku dochodowego</w:t>
            </w:r>
            <w:r>
              <w:t>.</w:t>
            </w:r>
          </w:p>
          <w:p w14:paraId="4F5B8FE5" w14:textId="6E585CAC"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Kwota, którą należy zgłosić w kolumnie 0060 tego wiersza: całkowita kwota zgodnie z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69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t xml:space="preserve"> rozporządzenia (UE) </w:t>
            </w:r>
            <w:r w:rsidRPr="0043455E">
              <w:t>nr</w:t>
            </w:r>
            <w:r w:rsidR="0043455E" w:rsidRPr="0043455E">
              <w:t> </w:t>
            </w:r>
            <w:r w:rsidRPr="0043455E">
              <w:t>5</w:t>
            </w:r>
            <w:r>
              <w:t>75/2013</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Aktywa z tytułu odroczonego podatku dochodowego oparte na przyszłej rentowności i wynikające z różnic przejściowych oraz instrumenty w kapitale podstawowym Tier I podmiotów sektora finansowego, jeżeli instytucja dokonała znacznej inwestycji w te podmioty</w:t>
            </w:r>
          </w:p>
          <w:p w14:paraId="67D916A8" w14:textId="20C2C1AD"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 470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 i 3</w:t>
            </w:r>
            <w:r>
              <w:t xml:space="preserve"> rozporządzenia (UE) </w:t>
            </w:r>
            <w:r w:rsidRPr="0043455E">
              <w:t>nr</w:t>
            </w:r>
            <w:r w:rsidR="0043455E" w:rsidRPr="0043455E">
              <w:t> </w:t>
            </w:r>
            <w:r w:rsidRPr="0043455E">
              <w:t>5</w:t>
            </w:r>
            <w:r>
              <w:t>75/2013</w:t>
            </w:r>
          </w:p>
          <w:p w14:paraId="0E472864" w14:textId="67AA9E9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Kwota, którą należy zgłosić w kolumnie 0060 tego wiersza: Art. 470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t xml:space="preserve"> rozporządzenia (UE) </w:t>
            </w:r>
            <w:r w:rsidRPr="0043455E">
              <w:t>nr</w:t>
            </w:r>
            <w:r w:rsidR="0043455E" w:rsidRPr="0043455E">
              <w:t> </w:t>
            </w:r>
            <w:r w:rsidRPr="0043455E">
              <w:t>5</w:t>
            </w:r>
            <w:r>
              <w:t>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Aktywa z tytułu odroczonego podatku dochodowego oparte na przyszłej rentowności i wynikające z różnic przejściowych</w:t>
            </w:r>
          </w:p>
          <w:p w14:paraId="1473C6AA" w14:textId="2E5541C2"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 469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c)</w:t>
            </w:r>
            <w:r>
              <w:rPr>
                <w:rStyle w:val="InstructionsTabelleText"/>
                <w:rFonts w:ascii="Times New Roman" w:hAnsi="Times New Roman"/>
                <w:sz w:val="24"/>
              </w:rPr>
              <w:t xml:space="preserve">,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72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78</w:t>
            </w:r>
            <w:r>
              <w:t xml:space="preserve"> rozporządzenia (UE) </w:t>
            </w:r>
            <w:r w:rsidRPr="0043455E">
              <w:t>nr</w:t>
            </w:r>
            <w:r w:rsidR="0043455E" w:rsidRPr="0043455E">
              <w:t> </w:t>
            </w:r>
            <w:r w:rsidRPr="0043455E">
              <w:t>5</w:t>
            </w:r>
            <w:r>
              <w:t>75/2013</w:t>
            </w:r>
          </w:p>
          <w:p w14:paraId="38991D1C" w14:textId="03E1133F"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Część aktywów z tytułu odroczonego podatku dochodowego opartych na przyszłej rentowności i wynikających z różnic przejściowych, która przekracza próg</w:t>
            </w:r>
            <w:r>
              <w:t xml:space="preserve"> 10 </w:t>
            </w:r>
            <w:r>
              <w:rPr>
                <w:rStyle w:val="InstructionsTabelleText"/>
                <w:rFonts w:ascii="Times New Roman" w:hAnsi="Times New Roman"/>
                <w:sz w:val="24"/>
              </w:rPr>
              <w:t>% określony w art. 470 ust. 2 lit. a)</w:t>
            </w:r>
            <w:r>
              <w:t xml:space="preserve"> rozporządzenia (UE) </w:t>
            </w:r>
            <w:r w:rsidRPr="0043455E">
              <w:t>nr</w:t>
            </w:r>
            <w:r w:rsidR="0043455E" w:rsidRPr="0043455E">
              <w:t> </w:t>
            </w:r>
            <w:r w:rsidRPr="0043455E">
              <w:t>5</w:t>
            </w:r>
            <w:r>
              <w:t>75/2013</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Wyłączenie z odliczania udziałów w kapitale własnym zakładów ubezpieczeń od pozycji kapitału podstawowego Tier I</w:t>
            </w:r>
          </w:p>
          <w:p w14:paraId="3A7DB6E8" w14:textId="20EECCEE"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471</w:t>
            </w:r>
            <w:r>
              <w:t xml:space="preserve"> rozporządzenia (UE) </w:t>
            </w:r>
            <w:r w:rsidRPr="0043455E">
              <w:t>nr</w:t>
            </w:r>
            <w:r w:rsidR="0043455E" w:rsidRPr="0043455E">
              <w:t> </w:t>
            </w:r>
            <w:r w:rsidRPr="0043455E">
              <w:t>5</w:t>
            </w:r>
            <w:r>
              <w:t>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Dodatkowe filtry i odliczenia</w:t>
            </w:r>
          </w:p>
          <w:p w14:paraId="523DF61B" w14:textId="0A174AE9"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 481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Wiersz ten odzwierciedla ogólny skutek przepisów przejściowych dla dodatkowych filtrów i odliczeń.</w:t>
            </w:r>
          </w:p>
          <w:p w14:paraId="4BED1B99" w14:textId="5ECE8D2D"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Zgodnie z art. 481</w:t>
            </w:r>
            <w:r>
              <w:t xml:space="preserve"> rozporządzenia (UE) </w:t>
            </w:r>
            <w:r w:rsidRPr="0043455E">
              <w:t>nr</w:t>
            </w:r>
            <w:r w:rsidR="0043455E" w:rsidRPr="0043455E">
              <w:t> </w:t>
            </w:r>
            <w:r w:rsidRPr="0043455E">
              <w:t>5</w:t>
            </w:r>
            <w:r>
              <w:t xml:space="preserve">75/2013 </w:t>
            </w:r>
            <w:r>
              <w:rPr>
                <w:rStyle w:val="InstructionsTabelleText"/>
                <w:rFonts w:ascii="Times New Roman" w:hAnsi="Times New Roman"/>
                <w:sz w:val="24"/>
              </w:rPr>
              <w:t xml:space="preserve">instytucje zgłaszają w pozycji 1.3.3 informacje odnoszące się do filtrów i odliczeń wymaganych na mocy krajowych środków wykonawczych w odniesieniu do art. 57 i 66 dyrektywy 2006/48/WE oraz w odniesieniu do art. 13 i 16 dyrektywy 2006/49/WE, i które nie są wymagane zgodnie z częścią drugą.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Korekty wynikające z MSSF 9 w okresie przejściowym</w:t>
            </w:r>
          </w:p>
          <w:p w14:paraId="05E1DB29" w14:textId="7DB41154"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473a</w:t>
            </w:r>
            <w:r>
              <w:t xml:space="preserve"> rozporządzenia (UE) </w:t>
            </w:r>
            <w:r w:rsidRPr="0043455E">
              <w:t>nr</w:t>
            </w:r>
            <w:r w:rsidR="0043455E" w:rsidRPr="0043455E">
              <w:t> </w:t>
            </w:r>
            <w:r w:rsidRPr="0043455E">
              <w:t>5</w:t>
            </w:r>
            <w:r>
              <w:t>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informacje dotyczące korekt wynikających z MSSF 9 w okresie przejściowym zgodnie z mającymi zastosowanie przepisami prawa.</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Pozycja uzupełniająca: wpływ elementu statycznego pod względem oczekiwanych strat kredytowych</w:t>
            </w:r>
          </w:p>
          <w:p w14:paraId="21156AFC" w14:textId="0E5361E0"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i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o której mowa w art. 473a ust. 1 rozporządzenia (UE) </w:t>
            </w:r>
            <w:r w:rsidRPr="0043455E">
              <w:rPr>
                <w:rStyle w:val="InstructionsTabelleberschrift"/>
                <w:rFonts w:ascii="Times New Roman" w:hAnsi="Times New Roman"/>
                <w:b w:val="0"/>
                <w:sz w:val="24"/>
                <w:u w:val="none"/>
              </w:rPr>
              <w:t>nr</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w:t>
            </w:r>
          </w:p>
          <w:p w14:paraId="4DB6187E" w14:textId="05F789BA"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kwotą zgłaszaną jest kwota netto oczekiwanych strat zgodnie z wymogiem określonym w art. 473a ust. 5 lit. a)</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0814576"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Pozycja uzupełniająca: wpływ elementu dynamicznego pod względem oczekiwanych strat kredytowych w okresie </w:t>
            </w:r>
            <w:r w:rsidRPr="0043455E">
              <w:rPr>
                <w:rStyle w:val="InstructionsTabelleberschrift"/>
                <w:rFonts w:ascii="Times New Roman" w:hAnsi="Times New Roman"/>
                <w:sz w:val="24"/>
              </w:rPr>
              <w:t>od</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.01.20</w:t>
            </w:r>
            <w:r w:rsidRPr="0043455E">
              <w:rPr>
                <w:rStyle w:val="InstructionsTabelleberschrift"/>
                <w:rFonts w:ascii="Times New Roman" w:hAnsi="Times New Roman"/>
                <w:sz w:val="24"/>
              </w:rPr>
              <w:t>18</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r.</w:t>
            </w:r>
            <w:r>
              <w:rPr>
                <w:rStyle w:val="InstructionsTabelleberschrift"/>
                <w:rFonts w:ascii="Times New Roman" w:hAnsi="Times New Roman"/>
                <w:sz w:val="24"/>
              </w:rPr>
              <w:t xml:space="preserve"> </w:t>
            </w:r>
            <w:r w:rsidRPr="0043455E">
              <w:rPr>
                <w:rStyle w:val="InstructionsTabelleberschrift"/>
                <w:rFonts w:ascii="Times New Roman" w:hAnsi="Times New Roman"/>
                <w:sz w:val="24"/>
              </w:rPr>
              <w:t>do</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3</w:t>
            </w:r>
            <w:r>
              <w:rPr>
                <w:rStyle w:val="InstructionsTabelleberschrift"/>
                <w:rFonts w:ascii="Times New Roman" w:hAnsi="Times New Roman"/>
                <w:sz w:val="24"/>
              </w:rPr>
              <w:t>1.12.20</w:t>
            </w:r>
            <w:r w:rsidRPr="0043455E">
              <w:rPr>
                <w:rStyle w:val="InstructionsTabelleberschrift"/>
                <w:rFonts w:ascii="Times New Roman" w:hAnsi="Times New Roman"/>
                <w:sz w:val="24"/>
              </w:rPr>
              <w:t>19</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r.</w:t>
            </w:r>
          </w:p>
          <w:p w14:paraId="5CB75D93" w14:textId="405DA9CA"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Suma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i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o której mowa w art. 473a ust. 1</w:t>
            </w:r>
            <w:r>
              <w:t xml:space="preserve"> rozporządzenia (UE) </w:t>
            </w:r>
            <w:r w:rsidRPr="0043455E">
              <w:t>nr</w:t>
            </w:r>
            <w:r w:rsidR="0043455E" w:rsidRPr="0043455E">
              <w:t> </w:t>
            </w:r>
            <w:r w:rsidRPr="0043455E">
              <w:t>5</w:t>
            </w:r>
            <w:r>
              <w:t xml:space="preserve">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20A0A2B"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Pozycja uzupełniająca: wpływ elementu dynamicznego pod względem oczekiwanych strat kredytowych w okresie rozpoczynającym </w:t>
            </w:r>
            <w:r w:rsidRPr="0043455E">
              <w:rPr>
                <w:rStyle w:val="InstructionsTabelleberschrift"/>
                <w:rFonts w:ascii="Times New Roman" w:hAnsi="Times New Roman"/>
                <w:sz w:val="24"/>
              </w:rPr>
              <w:t>się</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.01.20</w:t>
            </w:r>
            <w:r w:rsidRPr="0043455E">
              <w:rPr>
                <w:rStyle w:val="InstructionsTabelleberschrift"/>
                <w:rFonts w:ascii="Times New Roman" w:hAnsi="Times New Roman"/>
                <w:sz w:val="24"/>
              </w:rPr>
              <w:t>20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r.</w:t>
            </w:r>
          </w:p>
          <w:p w14:paraId="2064CFFE" w14:textId="3A525956"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Suma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i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o której mowa w art. 473a ust. 1</w:t>
            </w:r>
            <w:r>
              <w:t xml:space="preserve"> rozporządzenia (UE) </w:t>
            </w:r>
            <w:r w:rsidRPr="0043455E">
              <w:t>nr</w:t>
            </w:r>
            <w:r w:rsidR="0043455E" w:rsidRPr="0043455E">
              <w:t> </w:t>
            </w:r>
            <w:r w:rsidRPr="0043455E">
              <w:t>5</w:t>
            </w:r>
            <w:r>
              <w:t>75/2013.</w:t>
            </w:r>
          </w:p>
          <w:p w14:paraId="568C07D5" w14:textId="44361165"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 przypadku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kwotą zgłaszaną jest kwota netto oczekiwanych strat zgodnie z wymogiem określonym w art. 473a ust. 5 lit. b) i c)</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360188337"/>
      <w:bookmarkStart w:id="87" w:name="_Toc119064783"/>
      <w:bookmarkEnd w:id="83"/>
      <w:r>
        <w:rPr>
          <w:rFonts w:ascii="Times New Roman" w:hAnsi="Times New Roman"/>
          <w:sz w:val="24"/>
          <w:u w:val="none"/>
        </w:rPr>
        <w:t>1.6.3</w:t>
      </w:r>
      <w:r>
        <w:tab/>
      </w:r>
      <w:r>
        <w:rPr>
          <w:rFonts w:ascii="Times New Roman" w:hAnsi="Times New Roman"/>
          <w:sz w:val="24"/>
        </w:rPr>
        <w:t>C 05.02 – INSTRUMENTY PODLEGAJĄCE ZASADZIE PRAW NABYTYCH: INSTRUMENTY NIESTANOWIĄCE POMOCY PAŃSTWA (CA5.2)</w:t>
      </w:r>
      <w:bookmarkEnd w:id="84"/>
      <w:bookmarkEnd w:id="85"/>
      <w:bookmarkEnd w:id="87"/>
      <w:r>
        <w:rPr>
          <w:rFonts w:ascii="Times New Roman" w:hAnsi="Times New Roman"/>
          <w:sz w:val="24"/>
          <w:u w:val="none"/>
        </w:rPr>
        <w:t xml:space="preserve"> </w:t>
      </w:r>
      <w:bookmarkEnd w:id="86"/>
    </w:p>
    <w:p w14:paraId="381FD194" w14:textId="426986F3" w:rsidR="00783881" w:rsidRPr="002A677E" w:rsidRDefault="0043455E" w:rsidP="00487A02">
      <w:pPr>
        <w:pStyle w:val="InstructionsText2"/>
        <w:numPr>
          <w:ilvl w:val="0"/>
          <w:numId w:val="0"/>
        </w:numPr>
        <w:ind w:left="1353" w:hanging="360"/>
      </w:pPr>
      <w:fldSimple w:instr=" seq paragraphs ">
        <w:r w:rsidR="008F3052">
          <w:t>26</w:t>
        </w:r>
      </w:fldSimple>
      <w:r w:rsidR="008F3052">
        <w:t>.</w:t>
      </w:r>
      <w:r w:rsidR="008F3052">
        <w:tab/>
        <w:t xml:space="preserve">Instytucje zgłaszają informacje odnoszące się do przepisów przejściowych dotyczących instrumentów podlegających zasadzie praw nabytych, które to instrumenty nie stanowią pomocy państwa (art. 484–491 rozporządzenia (UE) </w:t>
      </w:r>
      <w:r w:rsidR="008F3052" w:rsidRPr="0043455E">
        <w:t>nr</w:t>
      </w:r>
      <w:r w:rsidRPr="0043455E">
        <w:t> </w:t>
      </w:r>
      <w:r w:rsidR="008F3052" w:rsidRPr="0043455E">
        <w:t>5</w:t>
      </w:r>
      <w:r w:rsidR="008F3052">
        <w:t>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9064784"/>
      <w:r>
        <w:rPr>
          <w:rFonts w:ascii="Times New Roman" w:hAnsi="Times New Roman"/>
          <w:sz w:val="24"/>
          <w:u w:val="none"/>
        </w:rPr>
        <w:t>1.6.3.1</w:t>
      </w:r>
      <w:r>
        <w:tab/>
      </w:r>
      <w:r>
        <w:rPr>
          <w:rFonts w:ascii="Times New Roman" w:hAnsi="Times New Roman"/>
          <w:sz w:val="24"/>
        </w:rPr>
        <w:t>Instrukcje dotyczące poszczególnych pozycji</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Kolumny</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Kwota instrumentów plus powiązane ażio emisyjne</w:t>
            </w:r>
          </w:p>
          <w:p w14:paraId="62FF04FC" w14:textId="165039AC"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3</w:t>
            </w:r>
            <w:r>
              <w:rPr>
                <w:rStyle w:val="InstructionsTabelleText"/>
                <w:rFonts w:ascii="Times New Roman" w:hAnsi="Times New Roman"/>
                <w:sz w:val="24"/>
              </w:rPr>
              <w:t>, 4 i 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Instrumenty, które kwalifikują się do odpowiedniego wiersza, w tym ich powiązane ażio emisyjne.</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Podstawa obliczania limitu</w:t>
            </w:r>
          </w:p>
          <w:p w14:paraId="3AD7ACBB" w14:textId="592481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486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3 i 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Mająca zastosowanie wartość procentowa</w:t>
            </w:r>
          </w:p>
          <w:p w14:paraId="2EF263DA" w14:textId="31188236"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486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Poziom</w:t>
            </w:r>
          </w:p>
          <w:p w14:paraId="71BF03FA" w14:textId="7327FE6E"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486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Kwota przekraczająca limity w zakresie stosowania zasady praw nabytych</w:t>
            </w:r>
          </w:p>
          <w:p w14:paraId="243EA3A5" w14:textId="602F3694"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486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Całkowita kwota podlegająca zasadzie praw nabytych</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Kwota, którą należy zgłosić, jest równa kwotom zgłoszonym w odpowiednich kolumnach w wierszu 060 wzoru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Wiersze</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541ED9BF"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Instrumenty, które kwalifikowały się zgodnie z art. 57 </w:t>
            </w:r>
            <w:r w:rsidRPr="0043455E">
              <w:rPr>
                <w:rStyle w:val="InstructionsTabelleberschrift"/>
                <w:rFonts w:ascii="Times New Roman" w:hAnsi="Times New Roman"/>
                <w:sz w:val="24"/>
              </w:rPr>
              <w:t>lit.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a)</w:t>
            </w:r>
            <w:r>
              <w:rPr>
                <w:rStyle w:val="InstructionsTabelleberschrift"/>
                <w:rFonts w:ascii="Times New Roman" w:hAnsi="Times New Roman"/>
                <w:sz w:val="24"/>
              </w:rPr>
              <w:t xml:space="preserve"> dyrektywy 2006/48/WE</w:t>
            </w:r>
          </w:p>
          <w:p w14:paraId="00D57BCE" w14:textId="1D32A22A"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71717B32"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Instrumenty, które kwalifikowały się zgodnie z art. 57 lit. ca) oraz art. 154 ust. 8 i 9 dyrektywy 2006/48/WE, z zastrzeżeniem limitu określonego w art. 489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237A5DBB" w14:textId="730DC4A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Całkowita kwota instrumentów bez opcji kupna lub zachęty do umorzenia</w:t>
            </w:r>
          </w:p>
          <w:p w14:paraId="36AA86C4" w14:textId="38B2A3B3"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 484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89</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Instrumenty podlegające zasadzie praw nabytych z opcją kupna i zachętą do umorzenia</w:t>
            </w:r>
          </w:p>
          <w:p w14:paraId="1DEEB56A" w14:textId="5C34D5CC"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 489</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41190F78"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 xml:space="preserve">Instrumenty z opcją kupna wykonalną po dniu sprawozdawczym, spełniające warunki określone w art. 52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 po upływie efektywnego terminu zapadalności</w:t>
            </w:r>
          </w:p>
          <w:p w14:paraId="32E1DD3C" w14:textId="1927834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489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3</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91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11C5A3EA"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 xml:space="preserve">Instrumenty z opcją kupna wykonalną po dniu sprawozdawczym, niespełniające warunków określonych w art. 52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 po upływie efektywnego terminu zapadalności</w:t>
            </w:r>
          </w:p>
          <w:p w14:paraId="4E10D164" w14:textId="5BDA51D4"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Art. 489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91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03331C" w14:textId="78B0A77B"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Instrumenty z opcją kupna wykonalną przed dniem 20 lipca 20</w:t>
            </w:r>
            <w:r w:rsidRPr="0043455E">
              <w:rPr>
                <w:rStyle w:val="InstructionsTabelleberschrift"/>
                <w:rFonts w:ascii="Times New Roman" w:hAnsi="Times New Roman"/>
                <w:sz w:val="24"/>
              </w:rPr>
              <w:t>11</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r.</w:t>
            </w:r>
            <w:r>
              <w:rPr>
                <w:rStyle w:val="InstructionsTabelleberschrift"/>
                <w:rFonts w:ascii="Times New Roman" w:hAnsi="Times New Roman"/>
                <w:sz w:val="24"/>
              </w:rPr>
              <w:t xml:space="preserve"> lub w dniu 20 lipca 20</w:t>
            </w:r>
            <w:r w:rsidRPr="0043455E">
              <w:rPr>
                <w:rStyle w:val="InstructionsTabelleberschrift"/>
                <w:rFonts w:ascii="Times New Roman" w:hAnsi="Times New Roman"/>
                <w:sz w:val="24"/>
              </w:rPr>
              <w:t>11</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r.</w:t>
            </w:r>
            <w:r>
              <w:rPr>
                <w:rStyle w:val="InstructionsTabelleberschrift"/>
                <w:rFonts w:ascii="Times New Roman" w:hAnsi="Times New Roman"/>
                <w:sz w:val="24"/>
              </w:rPr>
              <w:t xml:space="preserve">, niespełniające warunków określonych w art. 52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 po upływie efektywnego terminu zapadalności</w:t>
            </w:r>
          </w:p>
          <w:p w14:paraId="6CCC8453" w14:textId="363D3743"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489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6</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91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Nadwyżka ponad limit instrumentów w kapitale podstawowym Tier I podlegających zasadzie praw nabytych</w:t>
            </w:r>
          </w:p>
          <w:p w14:paraId="0854136B" w14:textId="0996C43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487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Nadwyżkę ponad limit instrumentów w kapitale podstawowym Tier I podlegających zasadzie praw nabytych można traktować jak instrumenty, które mogą podlegać zasadzie praw nabytych jako instrumenty w kapitale dodatkowym Tier I.</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441D6659"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 xml:space="preserve">Pozycje, które kwalifikowały się zgodnie z art. 57 lit. e), f), g) lub h) dyrektywy 2006/48/WE, z zastrzeżeniem limitu określonego w art. 490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1358C363" w14:textId="2A66FFE1"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 484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Pozycje bez zachęty do umorzenia razem</w:t>
            </w:r>
          </w:p>
          <w:p w14:paraId="72F48FE8" w14:textId="7B1C5EC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 490</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Pozycje podlegające zasadzie praw nabytych z zachętą do umorzenia</w:t>
            </w:r>
          </w:p>
          <w:p w14:paraId="02206BE0" w14:textId="123829D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 490</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2BE0248B"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 xml:space="preserve">Pozycje z opcją kupna wykonalną po dniu sprawozdawczym, spełniające warunki określone w art. 63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 po upływie efektywnego terminu zapadalności</w:t>
            </w:r>
          </w:p>
          <w:p w14:paraId="404600DF" w14:textId="4F4EC56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490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3</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91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Kwota, którą należy zgłosić, obejmuje powiązane ażio emisyjne.</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14:paraId="5262B006" w14:textId="71E950C8"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 xml:space="preserve">Pozycje z opcją kupna wykonalną po dniu sprawozdawczym, niespełniające warunków określonych w art. 63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 po upływie efektywnego terminu zapadalności</w:t>
            </w:r>
          </w:p>
          <w:p w14:paraId="2F07BC15" w14:textId="47F550FC"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490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91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6D28FCC5"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Pozycje z opcją kupna wykonalną przed dniem 20 lipca 20</w:t>
            </w:r>
            <w:r w:rsidRPr="0043455E">
              <w:rPr>
                <w:rStyle w:val="InstructionsTabelleberschrift"/>
                <w:rFonts w:ascii="Times New Roman" w:hAnsi="Times New Roman"/>
                <w:sz w:val="24"/>
              </w:rPr>
              <w:t>11</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r.</w:t>
            </w:r>
            <w:r>
              <w:rPr>
                <w:rStyle w:val="InstructionsTabelleberschrift"/>
                <w:rFonts w:ascii="Times New Roman" w:hAnsi="Times New Roman"/>
                <w:sz w:val="24"/>
              </w:rPr>
              <w:t xml:space="preserve"> lub w dniu 20 lipca 20</w:t>
            </w:r>
            <w:r w:rsidRPr="0043455E">
              <w:rPr>
                <w:rStyle w:val="InstructionsTabelleberschrift"/>
                <w:rFonts w:ascii="Times New Roman" w:hAnsi="Times New Roman"/>
                <w:sz w:val="24"/>
              </w:rPr>
              <w:t>11</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r.</w:t>
            </w:r>
            <w:r>
              <w:rPr>
                <w:rStyle w:val="InstructionsTabelleberschrift"/>
                <w:rFonts w:ascii="Times New Roman" w:hAnsi="Times New Roman"/>
                <w:sz w:val="24"/>
              </w:rPr>
              <w:t xml:space="preserve">, niespełniające warunków określonych w art. 63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 po upływie efektywnego terminu zapadalności</w:t>
            </w:r>
          </w:p>
          <w:p w14:paraId="7D73A991" w14:textId="0BE41A07"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490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6</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4</w:t>
            </w:r>
            <w:r>
              <w:rPr>
                <w:rStyle w:val="InstructionsTabelleText"/>
                <w:rFonts w:ascii="Times New Roman" w:hAnsi="Times New Roman"/>
                <w:sz w:val="24"/>
              </w:rPr>
              <w:t xml:space="preserve">91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Kwota, którą należy zgłosić, obejmuje powiązane ażio emisyjne.</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Nadwyżka ponad limit instrumentów w kapitale dodatkowym Tier I podlegających zasadzie praw nabytych</w:t>
            </w:r>
          </w:p>
          <w:p w14:paraId="36BAD648" w14:textId="20733A1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 487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Nadwyżkę ponad limit instrumentów w kapitale dodatkowym Tier I podlegających zasadzie praw nabytych można traktować jak instrumenty, które mogą podlegać zasadzie praw nabytych jako instrumenty w kapitale Tier II.</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9064785"/>
      <w:bookmarkEnd w:id="91"/>
      <w:bookmarkEnd w:id="92"/>
      <w:bookmarkEnd w:id="93"/>
      <w:r>
        <w:rPr>
          <w:rFonts w:ascii="Times New Roman" w:hAnsi="Times New Roman"/>
          <w:sz w:val="24"/>
          <w:u w:val="none"/>
        </w:rPr>
        <w:t>2.</w:t>
      </w:r>
      <w:r>
        <w:tab/>
      </w:r>
      <w:r>
        <w:rPr>
          <w:rFonts w:ascii="Times New Roman" w:hAnsi="Times New Roman"/>
          <w:sz w:val="24"/>
        </w:rPr>
        <w:t>WYPŁACALNOŚĆ GRUPY: INFORMACJE NA TEMAT PODMIOTÓW POWIĄZANYCH (GS</w:t>
      </w:r>
      <w:bookmarkEnd w:id="94"/>
      <w:r>
        <w:rPr>
          <w:rFonts w:ascii="Times New Roman" w:hAnsi="Times New Roman"/>
          <w:sz w:val="24"/>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9064786"/>
      <w:r>
        <w:rPr>
          <w:rFonts w:ascii="Times New Roman" w:hAnsi="Times New Roman"/>
          <w:sz w:val="24"/>
          <w:u w:val="none"/>
        </w:rPr>
        <w:t>2.1.</w:t>
      </w:r>
      <w:r>
        <w:tab/>
      </w:r>
      <w:r>
        <w:rPr>
          <w:rFonts w:ascii="Times New Roman" w:hAnsi="Times New Roman"/>
          <w:sz w:val="24"/>
        </w:rPr>
        <w:t>Uwagi ogólne</w:t>
      </w:r>
      <w:bookmarkEnd w:id="97"/>
      <w:bookmarkEnd w:id="98"/>
      <w:bookmarkEnd w:id="99"/>
      <w:bookmarkEnd w:id="100"/>
      <w:bookmarkEnd w:id="101"/>
      <w:bookmarkEnd w:id="102"/>
      <w:bookmarkEnd w:id="103"/>
    </w:p>
    <w:p w14:paraId="0DE48938" w14:textId="77777777" w:rsidR="00464F34" w:rsidRPr="002A677E" w:rsidRDefault="0043455E" w:rsidP="00487A02">
      <w:pPr>
        <w:pStyle w:val="InstructionsText2"/>
        <w:numPr>
          <w:ilvl w:val="0"/>
          <w:numId w:val="0"/>
        </w:numPr>
        <w:ind w:left="1353" w:hanging="360"/>
      </w:pPr>
      <w:fldSimple w:instr=" seq paragraphs ">
        <w:r w:rsidR="008F3052">
          <w:t>27</w:t>
        </w:r>
      </w:fldSimple>
      <w:r w:rsidR="008F3052">
        <w:t>.</w:t>
      </w:r>
      <w:r w:rsidR="008F3052">
        <w:tab/>
        <w:t>Wzory C 06.01 i C 06.02 zgłasza się, gdy wymogi w zakresie funduszy własnych są obliczane na zasadzie skonsolidowanej. Wzór C 06.02 składa się z czterech części, które służą gromadzeniu różnych informacji o wszystkich poszczególnych podmiotach (w tym instytucji sprawozdającej) objętych zakresem konsolidacji.</w:t>
      </w:r>
    </w:p>
    <w:p w14:paraId="1370D22F" w14:textId="77777777" w:rsidR="00C93697" w:rsidRPr="002A677E" w:rsidRDefault="00125707" w:rsidP="00487A02">
      <w:pPr>
        <w:pStyle w:val="InstructionsText2"/>
        <w:numPr>
          <w:ilvl w:val="0"/>
          <w:numId w:val="0"/>
        </w:numPr>
        <w:ind w:left="1353" w:hanging="360"/>
      </w:pPr>
      <w:r>
        <w:t>a)</w:t>
      </w:r>
      <w:r>
        <w:tab/>
        <w:t>podmioty objęte zakresem konsolidacji;</w:t>
      </w:r>
    </w:p>
    <w:p w14:paraId="6A3C0853" w14:textId="77777777" w:rsidR="00C93697" w:rsidRPr="002A677E" w:rsidRDefault="00125707" w:rsidP="00487A02">
      <w:pPr>
        <w:pStyle w:val="InstructionsText2"/>
        <w:numPr>
          <w:ilvl w:val="0"/>
          <w:numId w:val="0"/>
        </w:numPr>
        <w:ind w:left="1353" w:hanging="360"/>
      </w:pPr>
      <w:r>
        <w:t>b)</w:t>
      </w:r>
      <w:r>
        <w:tab/>
        <w:t>szczegółowe informacje na temat wypłacalności grupy;</w:t>
      </w:r>
    </w:p>
    <w:p w14:paraId="1C183B49" w14:textId="77777777" w:rsidR="00C93697" w:rsidRPr="002A677E" w:rsidRDefault="00125707" w:rsidP="00487A02">
      <w:pPr>
        <w:pStyle w:val="InstructionsText2"/>
        <w:numPr>
          <w:ilvl w:val="0"/>
          <w:numId w:val="0"/>
        </w:numPr>
        <w:ind w:left="1353" w:hanging="360"/>
      </w:pPr>
      <w:r>
        <w:t>c)</w:t>
      </w:r>
      <w:r>
        <w:tab/>
        <w:t>informacje na temat wkładu poszczególnych podmiotów na rzecz wypłacalności grupy;</w:t>
      </w:r>
    </w:p>
    <w:p w14:paraId="68A71EE8" w14:textId="77777777" w:rsidR="00C93697" w:rsidRPr="002A677E" w:rsidRDefault="00125707" w:rsidP="00487A02">
      <w:pPr>
        <w:pStyle w:val="InstructionsText2"/>
        <w:numPr>
          <w:ilvl w:val="0"/>
          <w:numId w:val="0"/>
        </w:numPr>
        <w:ind w:left="1353" w:hanging="360"/>
      </w:pPr>
      <w:r>
        <w:lastRenderedPageBreak/>
        <w:t>d)</w:t>
      </w:r>
      <w:r>
        <w:tab/>
        <w:t>informacje na temat buforów kapitałowych.</w:t>
      </w:r>
    </w:p>
    <w:p w14:paraId="6E599DBE" w14:textId="4E65C59B" w:rsidR="00464F34" w:rsidRPr="002A677E" w:rsidRDefault="0043455E" w:rsidP="00487A02">
      <w:pPr>
        <w:pStyle w:val="InstructionsText2"/>
        <w:numPr>
          <w:ilvl w:val="0"/>
          <w:numId w:val="0"/>
        </w:numPr>
        <w:ind w:left="1353" w:hanging="360"/>
      </w:pPr>
      <w:fldSimple w:instr=" seq paragraphs ">
        <w:r w:rsidR="008F3052">
          <w:t>28</w:t>
        </w:r>
      </w:fldSimple>
      <w:r w:rsidR="008F3052">
        <w:t>.</w:t>
      </w:r>
      <w:r w:rsidR="008F3052">
        <w:tab/>
        <w:t xml:space="preserve">Instytucje, które uzyskały odstępstwo na podstawie art. 7 rozporządzenia (UE) </w:t>
      </w:r>
      <w:r w:rsidR="008F3052" w:rsidRPr="0043455E">
        <w:t>nr</w:t>
      </w:r>
      <w:r w:rsidRPr="0043455E">
        <w:t> </w:t>
      </w:r>
      <w:r w:rsidR="008F3052" w:rsidRPr="0043455E">
        <w:t>5</w:t>
      </w:r>
      <w:r w:rsidR="008F3052">
        <w:t>75/2013, zgłaszają wyłącznie kolumny 0010–0060 i 0250–0400.</w:t>
      </w:r>
    </w:p>
    <w:p w14:paraId="7F057EB3" w14:textId="0107EBBE" w:rsidR="004C0508" w:rsidRPr="002A677E" w:rsidRDefault="0043455E" w:rsidP="00487A02">
      <w:pPr>
        <w:pStyle w:val="InstructionsText2"/>
        <w:numPr>
          <w:ilvl w:val="0"/>
          <w:numId w:val="0"/>
        </w:numPr>
        <w:ind w:left="1353" w:hanging="360"/>
      </w:pPr>
      <w:fldSimple w:instr=" seq paragraphs ">
        <w:r w:rsidR="008F3052">
          <w:t>29</w:t>
        </w:r>
      </w:fldSimple>
      <w:r w:rsidR="008F3052">
        <w:t>.</w:t>
      </w:r>
      <w:r w:rsidR="008F3052">
        <w:tab/>
        <w:t xml:space="preserve">Zgłoszone wartości uwzględniają wszystkie mające zastosowanie przepisy przejściowe rozporządzenia (UE) </w:t>
      </w:r>
      <w:r w:rsidR="008F3052" w:rsidRPr="0043455E">
        <w:t>nr</w:t>
      </w:r>
      <w:r w:rsidRPr="0043455E">
        <w:t> </w:t>
      </w:r>
      <w:r w:rsidR="008F3052" w:rsidRPr="0043455E">
        <w:t>5</w:t>
      </w:r>
      <w:r w:rsidR="008F3052">
        <w:t>75/2013, które mają zastosowanie na odpowiedni dzień sprawozdawczy.</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9064787"/>
      <w:r>
        <w:rPr>
          <w:rFonts w:ascii="Times New Roman" w:hAnsi="Times New Roman"/>
          <w:sz w:val="24"/>
          <w:u w:val="none"/>
        </w:rPr>
        <w:t>2.2.</w:t>
      </w:r>
      <w:r>
        <w:tab/>
      </w:r>
      <w:r>
        <w:rPr>
          <w:rFonts w:ascii="Times New Roman" w:hAnsi="Times New Roman"/>
          <w:sz w:val="24"/>
        </w:rPr>
        <w:t>Szczegółowe informacje na temat wypłacalności grupy</w:t>
      </w:r>
      <w:bookmarkEnd w:id="104"/>
      <w:bookmarkEnd w:id="105"/>
      <w:bookmarkEnd w:id="106"/>
    </w:p>
    <w:p w14:paraId="2EA52DA1" w14:textId="77777777" w:rsidR="00464F34" w:rsidRPr="002A677E" w:rsidRDefault="0043455E" w:rsidP="00487A02">
      <w:pPr>
        <w:pStyle w:val="InstructionsText2"/>
        <w:numPr>
          <w:ilvl w:val="0"/>
          <w:numId w:val="0"/>
        </w:numPr>
        <w:ind w:left="1353" w:hanging="360"/>
      </w:pPr>
      <w:fldSimple w:instr=" seq paragraphs ">
        <w:r w:rsidR="008F3052">
          <w:t>30</w:t>
        </w:r>
      </w:fldSimple>
      <w:r w:rsidR="008F3052">
        <w:t>.</w:t>
      </w:r>
      <w:r w:rsidR="008F3052">
        <w:tab/>
        <w:t xml:space="preserve">Druga część wzoru C 06.02(szczegółowe informacje na temat wypłacalności grupy) w kolumnach 0070–0210 służy gromadzeniu informacji na temat instytucji kredytowych oraz innych regulowanych instytucji sektora finansowego, które efektywnie i indywidualnie podlegają określonym wymogom dotyczącym wypłacalności. W odniesieniu do każdego z tych podmiotów objętych zakresem sprawozdawczości przewidziano wymogi w zakresie funduszy własnych dla każdej kategorii ryzyka i funduszy własnych dla celów wypłacalności. </w:t>
      </w:r>
    </w:p>
    <w:p w14:paraId="11D43D14" w14:textId="77777777" w:rsidR="00464F34" w:rsidRPr="002A677E" w:rsidRDefault="0043455E" w:rsidP="00487A02">
      <w:pPr>
        <w:pStyle w:val="InstructionsText2"/>
        <w:numPr>
          <w:ilvl w:val="0"/>
          <w:numId w:val="0"/>
        </w:numPr>
        <w:ind w:left="1353" w:hanging="360"/>
      </w:pPr>
      <w:fldSimple w:instr=" seq paragraphs ">
        <w:r w:rsidR="008F3052">
          <w:t>31</w:t>
        </w:r>
      </w:fldSimple>
      <w:r w:rsidR="008F3052">
        <w:t>.</w:t>
      </w:r>
      <w:r w:rsidR="008F3052">
        <w:tab/>
        <w:t>W przypadku proporcjonalnej konsolidacji udziałów kapitałowych dane liczbowe odnoszące się do wymogów w zakresie funduszy własnych i do funduszy własnych odzwierciedlają odpowiednie proporcjonalne kwoty.</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9064788"/>
      <w:r>
        <w:rPr>
          <w:rFonts w:ascii="Times New Roman" w:hAnsi="Times New Roman"/>
          <w:sz w:val="24"/>
          <w:u w:val="none"/>
        </w:rPr>
        <w:t>2.3.</w:t>
      </w:r>
      <w:r>
        <w:tab/>
      </w:r>
      <w:r>
        <w:rPr>
          <w:rFonts w:ascii="Times New Roman" w:hAnsi="Times New Roman"/>
          <w:sz w:val="24"/>
        </w:rPr>
        <w:t>Informacje na temat wkładów poszczególnych podmiotów na rzecz wypłacalności grupy</w:t>
      </w:r>
      <w:bookmarkEnd w:id="107"/>
      <w:bookmarkEnd w:id="108"/>
      <w:bookmarkEnd w:id="109"/>
    </w:p>
    <w:p w14:paraId="770A244C" w14:textId="1330D538" w:rsidR="00464F34" w:rsidRPr="002A677E" w:rsidRDefault="0043455E" w:rsidP="00487A02">
      <w:pPr>
        <w:pStyle w:val="InstructionsText2"/>
        <w:numPr>
          <w:ilvl w:val="0"/>
          <w:numId w:val="0"/>
        </w:numPr>
        <w:ind w:left="1353" w:hanging="360"/>
      </w:pPr>
      <w:fldSimple w:instr=" seq paragraphs ">
        <w:r w:rsidR="008F3052">
          <w:t>32</w:t>
        </w:r>
      </w:fldSimple>
      <w:r w:rsidR="008F3052">
        <w:t>.</w:t>
      </w:r>
      <w:r w:rsidR="008F3052">
        <w:tab/>
        <w:t xml:space="preserve">Celem trzeciej części wzoru C 06.02 i wzoru C 06.01 (informacje na temat wkładów wszystkich podmiotów na rzecz wypłacalności grupy w zakresie konsolidacji na podstawie rozporządzenia (UE) </w:t>
      </w:r>
      <w:r w:rsidR="008F3052" w:rsidRPr="0043455E">
        <w:t>nr</w:t>
      </w:r>
      <w:r w:rsidRPr="0043455E">
        <w:t> </w:t>
      </w:r>
      <w:r w:rsidR="008F3052" w:rsidRPr="0043455E">
        <w:t>5</w:t>
      </w:r>
      <w:r w:rsidR="008F3052">
        <w:t xml:space="preserve">75/2013, w tym podmiotów, które nie podlegają indywidualnie określonym wymogom dotyczącym wypłacalności), obejmującej kolumny 0250–0400, jest zidentyfikowanie tych podmiotów w obrębie grupy, które generują ryzyko i pozyskują fundusze własne z rynku, w oparciu o dane, które są łatwo dostępne lub które można łatwo przetworzyć bez konieczności odtwarzania współczynnika kapitałowego na zasadzie nieskonsolidowanej lub subskonsolidowanej. Na poziomie podmiotu zarówno dane liczbowe dotyczące ryzyka, jak i dane liczbowe dotyczące funduszy własnych są wkładami do danych liczbowych dotyczących grupy, a nie elementami współczynnika wypłacalności na zasadzie nieskonsolidowanej, i dlatego nie można ich ze sobą porównywać. </w:t>
      </w:r>
    </w:p>
    <w:p w14:paraId="5B1F7005" w14:textId="77777777" w:rsidR="00464F34" w:rsidRPr="002A677E" w:rsidRDefault="0043455E" w:rsidP="00487A02">
      <w:pPr>
        <w:pStyle w:val="InstructionsText2"/>
        <w:numPr>
          <w:ilvl w:val="0"/>
          <w:numId w:val="0"/>
        </w:numPr>
        <w:ind w:left="1353" w:hanging="360"/>
      </w:pPr>
      <w:fldSimple w:instr=" seq paragraphs ">
        <w:r w:rsidR="008F3052">
          <w:t>33</w:t>
        </w:r>
      </w:fldSimple>
      <w:r w:rsidR="008F3052">
        <w:t>.</w:t>
      </w:r>
      <w:r w:rsidR="008F3052">
        <w:tab/>
        <w:t>Trzecia część obejmuje również kwoty udziałów mniejszości, kwalifikującego się kapitału dodatkowego Tier I i kwalifikującego się kapitału Tier II uznane w skonsolidowanych funduszach własnych.</w:t>
      </w:r>
    </w:p>
    <w:p w14:paraId="601945C2" w14:textId="77777777" w:rsidR="00464F34" w:rsidRPr="002A677E" w:rsidRDefault="0043455E" w:rsidP="00487A02">
      <w:pPr>
        <w:pStyle w:val="InstructionsText2"/>
        <w:numPr>
          <w:ilvl w:val="0"/>
          <w:numId w:val="0"/>
        </w:numPr>
        <w:ind w:left="1353" w:hanging="360"/>
      </w:pPr>
      <w:fldSimple w:instr=" seq paragraphs ">
        <w:r w:rsidR="008F3052">
          <w:t>34</w:t>
        </w:r>
      </w:fldSimple>
      <w:r w:rsidR="008F3052">
        <w:t>.</w:t>
      </w:r>
      <w:r w:rsidR="008F3052">
        <w:tab/>
        <w:t>Jako że trzecia część wzoru odnosi się do „wkładów”, dane liczbowe, które należy w niej zgłosić, w stosownych przypadkach odracza się na podstawie danych liczbowych zgłoszonych w kolumnach dotyczących szczegółowych informacji na temat wypłacalności grupy.</w:t>
      </w:r>
    </w:p>
    <w:p w14:paraId="44960A6E" w14:textId="77777777" w:rsidR="00464F34" w:rsidRPr="002A677E" w:rsidRDefault="0043455E" w:rsidP="00487A02">
      <w:pPr>
        <w:pStyle w:val="InstructionsText2"/>
        <w:numPr>
          <w:ilvl w:val="0"/>
          <w:numId w:val="0"/>
        </w:numPr>
        <w:ind w:left="1353" w:hanging="360"/>
      </w:pPr>
      <w:fldSimple w:instr=" seq paragraphs ">
        <w:r w:rsidR="008F3052">
          <w:t>35</w:t>
        </w:r>
      </w:fldSimple>
      <w:r w:rsidR="008F3052">
        <w:t>.</w:t>
      </w:r>
      <w:r w:rsidR="008F3052">
        <w:tab/>
        <w:t xml:space="preserve">Obowiązuje zasada usuwania krzyżowych ekspozycji w obrębie tej samej grupy w sposób jednolity zarówno pod względem ryzyka, jak i funduszy własnych, co </w:t>
      </w:r>
      <w:r w:rsidR="008F3052">
        <w:lastRenderedPageBreak/>
        <w:t>ma na celu uwzględnienie kwot zgłoszonych w skonsolidowanym wzorze CA grupy poprzez dodanie kwot zgłoszonych dla każdego podmiotu we wzorze dotyczącym wypłacalności grupy. W przypadkach, w których nie przekroczono progu wynoszącego 1 %, bezpośrednie powiązanie ze wzorem CA jest niemożliwe.</w:t>
      </w:r>
    </w:p>
    <w:p w14:paraId="4B1AE777" w14:textId="77777777" w:rsidR="00464F34" w:rsidRPr="002A677E" w:rsidRDefault="0043455E" w:rsidP="00487A02">
      <w:pPr>
        <w:pStyle w:val="InstructionsText2"/>
        <w:numPr>
          <w:ilvl w:val="0"/>
          <w:numId w:val="0"/>
        </w:numPr>
        <w:ind w:left="1353" w:hanging="360"/>
      </w:pPr>
      <w:fldSimple w:instr=" seq paragraphs ">
        <w:r w:rsidR="008F3052">
          <w:t>36</w:t>
        </w:r>
      </w:fldSimple>
      <w:r w:rsidR="008F3052">
        <w:t>.</w:t>
      </w:r>
      <w:r w:rsidR="008F3052">
        <w:tab/>
        <w:t>Instytucje określają najodpowiedniejszą metodę podziału podmiotów, aby wziąć pod uwagę ewentualne efekty dywersyfikacji dla ryzyka rynkowego i ryzyka operacyjnego.</w:t>
      </w:r>
    </w:p>
    <w:p w14:paraId="622EA156" w14:textId="77777777" w:rsidR="00464F34" w:rsidRPr="002A677E" w:rsidRDefault="0043455E" w:rsidP="00487A02">
      <w:pPr>
        <w:pStyle w:val="InstructionsText2"/>
        <w:numPr>
          <w:ilvl w:val="0"/>
          <w:numId w:val="0"/>
        </w:numPr>
        <w:ind w:left="1353" w:hanging="360"/>
      </w:pPr>
      <w:fldSimple w:instr=" seq paragraphs ">
        <w:r w:rsidR="008F3052">
          <w:t>37</w:t>
        </w:r>
      </w:fldSimple>
      <w:r w:rsidR="008F3052">
        <w:t>.</w:t>
      </w:r>
      <w:r w:rsidR="008F3052">
        <w:tab/>
        <w:t xml:space="preserve">Możliwe jest włączenie jednej grupy skonsolidowanej do innej grupy skonsolidowanej. W takim przypadku informacje dotyczące podmiotów w obrębie podgrupy są zgłaszane w odniesieniu do poszczególnych podmiotów we wzorze GS dla całej grupy, nawet jeżeli sama podgrupa podlega wymogom w zakresie sprawozdawczości. Podgrupa, która podlega wymogom w zakresie sprawozdawczości, zgłasza również wzór GS w odniesieniu do poszczególnych podmiotów, mimo iż informacje te są włączone do wzoru GS dla grupy skonsolidowanej wyższego szczebla. </w:t>
      </w:r>
    </w:p>
    <w:p w14:paraId="31F049AB" w14:textId="53A5E29B" w:rsidR="00464F34" w:rsidRPr="002A677E" w:rsidRDefault="0043455E" w:rsidP="00487A02">
      <w:pPr>
        <w:pStyle w:val="InstructionsText2"/>
        <w:numPr>
          <w:ilvl w:val="0"/>
          <w:numId w:val="0"/>
        </w:numPr>
        <w:ind w:left="1353" w:hanging="360"/>
      </w:pPr>
      <w:fldSimple w:instr=" seq paragraphs ">
        <w:r w:rsidR="008F3052">
          <w:t>38</w:t>
        </w:r>
      </w:fldSimple>
      <w:r w:rsidR="008F3052">
        <w:t>.</w:t>
      </w:r>
      <w:r w:rsidR="008F3052">
        <w:tab/>
        <w:t>Instytucja zgłasza dane dotyczące wkładu podmiotu, jeżeli jego wkład w łączną kwotę ekspozycji na ryzyko przekracza 1 % łącznej kwoty ekspozycji na ryzyko grupy lub jeżeli jego wkład w łączne fundusze własne przekracza 1 % łącznych funduszy własnych grupy. Progu tego nie stosuje się w przypadku jednostek zależnych lub podgrup, które zapewnią grupie fundusze własne (w postaci udziałów mniejszości lub kwalifikujących się instrumentów w kapitale dodatkowym Tier I lub kapitale Tier II uwzględnionych w funduszach własnych).</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9064789"/>
      <w:r>
        <w:rPr>
          <w:rFonts w:ascii="Times New Roman" w:hAnsi="Times New Roman"/>
          <w:sz w:val="24"/>
          <w:u w:val="none"/>
        </w:rPr>
        <w:t>2.4.</w:t>
      </w:r>
      <w:r>
        <w:tab/>
      </w:r>
      <w:r>
        <w:rPr>
          <w:rFonts w:ascii="Times New Roman" w:hAnsi="Times New Roman"/>
          <w:sz w:val="24"/>
        </w:rPr>
        <w:t>C 06.01 – WYPŁACALNOŚĆ GRUPY: INFORMACJE NA TEMAT PODMIOTÓW POWIĄZANYCH – Razem (GS Razem)</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Kolumny</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Instrukcje</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PODMIOTY OBJĘTE ZAKRESEM KONSOLIDACJI</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Zob. instrukcje dla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BUFORY KAPITAŁOWE</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Zob. instrukcje dla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Wiersze</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Instrukcje</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RAZEM</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Pozycja „Razem” stanowi sumę wartości liczbowych zgłaszanych we wszystkich wierszach wzoru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9064790"/>
      <w:r>
        <w:rPr>
          <w:rFonts w:ascii="Times New Roman" w:hAnsi="Times New Roman"/>
          <w:sz w:val="24"/>
          <w:u w:val="none"/>
        </w:rPr>
        <w:lastRenderedPageBreak/>
        <w:t>2.5.</w:t>
      </w:r>
      <w:r>
        <w:tab/>
      </w:r>
      <w:r>
        <w:rPr>
          <w:rFonts w:ascii="Times New Roman" w:hAnsi="Times New Roman"/>
          <w:sz w:val="24"/>
        </w:rPr>
        <w:t>C 06.02 – WYPŁACALNOŚĆ GRUPY: INFORMACJE NA TEMAT PODMIOTÓW POWIĄZANYCH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Kolumny</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Instrukcje</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PODMIOTY OBJĘTE ZAKRESEM KONSOLIDACJI</w:t>
            </w:r>
          </w:p>
          <w:p w14:paraId="13B8A121" w14:textId="1CF050D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Wzór ten ma na celu gromadzenie informacji o wszystkich poszczególnych podmiotach objętych zakresem konsolidacji zgodnie z</w:t>
            </w:r>
            <w:r>
              <w:rPr>
                <w:rFonts w:ascii="Times New Roman" w:hAnsi="Times New Roman"/>
                <w:sz w:val="24"/>
              </w:rPr>
              <w:t xml:space="preserve"> częścią pierwszą tytuł II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NAZWA</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Nazwa podmiotu objętego zakresem konsolidacji.</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Kod jest częścią identyfikatora wiersza i musi być unikatowy dla każdego zgłoszonego podmiotu. W przypadku instytucji i zakładów ubezpieczeń kodem tym jest kod LEI. W przypadku innych podmiotów kodem tym jest kod LEI lub – jeżeli taki kod nie jest dostępny – kod krajowy. Kod jest unikatowy i konsekwentnie stosowany w czasie i we wszystkich wzorach. Kod zawsze posiada wartość.</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RODZAJ KODU</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Instytucje określają rodzaj kodu zgłoszony w</w:t>
            </w:r>
            <w:r>
              <w:rPr>
                <w:rFonts w:ascii="Times New Roman" w:hAnsi="Times New Roman"/>
                <w:sz w:val="24"/>
              </w:rPr>
              <w:t xml:space="preserve"> </w:t>
            </w:r>
            <w:r>
              <w:rPr>
                <w:rStyle w:val="FormatvorlageInstructionsTabelleText"/>
                <w:rFonts w:ascii="Times New Roman" w:hAnsi="Times New Roman"/>
                <w:sz w:val="24"/>
              </w:rPr>
              <w:t>kolumnie 0021 jako „kod LEI” lub „kod inny niż kod LEI”</w:t>
            </w:r>
            <w:r>
              <w:rPr>
                <w:rFonts w:ascii="Times New Roman" w:hAnsi="Times New Roman"/>
                <w:sz w:val="24"/>
              </w:rPr>
              <w:t>.</w:t>
            </w:r>
            <w:r>
              <w:rPr>
                <w:rStyle w:val="FormatvorlageInstructionsTabelleText"/>
                <w:rFonts w:ascii="Times New Roman" w:hAnsi="Times New Roman"/>
                <w:sz w:val="24"/>
              </w:rPr>
              <w:t xml:space="preserve"> Zawsze zgłasza się rodzaj kodu.</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KOD KRAJOWY</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Instytucje mogą dodatkowo zgłosić kod krajowy w przypadku, gdy zgłaszają kod LEI jako identyfikator w kolumnie „Kod”.</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INSTYTUCJA LUB PODMIOT RÓWNOWAŻNY (TAK/NIE)</w:t>
            </w:r>
          </w:p>
          <w:p w14:paraId="489A5E0D" w14:textId="1EE3C15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„TAK” zgłasza się w przypadku, gdy podmiot podlega wymogom w zakresie funduszy własnych zgodnie z</w:t>
            </w:r>
            <w:r>
              <w:rPr>
                <w:rFonts w:ascii="Times New Roman" w:hAnsi="Times New Roman"/>
                <w:sz w:val="24"/>
              </w:rPr>
              <w:t xml:space="preserve"> rozporządzeniem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i</w:t>
            </w:r>
            <w:r>
              <w:rPr>
                <w:rFonts w:ascii="Times New Roman" w:hAnsi="Times New Roman"/>
                <w:sz w:val="24"/>
              </w:rPr>
              <w:t xml:space="preserve"> dyrektywą 2013/36/UE lub z </w:t>
            </w:r>
            <w:r>
              <w:rPr>
                <w:rStyle w:val="InstructionsTabelleText"/>
                <w:rFonts w:ascii="Times New Roman" w:hAnsi="Times New Roman"/>
                <w:sz w:val="24"/>
              </w:rPr>
              <w:t>przepisami co najmniej równoważnymi z postanowieniami regulacji Bazylea</w:t>
            </w:r>
            <w:r>
              <w:rPr>
                <w:rFonts w:ascii="Times New Roman" w:hAnsi="Times New Roman"/>
                <w:sz w:val="24"/>
              </w:rPr>
              <w:t>.</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W pozostałych przypadkach zgłasza się „NIE”.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43455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Udziały mniejszości:</w:t>
            </w:r>
          </w:p>
          <w:p w14:paraId="21165B4A" w14:textId="4E701804" w:rsidR="00BF0637" w:rsidRPr="002A677E" w:rsidRDefault="00BF0637" w:rsidP="00BF0637">
            <w:pPr>
              <w:rPr>
                <w:rStyle w:val="InstructionsTabelleText"/>
                <w:rFonts w:ascii="Times New Roman" w:hAnsi="Times New Roman"/>
                <w:sz w:val="24"/>
              </w:rPr>
            </w:pPr>
            <w:r w:rsidRPr="0043455E">
              <w:rPr>
                <w:rFonts w:ascii="Times New Roman" w:hAnsi="Times New Roman"/>
                <w:sz w:val="24"/>
              </w:rPr>
              <w:t>A</w:t>
            </w:r>
            <w:r>
              <w:rPr>
                <w:rFonts w:ascii="Times New Roman" w:hAnsi="Times New Roman"/>
                <w:sz w:val="24"/>
              </w:rPr>
              <w:t xml:space="preserve">rt. 81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(ii)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1B8F9BA" w14:textId="6A3F6027"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W odniesieniu do udziałów mniejszości oraz instrumentów w kapitale dodatkowym Tier I i kapitale Tier II wyemitowanych przez jednostki zależne, jednostki zależne, których instrumenty mogą być uznawane, są instytucjami lub przedsiębiorstwami, które ze względu na mające zastosowanie prawo krajowe podlegają wymogom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RODZAJ PODMIOTU</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Rodzaj podmiotu zgłasza się w oparciu o następujące kategorie:</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instytucja kredytowa</w:t>
            </w:r>
          </w:p>
          <w:p w14:paraId="748D0214" w14:textId="61784FC9" w:rsidR="00BF0637" w:rsidRPr="002A677E" w:rsidRDefault="00BF0637" w:rsidP="00BF0637">
            <w:pPr>
              <w:tabs>
                <w:tab w:val="left" w:pos="372"/>
              </w:tabs>
              <w:rPr>
                <w:rStyle w:val="InstructionsTabelleText"/>
                <w:rFonts w:ascii="Times New Roman" w:hAnsi="Times New Roman"/>
                <w:sz w:val="24"/>
              </w:rPr>
            </w:pPr>
            <w:r>
              <w:lastRenderedPageBreak/>
              <w:tab/>
            </w:r>
            <w:r>
              <w:rPr>
                <w:rStyle w:val="InstructionsTabelleText"/>
                <w:rFonts w:ascii="Times New Roman" w:hAnsi="Times New Roman"/>
                <w:sz w:val="24"/>
              </w:rPr>
              <w:t xml:space="preserve">Art. 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firma inwestycyjna</w:t>
            </w:r>
          </w:p>
          <w:p w14:paraId="6769CB69" w14:textId="3F082D91"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 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instytucja finansowa (inna)</w:t>
            </w:r>
          </w:p>
          <w:p w14:paraId="76F51E72" w14:textId="26D9B67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 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0, 21 i 26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49DF21A" w14:textId="20BC2967"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Instytucje finansowe w rozumieniu art. 4 ust. 1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których nie uwzględniono w żadnej z kategorii wymienionych w lit. d), f) lub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finansowa spółka holdingowa (o działalności mieszanej)</w:t>
            </w:r>
          </w:p>
          <w:p w14:paraId="649639D0" w14:textId="47678857"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 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0 i 21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przedsiębiorstwo usług pomocniczych</w:t>
            </w:r>
          </w:p>
          <w:p w14:paraId="6E8074D3" w14:textId="6020AB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 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jednostka specjalnego przeznaczenia do celów sekurytyzacji (SSPE)</w:t>
            </w:r>
          </w:p>
          <w:p w14:paraId="3D7BA722" w14:textId="04474A01"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Art. 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6</w:t>
            </w:r>
            <w:r>
              <w:rPr>
                <w:rStyle w:val="InstructionsTabelleText"/>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przedsiębiorstwo emitujące obligacje zabezpieczone</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Podmiot utworzony w celu emisji obligacji zabezpieczonych lub utrzymywania zabezpieczenia ustanowionego w odniesieniu do obligacji zabezpieczonych, jeżeli nie uwzględniono go w żadnej z kategorii wymienionych w lit. a), b) lub d)–f) powyżej;</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inny rodzaj podmiotu</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Podmiot inny niż podmioty, o których mowa w lit. a)–g)</w:t>
            </w:r>
          </w:p>
          <w:p w14:paraId="129A36CE" w14:textId="08F40C70"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gdy dany podmiot nie podlega</w:t>
            </w:r>
            <w:r>
              <w:rPr>
                <w:rFonts w:ascii="Times New Roman" w:hAnsi="Times New Roman"/>
                <w:sz w:val="24"/>
              </w:rPr>
              <w:t xml:space="preserve"> rozporządzeniu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b w:val="0"/>
                <w:sz w:val="24"/>
                <w:u w:val="none"/>
              </w:rPr>
              <w:t>ani</w:t>
            </w:r>
            <w:r>
              <w:rPr>
                <w:rFonts w:ascii="Times New Roman" w:hAnsi="Times New Roman"/>
                <w:sz w:val="24"/>
              </w:rPr>
              <w:t xml:space="preserve"> dyrektywie 2013/36/UE, </w:t>
            </w:r>
            <w:r>
              <w:rPr>
                <w:rStyle w:val="InstructionsTabelleberschrift"/>
                <w:rFonts w:ascii="Times New Roman" w:hAnsi="Times New Roman"/>
                <w:b w:val="0"/>
                <w:sz w:val="24"/>
                <w:u w:val="none"/>
              </w:rPr>
              <w:t>lecz podlega przepisom co najmniej równoważnym przepisom regulacji Bazylea, odpowiednią kategorię ustala się na zasadzie dołożenia wszelkich starań.</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ZAKRES DANYCH: </w:t>
            </w:r>
            <w:r>
              <w:rPr>
                <w:rFonts w:ascii="Times New Roman" w:hAnsi="Times New Roman"/>
                <w:b/>
                <w:caps/>
                <w:sz w:val="24"/>
                <w:u w:val="single"/>
              </w:rPr>
              <w:t>na poziomie jednostkowym w pełni skonsolidowane („SF”) LUB na poziomie jednostkowym częściowo skonsolidowane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(dane na poziomie jednostkowym w pełni skonsolidowane) zgłasza się dla poszczególnych jednostek zależnych w pełni skonsolidowanych.</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(dane na poziomie jednostkowym częściowo skonsolidowane) zgłasza się dla poszczególnych jednostek zależnych częściowo skonsolidowanych.</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KOD PAŃSTWA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Instytucje zgłaszają dwuliterowy kod państwa, o którym mowa w normie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UDZIAŁ WŁASNY (%)</w:t>
            </w:r>
          </w:p>
          <w:p w14:paraId="5BA3A5B5" w14:textId="51F4AC9F"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Odsetek ten odnosi się do faktycznego udziału, jaki jednostka dominująca posiada w kapitale jednostek zależnych. W przypadku pełnej konsolidacji jednostki bezpośrednio zależnej faktyczny udział wynosi </w:t>
            </w:r>
            <w:r w:rsidRPr="0043455E">
              <w:rPr>
                <w:rStyle w:val="InstructionsTabelleText"/>
                <w:rFonts w:ascii="Times New Roman" w:hAnsi="Times New Roman"/>
                <w:sz w:val="24"/>
              </w:rPr>
              <w:t>np.</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7</w:t>
            </w:r>
            <w:r>
              <w:rPr>
                <w:rStyle w:val="InstructionsTabelleText"/>
                <w:rFonts w:ascii="Times New Roman" w:hAnsi="Times New Roman"/>
                <w:sz w:val="24"/>
              </w:rPr>
              <w:t xml:space="preserve">0 %. Zgodnie z art. 4 ust. 1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6</w:t>
            </w:r>
            <w:r>
              <w:rPr>
                <w:rFonts w:ascii="Times New Roman" w:hAnsi="Times New Roman"/>
                <w:sz w:val="24"/>
              </w:rPr>
              <w:t xml:space="preserve"> rozporządzenia </w:t>
            </w:r>
            <w:r>
              <w:rPr>
                <w:rFonts w:ascii="Times New Roman" w:hAnsi="Times New Roman"/>
                <w:sz w:val="24"/>
              </w:rPr>
              <w:lastRenderedPageBreak/>
              <w:t xml:space="preserve">(UE)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podlegający zgłoszeniu udział własny w jednostce zależnej wynika z mnożenia udziałów pomiędzy danymi jednostkami zależnymi</w:t>
            </w:r>
            <w:r>
              <w:rPr>
                <w:rFonts w:ascii="Times New Roman" w:hAnsi="Times New Roman"/>
                <w:sz w:val="24"/>
              </w:rPr>
              <w:t>.</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INFORMACJE NA TEMAT PODMIOTÓW PODLEGAJĄCYCH WYMOGOM W ZAKRESIE FUNDUSZY WŁASNYCH</w:t>
            </w:r>
          </w:p>
          <w:p w14:paraId="78F7BB92" w14:textId="5C33F65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W sekcji szczegółowych informacji (tj. w kolumnach 0070–0240) gromadzone są informacje wyłącznie o tych podmiotach lub podgrupach, które będąc objęte zakresem konsolidacji (</w:t>
            </w:r>
            <w:r>
              <w:rPr>
                <w:rFonts w:ascii="Times New Roman" w:hAnsi="Times New Roman"/>
                <w:sz w:val="24"/>
              </w:rPr>
              <w:t xml:space="preserve">część pierwsza tytuł II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efektywnie podlegają wymogom dotyczącym wypłacalności określonym w</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w:t>
            </w:r>
            <w:r>
              <w:rPr>
                <w:rStyle w:val="InstructionsTabelleText"/>
                <w:rFonts w:ascii="Times New Roman" w:hAnsi="Times New Roman"/>
                <w:sz w:val="24"/>
              </w:rPr>
              <w:t>w przepisach co najmniej równoważnymi z postanowieniami regulacji Bazylea (tj. podmioty lub podgrupy, w odniesieniu do których w kolumnie 0030 zgłoszono „tak”)</w:t>
            </w:r>
            <w:r>
              <w:rPr>
                <w:rFonts w:ascii="Times New Roman" w:hAnsi="Times New Roman"/>
                <w:sz w:val="24"/>
              </w:rPr>
              <w:t>.</w:t>
            </w:r>
            <w:r>
              <w:rPr>
                <w:rStyle w:val="InstructionsTabelleText"/>
                <w:rFonts w:ascii="Times New Roman" w:hAnsi="Times New Roman"/>
                <w:sz w:val="24"/>
              </w:rPr>
              <w:t xml:space="preserve">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Uwzględnia się informacje o wszystkich poszczególnych instytucjach grupy skonsolidowanej, które podlegają wymogom w zakresie funduszy własnych, niezależnie od lokalizacji tych instytucji. </w:t>
            </w:r>
          </w:p>
          <w:p w14:paraId="0842D1A7" w14:textId="2C4A6A9E" w:rsidR="00BF0637" w:rsidRPr="002A677E" w:rsidRDefault="00BF0637" w:rsidP="00BF0637">
            <w:pPr>
              <w:rPr>
                <w:rFonts w:ascii="Times New Roman" w:hAnsi="Times New Roman"/>
                <w:sz w:val="24"/>
              </w:rPr>
            </w:pPr>
            <w:r>
              <w:rPr>
                <w:rFonts w:ascii="Times New Roman" w:hAnsi="Times New Roman"/>
                <w:sz w:val="24"/>
              </w:rPr>
              <w:t xml:space="preserve">Informacje przekazywane w tej części odzwierciedlają lokalne przepisy dotyczące wypłacalności w jurysdykcji, w której instytucja prowadzi działalność (dlatego w przypadku tego wzoru nie jest konieczne przeprowadzanie podwójnych obliczeń na zasadzie indywidualnej zgodnie z zasadami instytucji dominującej). Jeżeli lokalne przepisy dotyczące wypłacalności różnią się od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nie jest podany porównywalny podział, informacje te podaje się, o ile dostępne są dane o odpowiednim poziomie szczegółowości. Dlatego ta część jest faktycznym wzorem, w którym podsumowuje się obliczenia przeprowadzane przez poszczególne instytucje należące do grupy, mając na uwadze, że niektóre z tych instytucji mogą podlegać różnych przepisom dotyczącym wypłacalności.</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Zgłaszanie stałych kosztów pośrednich ponoszonych przez firmy inwestycyjne:</w:t>
            </w:r>
          </w:p>
          <w:p w14:paraId="4FBEB847" w14:textId="2EC3E9F7"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W swoich obliczeniach współczynnika kapitałowego firmy inwestycyjne uwzględniają wymogi w zakresie funduszy własnych odnoszące się do stałych kosztów pośrednich zgodnie z art. 95, 96, 97 i 98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Część łącznej kwoty ekspozycji na ryzyko związana ze stałymi kosztami pośrednimi zgłasza się w kolumnie 0100 tego wzoru.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ŁĄCZNA KWOTA EKSPOZYCJI NA RYZYKO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Zgłaszana jest suma kolumn 0080–0110.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RYZYKO KREDYTOWE; RYZYKO KREDYTOWE KONTRAHENTA; RYZYKO ROZMYCIA, RYZYKO ZWIĄZANE Z DOSTAWAMI O PÓŹNIEJSZYM TERMINIE DOSTAW ORAZ RYZYKO ROZLICZENIA/DOSTAWY</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Kwota, którą należy zgłosić w tej kolumnie, odpowiada sumie kwot ekspozycji ważonej ryzykiem, które są równe lub równoważne kwotom, które należy zgłosić w wierszu 0040</w:t>
            </w:r>
            <w:r>
              <w:rPr>
                <w:rFonts w:ascii="Times New Roman" w:hAnsi="Times New Roman"/>
                <w:sz w:val="24"/>
              </w:rPr>
              <w:t xml:space="preserve"> „</w:t>
            </w:r>
            <w:r>
              <w:rPr>
                <w:rStyle w:val="InstructionsTabelleberschrift"/>
                <w:rFonts w:ascii="Times New Roman" w:hAnsi="Times New Roman"/>
                <w:b w:val="0"/>
                <w:sz w:val="24"/>
                <w:u w:val="none"/>
              </w:rPr>
              <w:t>KWOTY EKSPOZYCJI WAŻONYCH RYZYKIEM</w:t>
            </w:r>
            <w:r>
              <w:rPr>
                <w:rFonts w:ascii="Times New Roman" w:hAnsi="Times New Roman"/>
                <w:sz w:val="24"/>
              </w:rPr>
              <w:t xml:space="preserve"> </w:t>
            </w:r>
            <w:r>
              <w:rPr>
                <w:rStyle w:val="InstructionsTabelleText"/>
                <w:rFonts w:ascii="Times New Roman" w:hAnsi="Times New Roman"/>
                <w:sz w:val="24"/>
              </w:rPr>
              <w:t>Z TYTUŁU RYZYKA KREDYTOWEGO, RYZYKA KREDYTOWEGO KONTRAHENTA, RYZYKA ROZMYCIA ORAZ DOSTAW Z PÓŹNIEJSZYM TERMINEM ROZLICZENIA”, oraz kwotom wymogów w zakresie funduszy własnych, które są równe lub równoważne kwotom, które należy zgłosić w wierszu 0490 „ŁĄCZNA KWOTA EKSPOZYCJI NA RYZYKO ROZLICZENIA/DOSTAWY” we wzorze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RYZYKO POZYCJI, RYZYKO WALUTOWE I RYZYKO CEN TOWARÓW</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Kwota, którą należy zgłosić w tej kolumnie, odpowiada kwocie wymogów w zakresie funduszy własnych, która jest równa lub równoważna kwotom, które należy zgłosić w wierszu 0520 „ŁĄCZNA KWOTA EKSPOZYCJI NA RYZYKO Z TYTUŁU RYZYKA POZYCJI, RYZYKA WALUTOWEGO I RYZYKA CEN TOWARÓW” we wzorze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RYZYKO OPERACYJNE</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Kwota, którą należy zgłosić w tej kolumnie, odpowiada kwocie ekspozycji na ryzyko, która jest równa lub równoważna kwocie, którą należy zgłosić w wierszu 0590 „ŁĄCZNA KWOTA EKSPOZYCJI NA RYZYKO Z TYTUŁU RYZYKA OPERACYJNEGO” we wzorze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W kolumnie tej uwzględnia się stałe koszty pośrednie, w tym w wierszu 0630 „DODATKOWA KWOTA EKSPOZYCJI NA RYZYKO Z TYTUŁU STAŁYCH KOSZTÓW POŚREDNICH” we wzorze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KWOTY INNYCH EKSPOZYCJI NA RYZYKO</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Kwota, którą należy zgłosić w tej kolumnie, odpowiada kwocie ekspozycji na ryzyko, która nie została wyraźnie wymieniona powyżej. Jest to suma kwot z wierszy 0640, 0680 i 0690 wzoru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SZCZEGÓŁOWE INFORMACJE NA TEMAT WYPŁACALNOŚCI GRUPY – FUNDUSZE WŁASNE</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Zgłaszane w następujących kolumnach informacje odzwierciedlają lokalne przepisy dotyczące wypłacalności w państwie członkowskim, w którym podmiot lub podgrupa prowadzą działalność.</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FUNDUSZE WŁASNE</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Kwota, którą należy zgłosić w tej kolumnie, odpowiada kwocie wymogów w zakresie funduszy własnych, która jest równa lub równoważna kwotom, które należy zgłosić w wierszu 0010 „FUNDUSZE WŁASNE” we wzorze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W TYM: KWALIFIKUJĄCE SIĘ FUNDUSZE WŁASNE </w:t>
            </w:r>
          </w:p>
          <w:p w14:paraId="09996C03" w14:textId="12586A1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Kolumnę tę zgłasza się wyłącznie w odniesieniu do w pełni skonsolidowanych jednostek zależnych, które są instytucjami, podlegających przekazywaniu danych na zasadzie indywidualnej. </w:t>
            </w:r>
          </w:p>
          <w:p w14:paraId="42804037" w14:textId="7E9BBA6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W odniesieniu do jednostek zależnych określonych powyżej znacznymi pakietami akcji są instrumenty (plus powiązane zyski zatrzymane, ażio emisyjne oraz kapitał rezerwowy) posiadane przez osoby inne niż przedsiębiorstwa oraz objęte konsolidacją na podstawie</w:t>
            </w:r>
            <w:r>
              <w:rPr>
                <w:rFonts w:ascii="Times New Roman" w:hAnsi="Times New Roman"/>
                <w:sz w:val="24"/>
              </w:rPr>
              <w:t xml:space="preserve"> </w:t>
            </w:r>
            <w:r>
              <w:rPr>
                <w:rStyle w:val="InstructionsTabelleText"/>
                <w:rFonts w:ascii="Times New Roman" w:hAnsi="Times New Roman"/>
                <w:sz w:val="24"/>
              </w:rPr>
              <w:t xml:space="preserve">rozporządzenia (UE) </w:t>
            </w:r>
            <w:r w:rsidRPr="0043455E">
              <w:rPr>
                <w:rStyle w:val="InstructionsTabelleText"/>
                <w:rFonts w:ascii="Times New Roman" w:hAnsi="Times New Roman"/>
                <w:sz w:val="24"/>
              </w:rPr>
              <w:t>nr</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75/2013</w:t>
            </w:r>
            <w:r>
              <w:rPr>
                <w:rFonts w:ascii="Times New Roman" w:hAnsi="Times New Roman"/>
                <w:sz w:val="24"/>
              </w:rPr>
              <w:t>.</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 w dniu sprawozdawczym.</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POWIĄZANE INSTRUMENTY FUNDUSZY WŁASNYCH, POWIĄZANE ZYSKI ZATRZYMANE, AŻIO EMISYJNE ORAZ KAPITAŁ REZERWOWY</w:t>
            </w:r>
          </w:p>
          <w:p w14:paraId="0E7A59AB" w14:textId="52FB29B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87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CAŁKOWITY KAPITAŁ TIER I</w:t>
            </w:r>
          </w:p>
          <w:p w14:paraId="325080D2" w14:textId="06CE8C60"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 25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 TYM: KWALIFIKUJĄCY SIĘ KAPITAŁ TIER I</w:t>
            </w:r>
          </w:p>
          <w:p w14:paraId="3617A71D" w14:textId="45A896BE"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Kolumnę tę zgłasza się wyłącznie w odniesieniu do w pełni skonsolidowanych jednostek zależnych, które są instytucjami, podlegających przekazywaniu danych na zasadzie indywidualnej.</w:t>
            </w:r>
          </w:p>
          <w:p w14:paraId="01E6489E" w14:textId="2DCEBC1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W odniesieniu do jednostek zależnych określonych powyżej znacznymi pakietami akcji są instrumenty (plus powiązane zyski zatrzymane oraz ażio emisyjne) posiadane przez osoby inne niż przedsiębiorstwa objęte konsolidacją na podstawie</w:t>
            </w:r>
            <w:r>
              <w:rPr>
                <w:rFonts w:ascii="Times New Roman" w:hAnsi="Times New Roman"/>
                <w:sz w:val="24"/>
              </w:rPr>
              <w:t xml:space="preserve"> </w:t>
            </w:r>
            <w:r>
              <w:rPr>
                <w:rStyle w:val="InstructionsTabelleText"/>
                <w:rFonts w:ascii="Times New Roman" w:hAnsi="Times New Roman"/>
                <w:sz w:val="24"/>
              </w:rPr>
              <w:t xml:space="preserve">rozporządzenia (UE) </w:t>
            </w:r>
            <w:r w:rsidRPr="0043455E">
              <w:rPr>
                <w:rStyle w:val="InstructionsTabelleText"/>
                <w:rFonts w:ascii="Times New Roman" w:hAnsi="Times New Roman"/>
                <w:sz w:val="24"/>
              </w:rPr>
              <w:t>nr</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75/2013</w:t>
            </w:r>
            <w:r>
              <w:rPr>
                <w:rFonts w:ascii="Times New Roman" w:hAnsi="Times New Roman"/>
                <w:sz w:val="24"/>
              </w:rPr>
              <w:t>.</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 w dniu sprawozdawczym.</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POWIĄZANE INSTRUMENTY W KAPITALE TIER I, POWIĄZANE ZYSKI ZATRZYMANE ORAZ AŻIO EMISYJNE</w:t>
            </w:r>
          </w:p>
          <w:p w14:paraId="563BAF9E" w14:textId="2E712673"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 85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KAPITAŁ PODSTAWOWY TIER I</w:t>
            </w:r>
          </w:p>
          <w:p w14:paraId="24F9DF96" w14:textId="46B30EF5"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 50</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 TYM: UDZIAŁY MNIEJSZOŚCI</w:t>
            </w:r>
          </w:p>
          <w:p w14:paraId="6E57A6CD" w14:textId="7DF058D6"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3A6FE49" w14:textId="593795E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Kolumnę tę zgłasza się wyłącznie w odniesieniu do w pełni skonsolidowanych jednostek zależnych, które są instytucjami, z wyjątkiem jednostek zależnych, o których mowa w art. 84 ust. 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Dla celów wszystkich obliczeń wymaganych na mocy art. 84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 stosownych przypadkach każdą jednostkę zależną traktuje się na zasadzie subskonsolidowanej zgodnie z art. 84 ust. 2, natomiast w pozostałych przypadkach na zasadzie nieskonsolidowanej</w:t>
            </w:r>
            <w:r>
              <w:rPr>
                <w:rFonts w:ascii="Times New Roman" w:hAnsi="Times New Roman"/>
                <w:sz w:val="24"/>
              </w:rPr>
              <w:t>.</w:t>
            </w:r>
          </w:p>
          <w:p w14:paraId="2875FB15" w14:textId="5FE3E5B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Udziały mniejszości są w odniesieniu do jednostek zależnych określonych powyżej instrumentami w kapitale podstawowym Tier I (plus powiązane zyski zatrzymane oraz ażio emisyjne) posiadanymi przez osoby inne niż przedsiębiorstwa objęte konsolidacją na podstawie</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 w dniu sprawozdawczym.</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POWIĄZANE INSTRUMENTY FUNDUSZY WŁASNYCH, POWIĄZANE ZYSKI ZATRZYMANE, AŻIO EMISYJNE ORAZ KAPITAŁ REZERWOWY</w:t>
            </w:r>
          </w:p>
          <w:p w14:paraId="2FC270C0" w14:textId="434BE2C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84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KAPITAŁ DODATKOWY TIER I</w:t>
            </w:r>
          </w:p>
          <w:p w14:paraId="70D8C1C5" w14:textId="3202C6F6"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 61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 TYM: KWALIFIKUJĄCY SIĘ KAPITAŁ DODATKOWY TIER I</w:t>
            </w:r>
          </w:p>
          <w:p w14:paraId="49B3C4BB" w14:textId="67E051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82 i 83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08F1773" w14:textId="3705EB4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Kolumnę tę podaje się wyłącznie w odniesieniu do w pełni skonsolidowanych jednostek zależnych, które są instytucjami, z wyjątkiem jednostek zależnych, o których mowa w art. 85 ust.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Dla celów wszystkich obliczeń wymaganych na mocy art. 85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 xml:space="preserve">w stosownych przypadkach każdą jednostkę zależną traktuje się na zasadzie subskonsolidowanej zgodnie z art. 85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natomiast w pozostałych przypadkach na zasadzie nieskonsolidowanej.</w:t>
            </w:r>
          </w:p>
          <w:p w14:paraId="5C833E43" w14:textId="6C98A496"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Udziały mniejszości są w odniesieniu do jednostek zależnych określonych powyżej instrumentami w kapitale podstawowym Tier I (plus powiązane zyski zatrzymane oraz ażio emisyjne) posiadanymi przez osoby inne niż przedsiębiorstwa objęte konsolidacją na podstawie</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 w dniu sprawozdawczym.</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KAPITAŁ TIER II</w:t>
            </w:r>
          </w:p>
          <w:p w14:paraId="26B39E27" w14:textId="08A3FBFD"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 71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 TYM: KWALIFIKUJĄCY SIĘ KAPITAŁ TIER II</w:t>
            </w:r>
          </w:p>
          <w:p w14:paraId="3F7B6259" w14:textId="1E1820E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82 i 83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B78D183" w14:textId="765AADE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Kolumnę tę podaje się wyłącznie w odniesieniu do w pełni skonsolidowanych jednostek zależnych, które są instytucjami, z wyjątkiem jednostek zależnych, o których mowa w art. 87 ust.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Dla celów wszystkich obliczeń wymaganych na mocy art. 87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stosownych przypadkach każdą jednostkę zależną traktuje się na zasadzie </w:t>
            </w:r>
            <w:r>
              <w:rPr>
                <w:rStyle w:val="InstructionsTabelleText"/>
                <w:rFonts w:ascii="Times New Roman" w:hAnsi="Times New Roman"/>
                <w:sz w:val="24"/>
              </w:rPr>
              <w:t xml:space="preserve">subskonsolidowanej zgodnie z art. 87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 tego</w:t>
            </w:r>
            <w:r>
              <w:rPr>
                <w:rFonts w:ascii="Times New Roman" w:hAnsi="Times New Roman"/>
                <w:sz w:val="24"/>
              </w:rPr>
              <w:t xml:space="preserve"> rozporządzenia, </w:t>
            </w:r>
            <w:r>
              <w:rPr>
                <w:rStyle w:val="InstructionsTabelleText"/>
                <w:rFonts w:ascii="Times New Roman" w:hAnsi="Times New Roman"/>
                <w:sz w:val="24"/>
              </w:rPr>
              <w:t xml:space="preserve">natomiast w pozostałych przypadkach na zasadzie nieskonsolidowanej. </w:t>
            </w:r>
          </w:p>
          <w:p w14:paraId="650A7EFB" w14:textId="0753AF01"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Udziały mniejszości są w odniesieniu do jednostek zależnych określonych powyżej instrumentami w kapitale podstawowym Tier I (plus powiązane zyski zatrzymane oraz ażio emisyjne) posiadanymi przez osoby inne niż przedsiębiorstwa objęte konsolidacją na podstawie</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Kwota, którą należy zgłosić, obejmuje skutki wszelkich przepisów przejściowych. Jest to uznana kwota w sprawozdawczym dniu odniesienia.</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INFORMACJE NA TEMAT WKŁADU PODMIOTÓW NA RZECZ WYPŁACALNOŚCI GRUPY</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WKŁAD W RYZYKO</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Zgłoszone w następujących kolumnach informacje są zgodne z przepisami dotyczącymi wypłacalności mającymi zastosowanie do instytucji sprawozdającej.</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ŁĄCZNA KWOTA EKSPOZYCJI NA RYZYKO</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Zgłaszana jest suma kolumn 0260–0290.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RYZYKO KREDYTOWE; RYZYKO KREDYTOWE KONTRAHENTA; RYZYKO ROZMYCIA, RYZYKO ZWIĄZANE Z DOSTAWAMI O PÓŹNIEJSZYM TERMINIE DOSTAW ORAZ RYZYKO ROZLICZENIA/DOSTAWY</w:t>
            </w:r>
          </w:p>
          <w:p w14:paraId="72CBAFCB" w14:textId="6FDE7252"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t>Kwoty, które należy zgłosić, są kwotami ekspozycji ważonej ryzykiem z tytułu ryzyka kredytowego oraz wymogów w zakresie funduszy własnych z tytułu ryzyka rozliczenia/dostawy zgodnie z</w:t>
            </w:r>
            <w:r>
              <w:rPr>
                <w:rFonts w:ascii="Times New Roman" w:hAnsi="Times New Roman"/>
                <w:sz w:val="24"/>
              </w:rPr>
              <w:t xml:space="preserve"> rozporządzeniem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z wyłączeniem wszelkich kwot odnoszących się do transakcji z innymi podmiotami uwzględnionymi w obliczeniach współczynnika wypłacalności grupy skonsolidowanej.</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RYZYKO POZYCJI, RYZYKO WALUTOWE I RYZYKO CEN TOWARÓW</w:t>
            </w:r>
          </w:p>
          <w:p w14:paraId="21F4E9B7" w14:textId="4EA2F02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Kwoty ekspozycji na ryzyko z tytułu ryzyka rynkowego oblicza się na poziomie każdego podmiotu zgodnie z</w:t>
            </w:r>
            <w:r>
              <w:rPr>
                <w:rFonts w:ascii="Times New Roman" w:hAnsi="Times New Roman"/>
                <w:sz w:val="24"/>
              </w:rPr>
              <w:t xml:space="preserve"> rozporządzeniem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Podmioty zgłaszają wkład w łączne kwoty ekspozycji na ryzyko z tytułu ryzyka pozycji, ryzyka walutowego i ryzyka cen towarów dla grupy. Zgłoszona tu suma kwot odpowiada kwocie zgłoszonej w wierszu 0520 „ŁĄCZNA KWOTA EKSPOZYCJI NA RYZYKO Z TYTUŁU RYZYKA POZYCJI, RYZYKA WALUTOWEGO I RYZYKA CEN TOWARÓW” w </w:t>
            </w:r>
            <w:r>
              <w:t>sprawozdaniu skonsolidowanym</w:t>
            </w:r>
            <w:r>
              <w:rPr>
                <w:rStyle w:val="InstructionsTabelleText"/>
                <w:rFonts w:ascii="Times New Roman" w:hAnsi="Times New Roman"/>
                <w:sz w:val="24"/>
              </w:rPr>
              <w: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RYZYKO OPERACYJNE</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W przypadku metod zaawansowanego pomiaru zgłoszone kwoty ekspozycji na ryzyko z tytułu ryzyka operacyjnego obejmują efekt dywersyfikacji.</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W kolumnie tej uwzględnia się stałe koszty pośrednie.</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KWOTY INNYCH EKSPOZYCJI NA RYZYKO</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Kwota, którą należy zgłosić w tej kolumnie, odpowiada kwocie ekspozycji na ryzyko dotyczącej innych rodzajów niż wymienione powyżej.</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WKŁAD W FUNDUSZE WŁASNE</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Celem tej części wzoru nie jest nakładanie na instytucje obowiązku przeprowadzenia pełnego obliczenia łącznego współczynnika kapitałowego na poziomie każdego podmiotu. </w:t>
            </w:r>
          </w:p>
          <w:p w14:paraId="23DCF7D5" w14:textId="19E6601A"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Kolumny 0300–0350 zgłasza się w odniesieniu do tych podmiotów skonsolidowanych, które dokonują wkładu w fundusze własne poprzez udziały mniejszości, kwalifikujący się kapitał Tier I lub kwalifikujące się fundusze własne. Z zastrzeżeniem progu, o którym mowa powyżej w części II rozdział 2.3 akapit ostatni, kolumny 0360–0400 zgłasza się dla wszystkich podmiotów skonsolidowanych, które dokonują wkładu w skonsolidowane fundusze własne.</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Fundusze własne wprowadzone do podmiotu przez pozostałe podmioty objęte zakresem sprawozdawczości jednostki sprawozdającej nie są brane pod uwagę. W kolumnie tej zgłasza się wyłącznie wkład netto w fundusze własne grupy (przede wszystkim fundusze własne uzyskane od osób trzecich i skumulowane rezerwy).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Zgłoszone w następujących kolumnach informacje są zgodne z przepisami dotyczącymi wypłacalności mającymi zastosowanie do instytucji sprawozdającej.</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KWALIFIKUJĄCE SIĘ FUNDUSZE WŁASNE UWZGLĘDNIONE W SKONSOLIDOWANYCH FUNDUSZACH WŁASNYCH</w:t>
            </w:r>
          </w:p>
          <w:p w14:paraId="6B0CC8E1" w14:textId="30FA422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Kwota, którą należy zgłosić jako „KWALIFIKUJĄCE SIĘ FUNDUSZE WŁASNE UWZGLĘDNIONE W SKONSOLIDOWANYCH FUNDUSZACH WŁASNYCH”, jest kwotą wynikającą z części drugiej tytuł II</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z wyłączeniem wszelkich funduszy wniesionych przez inne podmioty grupy</w:t>
            </w:r>
            <w:r>
              <w:rPr>
                <w:rFonts w:ascii="Times New Roman" w:hAnsi="Times New Roman"/>
                <w:sz w:val="24"/>
              </w:rPr>
              <w:t>.</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KWALIFIKUJĄCE SIĘ FUNDUSZE WŁASNE UWZGLĘDNIONE W SKONSOLIDOWANYCH FUNDUSZACH WŁASNYCH</w:t>
            </w:r>
          </w:p>
          <w:p w14:paraId="1633436E" w14:textId="010FEE81"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KWALIFIKUJĄCE SIĘ INSTRUMENTY W TIER I UWZGLĘDNIONE W SKONSOLIDOWANYM KAPITALE TIER I</w:t>
            </w:r>
          </w:p>
          <w:p w14:paraId="494A052C" w14:textId="6360A78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UDZIAŁY MNIEJSZOŚCI UWZGLĘDNIONE W SKONSOLIDOWANYM</w:t>
            </w:r>
            <w:r>
              <w:t xml:space="preserve"> </w:t>
            </w:r>
            <w:r>
              <w:br/>
            </w:r>
            <w:r>
              <w:rPr>
                <w:rStyle w:val="InstructionsTabelleberschrift"/>
                <w:rFonts w:ascii="Times New Roman" w:hAnsi="Times New Roman"/>
                <w:sz w:val="24"/>
              </w:rPr>
              <w:t>KAPITALE PODSTAWOWYM TIER I</w:t>
            </w:r>
          </w:p>
          <w:p w14:paraId="3911EDD5" w14:textId="70D3CFD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FDDD9A5" w14:textId="344DC10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Kwotą, którą należy zgłosić, jest kwota udziałów mniejszości jednostki zależnej uwzględniona w skonsolidowanym kapitale podstawowym Tier I</w:t>
            </w:r>
            <w:r>
              <w:rPr>
                <w:rFonts w:ascii="Times New Roman" w:hAnsi="Times New Roman"/>
                <w:sz w:val="24"/>
              </w:rPr>
              <w:t xml:space="preserve"> zgodnie z rozporządzeniem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KWALIFIKUJĄCE SIĘ INSTRUMENTY W KAPITALE TIER I UWZGLĘDNIONE W SKONSOLIDOWANYM KAPITALE DODATKOWYM TIER I</w:t>
            </w:r>
          </w:p>
          <w:p w14:paraId="45D53AAB" w14:textId="770C35D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03897A7" w14:textId="0F00D05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Kwotą, którą należy zgłosić, jest kwota kwalifikującego się kapitału Tier I jednostki zależnej uwzględniona w skonsolidowanym kapitale dodatkowym Tier I zgodnie z</w:t>
            </w:r>
            <w:r>
              <w:rPr>
                <w:rFonts w:ascii="Times New Roman" w:hAnsi="Times New Roman"/>
                <w:sz w:val="24"/>
              </w:rPr>
              <w:t xml:space="preserve"> rozporządzeniem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KWALIFIKUJĄCE SIĘ INSTRUMENTY FUNDUSZY WŁASNYCH UWZGLĘDNIONE W</w:t>
            </w:r>
            <w:r>
              <w:t xml:space="preserve"> </w:t>
            </w:r>
            <w:r>
              <w:br/>
            </w:r>
            <w:r>
              <w:rPr>
                <w:rStyle w:val="InstructionsTabelleberschrift"/>
                <w:rFonts w:ascii="Times New Roman" w:hAnsi="Times New Roman"/>
                <w:sz w:val="24"/>
              </w:rPr>
              <w:t>SKONSOLIDOWANYM KAPITALE TIER II</w:t>
            </w:r>
          </w:p>
          <w:p w14:paraId="4291CA19" w14:textId="040505F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88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E02F526" w14:textId="6A1487FB" w:rsidR="00BF0637" w:rsidRPr="002A677E" w:rsidRDefault="00BF0637" w:rsidP="00DE583B">
            <w:pPr>
              <w:rPr>
                <w:rStyle w:val="InstructionsTabelleText"/>
                <w:rFonts w:ascii="Times New Roman" w:hAnsi="Times New Roman"/>
                <w:sz w:val="24"/>
              </w:rPr>
            </w:pPr>
            <w:r>
              <w:rPr>
                <w:rStyle w:val="InstructionsTabelleText"/>
                <w:rFonts w:ascii="Times New Roman" w:hAnsi="Times New Roman"/>
                <w:sz w:val="24"/>
              </w:rPr>
              <w:t>Kwotą, którą należy zgłosić, jest kwota kwalifikujących się funduszy własnych jednostki zależnej uwzględniona w skonsolidowanym kapitale Tier II zgodnie z</w:t>
            </w:r>
            <w:r>
              <w:rPr>
                <w:rFonts w:ascii="Times New Roman" w:hAnsi="Times New Roman"/>
                <w:sz w:val="24"/>
              </w:rPr>
              <w:t xml:space="preserve"> rozporządzeniem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POZYCJA UZUPEŁNIAJĄCA: WARTOŚĆ FIRMY (-) / (+) UJEMNA WARTOŚĆ FIRMY</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SKONSOLIDOWANE FUNDUSZE WŁASNE</w:t>
            </w:r>
          </w:p>
          <w:p w14:paraId="36D104D8" w14:textId="29CF58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 18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Kwota, którą należy zgłosić jako „SKONSOLIDOWANE FUNDUSZE WŁASNE”, jest kwotą wynikającą z bilansu z wyłączeniem wszelkich funduszy wniesionych przez inne podmioty grupy.</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lastRenderedPageBreak/>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SKONSOLIDOWANE FUNDUSZE WŁASNE</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 TYM: KAPITAŁ PODSTAWOWY TIER I</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 TYM: KAPITAŁ DODATKOWY TIER I</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W TYM: WKŁADY W WYNIK SKONSOLIDOWANY</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Zgłaszany jest wkład każdego podmiotu w wynik skonsolidowany (zysk lub strata (-)). Obejmuje to wyniki dotyczące udziałów mniejszości.</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 TYM: (-) WARTOŚĆ FIRMY / (+) UJEMNA WARTOŚĆ FIRMY</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W tym miejscu podaje się wartość firmy lub ujemną wartość firmy jednostki sprawozdającej w odniesieniu do jednostki zależnej.</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BUFORY KAPITAŁOWE</w:t>
            </w:r>
          </w:p>
          <w:p w14:paraId="40394476" w14:textId="1F3A3F8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Struktura zgłaszania buforów kapitałowych dla wzoru GS jest zgodna z ogólną strukturą wzoru CA4 i oparta na tych samych koncepcjach sprawozdawczości. Przy zgłaszaniu buforów kapitałowych we wzorze GS odpowiednie kwoty zgłasza się zgodnie z przepisami mającymi zastosowanie do celów określenia wymogu kapitałowego dla grupy na zasadzie skonsolidowanej. W związku z tym zgłaszane kwoty buforów kapitałowych odpowiadają wkładom każdego podmiotu do buforów kapitałowych grupy. Zgłaszane kwoty opierają się na przepisach krajowych przyjętych w celu transpozycji</w:t>
            </w:r>
            <w:r>
              <w:rPr>
                <w:rFonts w:ascii="Times New Roman" w:hAnsi="Times New Roman"/>
                <w:sz w:val="24"/>
              </w:rPr>
              <w:t xml:space="preserve"> dyrektywy 2013/36/UE </w:t>
            </w:r>
            <w:r>
              <w:rPr>
                <w:rStyle w:val="InstructionsTabelleberschrift"/>
                <w:rFonts w:ascii="Times New Roman" w:hAnsi="Times New Roman"/>
                <w:b w:val="0"/>
                <w:sz w:val="24"/>
                <w:u w:val="none"/>
              </w:rPr>
              <w:t>oraz na</w:t>
            </w:r>
            <w:r>
              <w:rPr>
                <w:rFonts w:ascii="Times New Roman" w:hAnsi="Times New Roman"/>
                <w:sz w:val="24"/>
              </w:rPr>
              <w:t xml:space="preserve"> rozporządzeniu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b w:val="0"/>
                <w:sz w:val="24"/>
                <w:u w:val="none"/>
              </w:rPr>
              <w:t>w tym na wszelkich określonych w nich przepisach przejściowych</w:t>
            </w:r>
            <w:r>
              <w:rPr>
                <w:rFonts w:ascii="Times New Roman" w:hAnsi="Times New Roman"/>
                <w:sz w:val="24"/>
              </w:rPr>
              <w:t>.</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WYMÓG POŁĄCZONEGO BUFORA</w:t>
            </w:r>
          </w:p>
          <w:p w14:paraId="3D5E19EB" w14:textId="7C37841C" w:rsidR="00BF0637" w:rsidRPr="002A677E" w:rsidRDefault="00BF0637" w:rsidP="00836936">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 128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6</w:t>
            </w:r>
            <w:r>
              <w:rPr>
                <w:rStyle w:val="InstructionsTabelleText"/>
                <w:rFonts w:ascii="Times New Roman" w:hAnsi="Times New Roman"/>
                <w:sz w:val="24"/>
              </w:rPr>
              <w:t xml:space="preserve"> </w:t>
            </w:r>
            <w:r>
              <w:rPr>
                <w:rFonts w:ascii="Times New Roman" w:hAnsi="Times New Roman"/>
                <w:sz w:val="24"/>
              </w:rPr>
              <w:t>dyrektywy 2013/36/UE</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BUFOR ZABEZPIECZAJĄCY</w:t>
            </w:r>
          </w:p>
          <w:p w14:paraId="7A1DFE23" w14:textId="581E182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 128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29 </w:t>
            </w:r>
            <w:r>
              <w:rPr>
                <w:rFonts w:ascii="Times New Roman" w:hAnsi="Times New Roman"/>
                <w:sz w:val="24"/>
              </w:rPr>
              <w:t>dyrektywy 2013/36/UE</w:t>
            </w:r>
          </w:p>
          <w:p w14:paraId="6BAB745B" w14:textId="0ED1E1DD" w:rsidR="00BF0637" w:rsidRPr="002A677E" w:rsidRDefault="00BF0637" w:rsidP="00487A02">
            <w:pPr>
              <w:pStyle w:val="InstructionsText"/>
              <w:rPr>
                <w:rStyle w:val="InstructionsTabelleText"/>
                <w:rFonts w:ascii="Times New Roman" w:hAnsi="Times New Roman"/>
                <w:sz w:val="24"/>
              </w:rPr>
            </w:pPr>
            <w:r>
              <w:t>Zgodnie z art. 129 ust. 1 dyrektywy 2013/36/UE bufor zabezpieczający jest dodatkową kwotą kapitału podstawowego Tier I. Ze względu na fakt, że wynosząca 2,</w:t>
            </w:r>
            <w:r w:rsidRPr="0043455E">
              <w:t>5</w:t>
            </w:r>
            <w:r w:rsidR="0043455E" w:rsidRPr="0043455E">
              <w:t> </w:t>
            </w:r>
            <w:r w:rsidRPr="0043455E">
              <w:t>%</w:t>
            </w:r>
            <w:r>
              <w:t xml:space="preserve"> wartość bufora zabezpieczającego jest stała, kwotę zgłasza się w tej komórce.</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SPECYFICZNY DLA INSTYTUCJI BUFOR ANTYCYKLICZNY</w:t>
            </w:r>
          </w:p>
          <w:p w14:paraId="60BB7D4D" w14:textId="2757445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 128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30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35–140 </w:t>
            </w:r>
            <w:r>
              <w:rPr>
                <w:rFonts w:ascii="Times New Roman" w:hAnsi="Times New Roman"/>
                <w:sz w:val="24"/>
              </w:rPr>
              <w:t>dyrektywy 2013/36/UE</w:t>
            </w:r>
          </w:p>
          <w:p w14:paraId="13C2D32F" w14:textId="77777777" w:rsidR="00BF0637" w:rsidRPr="002A677E" w:rsidRDefault="001B43BD" w:rsidP="00487A02">
            <w:pPr>
              <w:pStyle w:val="InstructionsText"/>
              <w:rPr>
                <w:rStyle w:val="InstructionsTabelleText"/>
                <w:rFonts w:ascii="Times New Roman" w:hAnsi="Times New Roman"/>
                <w:sz w:val="24"/>
              </w:rPr>
            </w:pPr>
            <w:r>
              <w:t>W tej komórce zgłasza się konkretną kwotę bufora antycyklicznego.</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BUFOR ZABEZPIECZAJĄCY WYNIKAJĄCY Z RYZYKA MAKROOSTROŻNOŚCIOWEGO LUB RYZYKA SYSTEMOWEGO ZIDENTYFIKOWANEGO NA POZIOMIE PAŃSTWA CZŁONKOWSKIEGO</w:t>
            </w:r>
          </w:p>
          <w:p w14:paraId="582CB6E0" w14:textId="384B46E1"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458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d)</w:t>
            </w:r>
            <w:r>
              <w:rPr>
                <w:rStyle w:val="InstructionsTabelleberschrift"/>
                <w:rFonts w:ascii="Times New Roman" w:hAnsi="Times New Roman"/>
                <w:b w:val="0"/>
                <w:sz w:val="24"/>
                <w:u w:val="none"/>
              </w:rPr>
              <w:t xml:space="preserve"> pkt (iv)</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670889D" w14:textId="6128674B" w:rsidR="00BF0637" w:rsidRPr="002A677E" w:rsidRDefault="001B43BD" w:rsidP="00487A02">
            <w:pPr>
              <w:pStyle w:val="InstructionsText"/>
              <w:rPr>
                <w:rStyle w:val="InstructionsTabelleberschrift"/>
                <w:rFonts w:ascii="Times New Roman" w:hAnsi="Times New Roman"/>
                <w:sz w:val="24"/>
              </w:rPr>
            </w:pPr>
            <w:r>
              <w:t xml:space="preserve">W tej komórce zgłasza się kwotę bufora zabezpieczającego wynikającego z ryzyka makroostrożnościowego lub ryzyka systemowego zidentyfikowanego na poziomie państwa członkowskiego, która może być wymagana zgodnie z art. 458 rozporządzenia (UE) </w:t>
            </w:r>
            <w:r w:rsidRPr="0043455E">
              <w:t>nr</w:t>
            </w:r>
            <w:r w:rsidR="0043455E" w:rsidRPr="0043455E">
              <w:t> </w:t>
            </w:r>
            <w:r w:rsidRPr="0043455E">
              <w:t>5</w:t>
            </w:r>
            <w:r>
              <w:t>75/2013 poza buforem zabezpieczającym.</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BUFOR RYZYKA SYSTEMOWEGO</w:t>
            </w:r>
          </w:p>
          <w:p w14:paraId="1EC2BAA7" w14:textId="2D5AC4D6" w:rsidR="00BF0637" w:rsidRPr="002A677E" w:rsidRDefault="00BF0637" w:rsidP="00487A02">
            <w:pPr>
              <w:pStyle w:val="InstructionsText"/>
            </w:pPr>
            <w:r>
              <w:t xml:space="preserve">Art. 128 </w:t>
            </w:r>
            <w:r w:rsidRPr="0043455E">
              <w:t>pkt</w:t>
            </w:r>
            <w:r w:rsidR="0043455E" w:rsidRPr="0043455E">
              <w:t> </w:t>
            </w:r>
            <w:r w:rsidRPr="0043455E">
              <w:t>5</w:t>
            </w:r>
            <w:r>
              <w:t xml:space="preserve">, </w:t>
            </w:r>
            <w:r w:rsidRPr="0043455E">
              <w:t>art.</w:t>
            </w:r>
            <w:r w:rsidR="0043455E" w:rsidRPr="0043455E">
              <w:t> </w:t>
            </w:r>
            <w:r w:rsidRPr="0043455E">
              <w:t>1</w:t>
            </w:r>
            <w:r>
              <w:t xml:space="preserve">33 i 134 dyrektywy 2013/36/UE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W tej komórce zgłasza się kwotę bufora ryzyka systemowego.</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BUFOR GLOBALNYCH INSTYTUCJI O ZNACZENIU SYSTEMOWYM</w:t>
            </w:r>
            <w:r>
              <w:tab/>
            </w:r>
          </w:p>
          <w:p w14:paraId="534898CD" w14:textId="78F907B1"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128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i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31</w:t>
            </w:r>
            <w:r>
              <w:t xml:space="preserve"> dyrektywy 2013/36/UE</w:t>
            </w:r>
          </w:p>
          <w:p w14:paraId="231ADF38" w14:textId="77777777" w:rsidR="00BF0637" w:rsidRPr="002A677E" w:rsidRDefault="001B43BD" w:rsidP="00487A02">
            <w:pPr>
              <w:pStyle w:val="InstructionsText"/>
              <w:rPr>
                <w:rStyle w:val="InstructionsTabelleberschrift"/>
                <w:rFonts w:ascii="Times New Roman" w:hAnsi="Times New Roman"/>
                <w:sz w:val="24"/>
              </w:rPr>
            </w:pPr>
            <w:r>
              <w:t>W tej komórce zgłasza się kwotę bufora globalnych instytucji o znaczeniu systemowym.</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BUFOR INNYCH INSTYTUCJI O ZNACZENIU SYSTEMOWYM</w:t>
            </w:r>
            <w:r>
              <w:tab/>
            </w:r>
          </w:p>
          <w:p w14:paraId="3BE461F6" w14:textId="7FCB160A" w:rsidR="00BF0637" w:rsidRPr="002A677E" w:rsidRDefault="00BF0637" w:rsidP="00487A02">
            <w:pPr>
              <w:pStyle w:val="InstructionsText"/>
            </w:pPr>
            <w:r>
              <w:t xml:space="preserve">Art. 128 </w:t>
            </w:r>
            <w:r w:rsidRPr="0043455E">
              <w:t>pkt</w:t>
            </w:r>
            <w:r w:rsidR="0043455E" w:rsidRPr="0043455E">
              <w:t> </w:t>
            </w:r>
            <w:r w:rsidRPr="0043455E">
              <w:t>4</w:t>
            </w:r>
            <w:r>
              <w:t xml:space="preserve"> i </w:t>
            </w:r>
            <w:r w:rsidRPr="0043455E">
              <w:t>art.</w:t>
            </w:r>
            <w:r w:rsidR="0043455E" w:rsidRPr="0043455E">
              <w:t> </w:t>
            </w:r>
            <w:r w:rsidRPr="0043455E">
              <w:t>1</w:t>
            </w:r>
            <w:r>
              <w:t>31 dyrektywy 2013/36/UE</w:t>
            </w:r>
          </w:p>
          <w:p w14:paraId="438EEBF7" w14:textId="77777777" w:rsidR="00BF0637" w:rsidRPr="002A677E" w:rsidRDefault="001B43BD" w:rsidP="00487A02">
            <w:pPr>
              <w:pStyle w:val="InstructionsText"/>
              <w:rPr>
                <w:rStyle w:val="InstructionsTabelleberschrift"/>
                <w:rFonts w:ascii="Times New Roman" w:hAnsi="Times New Roman"/>
                <w:sz w:val="24"/>
              </w:rPr>
            </w:pPr>
            <w:r>
              <w:t>W tej komórce zgłasza się kwotę bufora innych instytucji o znaczeniu systemowym.</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9064791"/>
      <w:r>
        <w:rPr>
          <w:rFonts w:ascii="Times New Roman" w:hAnsi="Times New Roman"/>
          <w:sz w:val="24"/>
          <w:u w:val="none"/>
        </w:rPr>
        <w:t>3.</w:t>
      </w:r>
      <w:r>
        <w:tab/>
      </w:r>
      <w:r>
        <w:rPr>
          <w:rFonts w:ascii="Times New Roman" w:hAnsi="Times New Roman"/>
          <w:sz w:val="24"/>
        </w:rPr>
        <w:t>Wzory dotyczące ryzyka kredytowego</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262568022"/>
      <w:bookmarkStart w:id="121" w:name="_Toc295829848"/>
      <w:bookmarkStart w:id="122" w:name="_Toc310415014"/>
      <w:bookmarkStart w:id="123" w:name="_Toc119064792"/>
      <w:r>
        <w:rPr>
          <w:rFonts w:ascii="Times New Roman" w:hAnsi="Times New Roman"/>
          <w:sz w:val="24"/>
          <w:u w:val="none"/>
        </w:rPr>
        <w:t>3.1.</w:t>
      </w:r>
      <w:r>
        <w:tab/>
      </w:r>
      <w:r>
        <w:rPr>
          <w:rFonts w:ascii="Times New Roman" w:hAnsi="Times New Roman"/>
          <w:sz w:val="24"/>
        </w:rPr>
        <w:t>Uwagi ogólne</w:t>
      </w:r>
      <w:bookmarkEnd w:id="118"/>
      <w:bookmarkEnd w:id="119"/>
      <w:bookmarkEnd w:id="123"/>
      <w:r>
        <w:rPr>
          <w:rFonts w:ascii="Times New Roman" w:hAnsi="Times New Roman"/>
          <w:sz w:val="24"/>
        </w:rPr>
        <w:t xml:space="preserve"> </w:t>
      </w:r>
      <w:bookmarkEnd w:id="120"/>
      <w:bookmarkEnd w:id="121"/>
      <w:bookmarkEnd w:id="122"/>
    </w:p>
    <w:p w14:paraId="3920365D" w14:textId="77777777" w:rsidR="00464F34" w:rsidRPr="002A677E" w:rsidRDefault="0043455E" w:rsidP="00487A02">
      <w:pPr>
        <w:pStyle w:val="InstructionsText2"/>
        <w:numPr>
          <w:ilvl w:val="0"/>
          <w:numId w:val="0"/>
        </w:numPr>
        <w:ind w:left="1353" w:hanging="360"/>
      </w:pPr>
      <w:fldSimple w:instr=" seq paragraphs ">
        <w:r w:rsidR="008F3052">
          <w:t>39</w:t>
        </w:r>
      </w:fldSimple>
      <w:r w:rsidR="008F3052">
        <w:t>.</w:t>
      </w:r>
      <w:r w:rsidR="008F3052">
        <w:tab/>
        <w:t xml:space="preserve">W odniesieniu do ryzyka kredytowego według metody standardowej i metody IRB istnieją różne zestawy wzorów. Ponadto zgłaszane są osobne wzory na potrzeby podziału pod względem geograficznym pozycji podlegających ryzyku kredytowemu, jeśli przekroczony jest odpowiedni próg określony w art. 5 ust. 5 niniejszego rozporządzenia wykonawczego.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9064793"/>
      <w:r>
        <w:rPr>
          <w:rFonts w:ascii="Times New Roman" w:hAnsi="Times New Roman"/>
          <w:sz w:val="24"/>
          <w:u w:val="none"/>
        </w:rPr>
        <w:t>3.1.1.</w:t>
      </w:r>
      <w:r>
        <w:tab/>
      </w:r>
      <w:r>
        <w:rPr>
          <w:rFonts w:ascii="Times New Roman" w:hAnsi="Times New Roman"/>
          <w:sz w:val="24"/>
        </w:rPr>
        <w:t>Sprawozdawczość w zakresie technik ograniczania ryzyka kredytowego z uwzględnieniem efektów substytucyjnych</w:t>
      </w:r>
      <w:bookmarkEnd w:id="124"/>
      <w:bookmarkEnd w:id="125"/>
      <w:bookmarkEnd w:id="126"/>
      <w:bookmarkEnd w:id="127"/>
      <w:bookmarkEnd w:id="128"/>
      <w:bookmarkEnd w:id="129"/>
    </w:p>
    <w:p w14:paraId="58CA4336" w14:textId="77777777" w:rsidR="00464F34" w:rsidRPr="002A677E" w:rsidRDefault="0043455E" w:rsidP="00487A02">
      <w:pPr>
        <w:pStyle w:val="InstructionsText2"/>
        <w:numPr>
          <w:ilvl w:val="0"/>
          <w:numId w:val="0"/>
        </w:numPr>
        <w:ind w:left="1353" w:hanging="360"/>
      </w:pPr>
      <w:fldSimple w:instr=" seq paragraphs ">
        <w:r w:rsidR="008F3052">
          <w:t>40</w:t>
        </w:r>
      </w:fldSimple>
      <w:r w:rsidR="008F3052">
        <w:t>.</w:t>
      </w:r>
      <w:r w:rsidR="008F3052">
        <w:tab/>
        <w:t>Ekspozycje wobec dłużników (bezpośrednich kontrahentów) oraz gwarantów, które to ekspozycje zaklasyfikowane są do tej samej kategorii ekspozycji, zgłasza się w odniesieniu do wpływów i wypływów dotyczących tej samej kategorii ekspozycji.</w:t>
      </w:r>
    </w:p>
    <w:p w14:paraId="628153FE" w14:textId="77777777" w:rsidR="00464F34" w:rsidRPr="002A677E" w:rsidRDefault="0043455E" w:rsidP="00487A02">
      <w:pPr>
        <w:pStyle w:val="InstructionsText2"/>
        <w:numPr>
          <w:ilvl w:val="0"/>
          <w:numId w:val="0"/>
        </w:numPr>
        <w:ind w:left="1353" w:hanging="360"/>
      </w:pPr>
      <w:fldSimple w:instr=" seq paragraphs ">
        <w:r w:rsidR="008F3052">
          <w:t>41</w:t>
        </w:r>
      </w:fldSimple>
      <w:r w:rsidR="008F3052">
        <w:t>.</w:t>
      </w:r>
      <w:r w:rsidR="008F3052">
        <w:tab/>
        <w:t>Rodzaj ekspozycji nie ulega zmianie z powodu ochrony kredytowej nierzeczywistej.</w:t>
      </w:r>
    </w:p>
    <w:p w14:paraId="16802E43" w14:textId="77777777" w:rsidR="00464F34" w:rsidRPr="002A677E" w:rsidRDefault="0043455E" w:rsidP="00487A02">
      <w:pPr>
        <w:pStyle w:val="InstructionsText2"/>
        <w:numPr>
          <w:ilvl w:val="0"/>
          <w:numId w:val="0"/>
        </w:numPr>
        <w:ind w:left="1353" w:hanging="360"/>
      </w:pPr>
      <w:fldSimple w:instr=" seq paragraphs ">
        <w:r w:rsidR="008F3052">
          <w:t>42</w:t>
        </w:r>
      </w:fldSimple>
      <w:r w:rsidR="008F3052">
        <w:t>.</w:t>
      </w:r>
      <w:r w:rsidR="008F3052">
        <w:tab/>
        <w:t>Jeżeli ekspozycja jest zabezpieczona poprzez ochronę kredytową nierzeczywistą, zabezpieczona część jest przypisywana jako wypływ np. w kategorii ekspozycji dłużnika oraz jako wpływ w kategorii ekspozycji gwaranta. Rodzaj ekspozycji nie ulega jednak zmianie wskutek zmiany kategorii ekspozycji.</w:t>
      </w:r>
    </w:p>
    <w:p w14:paraId="4E7B84E6" w14:textId="77777777" w:rsidR="00464F34" w:rsidRPr="002A677E" w:rsidRDefault="0043455E" w:rsidP="00487A02">
      <w:pPr>
        <w:pStyle w:val="InstructionsText2"/>
        <w:numPr>
          <w:ilvl w:val="0"/>
          <w:numId w:val="0"/>
        </w:numPr>
        <w:ind w:left="1353" w:hanging="360"/>
      </w:pPr>
      <w:fldSimple w:instr=" seq paragraphs ">
        <w:r w:rsidR="008F3052">
          <w:t>43</w:t>
        </w:r>
      </w:fldSimple>
      <w:r w:rsidR="008F3052">
        <w:t>.</w:t>
      </w:r>
      <w:r w:rsidR="008F3052">
        <w:tab/>
        <w:t xml:space="preserve">Efekt substytucyjny w ramach sprawozdawczości COREP odzwierciedla traktowanie ważenia ryzykiem mające skuteczne zastosowanie do zabezpieczonej części ekspozycji. W rezultacie zabezpieczona część ekspozycji jest ważona ryzykiem według metody standardowej i zgłaszana we wzorze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9064794"/>
      <w:r>
        <w:rPr>
          <w:rFonts w:ascii="Times New Roman" w:hAnsi="Times New Roman"/>
          <w:sz w:val="24"/>
          <w:u w:val="none"/>
        </w:rPr>
        <w:lastRenderedPageBreak/>
        <w:t>3.1.2.</w:t>
      </w:r>
      <w:r>
        <w:tab/>
      </w:r>
      <w:r>
        <w:rPr>
          <w:rFonts w:ascii="Times New Roman" w:hAnsi="Times New Roman"/>
          <w:sz w:val="24"/>
        </w:rPr>
        <w:t>Sprawozdawczość w zakresie ryzyka kredytowego kontrahenta</w:t>
      </w:r>
      <w:bookmarkEnd w:id="130"/>
      <w:bookmarkEnd w:id="131"/>
      <w:bookmarkEnd w:id="132"/>
      <w:bookmarkEnd w:id="133"/>
      <w:bookmarkEnd w:id="134"/>
      <w:bookmarkEnd w:id="135"/>
    </w:p>
    <w:p w14:paraId="4DE9180B" w14:textId="77777777" w:rsidR="00464F34" w:rsidRPr="002A677E" w:rsidRDefault="0043455E" w:rsidP="00487A02">
      <w:pPr>
        <w:pStyle w:val="InstructionsText2"/>
        <w:numPr>
          <w:ilvl w:val="0"/>
          <w:numId w:val="0"/>
        </w:numPr>
        <w:ind w:left="1353" w:hanging="360"/>
      </w:pPr>
      <w:fldSimple w:instr=" seq paragraphs ">
        <w:r w:rsidR="008F3052">
          <w:t>44</w:t>
        </w:r>
      </w:fldSimple>
      <w:r w:rsidR="008F3052">
        <w:t>.</w:t>
      </w:r>
      <w:r w:rsidR="008F3052">
        <w:tab/>
        <w:t xml:space="preserve">Pozycje dotyczące ekspozycji wynikających z ryzyka kredytowego kontrahenta zgłasza się we wzorach CR SA lub CR IRB niezależne od tego, czy są one pozycjami portfela bankowego czy portfela handlowego. </w:t>
      </w:r>
    </w:p>
    <w:p w14:paraId="024C34FE" w14:textId="4E91EA09"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9064795"/>
      <w:r>
        <w:rPr>
          <w:rFonts w:ascii="Times New Roman" w:hAnsi="Times New Roman"/>
          <w:sz w:val="24"/>
          <w:u w:val="none"/>
        </w:rPr>
        <w:t>3.2.</w:t>
      </w:r>
      <w:r>
        <w:tab/>
      </w:r>
      <w:r>
        <w:rPr>
          <w:rFonts w:ascii="Times New Roman" w:hAnsi="Times New Roman"/>
          <w:sz w:val="24"/>
        </w:rPr>
        <w:t xml:space="preserve">C 07.00 – Ryzyko kredytowe i ryzyko kredytowe kontrahenta oraz dostawy z późniejszym terminem rozliczenia: Wymogi kapitałowe według metody standardowej </w:t>
      </w:r>
      <w:bookmarkEnd w:id="136"/>
      <w:bookmarkEnd w:id="137"/>
      <w:bookmarkEnd w:id="138"/>
      <w:bookmarkEnd w:id="139"/>
      <w:r>
        <w:rPr>
          <w:rFonts w:ascii="Times New Roman" w:hAnsi="Times New Roman"/>
          <w:sz w:val="24"/>
        </w:rPr>
        <w:t>(CR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9064796"/>
      <w:r>
        <w:rPr>
          <w:rFonts w:ascii="Times New Roman" w:hAnsi="Times New Roman"/>
          <w:sz w:val="24"/>
          <w:u w:val="none"/>
        </w:rPr>
        <w:t>3.2.1.</w:t>
      </w:r>
      <w:r>
        <w:tab/>
      </w:r>
      <w:r>
        <w:rPr>
          <w:rFonts w:ascii="Times New Roman" w:hAnsi="Times New Roman"/>
          <w:sz w:val="24"/>
        </w:rPr>
        <w:t>Uwagi ogólne</w:t>
      </w:r>
      <w:bookmarkEnd w:id="142"/>
      <w:bookmarkEnd w:id="143"/>
      <w:bookmarkEnd w:id="144"/>
      <w:bookmarkEnd w:id="145"/>
      <w:bookmarkEnd w:id="146"/>
      <w:bookmarkEnd w:id="147"/>
      <w:bookmarkEnd w:id="148"/>
      <w:bookmarkEnd w:id="149"/>
    </w:p>
    <w:p w14:paraId="611BAA0D" w14:textId="77777777" w:rsidR="00464F34" w:rsidRPr="002A677E" w:rsidRDefault="0043455E" w:rsidP="00487A02">
      <w:pPr>
        <w:pStyle w:val="InstructionsText2"/>
        <w:numPr>
          <w:ilvl w:val="0"/>
          <w:numId w:val="0"/>
        </w:numPr>
        <w:ind w:left="1353" w:hanging="360"/>
      </w:pPr>
      <w:fldSimple w:instr=" seq paragraphs ">
        <w:r w:rsidR="008F3052">
          <w:t>45</w:t>
        </w:r>
      </w:fldSimple>
      <w:r w:rsidR="008F3052">
        <w:t>.</w:t>
      </w:r>
      <w:r w:rsidR="008F3052">
        <w:tab/>
        <w:t>Wzory CR SA dostarczają niezbędnych informacji na temat obliczania wymogów w zakresie funduszy własnych z tytułu ryzyka kredytowego według metody standardowej. W szczególności zawierają szczegółowe informacje o:</w:t>
      </w:r>
    </w:p>
    <w:p w14:paraId="7D57B213" w14:textId="77777777" w:rsidR="00464F34" w:rsidRPr="002A677E" w:rsidRDefault="00125707" w:rsidP="00487A02">
      <w:pPr>
        <w:pStyle w:val="InstructionsText2"/>
        <w:numPr>
          <w:ilvl w:val="0"/>
          <w:numId w:val="0"/>
        </w:numPr>
        <w:ind w:left="1353" w:hanging="360"/>
      </w:pPr>
      <w:r>
        <w:t>a)</w:t>
      </w:r>
      <w:r>
        <w:tab/>
        <w:t>podziale wartości ekspozycji według różnych rodzajów ekspozycji, wag ryzyka i kategorii ekspozycji;</w:t>
      </w:r>
    </w:p>
    <w:p w14:paraId="28577EB0" w14:textId="77777777" w:rsidR="00464F34" w:rsidRPr="002A677E" w:rsidRDefault="00125707" w:rsidP="00487A02">
      <w:pPr>
        <w:pStyle w:val="InstructionsText2"/>
        <w:numPr>
          <w:ilvl w:val="0"/>
          <w:numId w:val="0"/>
        </w:numPr>
        <w:ind w:left="1353" w:hanging="360"/>
      </w:pPr>
      <w:r>
        <w:t>b)</w:t>
      </w:r>
      <w:r>
        <w:tab/>
        <w:t xml:space="preserve">kwocie i rodzaju technik ograniczania ryzyka kredytowego zastosowanych w celu zmniejszenia ryzyka.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9064797"/>
      <w:r>
        <w:rPr>
          <w:rFonts w:ascii="Times New Roman" w:hAnsi="Times New Roman"/>
          <w:sz w:val="24"/>
          <w:u w:val="none"/>
        </w:rPr>
        <w:t>3.2.2.</w:t>
      </w:r>
      <w:r>
        <w:tab/>
      </w:r>
      <w:r>
        <w:rPr>
          <w:rFonts w:ascii="Times New Roman" w:hAnsi="Times New Roman"/>
          <w:sz w:val="24"/>
        </w:rPr>
        <w:t>Zakres wzoru CR SA</w:t>
      </w:r>
      <w:bookmarkEnd w:id="150"/>
      <w:bookmarkEnd w:id="151"/>
      <w:bookmarkEnd w:id="152"/>
      <w:bookmarkEnd w:id="153"/>
      <w:bookmarkEnd w:id="154"/>
      <w:bookmarkEnd w:id="155"/>
      <w:bookmarkEnd w:id="156"/>
      <w:bookmarkEnd w:id="157"/>
    </w:p>
    <w:p w14:paraId="0C400487" w14:textId="4598B0F1" w:rsidR="00464F34" w:rsidRPr="002A677E" w:rsidRDefault="0043455E" w:rsidP="00487A02">
      <w:pPr>
        <w:pStyle w:val="InstructionsText2"/>
        <w:numPr>
          <w:ilvl w:val="0"/>
          <w:numId w:val="0"/>
        </w:numPr>
        <w:ind w:left="1353" w:hanging="360"/>
      </w:pPr>
      <w:fldSimple w:instr=" seq paragraphs ">
        <w:r w:rsidR="008F3052">
          <w:t>46</w:t>
        </w:r>
      </w:fldSimple>
      <w:r w:rsidR="008F3052">
        <w:t>.</w:t>
      </w:r>
      <w:r w:rsidR="008F3052">
        <w:tab/>
        <w:t xml:space="preserve">Zgodnie z art. 112 rozporządzenia (UE) </w:t>
      </w:r>
      <w:r w:rsidR="008F3052" w:rsidRPr="0043455E">
        <w:t>nr</w:t>
      </w:r>
      <w:r w:rsidRPr="0043455E">
        <w:t> </w:t>
      </w:r>
      <w:r w:rsidR="008F3052" w:rsidRPr="0043455E">
        <w:t>5</w:t>
      </w:r>
      <w:r w:rsidR="008F3052">
        <w:t>75/2013 każda ekspozycja według metody standardowej klasyfikowana jest do jednej z 16 kategorii ekspozycji w celu obliczenia wymogów w zakresie funduszy własnych.</w:t>
      </w:r>
    </w:p>
    <w:p w14:paraId="0EFA672B" w14:textId="77777777" w:rsidR="00464F34" w:rsidRPr="002A677E" w:rsidRDefault="0043455E" w:rsidP="00487A02">
      <w:pPr>
        <w:pStyle w:val="InstructionsText2"/>
        <w:numPr>
          <w:ilvl w:val="0"/>
          <w:numId w:val="0"/>
        </w:numPr>
        <w:ind w:left="1353" w:hanging="360"/>
      </w:pPr>
      <w:fldSimple w:instr=" seq paragraphs ">
        <w:r w:rsidR="008F3052">
          <w:t>47</w:t>
        </w:r>
      </w:fldSimple>
      <w:r w:rsidR="008F3052">
        <w:t>.</w:t>
      </w:r>
      <w:r w:rsidR="008F3052">
        <w:tab/>
        <w:t xml:space="preserve">Informacje zawarte we wzorze CR SA są wymagane dla kategorii ekspozycji całkowitych i indywidualnie dla każdej z kategorii ekspozycji określonych na potrzeby metody standardowej. Łączne dane oraz informacje o każdej kategorii ekspozycji zgłasza się w osobnym wymiarze. </w:t>
      </w:r>
    </w:p>
    <w:p w14:paraId="375491F9" w14:textId="77777777" w:rsidR="00464F34" w:rsidRPr="002A677E" w:rsidRDefault="0043455E" w:rsidP="00487A02">
      <w:pPr>
        <w:pStyle w:val="InstructionsText2"/>
        <w:numPr>
          <w:ilvl w:val="0"/>
          <w:numId w:val="0"/>
        </w:numPr>
        <w:ind w:left="1353" w:hanging="360"/>
      </w:pPr>
      <w:fldSimple w:instr=" seq paragraphs ">
        <w:r w:rsidR="008F3052">
          <w:t>48</w:t>
        </w:r>
      </w:fldSimple>
      <w:r w:rsidR="008F3052">
        <w:t>.</w:t>
      </w:r>
      <w:r w:rsidR="008F3052">
        <w:tab/>
        <w:t>Następujące pozycje nie wchodzą jednak w zakres wzoru CR SA:</w:t>
      </w:r>
    </w:p>
    <w:p w14:paraId="4270BD85" w14:textId="6DEEE9AE" w:rsidR="00464F34" w:rsidRPr="002A677E" w:rsidRDefault="00125707" w:rsidP="00487A02">
      <w:pPr>
        <w:pStyle w:val="InstructionsText2"/>
        <w:numPr>
          <w:ilvl w:val="0"/>
          <w:numId w:val="0"/>
        </w:numPr>
        <w:ind w:left="1353" w:hanging="360"/>
      </w:pPr>
      <w:r>
        <w:t>a)</w:t>
      </w:r>
      <w:r>
        <w:tab/>
        <w:t xml:space="preserve">ekspozycje zaklasyfikowane do kategorii ekspozycji „pozycje stanowiące pozycje sekurytyzacyjne”, o których mowa w art. 112 lit. m) rozporządzenia (UE) </w:t>
      </w:r>
      <w:r w:rsidRPr="0043455E">
        <w:t>nr</w:t>
      </w:r>
      <w:r w:rsidR="0043455E" w:rsidRPr="0043455E">
        <w:t> </w:t>
      </w:r>
      <w:r w:rsidRPr="0043455E">
        <w:t>5</w:t>
      </w:r>
      <w:r>
        <w:t>75/2013, które zgłasza się we wzorach CR SEC;</w:t>
      </w:r>
    </w:p>
    <w:p w14:paraId="7A237CC4" w14:textId="77777777" w:rsidR="00464F34" w:rsidRPr="002A677E" w:rsidRDefault="00125707" w:rsidP="00487A02">
      <w:pPr>
        <w:pStyle w:val="InstructionsText2"/>
        <w:numPr>
          <w:ilvl w:val="0"/>
          <w:numId w:val="0"/>
        </w:numPr>
        <w:ind w:left="1353" w:hanging="360"/>
      </w:pPr>
      <w:r>
        <w:t>b)</w:t>
      </w:r>
      <w:r>
        <w:tab/>
        <w:t>ekspozycje odejmowane od funduszy własnych.</w:t>
      </w:r>
    </w:p>
    <w:p w14:paraId="3E766928" w14:textId="77777777" w:rsidR="00464F34" w:rsidRPr="002A677E" w:rsidRDefault="0043455E" w:rsidP="00487A02">
      <w:pPr>
        <w:pStyle w:val="InstructionsText2"/>
        <w:numPr>
          <w:ilvl w:val="0"/>
          <w:numId w:val="0"/>
        </w:numPr>
        <w:ind w:left="1353" w:hanging="360"/>
      </w:pPr>
      <w:fldSimple w:instr=" seq paragraphs ">
        <w:r w:rsidR="008F3052">
          <w:t>49</w:t>
        </w:r>
      </w:fldSimple>
      <w:r w:rsidR="008F3052">
        <w:t>.</w:t>
      </w:r>
      <w:r w:rsidR="008F3052">
        <w:tab/>
        <w:t>Zakres wzoru CR SA obejmuje następujące wymogi w zakresie funduszy własnych:</w:t>
      </w:r>
    </w:p>
    <w:p w14:paraId="5FAD0A68" w14:textId="4DD77665" w:rsidR="00464F34" w:rsidRPr="002A677E" w:rsidRDefault="00125707" w:rsidP="00487A02">
      <w:pPr>
        <w:pStyle w:val="InstructionsText2"/>
        <w:numPr>
          <w:ilvl w:val="0"/>
          <w:numId w:val="0"/>
        </w:numPr>
        <w:ind w:left="1353" w:hanging="360"/>
      </w:pPr>
      <w:r>
        <w:t>a)</w:t>
      </w:r>
      <w:r>
        <w:tab/>
        <w:t xml:space="preserve">ryzyko kredytowe zgodnie z częścią trzecią tytuł II rozdział 2 (Metoda standardowa) rozporządzenia (UE) </w:t>
      </w:r>
      <w:r w:rsidRPr="0043455E">
        <w:t>nr</w:t>
      </w:r>
      <w:r w:rsidR="0043455E" w:rsidRPr="0043455E">
        <w:t> </w:t>
      </w:r>
      <w:r w:rsidRPr="0043455E">
        <w:t>5</w:t>
      </w:r>
      <w:r>
        <w:t>75/2013 w portfelu bankowym, w tym ryzyko kredytowe kontrahenta zgodnie z częścią trzecią tytuł II rozdziałami 4 i 6 (Ryzyko kredytowe kontrahenta) tego rozporządzenia w portfelu bankowym;</w:t>
      </w:r>
    </w:p>
    <w:p w14:paraId="0C7520AF" w14:textId="58B7F11D" w:rsidR="00464F34" w:rsidRPr="002A677E" w:rsidRDefault="00125707" w:rsidP="00487A02">
      <w:pPr>
        <w:pStyle w:val="InstructionsText2"/>
        <w:numPr>
          <w:ilvl w:val="0"/>
          <w:numId w:val="0"/>
        </w:numPr>
        <w:ind w:left="1353" w:hanging="360"/>
      </w:pPr>
      <w:r>
        <w:t>b)</w:t>
      </w:r>
      <w:r>
        <w:tab/>
        <w:t xml:space="preserve">ryzyko kredytowe kontrahenta zgodnie z częścią trzecią tytuł II rozdział 4 i 6 rozporządzenia (UE) </w:t>
      </w:r>
      <w:r w:rsidRPr="0043455E">
        <w:t>nr</w:t>
      </w:r>
      <w:r w:rsidR="0043455E" w:rsidRPr="0043455E">
        <w:t> </w:t>
      </w:r>
      <w:r w:rsidRPr="0043455E">
        <w:t>5</w:t>
      </w:r>
      <w:r>
        <w:t>75/2013 w portfelu handlowym;</w:t>
      </w:r>
    </w:p>
    <w:p w14:paraId="04739871" w14:textId="46022ACD" w:rsidR="00464F34" w:rsidRPr="002A677E" w:rsidRDefault="00125707" w:rsidP="00487A02">
      <w:pPr>
        <w:pStyle w:val="InstructionsText2"/>
        <w:numPr>
          <w:ilvl w:val="0"/>
          <w:numId w:val="0"/>
        </w:numPr>
        <w:ind w:left="1353" w:hanging="360"/>
      </w:pPr>
      <w:r>
        <w:lastRenderedPageBreak/>
        <w:t>c)</w:t>
      </w:r>
      <w:r>
        <w:tab/>
        <w:t xml:space="preserve">ryzyko rozliczenia wynikające z dostaw z późniejszym terminem rozliczenia zgodnie z art. 379 rozporządzenia (UE) </w:t>
      </w:r>
      <w:r w:rsidRPr="0043455E">
        <w:t>nr</w:t>
      </w:r>
      <w:r w:rsidR="0043455E" w:rsidRPr="0043455E">
        <w:t> </w:t>
      </w:r>
      <w:r w:rsidRPr="0043455E">
        <w:t>5</w:t>
      </w:r>
      <w:r>
        <w:t>75/2013 w odniesieniu do wszystkich rodzajów działalności gospodarczej.</w:t>
      </w:r>
    </w:p>
    <w:p w14:paraId="61ABE9BC" w14:textId="2C1B37AD" w:rsidR="00464F34" w:rsidRPr="002A677E" w:rsidRDefault="0043455E" w:rsidP="00487A02">
      <w:pPr>
        <w:pStyle w:val="InstructionsText2"/>
        <w:numPr>
          <w:ilvl w:val="0"/>
          <w:numId w:val="0"/>
        </w:numPr>
        <w:ind w:left="1353" w:hanging="360"/>
      </w:pPr>
      <w:fldSimple w:instr=" seq paragraphs ">
        <w:r w:rsidR="008F3052">
          <w:t>50</w:t>
        </w:r>
      </w:fldSimple>
      <w:r w:rsidR="008F3052">
        <w:t>.</w:t>
      </w:r>
      <w:r w:rsidR="008F3052">
        <w:tab/>
        <w:t xml:space="preserve">Wzór obejmuje wszystkie ekspozycje, dla których wymogi w zakresie funduszy własnych oblicza się zgodnie z częścią trzecią tytuł II rozdział 2 rozporządzenia (UE) </w:t>
      </w:r>
      <w:r w:rsidR="008F3052" w:rsidRPr="0043455E">
        <w:t>nr</w:t>
      </w:r>
      <w:r w:rsidRPr="0043455E">
        <w:t> </w:t>
      </w:r>
      <w:r w:rsidR="008F3052" w:rsidRPr="0043455E">
        <w:t>5</w:t>
      </w:r>
      <w:r w:rsidR="008F3052">
        <w:t xml:space="preserve">75/2013 w związku z częścią trzecią tytuł II rozdziały 4 i 6 rozporządzenia (UE) </w:t>
      </w:r>
      <w:r w:rsidR="008F3052" w:rsidRPr="0043455E">
        <w:t>nr</w:t>
      </w:r>
      <w:r w:rsidRPr="0043455E">
        <w:t> </w:t>
      </w:r>
      <w:r w:rsidR="008F3052" w:rsidRPr="0043455E">
        <w:t>5</w:t>
      </w:r>
      <w:r w:rsidR="008F3052">
        <w:t xml:space="preserve">75/2013. Instytucje, które stosują przepisy art. 94 ust. 1 rozporządzenia (UE) </w:t>
      </w:r>
      <w:r w:rsidR="008F3052" w:rsidRPr="0043455E">
        <w:t>nr</w:t>
      </w:r>
      <w:r w:rsidRPr="0043455E">
        <w:t> </w:t>
      </w:r>
      <w:r w:rsidR="008F3052" w:rsidRPr="0043455E">
        <w:t>5</w:t>
      </w:r>
      <w:r w:rsidR="008F3052">
        <w:t>75/2013, również muszą zgłosić w tym wzorze swoje pozycje w portfelu handlowym, o których mowa w art. 92 ust. 3 lit. b) tego rozporządzenia, gdy stosują przepisy części trzeciej tytuł II rozdział 2 tego rozporządzenia do obliczenia wymogów w zakresie funduszy własnych (część trzecia tytuł II rozdziały 2 i 6 oraz część trzecia tytuł V tego rozporządzenia). Dlatego wzór zapewnia nie tylko szczegółowe informacje o rodzaju ekspozycji (np. pozycje bilansowe/pozycje pozabilansowe), ale również informacje na temat przypisania wag ryzyka w ramach danej kategorii ekspozycji.</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Ponadto wzór CR SA zawiera pozycje uzupełniające w wierszach 0290–0320, które mają na celu zbieranie dalszych informacji o ekspozycjach zabezpieczonych hipotekami na nieruchomościach i ekspozycjach, których dotyczy niewykonanie zobowiązania. </w:t>
      </w:r>
    </w:p>
    <w:p w14:paraId="05A7C3AE" w14:textId="77777777" w:rsidR="00464F34" w:rsidRPr="002A677E" w:rsidRDefault="0043455E" w:rsidP="00487A02">
      <w:pPr>
        <w:pStyle w:val="InstructionsText2"/>
        <w:numPr>
          <w:ilvl w:val="0"/>
          <w:numId w:val="0"/>
        </w:numPr>
        <w:ind w:left="1353" w:hanging="360"/>
      </w:pPr>
      <w:fldSimple w:instr=" seq paragraphs ">
        <w:r w:rsidR="008F3052">
          <w:t>52</w:t>
        </w:r>
      </w:fldSimple>
      <w:r w:rsidR="008F3052">
        <w:t>.</w:t>
      </w:r>
      <w:r w:rsidR="008F3052">
        <w:tab/>
        <w:t xml:space="preserve">Te pozycje uzupełniające zgłaszane są wyłącznie w odniesieniu do następujących kategorii ekspozycji: </w:t>
      </w:r>
    </w:p>
    <w:p w14:paraId="100A9167" w14:textId="734CA3C3" w:rsidR="00464F34" w:rsidRPr="002A677E" w:rsidRDefault="00125707" w:rsidP="00487A02">
      <w:pPr>
        <w:pStyle w:val="InstructionsText2"/>
        <w:numPr>
          <w:ilvl w:val="0"/>
          <w:numId w:val="0"/>
        </w:numPr>
        <w:ind w:left="1353" w:hanging="360"/>
      </w:pPr>
      <w:r>
        <w:t>a)</w:t>
      </w:r>
      <w:r>
        <w:tab/>
        <w:t>ekspozycje wobec rządów centralnych lub banków centralnych (</w:t>
      </w:r>
      <w:r w:rsidRPr="0043455E">
        <w:t>art.</w:t>
      </w:r>
      <w:r w:rsidR="0043455E" w:rsidRPr="0043455E">
        <w:t> </w:t>
      </w:r>
      <w:r w:rsidRPr="0043455E">
        <w:t>1</w:t>
      </w:r>
      <w:r>
        <w:t xml:space="preserve">12 </w:t>
      </w:r>
      <w:r w:rsidRPr="0043455E">
        <w:t>lit.</w:t>
      </w:r>
      <w:r w:rsidR="0043455E" w:rsidRPr="0043455E">
        <w:t> </w:t>
      </w:r>
      <w:r w:rsidRPr="0043455E">
        <w:t>a)</w:t>
      </w:r>
      <w:r>
        <w:t xml:space="preserve"> rozporządzenia (UE) </w:t>
      </w:r>
      <w:r w:rsidRPr="0043455E">
        <w:t>nr</w:t>
      </w:r>
      <w:r w:rsidR="0043455E" w:rsidRPr="0043455E">
        <w:t> </w:t>
      </w:r>
      <w:r w:rsidRPr="0043455E">
        <w:t>5</w:t>
      </w:r>
      <w:r>
        <w:t>75/2013;</w:t>
      </w:r>
    </w:p>
    <w:p w14:paraId="0078CFD3" w14:textId="0B2F7753" w:rsidR="00464F34" w:rsidRPr="002A677E" w:rsidRDefault="00125707" w:rsidP="00487A02">
      <w:pPr>
        <w:pStyle w:val="InstructionsText2"/>
        <w:numPr>
          <w:ilvl w:val="0"/>
          <w:numId w:val="0"/>
        </w:numPr>
        <w:ind w:left="1353" w:hanging="360"/>
      </w:pPr>
      <w:r>
        <w:t>b)</w:t>
      </w:r>
      <w:r>
        <w:tab/>
        <w:t xml:space="preserve">ekspozycje wobec samorządów regionalnych lub władz lokalnych (art. 112 </w:t>
      </w:r>
      <w:r w:rsidRPr="0043455E">
        <w:t>lit.</w:t>
      </w:r>
      <w:r w:rsidR="0043455E" w:rsidRPr="0043455E">
        <w:t> </w:t>
      </w:r>
      <w:r w:rsidRPr="0043455E">
        <w:t>b)</w:t>
      </w:r>
      <w:r>
        <w:t xml:space="preserve"> rozporządzenia (UE) </w:t>
      </w:r>
      <w:r w:rsidRPr="0043455E">
        <w:t>nr</w:t>
      </w:r>
      <w:r w:rsidR="0043455E" w:rsidRPr="0043455E">
        <w:t> </w:t>
      </w:r>
      <w:r w:rsidRPr="0043455E">
        <w:t>5</w:t>
      </w:r>
      <w:r>
        <w:t>75/2013);</w:t>
      </w:r>
    </w:p>
    <w:p w14:paraId="35C975FE" w14:textId="51D32B98" w:rsidR="00464F34" w:rsidRPr="002A677E" w:rsidRDefault="00125707" w:rsidP="00487A02">
      <w:pPr>
        <w:pStyle w:val="InstructionsText2"/>
        <w:numPr>
          <w:ilvl w:val="0"/>
          <w:numId w:val="0"/>
        </w:numPr>
        <w:ind w:left="1353" w:hanging="360"/>
      </w:pPr>
      <w:r>
        <w:t>c)</w:t>
      </w:r>
      <w:r>
        <w:tab/>
        <w:t>ekspozycje wobec podmiotów sektora publicznego (</w:t>
      </w:r>
      <w:r w:rsidRPr="0043455E">
        <w:t>art.</w:t>
      </w:r>
      <w:r w:rsidR="0043455E" w:rsidRPr="0043455E">
        <w:t> </w:t>
      </w:r>
      <w:r w:rsidRPr="0043455E">
        <w:t>1</w:t>
      </w:r>
      <w:r>
        <w:t xml:space="preserve">12 </w:t>
      </w:r>
      <w:r w:rsidRPr="0043455E">
        <w:t>lit.</w:t>
      </w:r>
      <w:r w:rsidR="0043455E" w:rsidRPr="0043455E">
        <w:t> </w:t>
      </w:r>
      <w:r w:rsidRPr="0043455E">
        <w:t>c)</w:t>
      </w:r>
      <w:r>
        <w:t xml:space="preserve"> rozporządzenia (UE) </w:t>
      </w:r>
      <w:r w:rsidRPr="0043455E">
        <w:t>nr</w:t>
      </w:r>
      <w:r w:rsidR="0043455E" w:rsidRPr="0043455E">
        <w:t> </w:t>
      </w:r>
      <w:r w:rsidRPr="0043455E">
        <w:t>5</w:t>
      </w:r>
      <w:r>
        <w:t>75/2013);</w:t>
      </w:r>
    </w:p>
    <w:p w14:paraId="0CC06ECA" w14:textId="2AD30438" w:rsidR="00464F34" w:rsidRPr="002A677E" w:rsidRDefault="00125707" w:rsidP="00487A02">
      <w:pPr>
        <w:pStyle w:val="InstructionsText2"/>
        <w:numPr>
          <w:ilvl w:val="0"/>
          <w:numId w:val="0"/>
        </w:numPr>
        <w:ind w:left="1353" w:hanging="360"/>
      </w:pPr>
      <w:r>
        <w:t>d)</w:t>
      </w:r>
      <w:r>
        <w:tab/>
        <w:t>ekspozycje wobec instytucji (</w:t>
      </w:r>
      <w:r w:rsidRPr="0043455E">
        <w:t>art.</w:t>
      </w:r>
      <w:r w:rsidR="0043455E" w:rsidRPr="0043455E">
        <w:t> </w:t>
      </w:r>
      <w:r w:rsidRPr="0043455E">
        <w:t>1</w:t>
      </w:r>
      <w:r>
        <w:t xml:space="preserve">12 </w:t>
      </w:r>
      <w:r w:rsidRPr="0043455E">
        <w:t>lit.</w:t>
      </w:r>
      <w:r w:rsidR="0043455E" w:rsidRPr="0043455E">
        <w:t> </w:t>
      </w:r>
      <w:r w:rsidRPr="0043455E">
        <w:t>f)</w:t>
      </w:r>
      <w:r>
        <w:t xml:space="preserve"> rozporządzenia (UE) </w:t>
      </w:r>
      <w:r w:rsidRPr="0043455E">
        <w:t>nr</w:t>
      </w:r>
      <w:r w:rsidR="0043455E" w:rsidRPr="0043455E">
        <w:t> </w:t>
      </w:r>
      <w:r w:rsidRPr="0043455E">
        <w:t>5</w:t>
      </w:r>
      <w:r>
        <w:t>75/2013);</w:t>
      </w:r>
    </w:p>
    <w:p w14:paraId="4D66EE55" w14:textId="3959BDF8" w:rsidR="00464F34" w:rsidRPr="002A677E" w:rsidRDefault="00125707" w:rsidP="00487A02">
      <w:pPr>
        <w:pStyle w:val="InstructionsText2"/>
        <w:numPr>
          <w:ilvl w:val="0"/>
          <w:numId w:val="0"/>
        </w:numPr>
        <w:ind w:left="1353" w:hanging="360"/>
      </w:pPr>
      <w:r>
        <w:t>e)</w:t>
      </w:r>
      <w:r>
        <w:tab/>
        <w:t xml:space="preserve">ekspozycje wobec przedsiębiorstw (art. 112 </w:t>
      </w:r>
      <w:r w:rsidRPr="0043455E">
        <w:t>lit.</w:t>
      </w:r>
      <w:r w:rsidR="0043455E" w:rsidRPr="0043455E">
        <w:t> </w:t>
      </w:r>
      <w:r w:rsidRPr="0043455E">
        <w:t>g)</w:t>
      </w:r>
      <w:r>
        <w:t xml:space="preserve"> rozporządzenia (UE) </w:t>
      </w:r>
      <w:r w:rsidRPr="0043455E">
        <w:t>nr</w:t>
      </w:r>
      <w:r w:rsidR="0043455E" w:rsidRPr="0043455E">
        <w:t> </w:t>
      </w:r>
      <w:r w:rsidRPr="0043455E">
        <w:t>5</w:t>
      </w:r>
      <w:r>
        <w:t>75/2013);</w:t>
      </w:r>
    </w:p>
    <w:p w14:paraId="00D22081" w14:textId="190FBFF0" w:rsidR="00464F34" w:rsidRPr="002A677E" w:rsidRDefault="00125707" w:rsidP="00487A02">
      <w:pPr>
        <w:pStyle w:val="InstructionsText2"/>
        <w:numPr>
          <w:ilvl w:val="0"/>
          <w:numId w:val="0"/>
        </w:numPr>
        <w:ind w:left="1353" w:hanging="360"/>
      </w:pPr>
      <w:r>
        <w:t>f)</w:t>
      </w:r>
      <w:r>
        <w:tab/>
        <w:t xml:space="preserve">ekspozycje detaliczne (art. 112 </w:t>
      </w:r>
      <w:r w:rsidRPr="0043455E">
        <w:t>lit.</w:t>
      </w:r>
      <w:r w:rsidR="0043455E" w:rsidRPr="0043455E">
        <w:t> </w:t>
      </w:r>
      <w:r w:rsidRPr="0043455E">
        <w:t>h)</w:t>
      </w:r>
      <w:r>
        <w:t xml:space="preserve"> rozporządzenia (UE) </w:t>
      </w:r>
      <w:r w:rsidRPr="0043455E">
        <w:t>nr</w:t>
      </w:r>
      <w:r w:rsidR="0043455E" w:rsidRPr="0043455E">
        <w:t> </w:t>
      </w:r>
      <w:r w:rsidRPr="0043455E">
        <w:t>5</w:t>
      </w:r>
      <w:r>
        <w:t>75/2013).</w:t>
      </w:r>
    </w:p>
    <w:p w14:paraId="18359E60" w14:textId="06B47ECD" w:rsidR="00464F34" w:rsidRPr="002A677E" w:rsidRDefault="0043455E" w:rsidP="00487A02">
      <w:pPr>
        <w:pStyle w:val="InstructionsText2"/>
        <w:numPr>
          <w:ilvl w:val="0"/>
          <w:numId w:val="0"/>
        </w:numPr>
        <w:ind w:left="1353" w:hanging="360"/>
      </w:pPr>
      <w:fldSimple w:instr=" seq paragraphs ">
        <w:r w:rsidR="008F3052">
          <w:t>53</w:t>
        </w:r>
      </w:fldSimple>
      <w:r w:rsidR="008F3052">
        <w:t>.</w:t>
      </w:r>
      <w:r w:rsidR="008F3052">
        <w:tab/>
        <w:t xml:space="preserve">Zgłaszanie pozycji uzupełniających nie wpływa ani na obliczanie kwot ekspozycji ważonych ryzykiem należących do kategorii ekspozycji, o których mowa w art. 112 lit. a)–c) i f)–h) rozporządzenia (UE) </w:t>
      </w:r>
      <w:r w:rsidR="008F3052" w:rsidRPr="0043455E">
        <w:t>nr</w:t>
      </w:r>
      <w:r w:rsidRPr="0043455E">
        <w:t> </w:t>
      </w:r>
      <w:r w:rsidR="008F3052" w:rsidRPr="0043455E">
        <w:t>5</w:t>
      </w:r>
      <w:r w:rsidR="008F3052">
        <w:t xml:space="preserve">75/2013, ani na kategorie ekspozycji, o których mowa w art. 112 lit. i) oraz j) tego rozporządzenia, zgłaszane we wzorze CR SA. </w:t>
      </w:r>
    </w:p>
    <w:p w14:paraId="5C09947A" w14:textId="77777777" w:rsidR="00464F34" w:rsidRPr="002A677E" w:rsidRDefault="0043455E" w:rsidP="00487A02">
      <w:pPr>
        <w:pStyle w:val="InstructionsText2"/>
        <w:numPr>
          <w:ilvl w:val="0"/>
          <w:numId w:val="0"/>
        </w:numPr>
        <w:ind w:left="1353" w:hanging="360"/>
      </w:pPr>
      <w:fldSimple w:instr=" seq paragraphs ">
        <w:r w:rsidR="008F3052">
          <w:t>54</w:t>
        </w:r>
      </w:fldSimple>
      <w:r w:rsidR="008F3052">
        <w:t>.</w:t>
      </w:r>
      <w:r w:rsidR="008F3052">
        <w:tab/>
        <w:t xml:space="preserve">Wiersze uzupełniające zawierają dodatkowe informacje o strukturze dłużnika w kategoriach ekspozycji „ekspozycje, których dotyczy niewykonanie zobowiązania” lub „ekspozycje zabezpieczone hipotekami na nieruchomościach”. W wierszach tych zgłasza się ekspozycje, w przypadku gdy dłużnicy zostaliby zgłoszeni w kategoriach ekspozycji „ekspozycje wobec rządów centralnych lub banków </w:t>
      </w:r>
      <w:r w:rsidR="008F3052">
        <w:lastRenderedPageBreak/>
        <w:t>centralnych”, „ekspozycje wobec samorządów regionalnych lub władz lokalnych”, „ekspozycje wobec podmiotów sektora publicznego”, „ekspozycje wobec instytucji”, „ekspozycje wobec przedsiębiorstw” i „ekspozycje detaliczne” we wzorze CR SA, gdyby ekspozycje te nie zostały zaklasyfikowane do kategorii ekspozycji „ekspozycje, których dotyczy niewykonanie zobowiązania”, lub „ekspozycje zabezpieczone hipotekami na nieruchomościach”. Zgłaszane dane liczbowe są jednak takie same, jak dane wykorzystywane do obliczania kwot ekspozycji ważonych ryzykiem w kategoriach ekspozycji „ekspozycje, których dotyczy niewykonanie zobowiązania” lub „ekspozycje zabezpieczone hipotekami na nieruchomościach”.</w:t>
      </w:r>
    </w:p>
    <w:p w14:paraId="7691FC39" w14:textId="71067AEC" w:rsidR="00464F34" w:rsidRPr="002A677E" w:rsidRDefault="0043455E" w:rsidP="00487A02">
      <w:pPr>
        <w:pStyle w:val="InstructionsText2"/>
        <w:numPr>
          <w:ilvl w:val="0"/>
          <w:numId w:val="0"/>
        </w:numPr>
        <w:ind w:left="1353" w:hanging="360"/>
      </w:pPr>
      <w:fldSimple w:instr=" seq paragraphs ">
        <w:r w:rsidR="008F3052">
          <w:t>55</w:t>
        </w:r>
      </w:fldSimple>
      <w:r w:rsidR="008F3052">
        <w:t>.</w:t>
      </w:r>
      <w:r w:rsidR="008F3052">
        <w:tab/>
        <w:t xml:space="preserve">Na przykład w przypadku ekspozycji, której kwoty ekspozycji na ryzyko są obliczane zgodnie z art. 127 rozporządzenia (UE) </w:t>
      </w:r>
      <w:r w:rsidR="008F3052" w:rsidRPr="0043455E">
        <w:t>nr</w:t>
      </w:r>
      <w:r w:rsidRPr="0043455E">
        <w:t> </w:t>
      </w:r>
      <w:r w:rsidR="008F3052" w:rsidRPr="0043455E">
        <w:t>5</w:t>
      </w:r>
      <w:r w:rsidR="008F3052">
        <w:t>75/2013, a korekty wartości wynoszą mniej niż 20 %, informacje te podaje się we wzorze CR SA w wierszu 0320 jako ekspozycję całkowitą oraz w odniesieniu do kategorii ekspozycji „ekspozycje, których dotyczy niewykonanie zobowiązania”. Jeśli ta ekspozycja, zanim stała się ekspozycją, której dotyczy niewykonanie zobowiązania, była ekspozycją wobec instytucji, wówczas informacja ta podawana jest również w wierszu 0320 w kategorii „ekspozycje wobec instytucji”.</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9064798"/>
      <w:r>
        <w:rPr>
          <w:rFonts w:ascii="Times New Roman" w:hAnsi="Times New Roman"/>
          <w:sz w:val="24"/>
          <w:u w:val="none"/>
        </w:rPr>
        <w:t>3.2.3.</w:t>
      </w:r>
      <w: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Klasyfikowanie ekspozycji do kategorii ekspozycji według metody standardowej</w:t>
      </w:r>
      <w:bookmarkEnd w:id="182"/>
      <w:bookmarkEnd w:id="183"/>
      <w:bookmarkEnd w:id="184"/>
      <w:bookmarkEnd w:id="185"/>
      <w:bookmarkEnd w:id="187"/>
      <w:bookmarkEnd w:id="188"/>
      <w:bookmarkEnd w:id="189"/>
      <w:bookmarkEnd w:id="186"/>
    </w:p>
    <w:p w14:paraId="06E4E915" w14:textId="35428150" w:rsidR="00464F34" w:rsidRPr="002A677E" w:rsidRDefault="0043455E" w:rsidP="00487A02">
      <w:pPr>
        <w:pStyle w:val="InstructionsText2"/>
        <w:numPr>
          <w:ilvl w:val="0"/>
          <w:numId w:val="0"/>
        </w:numPr>
        <w:ind w:left="1353" w:hanging="360"/>
      </w:pPr>
      <w:fldSimple w:instr=" seq paragraphs ">
        <w:r w:rsidR="008F3052">
          <w:t>56</w:t>
        </w:r>
      </w:fldSimple>
      <w:r w:rsidR="008F3052">
        <w:t>.</w:t>
      </w:r>
      <w:r w:rsidR="008F3052">
        <w:tab/>
        <w:t xml:space="preserve">W celu zapewnienia spójnego klasyfikowania ekspozycji do poszczególnych kategorii ekspozycji określonych w art. 112 rozporządzenia (UE) </w:t>
      </w:r>
      <w:r w:rsidR="008F3052" w:rsidRPr="0043455E">
        <w:t>nr</w:t>
      </w:r>
      <w:r w:rsidRPr="0043455E">
        <w:t> </w:t>
      </w:r>
      <w:r w:rsidR="008F3052" w:rsidRPr="0043455E">
        <w:t>5</w:t>
      </w:r>
      <w:r w:rsidR="008F3052">
        <w:t xml:space="preserve">75/2013 stosuje się następującą metodę sekwencyjną: </w:t>
      </w:r>
    </w:p>
    <w:p w14:paraId="16CE90EA" w14:textId="4B0626C1" w:rsidR="00464F34" w:rsidRPr="002A677E" w:rsidRDefault="00125707" w:rsidP="00487A02">
      <w:pPr>
        <w:pStyle w:val="InstructionsText2"/>
        <w:numPr>
          <w:ilvl w:val="0"/>
          <w:numId w:val="0"/>
        </w:numPr>
        <w:ind w:left="1353" w:hanging="360"/>
      </w:pPr>
      <w:r>
        <w:t>a)</w:t>
      </w:r>
      <w:r>
        <w:tab/>
        <w:t xml:space="preserve">na pierwszym etapie pierwotną ekspozycję przed uwzględnieniem współczynników konwersji klasyfikuje się do odpowiedniej kategorii ekspozycji (pierwotnej) wymienionej w art. 112 rozporządzenia (UE) </w:t>
      </w:r>
      <w:r w:rsidRPr="0043455E">
        <w:t>nr</w:t>
      </w:r>
      <w:r w:rsidR="0043455E" w:rsidRPr="0043455E">
        <w:t> </w:t>
      </w:r>
      <w:r w:rsidRPr="0043455E">
        <w:t>5</w:t>
      </w:r>
      <w:r>
        <w:t>75/2013, bez uszczerbku dla szczególnych metod traktowania (waga ryzyka), które stosuje się wobec każdej określonej ekspozycji w ramach przypisanej jej kategorii ekspozycji;</w:t>
      </w:r>
    </w:p>
    <w:p w14:paraId="0D9A2306" w14:textId="77777777" w:rsidR="00464F34" w:rsidRPr="002A677E" w:rsidRDefault="00125707" w:rsidP="00487A02">
      <w:pPr>
        <w:pStyle w:val="InstructionsText2"/>
        <w:numPr>
          <w:ilvl w:val="0"/>
          <w:numId w:val="0"/>
        </w:numPr>
        <w:ind w:left="1353" w:hanging="360"/>
      </w:pPr>
      <w:r>
        <w:t>b)</w:t>
      </w:r>
      <w:r>
        <w:tab/>
        <w:t>na drugim etapie ekspozycje mogą być przeniesione do innych kategorii ekspozycji wskutek stosowania technik ograniczania ryzyka kredytowego z uwzględnieniem efektów substytucyjnych w odniesieniu do ekspozycji (np. gwarancji, kredytowych instrumentów pochodnych, uproszczonej metody ujmowania zabezpieczeń finansowych) poprzez wpływy i wypływy.</w:t>
      </w:r>
    </w:p>
    <w:p w14:paraId="6D3E51A1" w14:textId="77777777" w:rsidR="00464F34" w:rsidRPr="002A677E" w:rsidRDefault="0043455E" w:rsidP="00487A02">
      <w:pPr>
        <w:pStyle w:val="InstructionsText2"/>
        <w:numPr>
          <w:ilvl w:val="0"/>
          <w:numId w:val="0"/>
        </w:numPr>
        <w:ind w:left="1353" w:hanging="360"/>
      </w:pPr>
      <w:fldSimple w:instr=" seq paragraphs ">
        <w:r w:rsidR="008F3052">
          <w:t>57</w:t>
        </w:r>
      </w:fldSimple>
      <w:r w:rsidR="008F3052">
        <w:t>.</w:t>
      </w:r>
      <w:r w:rsidR="008F3052">
        <w:tab/>
        <w:t>Następujące kryteria mają zastosowanie do klasyfikacji pierwotnej ekspozycji przed uwzględnieniem współczynników konwersji do poszczególnych kategorii ekspozycji (pierwszy etap), bez uszczerbku dla późniejszej zmiany kategorii spowodowanej zastosowaniem technik ograniczania ryzyka kredytowego z uwzględnieniem efektów substytucyjnych w odniesieniu do ekspozycji lub metod traktowania (waga ryzyka), które stosuje się wobec każdej określonej ekspozycji w ramach przypisanej jej kategorii ekspozycji.</w:t>
      </w:r>
    </w:p>
    <w:p w14:paraId="0ACE6D07" w14:textId="7AE20DC3" w:rsidR="00464F34" w:rsidRPr="002A677E" w:rsidRDefault="0043455E" w:rsidP="00487A02">
      <w:pPr>
        <w:pStyle w:val="InstructionsText2"/>
        <w:numPr>
          <w:ilvl w:val="0"/>
          <w:numId w:val="0"/>
        </w:numPr>
        <w:ind w:left="1353" w:hanging="360"/>
      </w:pPr>
      <w:fldSimple w:instr=" seq paragraphs ">
        <w:r w:rsidR="008F3052">
          <w:t>58</w:t>
        </w:r>
      </w:fldSimple>
      <w:r w:rsidR="008F3052">
        <w:t>.</w:t>
      </w:r>
      <w:r w:rsidR="008F3052">
        <w:tab/>
        <w:t>Dla celów klasyfikacji pierwotnej ekspozycji przed uwzględnieniem współczynników konwersji na pierwszym etapie techniki ograniczania ryzyka kredytowego związane z ekspozycją nie są brane pod uwagę (należy pamiętać, że są one wyraźnie uwzględniane na drugim etapie), o ile efekt ochrony jest nieodłączną czę</w:t>
      </w:r>
      <w:r w:rsidR="008F3052">
        <w:lastRenderedPageBreak/>
        <w:t xml:space="preserve">ścią definicji kategorii ekspozycji, jak ma to miejsce w przypadku kategorii ekspozycji, o której mowa w art. 112 lit. i) rozporządzenia (UE) </w:t>
      </w:r>
      <w:r w:rsidR="008F3052" w:rsidRPr="0043455E">
        <w:t>nr</w:t>
      </w:r>
      <w:r w:rsidRPr="0043455E">
        <w:t> </w:t>
      </w:r>
      <w:r w:rsidR="008F3052" w:rsidRPr="0043455E">
        <w:t>5</w:t>
      </w:r>
      <w:r w:rsidR="008F3052">
        <w:t>75/2013 (ekspozycje zabezpieczone hipotekami na nieruchomościach).</w:t>
      </w:r>
    </w:p>
    <w:p w14:paraId="2C39496F" w14:textId="4854C5CB" w:rsidR="00464F34" w:rsidRPr="002A677E" w:rsidRDefault="0043455E" w:rsidP="00487A02">
      <w:pPr>
        <w:pStyle w:val="InstructionsText2"/>
        <w:numPr>
          <w:ilvl w:val="0"/>
          <w:numId w:val="0"/>
        </w:numPr>
        <w:ind w:left="1353" w:hanging="360"/>
      </w:pPr>
      <w:fldSimple w:instr=" seq paragraphs ">
        <w:r w:rsidR="008F3052">
          <w:t>59</w:t>
        </w:r>
      </w:fldSimple>
      <w:r w:rsidR="008F3052">
        <w:t>.</w:t>
      </w:r>
      <w:r w:rsidR="008F3052">
        <w:tab/>
        <w:t xml:space="preserve">Art. 112 rozporządzenia (UE) </w:t>
      </w:r>
      <w:r w:rsidR="008F3052" w:rsidRPr="0043455E">
        <w:t>nr</w:t>
      </w:r>
      <w:r w:rsidRPr="0043455E">
        <w:t> </w:t>
      </w:r>
      <w:r w:rsidR="008F3052" w:rsidRPr="0043455E">
        <w:t>5</w:t>
      </w:r>
      <w:r w:rsidR="008F3052">
        <w:t xml:space="preserve">75/2013 nie zawiera kryteriów wyłączania ekspozycji z poszczególnych kategorii. Może to oznaczać, że jedna ekspozycja mogłaby zostać sklasyfikowana do różnych kategorii ekspozycji, jeżeli kryteria oceny na potrzeby klasyfikacji nie dotyczą hierarchii kategorii. Najbardziej oczywistym przypadkiem są ekspozycje wobec instytucji i przedsiębiorstw posiadających krótkoterminową ocenę kredytową (art. 112 lit. n) rozporządzenia (UE) </w:t>
      </w:r>
      <w:r w:rsidR="008F3052" w:rsidRPr="0043455E">
        <w:t>nr</w:t>
      </w:r>
      <w:r w:rsidRPr="0043455E">
        <w:t> </w:t>
      </w:r>
      <w:r w:rsidR="008F3052" w:rsidRPr="0043455E">
        <w:t>5</w:t>
      </w:r>
      <w:r w:rsidR="008F3052">
        <w:t xml:space="preserve">75/2013) oraz ekspozycje wobec instytucji (art. 112 lit. f) rozporządzenia (UE) </w:t>
      </w:r>
      <w:r w:rsidR="008F3052" w:rsidRPr="0043455E">
        <w:t>nr</w:t>
      </w:r>
      <w:r w:rsidRPr="0043455E">
        <w:t> </w:t>
      </w:r>
      <w:r w:rsidR="008F3052" w:rsidRPr="0043455E">
        <w:t>5</w:t>
      </w:r>
      <w:r w:rsidR="008F3052">
        <w:t xml:space="preserve">75/2013)/ekspozycje wobec przedsiębiorstw (art. 112 lit. g) rozporządzenia (UE) </w:t>
      </w:r>
      <w:r w:rsidR="008F3052" w:rsidRPr="0043455E">
        <w:t>nr</w:t>
      </w:r>
      <w:r w:rsidRPr="0043455E">
        <w:t> </w:t>
      </w:r>
      <w:r w:rsidR="008F3052" w:rsidRPr="0043455E">
        <w:t>5</w:t>
      </w:r>
      <w:r w:rsidR="008F3052">
        <w:t xml:space="preserve">75/2013). W tym przypadku jest oczywiste, że w tym rozporządzeniu istnieje domniemana hierarchia kategorii ekspozycji, ponieważ najpierw ocenia się, czy daną ekspozycję można zaklasyfikować do kategorii „ekspozycje wobec instytucji i przedsiębiorstw posiadających krótkoterminową ocenę kredytową”, a dopiero potem ocenia się, czy dana ekspozycja może być przypisana do ekspozycji wobec instytucji lub ekspozycji wobec przedsiębiorstw. Jest oczywiste, że w przeciwnym wypadku do kategorii ekspozycji, o której mowa w art. 112 lit. n) rozporządzenia (UE) </w:t>
      </w:r>
      <w:r w:rsidR="008F3052" w:rsidRPr="0043455E">
        <w:t>nr</w:t>
      </w:r>
      <w:r w:rsidRPr="0043455E">
        <w:t> </w:t>
      </w:r>
      <w:r w:rsidR="008F3052" w:rsidRPr="0043455E">
        <w:t>5</w:t>
      </w:r>
      <w:r w:rsidR="008F3052">
        <w:t>75/2013, nigdy nie zostałaby zaklasyfikowana żadna ekspozycja. Podany przykład jest jednym z najbardziej oczywistych przypadków, ale nie jedynym. Warto zauważyć, że kryteria stosowane do ustalenia kategorii ekspozycji według metody standardowej są różne (klasyfikacja instytucjonalna, okres ekspozycji, status przeterminowania itp.), co stanowi podstawowy powód istnienia grup nierozłącznych.</w:t>
      </w:r>
    </w:p>
    <w:p w14:paraId="2CC30164" w14:textId="4C73861F" w:rsidR="00464F34" w:rsidRPr="002A677E" w:rsidRDefault="0043455E" w:rsidP="00487A02">
      <w:pPr>
        <w:pStyle w:val="InstructionsText2"/>
        <w:numPr>
          <w:ilvl w:val="0"/>
          <w:numId w:val="0"/>
        </w:numPr>
        <w:ind w:left="1353" w:hanging="360"/>
      </w:pPr>
      <w:fldSimple w:instr=" seq paragraphs ">
        <w:r w:rsidR="008F3052">
          <w:t>60</w:t>
        </w:r>
      </w:fldSimple>
      <w:r w:rsidR="008F3052">
        <w:t>.</w:t>
      </w:r>
      <w:r w:rsidR="008F3052">
        <w:tab/>
        <w:t xml:space="preserve">Dla celów jednorodnej i porównywalnej sprawozdawczości konieczne jest określenie kryteriów oceny w odniesieniu do ustalania hierarchii na potrzeby klasyfikowania pierwotnej ekspozycji przed uwzględnieniem współczynników konwersji według kategorii ekspozycji, bez uszczerbku dla szczególnych metod traktowania (waga ryzyka), które stosuje się wobec każdej określonej ekspozycji w ramach przypisanej jej kategorii ekspozycji. Kryteria ustalania hierarchii przedstawione poniżej przy użyciu schematu podejmowania decyzji oparte są na ocenie warunków wyraźnie określonych w rozporządzenia (UE) </w:t>
      </w:r>
      <w:r w:rsidR="008F3052" w:rsidRPr="0043455E">
        <w:t>nr</w:t>
      </w:r>
      <w:r w:rsidRPr="0043455E">
        <w:t> </w:t>
      </w:r>
      <w:r w:rsidR="008F3052" w:rsidRPr="0043455E">
        <w:t>5</w:t>
      </w:r>
      <w:r w:rsidR="008F3052">
        <w:t xml:space="preserve">75/2013 w odniesieniu do przynależności ekspozycji do określonej kategorii ekspozycji oraz, w stosownych przypadkach, na podjętych przez instytucje sprawozdające lub organ nadzoru decyzjach dotyczących zastosowania pewnych kategorii ekspozycji. Wynik procesu klasyfikowania ekspozycji do celów sprawozdawczych jest zatem zgodny z przepisami rozporządzenia (UE) </w:t>
      </w:r>
      <w:r w:rsidR="008F3052" w:rsidRPr="0043455E">
        <w:t>nr</w:t>
      </w:r>
      <w:r w:rsidRPr="0043455E">
        <w:t> </w:t>
      </w:r>
      <w:r w:rsidR="008F3052" w:rsidRPr="0043455E">
        <w:t>5</w:t>
      </w:r>
      <w:r w:rsidR="008F3052">
        <w:t xml:space="preserve">75/2013. Nie wyklucza to stosowania przez instytucje innych wewnętrznych procedur klasyfikacji, które również mogą być zgodne ze wszystkimi istotnymi przepisami rozporządzenia (UE) </w:t>
      </w:r>
      <w:r w:rsidR="008F3052" w:rsidRPr="0043455E">
        <w:t>nr</w:t>
      </w:r>
      <w:r w:rsidRPr="0043455E">
        <w:t> </w:t>
      </w:r>
      <w:r w:rsidR="008F3052" w:rsidRPr="0043455E">
        <w:t>5</w:t>
      </w:r>
      <w:r w:rsidR="008F3052">
        <w:t>75/2013 i ich interpretacjami wydanymi przez właściwe fora.</w:t>
      </w:r>
    </w:p>
    <w:p w14:paraId="5019198B" w14:textId="77777777" w:rsidR="00464F34" w:rsidRPr="002A677E" w:rsidRDefault="0043455E" w:rsidP="00487A02">
      <w:pPr>
        <w:pStyle w:val="InstructionsText2"/>
        <w:numPr>
          <w:ilvl w:val="0"/>
          <w:numId w:val="0"/>
        </w:numPr>
        <w:ind w:left="1353" w:hanging="360"/>
      </w:pPr>
      <w:fldSimple w:instr=" seq paragraphs ">
        <w:r w:rsidR="008F3052">
          <w:t>61</w:t>
        </w:r>
      </w:fldSimple>
      <w:r w:rsidR="008F3052">
        <w:t>.</w:t>
      </w:r>
      <w:r w:rsidR="008F3052">
        <w:tab/>
        <w:t xml:space="preserve">Kategoria ekspozycji ma pierwszeństwo przed innymi kategoriami w rankingu oceny przedstawionym na schemacie podejmowania decyzji (tj. ocenia się najpierw, czy ekspozycję można zaklasyfikować do danej kategorii ekspozycji, bez uszczerbku dla wyniku tej oceny), jeżeli w przeciwnym wypadku do kategorii tej potencjalnie nie przypisano by żadnej ekspozycji. Sytuacja taka ma miejsce w przypadku, gdy z powodu braku kryteriów ustalania hierarchii jedna kategoria ekspozycji stanowi podzbiór innych kategorii. Kryteria przedstawione graficznie </w:t>
      </w:r>
      <w:r w:rsidR="008F3052">
        <w:lastRenderedPageBreak/>
        <w:t>na poniższym schemacie decyzyjnym rozpatrywane byłyby zatem w ramach procesu sekwencyjnego.</w:t>
      </w:r>
    </w:p>
    <w:p w14:paraId="6DF5B685" w14:textId="77777777" w:rsidR="00464F34" w:rsidRPr="002A677E" w:rsidRDefault="0043455E" w:rsidP="00487A02">
      <w:pPr>
        <w:pStyle w:val="InstructionsText2"/>
        <w:numPr>
          <w:ilvl w:val="0"/>
          <w:numId w:val="0"/>
        </w:numPr>
        <w:ind w:left="1353" w:hanging="360"/>
      </w:pPr>
      <w:fldSimple w:instr=" seq paragraphs ">
        <w:r w:rsidR="008F3052">
          <w:t>62</w:t>
        </w:r>
      </w:fldSimple>
      <w:r w:rsidR="008F3052">
        <w:t>.</w:t>
      </w:r>
      <w:r w:rsidR="008F3052">
        <w:tab/>
        <w:t>W tym kontekście ranking oceny przedstawiony na poniższym schemacie podejmowania decyzji jest zgodny z następującą kolejnością:</w:t>
      </w:r>
    </w:p>
    <w:p w14:paraId="06680208" w14:textId="77777777" w:rsidR="00464F34" w:rsidRPr="002A677E" w:rsidRDefault="00464F34" w:rsidP="00487A02">
      <w:pPr>
        <w:pStyle w:val="InstructionsText"/>
      </w:pPr>
      <w:r>
        <w:t>1. pozycje sekurytyzacyjne;</w:t>
      </w:r>
    </w:p>
    <w:p w14:paraId="5F22AE2B" w14:textId="77777777" w:rsidR="00464F34" w:rsidRPr="002A677E" w:rsidRDefault="00464F34" w:rsidP="00487A02">
      <w:pPr>
        <w:pStyle w:val="InstructionsText"/>
      </w:pPr>
      <w:r>
        <w:t>2. pozycje związane ze szczególnie wysokim ryzykiem;</w:t>
      </w:r>
    </w:p>
    <w:p w14:paraId="5080897A" w14:textId="77777777" w:rsidR="00464F34" w:rsidRPr="002A677E" w:rsidRDefault="00464F34" w:rsidP="00487A02">
      <w:pPr>
        <w:pStyle w:val="InstructionsText"/>
      </w:pPr>
      <w:r>
        <w:t>3. ekspozycje kapitałowe</w:t>
      </w:r>
    </w:p>
    <w:p w14:paraId="6E26EFB3" w14:textId="77777777" w:rsidR="00464F34" w:rsidRPr="002A677E" w:rsidRDefault="00464F34" w:rsidP="00487A02">
      <w:pPr>
        <w:pStyle w:val="InstructionsText"/>
      </w:pPr>
      <w:r>
        <w:t>4. ekspozycje, których dotyczy niewykonanie zobowiązania;</w:t>
      </w:r>
    </w:p>
    <w:p w14:paraId="66C692D2" w14:textId="77777777" w:rsidR="00464F34" w:rsidRPr="002A677E" w:rsidRDefault="00464F34" w:rsidP="00487A02">
      <w:pPr>
        <w:pStyle w:val="InstructionsText"/>
      </w:pPr>
      <w:r>
        <w:t>5. ekspozycje w postaci jednostek lub udziałów w przedsiębiorstwach zbiorowego inwestowania/ekspozycje w postaci obligacji zabezpieczonych (rozłączne kategorie ekspozycji);</w:t>
      </w:r>
    </w:p>
    <w:p w14:paraId="6AFB7899" w14:textId="77777777" w:rsidR="00464F34" w:rsidRPr="002A677E" w:rsidRDefault="00464F34" w:rsidP="00487A02">
      <w:pPr>
        <w:pStyle w:val="InstructionsText"/>
      </w:pPr>
      <w:r>
        <w:t>6. ekspozycje zabezpieczone hipotekami na nieruchomościach;</w:t>
      </w:r>
    </w:p>
    <w:p w14:paraId="4C4E7E84" w14:textId="77777777" w:rsidR="00464F34" w:rsidRPr="002A677E" w:rsidRDefault="00464F34" w:rsidP="00487A02">
      <w:pPr>
        <w:pStyle w:val="InstructionsText"/>
      </w:pPr>
      <w:r>
        <w:t>7. inne pozycje;</w:t>
      </w:r>
    </w:p>
    <w:p w14:paraId="7A586E62" w14:textId="77777777" w:rsidR="00464F34" w:rsidRPr="002A677E" w:rsidRDefault="00464F34" w:rsidP="00487A02">
      <w:pPr>
        <w:pStyle w:val="InstructionsText"/>
      </w:pPr>
      <w:r>
        <w:t>8. ekspozycje wobec instytucji i przedsiębiorstw posiadających krótkoterminową ocenę kredytową;</w:t>
      </w:r>
    </w:p>
    <w:p w14:paraId="2D8F9D0A" w14:textId="77777777" w:rsidR="00464F34" w:rsidRPr="002A677E" w:rsidRDefault="00464F34" w:rsidP="00487A02">
      <w:pPr>
        <w:pStyle w:val="InstructionsText"/>
      </w:pPr>
      <w:r>
        <w:t>9. wszystkie pozostałe kategorie ekspozycji (rozłączne kategorie ekspozycji), które obejmują ekspozycje wobec rządów centralnych lub banków centralnych; ekspozycje wobec samorządów regionalnych lub władz lokalnych; ekspozycje wobec podmiotów sektora publicznego; ekspozycje wobec wielostronnych banków rozwoju; ekspozycje wobec organizacji międzynarodowych; ekspozycje wobec instytucji; ekspozycje wobec przedsiębiorstw i ekspozycje detaliczne.</w:t>
      </w:r>
    </w:p>
    <w:p w14:paraId="798850C9" w14:textId="54B9E6AD" w:rsidR="00464F34" w:rsidRPr="002A677E" w:rsidRDefault="0043455E" w:rsidP="00487A02">
      <w:pPr>
        <w:pStyle w:val="InstructionsText2"/>
        <w:numPr>
          <w:ilvl w:val="0"/>
          <w:numId w:val="0"/>
        </w:numPr>
        <w:ind w:left="1353" w:hanging="360"/>
      </w:pPr>
      <w:fldSimple w:instr=" seq paragraphs ">
        <w:r w:rsidR="008F3052">
          <w:t>63</w:t>
        </w:r>
      </w:fldSimple>
      <w:r w:rsidR="008F3052">
        <w:t>.</w:t>
      </w:r>
      <w:r w:rsidR="008F3052">
        <w:tab/>
        <w:t xml:space="preserve">W przypadku ekspozycji w postaci jednostek lub udziałów w przedsiębiorstwach zbiorowego inwestowania oraz gdy stosowana jest metoda pełnego przeglądu lub metoda oparta na uprawnieniach (art. 132a ust. 1 i 2 rozporządzenia (UE) </w:t>
      </w:r>
      <w:r w:rsidR="008F3052" w:rsidRPr="0043455E">
        <w:t>nr</w:t>
      </w:r>
      <w:r w:rsidRPr="0043455E">
        <w:t> </w:t>
      </w:r>
      <w:r w:rsidR="008F3052" w:rsidRPr="0043455E">
        <w:t>5</w:t>
      </w:r>
      <w:r w:rsidR="008F3052">
        <w:t>75/2013), poszczególne ekspozycje bazowe (w przypadku metody pełnego przeglądu) i indywidualną grupę ekspozycji (w przypadku metody opartej na uprawnieniach) rozpatruje się i klasyfikuje do odpowiedniej wagi ryzyka zgodnie z ich traktowaniem. Wszystkie poszczególne ekspozycje klasyfikuje się jednak w kategorii ekspozycji „Ekspozycje w postaci jednostek uczestnictwa lub udziałów w przedsiębiorstwach zbiorowego inwestowania”.</w:t>
      </w:r>
    </w:p>
    <w:p w14:paraId="7D902C25" w14:textId="5AE5C21D" w:rsidR="00464F34" w:rsidRPr="002A677E" w:rsidRDefault="0043455E" w:rsidP="00487A02">
      <w:pPr>
        <w:pStyle w:val="InstructionsText2"/>
        <w:numPr>
          <w:ilvl w:val="0"/>
          <w:numId w:val="0"/>
        </w:numPr>
        <w:ind w:left="1353" w:hanging="360"/>
      </w:pPr>
      <w:fldSimple w:instr=" seq paragraphs ">
        <w:r w:rsidR="008F3052">
          <w:t>64</w:t>
        </w:r>
      </w:fldSimple>
      <w:r w:rsidR="008F3052">
        <w:t>.</w:t>
      </w:r>
      <w:r w:rsidR="008F3052">
        <w:tab/>
        <w:t xml:space="preserve"> Kredytowe instrumenty pochodne uruchamiane n-tym niewykonaniem zobowiązania, jak określono w art. 134 ust. 6 rozporządzenia (UE) </w:t>
      </w:r>
      <w:r w:rsidR="008F3052" w:rsidRPr="0043455E">
        <w:t>nr</w:t>
      </w:r>
      <w:r w:rsidRPr="0043455E">
        <w:t> </w:t>
      </w:r>
      <w:r w:rsidR="008F3052" w:rsidRPr="0043455E">
        <w:t>5</w:t>
      </w:r>
      <w:r w:rsidR="008F3052">
        <w:t xml:space="preserve">75/2013, które są oceniane, klasyfikuje się bezpośrednio jako pozycje sekurytyzacyjne. Jeśli nie są one oceniane, uwzględnia się je w kategorii ekspozycji „inne pozycje”. W tym ostatnim przypadku kwota nominalna umowy jest zgłaszana jako pierwotna ekspozycja przed uwzględnieniem współczynników konwersji w wierszu dotyczącym „Innych wag ryzyka” (wagą ryzyka jest waga określona w zależności od sumy wskazanej w art. 134 ust. 6 rozporządzenia (UE) </w:t>
      </w:r>
      <w:r w:rsidR="008F3052" w:rsidRPr="0043455E">
        <w:t>nr</w:t>
      </w:r>
      <w:r w:rsidRPr="0043455E">
        <w:t> </w:t>
      </w:r>
      <w:r w:rsidR="008F3052" w:rsidRPr="0043455E">
        <w:t>5</w:t>
      </w:r>
      <w:r w:rsidR="008F3052">
        <w:t xml:space="preserve">75/2013). </w:t>
      </w:r>
    </w:p>
    <w:p w14:paraId="1EFA94D5" w14:textId="77777777" w:rsidR="00464F34" w:rsidRPr="002A677E" w:rsidRDefault="0043455E" w:rsidP="00487A02">
      <w:pPr>
        <w:pStyle w:val="InstructionsText2"/>
        <w:numPr>
          <w:ilvl w:val="0"/>
          <w:numId w:val="0"/>
        </w:numPr>
        <w:ind w:left="1353" w:hanging="360"/>
      </w:pPr>
      <w:fldSimple w:instr=" seq paragraphs ">
        <w:r w:rsidR="008F3052">
          <w:t>65</w:t>
        </w:r>
      </w:fldSimple>
      <w:r w:rsidR="008F3052">
        <w:t>.</w:t>
      </w:r>
      <w:r w:rsidR="008F3052">
        <w:tab/>
        <w:t>Na drugim etapie wskutek stosowania technik ograniczania ryzyka kredytowego z uwzględnieniem efektów substytucyjnych ekspozycje klasyfikuje się ponownie – tym razem do kategorii ekspozycji dostawcy ochrony.</w:t>
      </w:r>
    </w:p>
    <w:p w14:paraId="0E2C7FEE" w14:textId="4EED7399" w:rsidR="00464F34" w:rsidRPr="002A677E" w:rsidRDefault="00464F34" w:rsidP="00487A02">
      <w:pPr>
        <w:pStyle w:val="InstructionsText"/>
      </w:pPr>
      <w:r>
        <w:br w:type="page"/>
      </w:r>
      <w:r>
        <w:lastRenderedPageBreak/>
        <w:t xml:space="preserve">SCHEMAT PODEJMOWANIA DECYZJI W SPRAWIE KLASYFIKOWANIA PIERWOTNEJ EKSPOZYCJI PRZED UWZGLĘDNIENIEM WSPÓŁCZYNNIKÓW KONWERSJI DO KATEGORII EKSPOZYCJI WEDŁUG METODY STANDARDOWEJ ZGODNIE Z ROZPORZĄDZENIEM (UE) NR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392"/>
        <w:gridCol w:w="3969"/>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Pierwotna ekspozycja przed uwzględnieniem współczynników konwersji</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E148621" w:rsidR="00581FA5" w:rsidRPr="002A677E" w:rsidRDefault="00581FA5" w:rsidP="00880E92">
            <w:pPr>
              <w:pStyle w:val="InstructionsText"/>
            </w:pPr>
            <w:r>
              <w:t xml:space="preserve">Czy można ją zaklasyfikować do kategorii ekspozycji określonej w art. 112 lit. m) rozporządzenia (UE) </w:t>
            </w:r>
            <w:r w:rsidRPr="0043455E">
              <w:t>nr</w:t>
            </w:r>
            <w:r w:rsidR="0043455E" w:rsidRPr="0043455E">
              <w:t> </w:t>
            </w:r>
            <w:r w:rsidRPr="0043455E">
              <w:t>5</w:t>
            </w:r>
            <w:r>
              <w:t>75/2013?</w:t>
            </w:r>
          </w:p>
        </w:tc>
        <w:tc>
          <w:tcPr>
            <w:tcW w:w="1417" w:type="dxa"/>
            <w:shd w:val="clear" w:color="auto" w:fill="auto"/>
          </w:tcPr>
          <w:p w14:paraId="7A5DB446" w14:textId="77777777" w:rsidR="00BD52C3" w:rsidRPr="002A677E" w:rsidRDefault="00BD52C3" w:rsidP="00487A02">
            <w:pPr>
              <w:pStyle w:val="InstructionsText"/>
            </w:pPr>
            <w:r>
              <w:t>TAK</w:t>
            </w:r>
            <w:r>
              <w:rPr>
                <w:noProof/>
                <w:lang w:eastAsia="pl-PL"/>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Pozycje sekurytyzacyjne</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NIE</w:t>
            </w:r>
            <w:r>
              <w:rPr>
                <w:noProof/>
                <w:lang w:eastAsia="pl-PL"/>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72665BFB" w:rsidR="003A1B96" w:rsidRPr="002A677E" w:rsidRDefault="003A1B96" w:rsidP="00880E92">
            <w:pPr>
              <w:pStyle w:val="InstructionsText"/>
            </w:pPr>
            <w:r>
              <w:t xml:space="preserve">Czy można ją zaklasyfikować do kategorii ekspozycji określonej w art. 112 lit. k) rozporządzenia (UE) </w:t>
            </w:r>
            <w:r w:rsidRPr="0043455E">
              <w:t>nr</w:t>
            </w:r>
            <w:r w:rsidR="0043455E" w:rsidRPr="0043455E">
              <w:t> </w:t>
            </w:r>
            <w:r w:rsidRPr="0043455E">
              <w:t>5</w:t>
            </w:r>
            <w:r>
              <w:t>75/2013?</w:t>
            </w:r>
          </w:p>
        </w:tc>
        <w:tc>
          <w:tcPr>
            <w:tcW w:w="1417" w:type="dxa"/>
            <w:shd w:val="clear" w:color="auto" w:fill="auto"/>
          </w:tcPr>
          <w:p w14:paraId="18E67292" w14:textId="77777777" w:rsidR="00AC3054" w:rsidRPr="002A677E" w:rsidRDefault="00974E3F" w:rsidP="00487A02">
            <w:pPr>
              <w:pStyle w:val="InstructionsText"/>
            </w:pPr>
            <w:r>
              <w:t>TAK</w:t>
            </w:r>
            <w:r>
              <w:rPr>
                <w:noProof/>
                <w:lang w:eastAsia="pl-PL"/>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459BC344" w:rsidR="003A1B96" w:rsidRPr="002A677E" w:rsidRDefault="003A1B96" w:rsidP="00487A02">
            <w:pPr>
              <w:pStyle w:val="InstructionsText"/>
            </w:pPr>
            <w:r>
              <w:t xml:space="preserve">Pozycje związane ze szczególnie wysokim ryzykiem (zob. także art. 128 rozporządzenia (UE) </w:t>
            </w:r>
            <w:r w:rsidRPr="0043455E">
              <w:t>nr</w:t>
            </w:r>
            <w:r w:rsidR="0043455E" w:rsidRPr="0043455E">
              <w:t> </w:t>
            </w:r>
            <w:r w:rsidRPr="0043455E">
              <w:t>5</w:t>
            </w:r>
            <w:r>
              <w:t>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NIE</w:t>
            </w:r>
            <w:r>
              <w:rPr>
                <w:noProof/>
                <w:lang w:eastAsia="pl-PL"/>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036FE9F4" w:rsidR="003A1B96" w:rsidRPr="002A677E" w:rsidRDefault="003A1B96" w:rsidP="00880E92">
            <w:pPr>
              <w:pStyle w:val="InstructionsText"/>
            </w:pPr>
            <w:r>
              <w:t xml:space="preserve">Czy można ją zaklasyfikować do kategorii ekspozycji określonej w art. 112 lit. p) rozporządzenia (UE) </w:t>
            </w:r>
            <w:r w:rsidRPr="0043455E">
              <w:t>nr</w:t>
            </w:r>
            <w:r w:rsidR="0043455E" w:rsidRPr="0043455E">
              <w:t> </w:t>
            </w:r>
            <w:r w:rsidRPr="0043455E">
              <w:t>5</w:t>
            </w:r>
            <w:r>
              <w:t>75/2013?</w:t>
            </w:r>
          </w:p>
        </w:tc>
        <w:tc>
          <w:tcPr>
            <w:tcW w:w="1417" w:type="dxa"/>
            <w:shd w:val="clear" w:color="auto" w:fill="auto"/>
          </w:tcPr>
          <w:p w14:paraId="17E9AA8D" w14:textId="77777777" w:rsidR="00BD52C3" w:rsidRPr="002A677E" w:rsidRDefault="00BD52C3" w:rsidP="00487A02">
            <w:pPr>
              <w:pStyle w:val="InstructionsText"/>
            </w:pPr>
            <w:r>
              <w:t>TAK</w:t>
            </w:r>
            <w:r>
              <w:rPr>
                <w:noProof/>
                <w:lang w:eastAsia="pl-PL"/>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752E52DA" w:rsidR="003A1B96" w:rsidRPr="002A677E" w:rsidRDefault="003A1B96" w:rsidP="00487A02">
            <w:pPr>
              <w:pStyle w:val="InstructionsText"/>
            </w:pPr>
            <w:r>
              <w:t xml:space="preserve">Ekspozycja kapitałowe (zob. także art. 133 rozporządzenia (UE) </w:t>
            </w:r>
            <w:r w:rsidRPr="0043455E">
              <w:t>nr</w:t>
            </w:r>
            <w:r w:rsidR="0043455E" w:rsidRPr="0043455E">
              <w:t> </w:t>
            </w:r>
            <w:r w:rsidRPr="0043455E">
              <w:t>5</w:t>
            </w:r>
            <w:r>
              <w:t>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NIE</w:t>
            </w:r>
            <w:r>
              <w:rPr>
                <w:noProof/>
                <w:lang w:eastAsia="pl-PL"/>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2276AD64" w:rsidR="00581FA5" w:rsidRPr="002A677E" w:rsidRDefault="00581FA5" w:rsidP="00880E92">
            <w:pPr>
              <w:pStyle w:val="InstructionsText"/>
            </w:pPr>
            <w:r>
              <w:t xml:space="preserve">Czy można ją zaklasyfikować do kategorii ekspozycji określonej w art. 112 lit. j) rozporządzenia (UE) </w:t>
            </w:r>
            <w:r w:rsidRPr="0043455E">
              <w:t>nr</w:t>
            </w:r>
            <w:r w:rsidR="0043455E" w:rsidRPr="0043455E">
              <w:t> </w:t>
            </w:r>
            <w:r w:rsidRPr="0043455E">
              <w:t>5</w:t>
            </w:r>
            <w:r>
              <w:t>75/2013?</w:t>
            </w:r>
          </w:p>
        </w:tc>
        <w:tc>
          <w:tcPr>
            <w:tcW w:w="1417" w:type="dxa"/>
            <w:shd w:val="clear" w:color="auto" w:fill="auto"/>
          </w:tcPr>
          <w:p w14:paraId="4E3778AB" w14:textId="77777777" w:rsidR="00BD52C3" w:rsidRPr="002A677E" w:rsidRDefault="00BD52C3" w:rsidP="00487A02">
            <w:pPr>
              <w:pStyle w:val="InstructionsText"/>
            </w:pPr>
            <w:r>
              <w:t>TAK</w:t>
            </w:r>
            <w:r>
              <w:rPr>
                <w:noProof/>
                <w:lang w:eastAsia="pl-PL"/>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Ekspozycje, których dotyczy niewykonanie zobowiązania</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NIE</w:t>
            </w:r>
            <w:r>
              <w:rPr>
                <w:noProof/>
                <w:lang w:eastAsia="pl-PL"/>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9604E8" w:rsidR="00581FA5" w:rsidRPr="002A677E" w:rsidRDefault="00581FA5" w:rsidP="00880E92">
            <w:pPr>
              <w:pStyle w:val="InstructionsText"/>
            </w:pPr>
            <w:r>
              <w:t xml:space="preserve">Czy można ją zaklasyfikować do kategorii ekspozycji określonych w art. 112 lit. l) i o) rozporządzenia (UE) </w:t>
            </w:r>
            <w:r w:rsidRPr="0043455E">
              <w:t>nr</w:t>
            </w:r>
            <w:r w:rsidR="0043455E" w:rsidRPr="0043455E">
              <w:t> </w:t>
            </w:r>
            <w:r w:rsidRPr="0043455E">
              <w:t>5</w:t>
            </w:r>
            <w:r>
              <w:t>75/2013?</w:t>
            </w:r>
          </w:p>
        </w:tc>
        <w:tc>
          <w:tcPr>
            <w:tcW w:w="1417" w:type="dxa"/>
            <w:shd w:val="clear" w:color="auto" w:fill="auto"/>
          </w:tcPr>
          <w:p w14:paraId="08B1C985" w14:textId="77777777" w:rsidR="00BD52C3" w:rsidRPr="002A677E" w:rsidRDefault="00BD52C3" w:rsidP="00487A02">
            <w:pPr>
              <w:pStyle w:val="InstructionsText"/>
            </w:pPr>
            <w:r>
              <w:t>TAK</w:t>
            </w:r>
            <w:r>
              <w:rPr>
                <w:noProof/>
                <w:lang w:eastAsia="pl-PL"/>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Ekspozycje w postaci jednostek uczestnictwa lub udziałów w przedsiębiorstwach zbiorowego inwestowania</w:t>
            </w:r>
          </w:p>
          <w:p w14:paraId="55A5CB19" w14:textId="3449D887" w:rsidR="00581FA5" w:rsidRPr="002A677E" w:rsidRDefault="00581FA5" w:rsidP="00487A02">
            <w:pPr>
              <w:pStyle w:val="InstructionsText"/>
            </w:pPr>
            <w:r>
              <w:lastRenderedPageBreak/>
              <w:t xml:space="preserve">Ekspozycje w postaci obligacji zabezpieczonych (zob. także art. 129 rozporządzenia (UE) </w:t>
            </w:r>
            <w:r w:rsidRPr="0043455E">
              <w:t>nr</w:t>
            </w:r>
            <w:r w:rsidR="0043455E" w:rsidRPr="0043455E">
              <w:t> </w:t>
            </w:r>
            <w:r w:rsidRPr="0043455E">
              <w:t>5</w:t>
            </w:r>
            <w:r>
              <w:t>75/2013)</w:t>
            </w:r>
          </w:p>
          <w:p w14:paraId="546D5260" w14:textId="77777777" w:rsidR="00581FA5" w:rsidRPr="002A677E" w:rsidRDefault="00581FA5" w:rsidP="00487A02">
            <w:pPr>
              <w:pStyle w:val="InstructionsText"/>
            </w:pPr>
            <w:r>
              <w:t>Te dwie kategorie ekspozycji są rozłączne (zob. uwagi na temat metody pełnego przeglądu w odniesieniu do odpowiedzi powyżej). Zaklasyfikowanie ekspozycji do jednej z tych kategorii jest zatem proste.</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NIE</w:t>
            </w:r>
            <w:r>
              <w:rPr>
                <w:noProof/>
                <w:lang w:eastAsia="pl-PL"/>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19A62B63" w:rsidR="00581FA5" w:rsidRPr="002A677E" w:rsidRDefault="00581FA5" w:rsidP="00880E92">
            <w:pPr>
              <w:pStyle w:val="InstructionsText"/>
            </w:pPr>
            <w:r>
              <w:t xml:space="preserve">Czy można ją zaklasyfikować do kategorii ekspozycji określonej w art. 112 lit. i) rozporządzenia (UE) </w:t>
            </w:r>
            <w:r w:rsidRPr="0043455E">
              <w:t>nr</w:t>
            </w:r>
            <w:r w:rsidR="0043455E" w:rsidRPr="0043455E">
              <w:t> </w:t>
            </w:r>
            <w:r w:rsidRPr="0043455E">
              <w:t>5</w:t>
            </w:r>
            <w:r>
              <w:t>75/2013?</w:t>
            </w:r>
          </w:p>
        </w:tc>
        <w:tc>
          <w:tcPr>
            <w:tcW w:w="1417" w:type="dxa"/>
            <w:shd w:val="clear" w:color="auto" w:fill="auto"/>
          </w:tcPr>
          <w:p w14:paraId="21935E41" w14:textId="77777777" w:rsidR="00BD52C3" w:rsidRPr="002A677E" w:rsidRDefault="00BD52C3" w:rsidP="00487A02">
            <w:pPr>
              <w:pStyle w:val="InstructionsText"/>
            </w:pPr>
            <w:r>
              <w:t>TAK</w:t>
            </w:r>
            <w:r>
              <w:rPr>
                <w:noProof/>
                <w:lang w:eastAsia="pl-PL"/>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747F7C9F" w:rsidR="00581FA5" w:rsidRPr="002A677E" w:rsidRDefault="00581FA5" w:rsidP="00487A02">
            <w:pPr>
              <w:pStyle w:val="InstructionsText"/>
            </w:pPr>
            <w:r>
              <w:t xml:space="preserve">Ekspozycje zabezpieczone hipotekami na nieruchomościach (zob. także art. 124 rozporządzenia (UE) </w:t>
            </w:r>
            <w:r w:rsidRPr="0043455E">
              <w:t>nr</w:t>
            </w:r>
            <w:r w:rsidR="0043455E" w:rsidRPr="0043455E">
              <w:t> </w:t>
            </w:r>
            <w:r w:rsidRPr="0043455E">
              <w:t>5</w:t>
            </w:r>
            <w:r>
              <w:t>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NIE</w:t>
            </w:r>
            <w:r>
              <w:rPr>
                <w:noProof/>
                <w:lang w:eastAsia="pl-PL"/>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05D7231B" w:rsidR="00581FA5" w:rsidRPr="002A677E" w:rsidRDefault="00581FA5" w:rsidP="00880E92">
            <w:pPr>
              <w:pStyle w:val="InstructionsText"/>
            </w:pPr>
            <w:r>
              <w:t xml:space="preserve">Czy można ją zaklasyfikować do kategorii ekspozycji określonej w art. 112 lit. q) rozporządzenia (UE) </w:t>
            </w:r>
            <w:r w:rsidRPr="0043455E">
              <w:t>nr</w:t>
            </w:r>
            <w:r w:rsidR="0043455E" w:rsidRPr="0043455E">
              <w:t> </w:t>
            </w:r>
            <w:r w:rsidRPr="0043455E">
              <w:t>5</w:t>
            </w:r>
            <w:r>
              <w:t>75/2013?</w:t>
            </w:r>
          </w:p>
        </w:tc>
        <w:tc>
          <w:tcPr>
            <w:tcW w:w="1417" w:type="dxa"/>
            <w:shd w:val="clear" w:color="auto" w:fill="auto"/>
          </w:tcPr>
          <w:p w14:paraId="1D317502" w14:textId="77777777" w:rsidR="00BD52C3" w:rsidRPr="002A677E" w:rsidRDefault="00BD52C3" w:rsidP="00487A02">
            <w:pPr>
              <w:pStyle w:val="InstructionsText"/>
            </w:pPr>
            <w:r>
              <w:t>TAK</w:t>
            </w:r>
            <w:r>
              <w:rPr>
                <w:noProof/>
                <w:lang w:eastAsia="pl-PL"/>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Inne pozycje</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NIE</w:t>
            </w:r>
            <w:r>
              <w:rPr>
                <w:noProof/>
                <w:lang w:eastAsia="pl-PL"/>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7285547E" w:rsidR="00581FA5" w:rsidRPr="002A677E" w:rsidRDefault="00581FA5" w:rsidP="00880E92">
            <w:pPr>
              <w:pStyle w:val="InstructionsText"/>
            </w:pPr>
            <w:r>
              <w:t xml:space="preserve">Czy można ją zaklasyfikować do kategorii ekspozycji określonej w art. 112 lit. n) rozporządzenia (UE) </w:t>
            </w:r>
            <w:r w:rsidRPr="0043455E">
              <w:t>nr</w:t>
            </w:r>
            <w:r w:rsidR="0043455E" w:rsidRPr="0043455E">
              <w:t> </w:t>
            </w:r>
            <w:r w:rsidRPr="0043455E">
              <w:t>5</w:t>
            </w:r>
            <w:r>
              <w:t>75/2013?</w:t>
            </w:r>
          </w:p>
        </w:tc>
        <w:tc>
          <w:tcPr>
            <w:tcW w:w="1417" w:type="dxa"/>
            <w:shd w:val="clear" w:color="auto" w:fill="auto"/>
          </w:tcPr>
          <w:p w14:paraId="3AAC30A2" w14:textId="77777777" w:rsidR="0063493E" w:rsidRPr="002A677E" w:rsidRDefault="0063493E" w:rsidP="00487A02">
            <w:pPr>
              <w:pStyle w:val="InstructionsText"/>
            </w:pPr>
            <w:r>
              <w:t>TAK</w:t>
            </w:r>
            <w:r>
              <w:rPr>
                <w:noProof/>
                <w:lang w:eastAsia="pl-PL"/>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Ekspozycje wobec instytucji i przedsiębiorstw posiadających krótkoterminową ocenę kredytową</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NIE</w:t>
            </w:r>
            <w:r>
              <w:rPr>
                <w:noProof/>
                <w:lang w:eastAsia="pl-PL"/>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Poniższe kategorie ekspozycji są rozłączne. Zaklasyfikowanie ekspozycji do jednej z tych kategorii jest zatem proste.</w:t>
            </w:r>
          </w:p>
          <w:p w14:paraId="078366A0" w14:textId="77777777" w:rsidR="00581FA5" w:rsidRPr="002A677E" w:rsidRDefault="00581FA5" w:rsidP="00487A02">
            <w:pPr>
              <w:pStyle w:val="InstructionsText"/>
            </w:pPr>
            <w:r>
              <w:t>Ekspozycje wobec rządów centralnych lub banków centralnych</w:t>
            </w:r>
          </w:p>
          <w:p w14:paraId="5704C1AB" w14:textId="77777777" w:rsidR="00581FA5" w:rsidRPr="002A677E" w:rsidRDefault="00581FA5" w:rsidP="00487A02">
            <w:pPr>
              <w:pStyle w:val="InstructionsText"/>
            </w:pPr>
            <w:r>
              <w:t>Ekspozycje wobec samorządów regionalnych lub władz lokalnych</w:t>
            </w:r>
          </w:p>
          <w:p w14:paraId="6C86AA24" w14:textId="77777777" w:rsidR="00581FA5" w:rsidRPr="002A677E" w:rsidRDefault="00581FA5" w:rsidP="00487A02">
            <w:pPr>
              <w:pStyle w:val="InstructionsText"/>
            </w:pPr>
            <w:r>
              <w:t>Ekspozycje wobec podmiotów sektora publicznego</w:t>
            </w:r>
          </w:p>
          <w:p w14:paraId="053A0BEF" w14:textId="77777777" w:rsidR="00581FA5" w:rsidRPr="002A677E" w:rsidRDefault="00581FA5" w:rsidP="00487A02">
            <w:pPr>
              <w:pStyle w:val="InstructionsText"/>
            </w:pPr>
            <w:r>
              <w:t>Ekspozycje wobec wielostronnych banków rozwoju</w:t>
            </w:r>
          </w:p>
          <w:p w14:paraId="1EE8962F" w14:textId="77777777" w:rsidR="00581FA5" w:rsidRPr="002A677E" w:rsidRDefault="00581FA5" w:rsidP="00487A02">
            <w:pPr>
              <w:pStyle w:val="InstructionsText"/>
            </w:pPr>
            <w:r>
              <w:t>Ekspozycje wobec organizacji międzynarodowych</w:t>
            </w:r>
          </w:p>
          <w:p w14:paraId="5BD6520E" w14:textId="77777777" w:rsidR="00581FA5" w:rsidRPr="002A677E" w:rsidRDefault="00581FA5" w:rsidP="00487A02">
            <w:pPr>
              <w:pStyle w:val="InstructionsText"/>
            </w:pPr>
            <w:r>
              <w:lastRenderedPageBreak/>
              <w:t>Ekspozycje wobec instytucji</w:t>
            </w:r>
          </w:p>
          <w:p w14:paraId="4816B9C7" w14:textId="77777777" w:rsidR="00581FA5" w:rsidRPr="002A677E" w:rsidRDefault="00581FA5" w:rsidP="00487A02">
            <w:pPr>
              <w:pStyle w:val="InstructionsText"/>
            </w:pPr>
            <w:r>
              <w:t>Ekspozycje wobec przedsiębiorstw</w:t>
            </w:r>
          </w:p>
          <w:p w14:paraId="2AE1E734" w14:textId="77777777" w:rsidR="00581FA5" w:rsidRPr="002A677E" w:rsidRDefault="00581FA5" w:rsidP="00487A02">
            <w:pPr>
              <w:pStyle w:val="InstructionsText"/>
            </w:pPr>
            <w:r>
              <w:t>Ekspozycje detaliczne</w:t>
            </w:r>
          </w:p>
        </w:tc>
      </w:tr>
    </w:tbl>
    <w:p w14:paraId="63087114" w14:textId="36086331"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9064799"/>
      <w:r>
        <w:rPr>
          <w:rFonts w:ascii="Times New Roman" w:hAnsi="Times New Roman"/>
          <w:sz w:val="24"/>
          <w:u w:val="none"/>
        </w:rPr>
        <w:lastRenderedPageBreak/>
        <w:t>3.2.4.</w:t>
      </w:r>
      <w:r>
        <w:tab/>
      </w:r>
      <w:r>
        <w:rPr>
          <w:rFonts w:ascii="Times New Roman" w:hAnsi="Times New Roman"/>
          <w:sz w:val="24"/>
        </w:rPr>
        <w:t>Wyjaśnienia dotyczące zakresu pewnych określonych kategorii ekspozycji, o których mowa w art. 112</w:t>
      </w:r>
      <w:bookmarkEnd w:id="190"/>
      <w:bookmarkEnd w:id="191"/>
      <w:bookmarkEnd w:id="192"/>
      <w:bookmarkEnd w:id="193"/>
      <w:bookmarkEnd w:id="194"/>
      <w:bookmarkEnd w:id="195"/>
      <w:bookmarkEnd w:id="196"/>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9064800"/>
      <w:r>
        <w:rPr>
          <w:rFonts w:ascii="Times New Roman" w:hAnsi="Times New Roman"/>
          <w:sz w:val="24"/>
          <w:u w:val="none"/>
        </w:rPr>
        <w:t>3.2.4.1.</w:t>
      </w:r>
      <w:r>
        <w:tab/>
      </w:r>
      <w:r>
        <w:rPr>
          <w:rFonts w:ascii="Times New Roman" w:hAnsi="Times New Roman"/>
          <w:sz w:val="24"/>
        </w:rPr>
        <w:t>Kategoria ekspozycji „ekspozycje wobec instytucji”</w:t>
      </w:r>
      <w:bookmarkEnd w:id="198"/>
      <w:bookmarkEnd w:id="199"/>
      <w:bookmarkEnd w:id="200"/>
    </w:p>
    <w:p w14:paraId="17B6FF43" w14:textId="572A429D" w:rsidR="00464F34" w:rsidRPr="002A677E" w:rsidRDefault="0043455E" w:rsidP="00487A02">
      <w:pPr>
        <w:pStyle w:val="InstructionsText2"/>
        <w:numPr>
          <w:ilvl w:val="0"/>
          <w:numId w:val="0"/>
        </w:numPr>
        <w:ind w:left="1353" w:hanging="360"/>
      </w:pPr>
      <w:fldSimple w:instr=" seq paragraphs ">
        <w:r w:rsidR="008F3052">
          <w:t>66</w:t>
        </w:r>
      </w:fldSimple>
      <w:r w:rsidR="008F3052">
        <w:t>.</w:t>
      </w:r>
      <w:r w:rsidR="008F3052">
        <w:tab/>
        <w:t xml:space="preserve">Ekspozycje wewnątrzgrupowe, o których mowa w art. 113 ust. 6 i 7 rozporządzenia (UE) </w:t>
      </w:r>
      <w:r w:rsidR="008F3052" w:rsidRPr="0043455E">
        <w:t>nr</w:t>
      </w:r>
      <w:r w:rsidRPr="0043455E">
        <w:t> </w:t>
      </w:r>
      <w:r w:rsidR="008F3052" w:rsidRPr="0043455E">
        <w:t>5</w:t>
      </w:r>
      <w:r w:rsidR="008F3052">
        <w:t>75/2013, zgłasza się w następujący sposób:</w:t>
      </w:r>
    </w:p>
    <w:p w14:paraId="626B6469" w14:textId="3F4DAC62" w:rsidR="00464F34" w:rsidRPr="002A677E" w:rsidRDefault="0043455E" w:rsidP="00487A02">
      <w:pPr>
        <w:pStyle w:val="InstructionsText2"/>
        <w:numPr>
          <w:ilvl w:val="0"/>
          <w:numId w:val="0"/>
        </w:numPr>
        <w:ind w:left="1353" w:hanging="360"/>
      </w:pPr>
      <w:fldSimple w:instr=" seq paragraphs ">
        <w:r w:rsidR="008F3052">
          <w:t>67</w:t>
        </w:r>
      </w:fldSimple>
      <w:r w:rsidR="008F3052">
        <w:t>.</w:t>
      </w:r>
      <w:r w:rsidR="008F3052">
        <w:tab/>
        <w:t xml:space="preserve">Ekspozycje, które spełniają wymogi określone w art. 113 ust. 7 rozporządzenia (UE) </w:t>
      </w:r>
      <w:r w:rsidR="008F3052" w:rsidRPr="0043455E">
        <w:t>nr</w:t>
      </w:r>
      <w:r w:rsidRPr="0043455E">
        <w:t> </w:t>
      </w:r>
      <w:r w:rsidR="008F3052" w:rsidRPr="0043455E">
        <w:t>5</w:t>
      </w:r>
      <w:r w:rsidR="008F3052">
        <w:t>75/2013, zgłasza się w odpowiednich kategoriach ekspozycji, w których zostałyby one zgłoszone, gdyby nie były ekspozycjami wewnątrzgrupowymi.</w:t>
      </w:r>
    </w:p>
    <w:p w14:paraId="4CF7FD64" w14:textId="6938FF8F" w:rsidR="00464F34" w:rsidRPr="002A677E" w:rsidRDefault="0043455E" w:rsidP="00487A02">
      <w:pPr>
        <w:pStyle w:val="InstructionsText2"/>
        <w:numPr>
          <w:ilvl w:val="0"/>
          <w:numId w:val="0"/>
        </w:numPr>
        <w:ind w:left="1353" w:hanging="360"/>
      </w:pPr>
      <w:fldSimple w:instr=" seq paragraphs ">
        <w:r w:rsidR="008F3052">
          <w:t>68</w:t>
        </w:r>
      </w:fldSimple>
      <w:r w:rsidR="008F3052">
        <w:t>.</w:t>
      </w:r>
      <w:r w:rsidR="008F3052">
        <w:tab/>
        <w:t xml:space="preserve">Zgodnie z art. 113 ust. 6 i 7 rozporządzenia (UE) </w:t>
      </w:r>
      <w:r w:rsidR="008F3052" w:rsidRPr="0043455E">
        <w:t>nr</w:t>
      </w:r>
      <w:r w:rsidRPr="0043455E">
        <w:t> </w:t>
      </w:r>
      <w:r w:rsidR="008F3052" w:rsidRPr="0043455E">
        <w:t>5</w:t>
      </w:r>
      <w:r w:rsidR="008F3052">
        <w:t>75/2013 „instytucja może pod warunkiem uzyskania uprzedniej zgody właściwych organów podjąć decyzję o niestosowaniu wymogów ust. 1 niniejszego artykułu w odniesieniu do ekspozycji danej instytucji wobec kontrahenta, który jest w stosunku do niej jednostką dominującą, jednostką zależną, jednostką zależną wobec jednostki dominującej danej instytucji lub jednostką powiązaną stosunkiem określonym w art. 12 ust. 1 dyrektywy 83/349/EWG”. Oznacza to, że kontrahenci wewnątrzgrupowi niekoniecznie są instytucjami – mogą także być przedsiębiorstwami, które są przypisane do innych kategorii ekspozycji, np. przedsiębiorstwami usług pomocniczych lub przedsiębiorstwami w rozumieniu art. 12 ust. 1 dyrektywy Rady 83/349/EWG</w:t>
      </w:r>
      <w:r w:rsidR="008F3052">
        <w:footnoteReference w:id="3"/>
      </w:r>
      <w:r w:rsidR="008F3052">
        <w:t>. Dlatego ekspozycje wewnątrz grupy zgłasza się w odpowiedniej kategorii ekspozycji.</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9064801"/>
      <w:r>
        <w:rPr>
          <w:rFonts w:ascii="Times New Roman" w:hAnsi="Times New Roman"/>
          <w:sz w:val="24"/>
          <w:u w:val="none"/>
        </w:rPr>
        <w:t>3.2.4.2.</w:t>
      </w:r>
      <w:r>
        <w:tab/>
      </w:r>
      <w:r>
        <w:rPr>
          <w:rFonts w:ascii="Times New Roman" w:hAnsi="Times New Roman"/>
          <w:sz w:val="24"/>
        </w:rPr>
        <w:t>Kategoria ekspozycji „ekspozycje w postaci obligacji zabezpieczonych”</w:t>
      </w:r>
      <w:bookmarkEnd w:id="201"/>
      <w:bookmarkEnd w:id="202"/>
      <w:bookmarkEnd w:id="203"/>
    </w:p>
    <w:p w14:paraId="5C7B716A" w14:textId="77777777" w:rsidR="00464F34" w:rsidRPr="002A677E" w:rsidRDefault="0043455E" w:rsidP="00487A02">
      <w:pPr>
        <w:pStyle w:val="InstructionsText2"/>
        <w:numPr>
          <w:ilvl w:val="0"/>
          <w:numId w:val="0"/>
        </w:numPr>
        <w:ind w:left="1353" w:hanging="360"/>
      </w:pPr>
      <w:fldSimple w:instr=" seq paragraphs ">
        <w:r w:rsidR="008F3052">
          <w:t>69</w:t>
        </w:r>
      </w:fldSimple>
      <w:r w:rsidR="008F3052">
        <w:t>.</w:t>
      </w:r>
      <w:r w:rsidR="008F3052">
        <w:tab/>
        <w:t>Ekspozycje według metody standardowej przypisuje się do kategorii ekspozycji „ekspozycje w postaci obligacji zabezpieczonych” w następujący sposób:</w:t>
      </w:r>
    </w:p>
    <w:p w14:paraId="06BAD20B" w14:textId="2CFAB034" w:rsidR="00464F34" w:rsidRPr="002A677E" w:rsidRDefault="0043455E" w:rsidP="00487A02">
      <w:pPr>
        <w:pStyle w:val="InstructionsText2"/>
        <w:numPr>
          <w:ilvl w:val="0"/>
          <w:numId w:val="0"/>
        </w:numPr>
        <w:ind w:left="1353" w:hanging="360"/>
      </w:pPr>
      <w:fldSimple w:instr=" seq paragraphs ">
        <w:r w:rsidR="008F3052">
          <w:t>70</w:t>
        </w:r>
      </w:fldSimple>
      <w:r w:rsidR="008F3052">
        <w:t>.</w:t>
      </w:r>
      <w:r w:rsidR="008F3052">
        <w:tab/>
        <w:t>Obligacje, o których mowa w art. 52 ust. 4 dyrektywy Parlamentu Europejskiego i Rady 2009/65/WE</w:t>
      </w:r>
      <w:r w:rsidR="008F3052">
        <w:footnoteReference w:id="4"/>
      </w:r>
      <w:r w:rsidR="008F3052">
        <w:t xml:space="preserve">, spełniają wymogi określone w art. 129 ust. 1 i 2 rozporządzenia (UE) </w:t>
      </w:r>
      <w:r w:rsidR="008F3052" w:rsidRPr="0043455E">
        <w:t>nr</w:t>
      </w:r>
      <w:r w:rsidRPr="0043455E">
        <w:t> </w:t>
      </w:r>
      <w:r w:rsidR="008F3052" w:rsidRPr="0043455E">
        <w:t>5</w:t>
      </w:r>
      <w:r w:rsidR="008F3052">
        <w:t>75/2013, co umożliwia zaklasyfikowanie ich do kategorii ekspozycji „ekspozycje w postaci obligacji zabezpieczonych”. Spełnienie tych wymogów należy sprawdzać w każdym przypadku. Obligacje, o których mowa w art. 52 ust. 4 dyrektywy 2009/65/WE i które wydano przed dniem 31 grudnia 20</w:t>
      </w:r>
      <w:r w:rsidR="008F3052" w:rsidRPr="0043455E">
        <w:t>07</w:t>
      </w:r>
      <w:r w:rsidRPr="0043455E">
        <w:t> </w:t>
      </w:r>
      <w:r w:rsidR="008F3052" w:rsidRPr="0043455E">
        <w:t>r.</w:t>
      </w:r>
      <w:r w:rsidR="008F3052">
        <w:t xml:space="preserve">, są pomimo to także przypisane do kategorii ekspozycji „ekspozycje w </w:t>
      </w:r>
      <w:r w:rsidR="008F3052">
        <w:lastRenderedPageBreak/>
        <w:t xml:space="preserve">postaci obligacji zabezpieczonych” zgodnie z art. 129 ust. 6 rozporządzenia (UE) </w:t>
      </w:r>
      <w:r w:rsidR="008F3052" w:rsidRPr="0043455E">
        <w:t>nr</w:t>
      </w:r>
      <w:r w:rsidRPr="0043455E">
        <w:t> </w:t>
      </w:r>
      <w:r w:rsidR="008F3052" w:rsidRPr="0043455E">
        <w:t>5</w:t>
      </w:r>
      <w:r w:rsidR="008F3052">
        <w:t>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9064802"/>
      <w:r>
        <w:rPr>
          <w:rFonts w:ascii="Times New Roman" w:hAnsi="Times New Roman"/>
          <w:sz w:val="24"/>
          <w:u w:val="none"/>
        </w:rPr>
        <w:t>3.2.4.3.</w:t>
      </w:r>
      <w:r>
        <w:tab/>
      </w:r>
      <w:r>
        <w:rPr>
          <w:rFonts w:ascii="Times New Roman" w:hAnsi="Times New Roman"/>
          <w:sz w:val="24"/>
        </w:rPr>
        <w:t>Kategoria ekspozycji „ekspozycje związane z przedsiębiorstwami zbiorowego inwestowania”</w:t>
      </w:r>
      <w:bookmarkEnd w:id="204"/>
      <w:bookmarkEnd w:id="205"/>
      <w:bookmarkEnd w:id="206"/>
    </w:p>
    <w:p w14:paraId="73725411" w14:textId="45CB6F03" w:rsidR="00464F34" w:rsidRPr="002A677E" w:rsidRDefault="0043455E" w:rsidP="00487A02">
      <w:pPr>
        <w:pStyle w:val="InstructionsText2"/>
        <w:numPr>
          <w:ilvl w:val="0"/>
          <w:numId w:val="0"/>
        </w:numPr>
        <w:ind w:left="1353" w:hanging="360"/>
      </w:pPr>
      <w:fldSimple w:instr=" seq paragraphs ">
        <w:r w:rsidR="008F3052">
          <w:t>71</w:t>
        </w:r>
      </w:fldSimple>
      <w:r w:rsidR="008F3052">
        <w:t>.</w:t>
      </w:r>
      <w:r w:rsidR="008F3052">
        <w:tab/>
        <w:t xml:space="preserve">W przypadku korzystania z możliwości, o której mowa w art. 132a ust. 2 rozporządzenia (UE) </w:t>
      </w:r>
      <w:r w:rsidR="008F3052" w:rsidRPr="0043455E">
        <w:t>nr</w:t>
      </w:r>
      <w:r w:rsidRPr="0043455E">
        <w:t> </w:t>
      </w:r>
      <w:r w:rsidR="008F3052" w:rsidRPr="0043455E">
        <w:t>5</w:t>
      </w:r>
      <w:r w:rsidR="008F3052">
        <w:t xml:space="preserve">75/2013, ekspozycje w postaci jednostek lub udziałów w przedsiębiorstwach zbiorowego inwestowania zgłasza się jako pozycje bilansowe zgodnie z art. 111 ust. 1 zdanie pierwsze rozporządzenia (UE) </w:t>
      </w:r>
      <w:r w:rsidR="008F3052" w:rsidRPr="0043455E">
        <w:t>nr</w:t>
      </w:r>
      <w:r w:rsidRPr="0043455E">
        <w:t> </w:t>
      </w:r>
      <w:r w:rsidR="008F3052" w:rsidRPr="0043455E">
        <w:t>5</w:t>
      </w:r>
      <w:r w:rsidR="008F3052">
        <w:t xml:space="preserve">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9064803"/>
      <w:r>
        <w:rPr>
          <w:rFonts w:ascii="Times New Roman" w:hAnsi="Times New Roman"/>
          <w:sz w:val="24"/>
          <w:u w:val="none"/>
        </w:rPr>
        <w:t>3.2.5.</w:t>
      </w:r>
      <w:r>
        <w:tab/>
      </w:r>
      <w:r>
        <w:rPr>
          <w:rFonts w:ascii="Times New Roman" w:hAnsi="Times New Roman"/>
          <w:sz w:val="24"/>
        </w:rPr>
        <w:t>Instrukcje dotyczące poszczególnych pozycji</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Kolumny</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PIERWOTNA EKSPOZYCJA PRZED UWZGLĘDNIENIEM WSPÓŁCZYNNIKÓW KONWERSJI</w:t>
            </w:r>
          </w:p>
          <w:p w14:paraId="70FC71B9" w14:textId="011A1AAA" w:rsidR="00464F34" w:rsidRPr="002A677E" w:rsidRDefault="00464F34" w:rsidP="00487A02">
            <w:pPr>
              <w:pStyle w:val="InstructionsText"/>
            </w:pPr>
            <w:r>
              <w:t xml:space="preserve">Wartość ekspozycji obliczona zgodnie z art. 111 rozporządzenia (UE) </w:t>
            </w:r>
            <w:r w:rsidRPr="0043455E">
              <w:t>nr</w:t>
            </w:r>
            <w:r w:rsidR="0043455E" w:rsidRPr="0043455E">
              <w:t> </w:t>
            </w:r>
            <w:r w:rsidRPr="0043455E">
              <w:t>5</w:t>
            </w:r>
            <w:r>
              <w:t xml:space="preserve">75/2013 bez uwzględnienia korekt wartości i rezerw, odliczeń, współczynników konwersji oraz efektów technik ograniczania ryzyka kredytowego, przy uwzględnieniu następujących zastrzeżeń wynikających z art. 111 ust. 2 rozporządzenia (UE) </w:t>
            </w:r>
            <w:r w:rsidRPr="0043455E">
              <w:t>nr</w:t>
            </w:r>
            <w:r w:rsidR="0043455E" w:rsidRPr="0043455E">
              <w:t> </w:t>
            </w:r>
            <w:r w:rsidRPr="0043455E">
              <w:t>5</w:t>
            </w:r>
            <w:r>
              <w:t>75/2013:</w:t>
            </w:r>
          </w:p>
          <w:p w14:paraId="1FA3C4C3" w14:textId="2DBCE04D" w:rsidR="00464F34" w:rsidRPr="002A677E" w:rsidRDefault="00464F34" w:rsidP="00487A02">
            <w:pPr>
              <w:pStyle w:val="InstructionsText"/>
              <w:numPr>
                <w:ilvl w:val="0"/>
                <w:numId w:val="32"/>
              </w:numPr>
            </w:pPr>
            <w:r>
              <w:t xml:space="preserve">W przypadku instrumentów pochodnych, transakcji odkupu, transakcji udzielania lub zaciągania pożyczek papierów wartościowych lub towarów, transakcji z długim terminem rozliczenia oraz transakcji z obowiązkiem uzupełnienia zabezpieczenia kredytowego z zastrzeżeniem ryzyka kredytowego kontrahenta (część trzecia tytuł II rozdziały 4 </w:t>
            </w:r>
            <w:r w:rsidRPr="0043455E">
              <w:t>lub</w:t>
            </w:r>
            <w:r w:rsidR="0043455E" w:rsidRPr="0043455E">
              <w:t> </w:t>
            </w:r>
            <w:r w:rsidRPr="0043455E">
              <w:t>6</w:t>
            </w:r>
            <w:r>
              <w:t xml:space="preserve"> rozporządzenia (UE) </w:t>
            </w:r>
            <w:r w:rsidRPr="0043455E">
              <w:t>nr</w:t>
            </w:r>
            <w:r w:rsidR="0043455E" w:rsidRPr="0043455E">
              <w:t> </w:t>
            </w:r>
            <w:r w:rsidRPr="0043455E">
              <w:t>5</w:t>
            </w:r>
            <w:r>
              <w:t xml:space="preserve">75/2013) pierwotna ekspozycja odpowiada wartości ekspozycji na ryzyko kredytowe kontrahenta (zob. instrukcje do kolumny 0210). </w:t>
            </w:r>
          </w:p>
          <w:p w14:paraId="68C03EBC" w14:textId="08AE5F0B" w:rsidR="00464F34" w:rsidRPr="002A677E" w:rsidRDefault="00464F34" w:rsidP="00487A02">
            <w:pPr>
              <w:pStyle w:val="InstructionsText"/>
              <w:numPr>
                <w:ilvl w:val="0"/>
                <w:numId w:val="32"/>
              </w:numPr>
            </w:pPr>
            <w:r>
              <w:t xml:space="preserve">Wartości ekspozycji w przypadku leasingu podlegają przepisom art. 134 ust. 7 rozporządzenia (UE) </w:t>
            </w:r>
            <w:r w:rsidRPr="0043455E">
              <w:t>nr</w:t>
            </w:r>
            <w:r w:rsidR="0043455E" w:rsidRPr="0043455E">
              <w:t> </w:t>
            </w:r>
            <w:r w:rsidRPr="0043455E">
              <w:t>5</w:t>
            </w:r>
            <w:r>
              <w:t>75/2013. W szczególności wartość rezydualną uwzględnia się według jej wartości księgowej (tj. zdyskontowanej szacunkowej wartości rezydualnej na koniec okresu leasingu).</w:t>
            </w:r>
          </w:p>
          <w:p w14:paraId="3233A098" w14:textId="01B8DB8D" w:rsidR="00464F34" w:rsidRPr="002A677E" w:rsidRDefault="00464F34" w:rsidP="00487A02">
            <w:pPr>
              <w:pStyle w:val="InstructionsText"/>
              <w:numPr>
                <w:ilvl w:val="0"/>
                <w:numId w:val="32"/>
              </w:numPr>
            </w:pPr>
            <w:r>
              <w:t xml:space="preserve">W przypadku kompensowania pozycji bilansowych, jak określono w art. 219 rozporządzenia (UE) </w:t>
            </w:r>
            <w:r w:rsidRPr="0043455E">
              <w:t>nr</w:t>
            </w:r>
            <w:r w:rsidR="0043455E" w:rsidRPr="0043455E">
              <w:t> </w:t>
            </w:r>
            <w:r w:rsidRPr="0043455E">
              <w:t>5</w:t>
            </w:r>
            <w:r>
              <w:t>75/2013, wartości ekspozycji są podawane z uwzględnieniem kwoty otrzymanego zabezpieczenia gotówkowego.</w:t>
            </w:r>
          </w:p>
          <w:p w14:paraId="01A4A916" w14:textId="34D67A8A" w:rsidR="00464F34" w:rsidRPr="002A677E" w:rsidRDefault="00520B00" w:rsidP="00487A02">
            <w:pPr>
              <w:pStyle w:val="InstructionsText"/>
            </w:pPr>
            <w:r>
              <w:t xml:space="preserve">Jeżeli instytucje korzystają z odstępstwa przewidzianego w art. 473a ust. 7a rozporządzenia (UE) </w:t>
            </w:r>
            <w:r w:rsidRPr="0043455E">
              <w:t>nr</w:t>
            </w:r>
            <w:r w:rsidR="0043455E" w:rsidRPr="0043455E">
              <w:t> </w:t>
            </w:r>
            <w:r w:rsidRPr="0043455E">
              <w:t>5</w:t>
            </w:r>
            <w:r>
              <w:t>75/2013, wówczas zgłaszają kwotę AB</w:t>
            </w:r>
            <w:r>
              <w:rPr>
                <w:vertAlign w:val="subscript"/>
              </w:rPr>
              <w:t>SA</w:t>
            </w:r>
            <w:r>
              <w:t>, której przypisuje się wagę ryzyka równą 100 %, w kategorii ekspozycji „Inne pozycje” w tej kolumnie.</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Korekty wartości oraz rezerwy związane z pierwotną ekspozycją</w:t>
            </w:r>
          </w:p>
          <w:p w14:paraId="0B8EFAFB" w14:textId="48B45038"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Art. 24 i 111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073F201E" w14:textId="12220AE7" w:rsidR="00464F34" w:rsidRPr="002A677E" w:rsidRDefault="00464F34" w:rsidP="00880E92">
            <w:pPr>
              <w:pStyle w:val="InstructionsText"/>
            </w:pPr>
            <w:r>
              <w:t>Korekty wartości i rezerwy na wypadek strat kredytowych (korekty z tytułu ryzyka kredytowego zgodnie z art. 110) dokonane zgodnie ze standardami rachunkowości mającymi zastosowanie do jednostki sprawozdającej, a także ostrożnościowe korekty wartości (dodatkowe korekty wartości zgodnie z art. 34 i 105, kwoty odliczone zgodnie z art. 36 ust. 1 lit. m) oraz inne redukcje funduszy własnych związane z danym składnikiem aktywów).</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lastRenderedPageBreak/>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Ekspozycja po odliczeniu korekt wartości i rezerw</w:t>
            </w:r>
          </w:p>
          <w:p w14:paraId="1214FF21" w14:textId="77777777" w:rsidR="00464F34" w:rsidRPr="002A677E" w:rsidRDefault="00464F34" w:rsidP="00487A02">
            <w:pPr>
              <w:pStyle w:val="InstructionsText"/>
            </w:pPr>
            <w:r>
              <w:t>Suma kolumn 0010 i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TECHNIKI OGRANICZANIA RYZYKA KREDYTOWEGO Z UWZGLĘDNIENIEM EFEKTÓW SUBSTYTUCYJNYCH W ODNIESIENIU DO EKSPOZYCJI</w:t>
            </w:r>
          </w:p>
          <w:p w14:paraId="0968A397" w14:textId="3012E8C0" w:rsidR="00464F34" w:rsidRPr="002A677E" w:rsidRDefault="00464F34" w:rsidP="00487A02">
            <w:pPr>
              <w:pStyle w:val="InstructionsText"/>
            </w:pPr>
            <w:r>
              <w:t xml:space="preserve">Techniki ograniczania ryzyka kredytowego zdefiniowane w art. 4 ust. 1 </w:t>
            </w:r>
            <w:r w:rsidRPr="0043455E">
              <w:t>pkt</w:t>
            </w:r>
            <w:r w:rsidR="0043455E" w:rsidRPr="0043455E">
              <w:t> </w:t>
            </w:r>
            <w:r w:rsidRPr="0043455E">
              <w:t>5</w:t>
            </w:r>
            <w:r>
              <w:t xml:space="preserve">7 rozporządzenia (UE) </w:t>
            </w:r>
            <w:r w:rsidRPr="0043455E">
              <w:t>nr</w:t>
            </w:r>
            <w:r w:rsidR="0043455E" w:rsidRPr="0043455E">
              <w:t> </w:t>
            </w:r>
            <w:r w:rsidRPr="0043455E">
              <w:t>5</w:t>
            </w:r>
            <w:r>
              <w:t>75/2013, które zmniejszają ryzyko kredytowe z tytułu ekspozycji poprzez substytucję ekspozycji opisanych poniżej w pozycji „substytucja ekspozycji w wyniku ograniczania ryzyka kredytowego”.</w:t>
            </w:r>
          </w:p>
          <w:p w14:paraId="0E58880A" w14:textId="77777777" w:rsidR="00464F34" w:rsidRPr="002A677E" w:rsidRDefault="00D21B29" w:rsidP="00487A02">
            <w:pPr>
              <w:pStyle w:val="InstructionsText"/>
            </w:pPr>
            <w:r>
              <w:t>Zabezpieczenie, które ma wpływ na wartość ekspozycji (np. gdy jest stosowane dla celów technik ograniczania ryzyka kredytowego z uwzględnieniem efektów substytucyjnych w odniesieniu do ekspozycji), jest ograniczone do wartości ekspozycji.</w:t>
            </w:r>
          </w:p>
          <w:p w14:paraId="7567933D" w14:textId="77777777" w:rsidR="00464F34" w:rsidRPr="002A677E" w:rsidRDefault="00464F34" w:rsidP="00487A02">
            <w:pPr>
              <w:pStyle w:val="InstructionsText"/>
            </w:pPr>
            <w:r>
              <w:t>Należy w tym miejscu zgłosić następujące pozycje:</w:t>
            </w:r>
          </w:p>
          <w:p w14:paraId="2188806D" w14:textId="77777777" w:rsidR="00464F34" w:rsidRPr="002A677E" w:rsidRDefault="00125707" w:rsidP="00487A02">
            <w:pPr>
              <w:pStyle w:val="InstructionsText"/>
            </w:pPr>
            <w:r>
              <w:rPr>
                <w:rFonts w:ascii="Arial" w:hAnsi="Arial"/>
              </w:rPr>
              <w:t>-</w:t>
            </w:r>
            <w:r>
              <w:tab/>
              <w:t>zabezpieczenie uwzględnione zgodnie z uproszczoną metodą ujmowania zabezpieczeń finansowych;</w:t>
            </w:r>
          </w:p>
          <w:p w14:paraId="0CB3936B" w14:textId="77777777" w:rsidR="00464F34" w:rsidRPr="002A677E" w:rsidRDefault="00125707" w:rsidP="00487A02">
            <w:pPr>
              <w:pStyle w:val="InstructionsText"/>
            </w:pPr>
            <w:r>
              <w:rPr>
                <w:rFonts w:ascii="Arial" w:hAnsi="Arial"/>
              </w:rPr>
              <w:t>-</w:t>
            </w:r>
            <w:r>
              <w:tab/>
              <w:t>uznaną ochronę kredytową nierzeczywistą.</w:t>
            </w:r>
          </w:p>
          <w:p w14:paraId="602B1DBA" w14:textId="77777777" w:rsidR="00464F34" w:rsidRPr="002A677E" w:rsidRDefault="00464F34" w:rsidP="00487A02">
            <w:pPr>
              <w:pStyle w:val="InstructionsText"/>
            </w:pPr>
            <w:r>
              <w:t>Zob. również instrukcje w punkcie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Ochrona kredytowa nierzeczywista: wartości skorygowane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725E44A3" w:rsidR="00464F34" w:rsidRPr="002A677E" w:rsidRDefault="00464F34" w:rsidP="00487A02">
            <w:pPr>
              <w:pStyle w:val="InstructionsText"/>
            </w:pPr>
            <w:r>
              <w:t xml:space="preserve">Art. 235 rozporządzenia (UE) </w:t>
            </w:r>
            <w:r w:rsidRPr="0043455E">
              <w:t>nr</w:t>
            </w:r>
            <w:r w:rsidR="0043455E" w:rsidRPr="0043455E">
              <w:t> </w:t>
            </w:r>
            <w:r w:rsidRPr="0043455E">
              <w:t>5</w:t>
            </w:r>
            <w:r>
              <w:t>75/2013</w:t>
            </w:r>
          </w:p>
          <w:p w14:paraId="59592411" w14:textId="25827E8D" w:rsidR="00464F34" w:rsidRPr="002A677E" w:rsidRDefault="00464F34" w:rsidP="00487A02">
            <w:pPr>
              <w:pStyle w:val="InstructionsText"/>
            </w:pPr>
            <w:r>
              <w:t xml:space="preserve">W art. 239 ust. 3 rozporządzenia (UE) </w:t>
            </w:r>
            <w:r w:rsidRPr="0043455E">
              <w:t>nr</w:t>
            </w:r>
            <w:r w:rsidR="0043455E" w:rsidRPr="0043455E">
              <w:t> </w:t>
            </w:r>
            <w:r w:rsidRPr="0043455E">
              <w:t>5</w:t>
            </w:r>
            <w:r>
              <w:t>75/2013 zawarto wzór stosowany do obliczania wartości skorygowanej G</w:t>
            </w:r>
            <w:r>
              <w:rPr>
                <w:vertAlign w:val="subscript"/>
              </w:rPr>
              <w:t>A</w:t>
            </w:r>
            <w:r>
              <w:t xml:space="preserve"> ochrony kredytowej nierzeczywistej.</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Gwarancje</w:t>
            </w:r>
          </w:p>
          <w:p w14:paraId="5C81EB19" w14:textId="48A6B3B9" w:rsidR="00464F34" w:rsidRPr="002A677E" w:rsidRDefault="00464F34" w:rsidP="00487A02">
            <w:pPr>
              <w:pStyle w:val="InstructionsText"/>
            </w:pPr>
            <w:r>
              <w:t xml:space="preserve">Art. 203 rozporządzenia (UE) </w:t>
            </w:r>
            <w:r w:rsidRPr="0043455E">
              <w:t>nr</w:t>
            </w:r>
            <w:r w:rsidR="0043455E" w:rsidRPr="0043455E">
              <w:t> </w:t>
            </w:r>
            <w:r w:rsidRPr="0043455E">
              <w:t>5</w:t>
            </w:r>
            <w:r>
              <w:t>75/2013</w:t>
            </w:r>
          </w:p>
          <w:p w14:paraId="7F24FA9D" w14:textId="7FD9A390" w:rsidR="00464F34" w:rsidRPr="002A677E" w:rsidRDefault="00464F34" w:rsidP="00880E92">
            <w:pPr>
              <w:pStyle w:val="InstructionsText"/>
              <w:rPr>
                <w:b/>
                <w:u w:val="single"/>
              </w:rPr>
            </w:pPr>
            <w:r>
              <w:t xml:space="preserve">Ochrona kredytowa nierzeczywista zgodnie z art. 4 ust. 1 </w:t>
            </w:r>
            <w:r w:rsidRPr="0043455E">
              <w:t>pkt</w:t>
            </w:r>
            <w:r w:rsidR="0043455E" w:rsidRPr="0043455E">
              <w:t> </w:t>
            </w:r>
            <w:r w:rsidRPr="0043455E">
              <w:t>5</w:t>
            </w:r>
            <w:r>
              <w:t xml:space="preserve">9 rozporządzenia (UE) </w:t>
            </w:r>
            <w:r w:rsidRPr="0043455E">
              <w:t>nr</w:t>
            </w:r>
            <w:r w:rsidR="0043455E" w:rsidRPr="0043455E">
              <w:t> </w:t>
            </w:r>
            <w:r w:rsidRPr="0043455E">
              <w:t>5</w:t>
            </w:r>
            <w:r>
              <w:t>75/2013, która nie obejmuje kredytowych instrumentów pochodnych.</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Kredytowe instrumenty pochodne</w:t>
            </w:r>
          </w:p>
          <w:p w14:paraId="2BEDC770" w14:textId="46A3A452" w:rsidR="00464F34" w:rsidRPr="002A677E" w:rsidRDefault="00464F34" w:rsidP="00487A02">
            <w:pPr>
              <w:pStyle w:val="InstructionsText"/>
              <w:rPr>
                <w:b/>
                <w:u w:val="single"/>
              </w:rPr>
            </w:pPr>
            <w:r>
              <w:t xml:space="preserve">Art. 204 rozporządzenia (UE) </w:t>
            </w:r>
            <w:r w:rsidRPr="0043455E">
              <w:t>nr</w:t>
            </w:r>
            <w:r w:rsidR="0043455E" w:rsidRPr="0043455E">
              <w:t> </w:t>
            </w:r>
            <w:r w:rsidRPr="0043455E">
              <w:t>5</w:t>
            </w:r>
            <w:r>
              <w:t>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Ochrona kredytowa rzeczywista</w:t>
            </w:r>
          </w:p>
          <w:p w14:paraId="7B8B9DDE" w14:textId="3D905685" w:rsidR="00464F34" w:rsidRPr="002A677E" w:rsidRDefault="009C44E7" w:rsidP="00487A02">
            <w:pPr>
              <w:pStyle w:val="InstructionsText"/>
            </w:pPr>
            <w:r>
              <w:t xml:space="preserve">Te kolumny odnoszą się do ochrony kredytowej rzeczywistej zdefiniowanej w art. 4 ust. 1 </w:t>
            </w:r>
            <w:r w:rsidRPr="0043455E">
              <w:t>pkt</w:t>
            </w:r>
            <w:r w:rsidR="0043455E" w:rsidRPr="0043455E">
              <w:t> </w:t>
            </w:r>
            <w:r w:rsidRPr="0043455E">
              <w:t>5</w:t>
            </w:r>
            <w:r>
              <w:t xml:space="preserve">8 rozporządzenia (UE) </w:t>
            </w:r>
            <w:r w:rsidRPr="0043455E">
              <w:t>nr</w:t>
            </w:r>
            <w:r w:rsidR="0043455E" w:rsidRPr="0043455E">
              <w:t> </w:t>
            </w:r>
            <w:r w:rsidRPr="0043455E">
              <w:t>5</w:t>
            </w:r>
            <w:r>
              <w:t>75/2013 oraz podlegającej przepisom określonym w art. 196, 197 i 200 tego rozporządzenia. Kwoty nie obejmują umów ramowych o kompensowaniu zobowiązań (umowy te są już uwzględnione w pierwotnej ekspozycji przed uwzględnieniem współczynników konwersji).</w:t>
            </w:r>
          </w:p>
          <w:p w14:paraId="36344E73" w14:textId="6DF0CAF8" w:rsidR="00464F34" w:rsidRPr="002A677E" w:rsidRDefault="00167619" w:rsidP="00487A02">
            <w:pPr>
              <w:pStyle w:val="InstructionsText"/>
            </w:pPr>
            <w:r>
              <w:t xml:space="preserve">Inwestycje w obligacje powiązane z ryzykiem kredytowym, o których mowa w art. 218 rozporządzenia (UE) </w:t>
            </w:r>
            <w:r w:rsidRPr="0043455E">
              <w:t>nr</w:t>
            </w:r>
            <w:r w:rsidR="0043455E" w:rsidRPr="0043455E">
              <w:t> </w:t>
            </w:r>
            <w:r w:rsidRPr="0043455E">
              <w:t>5</w:t>
            </w:r>
            <w:r>
              <w:t xml:space="preserve">75/2013, oraz bilansowe pozycje kompensujące wynikające z uznanych umów o kompensowaniu pozycji bilansowych, o których mowa w art. 219 rozporządzenia (UE) </w:t>
            </w:r>
            <w:r w:rsidRPr="0043455E">
              <w:t>nr</w:t>
            </w:r>
            <w:r w:rsidR="0043455E" w:rsidRPr="0043455E">
              <w:t> </w:t>
            </w:r>
            <w:r w:rsidRPr="0043455E">
              <w:t>5</w:t>
            </w:r>
            <w:r>
              <w:t>75/2013, traktuje się jak zabezpieczenie gotówkowe.</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Zabezpieczenie finansowe: metoda uproszczona</w:t>
            </w:r>
          </w:p>
          <w:p w14:paraId="3CED9ED4" w14:textId="395A1A6C" w:rsidR="00464F34" w:rsidRPr="002A677E" w:rsidRDefault="00464F34" w:rsidP="00487A02">
            <w:pPr>
              <w:pStyle w:val="InstructionsText"/>
            </w:pPr>
            <w:r>
              <w:t xml:space="preserve">Art. 222 </w:t>
            </w:r>
            <w:r w:rsidRPr="0043455E">
              <w:t>ust.</w:t>
            </w:r>
            <w:r w:rsidR="0043455E" w:rsidRPr="0043455E">
              <w:t> </w:t>
            </w:r>
            <w:r w:rsidRPr="0043455E">
              <w:t>1</w:t>
            </w:r>
            <w:r>
              <w:t xml:space="preserve"> i 2 rozporządzenia (UE) </w:t>
            </w:r>
            <w:r w:rsidRPr="0043455E">
              <w:t>nr</w:t>
            </w:r>
            <w:r w:rsidR="0043455E" w:rsidRPr="0043455E">
              <w:t> </w:t>
            </w:r>
            <w:r w:rsidRPr="0043455E">
              <w:t>5</w:t>
            </w:r>
            <w:r>
              <w:t>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Inne rodzaje ochrony kredytowej rzeczywistej</w:t>
            </w:r>
          </w:p>
          <w:p w14:paraId="2B609CD6" w14:textId="36E53972" w:rsidR="00464F34" w:rsidRPr="002A677E" w:rsidRDefault="00464F34" w:rsidP="00487A02">
            <w:pPr>
              <w:pStyle w:val="InstructionsText"/>
            </w:pPr>
            <w:r>
              <w:lastRenderedPageBreak/>
              <w:t xml:space="preserve">Art. 232 rozporządzenia (UE) </w:t>
            </w:r>
            <w:r w:rsidRPr="0043455E">
              <w:t>nr</w:t>
            </w:r>
            <w:r w:rsidR="0043455E" w:rsidRPr="0043455E">
              <w:t> </w:t>
            </w:r>
            <w:r w:rsidRPr="0043455E">
              <w:t>5</w:t>
            </w:r>
            <w:r>
              <w:t>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lastRenderedPageBreak/>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SUBSTYTUCJA EKSPOZYCJI W WYNIKU OGRANICZANIA RYZYKA KREDYTOWEGO</w:t>
            </w:r>
          </w:p>
          <w:p w14:paraId="1197E4D0" w14:textId="4915676A" w:rsidR="00464F34" w:rsidRPr="002A677E" w:rsidRDefault="00464F34" w:rsidP="00487A02">
            <w:pPr>
              <w:pStyle w:val="InstructionsText"/>
            </w:pPr>
            <w:r>
              <w:t xml:space="preserve">Art. 222 </w:t>
            </w:r>
            <w:r w:rsidRPr="0043455E">
              <w:t>ust.</w:t>
            </w:r>
            <w:r w:rsidR="0043455E" w:rsidRPr="0043455E">
              <w:t> </w:t>
            </w:r>
            <w:r w:rsidRPr="0043455E">
              <w:t>3</w:t>
            </w:r>
            <w:r>
              <w:t xml:space="preserve">, </w:t>
            </w:r>
            <w:r w:rsidRPr="0043455E">
              <w:t>art.</w:t>
            </w:r>
            <w:r w:rsidR="0043455E" w:rsidRPr="0043455E">
              <w:t> </w:t>
            </w:r>
            <w:r w:rsidRPr="0043455E">
              <w:t>2</w:t>
            </w:r>
            <w:r>
              <w:t xml:space="preserve">35 </w:t>
            </w:r>
            <w:r w:rsidRPr="0043455E">
              <w:t>ust.</w:t>
            </w:r>
            <w:r w:rsidR="0043455E" w:rsidRPr="0043455E">
              <w:t> </w:t>
            </w:r>
            <w:r w:rsidRPr="0043455E">
              <w:t>1</w:t>
            </w:r>
            <w:r>
              <w:t xml:space="preserve"> i 2 oraz </w:t>
            </w:r>
            <w:r w:rsidRPr="0043455E">
              <w:t>art.</w:t>
            </w:r>
            <w:r w:rsidR="0043455E" w:rsidRPr="0043455E">
              <w:t> </w:t>
            </w:r>
            <w:r w:rsidRPr="0043455E">
              <w:t>2</w:t>
            </w:r>
            <w:r>
              <w:t xml:space="preserve">36 rozporządzenia (UE) </w:t>
            </w:r>
            <w:r w:rsidRPr="0043455E">
              <w:t>nr</w:t>
            </w:r>
            <w:r w:rsidR="0043455E" w:rsidRPr="0043455E">
              <w:t> </w:t>
            </w:r>
            <w:r w:rsidRPr="0043455E">
              <w:t>5</w:t>
            </w:r>
            <w:r>
              <w:t>75/2013</w:t>
            </w:r>
          </w:p>
          <w:p w14:paraId="0B31BCA2" w14:textId="77777777" w:rsidR="00464F34" w:rsidRPr="002A677E" w:rsidRDefault="00464F34" w:rsidP="00487A02">
            <w:pPr>
              <w:pStyle w:val="InstructionsText"/>
            </w:pPr>
            <w:r>
              <w:t>Wypływy odpowiadają zabezpieczonej części pierwotnej ekspozycji przed uwzględnieniem współczynników konwersji, którą to część odlicza się od kategorii ekspozycji dłużnika, a następnie przypisuje kategorii ekspozycji dostawcy ochrony kredytowej. Kwotę tę uznaje się za wpływ do kategorii ekspozycji dostawcy ochrony kredytowej.</w:t>
            </w:r>
          </w:p>
          <w:p w14:paraId="0E1E47C1" w14:textId="77777777" w:rsidR="00464F34" w:rsidRPr="002A677E" w:rsidRDefault="00464F34" w:rsidP="00487A02">
            <w:pPr>
              <w:pStyle w:val="InstructionsText"/>
              <w:rPr>
                <w:b/>
              </w:rPr>
            </w:pPr>
            <w:r>
              <w:t>Zgłasza się również wpływy i wypływy w obrębie tych samych kategorii ekspozycji.</w:t>
            </w:r>
          </w:p>
          <w:p w14:paraId="3AB373BB" w14:textId="77777777" w:rsidR="00464F34" w:rsidRPr="002A677E" w:rsidRDefault="00464F34" w:rsidP="00487A02">
            <w:pPr>
              <w:pStyle w:val="InstructionsText"/>
            </w:pPr>
            <w:r>
              <w:t>Uwzględnia się ekspozycje wynikające z ewentualnych wpływów i wypływów w odniesieniu do innych wzorów.</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EKSPOZYCJA NETTO PO UWZGLĘDNIENIU EFEKTÓW SUBSTYTUCYJNYCH ZWIĄZANYCH Z OGRANICZANIEM RYZYKA KREDYTOWEGO PRZED UWZGLĘDNIENIEM WSPÓŁCZYNNIKÓW KONWERSJI</w:t>
            </w:r>
          </w:p>
          <w:p w14:paraId="2BB7B7FF" w14:textId="77777777" w:rsidR="00464F34" w:rsidRPr="002A677E" w:rsidRDefault="00464F34" w:rsidP="00487A02">
            <w:pPr>
              <w:pStyle w:val="InstructionsText"/>
            </w:pPr>
            <w:r>
              <w:t>Kwota ekspozycji po odliczeniu korekt wartości i po uwzględnieniu wypływów i wpływów wynikających z TECHNIK OGRANICZANIA RYZYKA KREDYTOWEGO Z UWZGLĘDNIENIEM EFEKTÓW SUBSTYTUCYJNYCH W ODNIESIENIU DO EKSPOZYCJI</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TECHNIKI OGRANICZANIA RYZYKA KREDYTOWEGO MAJĄCE WPŁYW NA KWOTĘ EKSPOZYCJI: OCHRONA KREDYTOWA RZECZYWISTA, KOMPLEKSOWA METODA UJMOWANIA ZABEZPIECZEŃ FINANSOWYCH</w:t>
            </w:r>
          </w:p>
          <w:p w14:paraId="2E94B8BA" w14:textId="574297BB" w:rsidR="00464F34" w:rsidRPr="002A677E" w:rsidRDefault="00464F34" w:rsidP="00487A02">
            <w:pPr>
              <w:pStyle w:val="InstructionsText"/>
            </w:pPr>
            <w:r>
              <w:t xml:space="preserve">Art. 223–228 rozporządzenia (UE) </w:t>
            </w:r>
            <w:r w:rsidRPr="0043455E">
              <w:t>nr</w:t>
            </w:r>
            <w:r w:rsidR="0043455E" w:rsidRPr="0043455E">
              <w:t> </w:t>
            </w:r>
            <w:r w:rsidRPr="0043455E">
              <w:t>5</w:t>
            </w:r>
            <w:r>
              <w:t xml:space="preserve">75/2013. Pozycja ta obejmuje także obligacje powiązane z ryzykiem kredytowym (art. 218 rozporządzenia (UE) </w:t>
            </w:r>
            <w:r w:rsidRPr="0043455E">
              <w:t>nr</w:t>
            </w:r>
            <w:r w:rsidR="0043455E" w:rsidRPr="0043455E">
              <w:t> </w:t>
            </w:r>
            <w:r w:rsidRPr="0043455E">
              <w:t>5</w:t>
            </w:r>
            <w:r>
              <w:t>75/2013).</w:t>
            </w:r>
          </w:p>
          <w:p w14:paraId="1A7F7A69" w14:textId="5F59F5AE" w:rsidR="00464F34" w:rsidRPr="002A677E" w:rsidRDefault="00464F34" w:rsidP="00487A02">
            <w:pPr>
              <w:pStyle w:val="InstructionsText"/>
            </w:pPr>
            <w:r>
              <w:t xml:space="preserve">Obligacje powiązane z ryzykiem kredytowym, o których mowa w art. 218 rozporządzenia (UE) </w:t>
            </w:r>
            <w:r w:rsidRPr="0043455E">
              <w:t>nr</w:t>
            </w:r>
            <w:r w:rsidR="0043455E" w:rsidRPr="0043455E">
              <w:t> </w:t>
            </w:r>
            <w:r w:rsidRPr="0043455E">
              <w:t>5</w:t>
            </w:r>
            <w:r>
              <w:t>75/2013, oraz bilansowe pozycje kompensujące wynikające z uznanych umów o kompensowaniu pozycji bilansowych, o których mowa w art. 219 tego rozporządzenia, traktuje się jak zabezpieczenie gotówkowe.</w:t>
            </w:r>
          </w:p>
          <w:p w14:paraId="2787C285" w14:textId="5219D7F0" w:rsidR="00464F34" w:rsidRPr="002A677E" w:rsidRDefault="00464F34" w:rsidP="00487A02">
            <w:pPr>
              <w:pStyle w:val="InstructionsText"/>
            </w:pPr>
            <w:r>
              <w:t xml:space="preserve">Efekt zabezpieczenia wynikający z kompleksowej metody ujmowania zabezpieczeń finansowych zastosowanej w odniesieniu do ekspozycji, która jest zabezpieczona uznanym zabezpieczeniem finansowym, oblicza się zgodnie z art. 223–228 rozporządzenia (UE) </w:t>
            </w:r>
            <w:r w:rsidRPr="0043455E">
              <w:t>nr</w:t>
            </w:r>
            <w:r w:rsidR="0043455E" w:rsidRPr="0043455E">
              <w:t> </w:t>
            </w:r>
            <w:r w:rsidRPr="0043455E">
              <w:t>5</w:t>
            </w:r>
            <w:r>
              <w:t xml:space="preserve">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Korekta z tytułu zmienności ekspozycji</w:t>
            </w:r>
          </w:p>
          <w:p w14:paraId="3FFA72EF" w14:textId="11C0DA44" w:rsidR="00464F34" w:rsidRPr="002A677E" w:rsidRDefault="00464F34" w:rsidP="00487A02">
            <w:pPr>
              <w:pStyle w:val="InstructionsText"/>
            </w:pPr>
            <w:r>
              <w:t xml:space="preserve">Art. 223 </w:t>
            </w:r>
            <w:r w:rsidRPr="0043455E">
              <w:t>ust.</w:t>
            </w:r>
            <w:r w:rsidR="0043455E" w:rsidRPr="0043455E">
              <w:t> </w:t>
            </w:r>
            <w:r w:rsidRPr="0043455E">
              <w:t>2</w:t>
            </w:r>
            <w:r>
              <w:t xml:space="preserve"> i 3 rozporządzenia (UE) </w:t>
            </w:r>
            <w:r w:rsidRPr="0043455E">
              <w:t>nr</w:t>
            </w:r>
            <w:r w:rsidR="0043455E" w:rsidRPr="0043455E">
              <w:t> </w:t>
            </w:r>
            <w:r w:rsidRPr="0043455E">
              <w:t>5</w:t>
            </w:r>
            <w:r>
              <w:t>75/2013.</w:t>
            </w:r>
          </w:p>
          <w:p w14:paraId="06181C16" w14:textId="77777777" w:rsidR="00464F34" w:rsidRPr="002A677E" w:rsidRDefault="00464F34" w:rsidP="00487A02">
            <w:pPr>
              <w:pStyle w:val="InstructionsText"/>
            </w:pPr>
            <w:r>
              <w:t>Kwotą, którą należy zgłosić, jest skutek korekty z tytułu zmienności ekspozycji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Zabezpieczenie finansowe: wartość skorygowana (Cvam)</w:t>
            </w:r>
          </w:p>
          <w:p w14:paraId="34C0DD05" w14:textId="0BF3760F" w:rsidR="00464F34" w:rsidRPr="002A677E" w:rsidRDefault="00464F34" w:rsidP="00487A02">
            <w:pPr>
              <w:pStyle w:val="InstructionsText"/>
            </w:pPr>
            <w:r>
              <w:t xml:space="preserve">Art. 239 </w:t>
            </w:r>
            <w:r w:rsidRPr="0043455E">
              <w:t>ust.</w:t>
            </w:r>
            <w:r w:rsidR="0043455E" w:rsidRPr="0043455E">
              <w:t> </w:t>
            </w:r>
            <w:r w:rsidRPr="0043455E">
              <w:t>2</w:t>
            </w:r>
            <w:r>
              <w:t xml:space="preserve"> rozporządzenia (UE) </w:t>
            </w:r>
            <w:r w:rsidRPr="0043455E">
              <w:t>nr</w:t>
            </w:r>
            <w:r w:rsidR="0043455E" w:rsidRPr="0043455E">
              <w:t> </w:t>
            </w:r>
            <w:r w:rsidRPr="0043455E">
              <w:t>5</w:t>
            </w:r>
            <w:r>
              <w:t>75/2013.</w:t>
            </w:r>
          </w:p>
          <w:p w14:paraId="65EBCE20" w14:textId="541D2B42" w:rsidR="00464F34" w:rsidRPr="002A677E" w:rsidRDefault="00464F34" w:rsidP="00487A02">
            <w:pPr>
              <w:pStyle w:val="InstructionsText"/>
            </w:pPr>
            <w:r>
              <w:t xml:space="preserve">W przypadku operacji portfela handlowego uwzględnia się zabezpieczenie finansowe i towary kwalifikujące się do ekspozycji zaliczanych do portfela handlowego zgodnie z art. 299 ust. 2 lit. c)–f) rozporządzenia (UE) </w:t>
            </w:r>
            <w:r w:rsidRPr="0043455E">
              <w:t>nr</w:t>
            </w:r>
            <w:r w:rsidR="0043455E" w:rsidRPr="0043455E">
              <w:t> </w:t>
            </w:r>
            <w:r w:rsidRPr="0043455E">
              <w:t>5</w:t>
            </w:r>
            <w:r>
              <w:t xml:space="preserve">75/2013. </w:t>
            </w:r>
          </w:p>
          <w:p w14:paraId="224F7C24" w14:textId="7AF1B1CB" w:rsidR="00464F34" w:rsidRPr="002A677E" w:rsidRDefault="00464F34" w:rsidP="00F37BEE">
            <w:pPr>
              <w:pStyle w:val="InstructionsText"/>
            </w:pPr>
            <w:r>
              <w:lastRenderedPageBreak/>
              <w:t xml:space="preserve">Kwota, którą należy zgłosić, odpowiada Cvam = C*(1-Hc-Hfx)*(t-t*)/(T-t*). Definicje C, Hc, Hfx, t, T i t* znajdują się w części trzeciej tytuł II rozdział 4 sekcje 4 i 5 rozporządzenia (UE) </w:t>
            </w:r>
            <w:r w:rsidRPr="0043455E">
              <w:t>nr</w:t>
            </w:r>
            <w:r w:rsidR="0043455E" w:rsidRPr="0043455E">
              <w:t> </w:t>
            </w:r>
            <w:r w:rsidRPr="0043455E">
              <w:t>5</w:t>
            </w:r>
            <w:r>
              <w:t>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lastRenderedPageBreak/>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W tym: korekty z tytułu zmienności i korekty terminu zapadalności</w:t>
            </w:r>
          </w:p>
          <w:p w14:paraId="2BEC8E2C" w14:textId="12FB97BA" w:rsidR="00464F34" w:rsidRPr="002A677E" w:rsidRDefault="00464F34" w:rsidP="00487A02">
            <w:pPr>
              <w:pStyle w:val="InstructionsText"/>
            </w:pPr>
            <w:r>
              <w:t xml:space="preserve">Art. 223 </w:t>
            </w:r>
            <w:r w:rsidRPr="0043455E">
              <w:t>ust.</w:t>
            </w:r>
            <w:r w:rsidR="0043455E" w:rsidRPr="0043455E">
              <w:t> </w:t>
            </w:r>
            <w:r w:rsidRPr="0043455E">
              <w:t>1</w:t>
            </w:r>
            <w:r>
              <w:t xml:space="preserve"> rozporządzenia (UE) </w:t>
            </w:r>
            <w:r w:rsidRPr="0043455E">
              <w:t>nr</w:t>
            </w:r>
            <w:r w:rsidR="0043455E" w:rsidRPr="0043455E">
              <w:t> </w:t>
            </w:r>
            <w:r w:rsidRPr="0043455E">
              <w:t>5</w:t>
            </w:r>
            <w:r>
              <w:t xml:space="preserve">75/2013 i </w:t>
            </w:r>
            <w:r w:rsidRPr="0043455E">
              <w:t>art.</w:t>
            </w:r>
            <w:r w:rsidR="0043455E" w:rsidRPr="0043455E">
              <w:t> </w:t>
            </w:r>
            <w:r w:rsidRPr="0043455E">
              <w:t>2</w:t>
            </w:r>
            <w:r>
              <w:t xml:space="preserve">39 </w:t>
            </w:r>
            <w:r w:rsidRPr="0043455E">
              <w:t>ust.</w:t>
            </w:r>
            <w:r w:rsidR="0043455E" w:rsidRPr="0043455E">
              <w:t> </w:t>
            </w:r>
            <w:r w:rsidRPr="0043455E">
              <w:t>2</w:t>
            </w:r>
            <w:r>
              <w:t xml:space="preserve"> tego rozporządzenia. </w:t>
            </w:r>
          </w:p>
          <w:p w14:paraId="2D170055" w14:textId="77777777" w:rsidR="00464F34" w:rsidRPr="002A677E" w:rsidRDefault="00464F34" w:rsidP="00487A02">
            <w:pPr>
              <w:pStyle w:val="InstructionsText"/>
            </w:pPr>
            <w:r>
              <w:t>Kwotą, którą należy zgłosić, jest łączny skutek korekt z tytułu zmienności i korekt terminu zapadalności (Cvam-C) = C*[(1-Hc-Hfx)*(t-t*)/(T-t*)-1], gdzie skutek korekt z tytułu zmienności to (Cva-C) = C*[(1-Hc-Hfx)-1], a skutek korekt terminu zapadalności to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W pełni skorygowana wartość ekspozycji (E*)</w:t>
            </w:r>
          </w:p>
          <w:p w14:paraId="4953760F" w14:textId="589F2C33" w:rsidR="00464F34" w:rsidRPr="001235ED" w:rsidRDefault="00464F34" w:rsidP="00487A02">
            <w:pPr>
              <w:pStyle w:val="InstructionsText"/>
              <w:rPr>
                <w:b/>
                <w:u w:val="single"/>
              </w:rPr>
            </w:pPr>
            <w:r>
              <w:t xml:space="preserve">Art. 220 </w:t>
            </w:r>
            <w:r w:rsidRPr="0043455E">
              <w:t>ust.</w:t>
            </w:r>
            <w:r w:rsidR="0043455E" w:rsidRPr="0043455E">
              <w:t> </w:t>
            </w:r>
            <w:r w:rsidRPr="0043455E">
              <w:t>4</w:t>
            </w:r>
            <w:r>
              <w:t xml:space="preserve">, </w:t>
            </w:r>
            <w:r w:rsidRPr="0043455E">
              <w:t>art.</w:t>
            </w:r>
            <w:r w:rsidR="0043455E" w:rsidRPr="0043455E">
              <w:t> </w:t>
            </w:r>
            <w:r w:rsidRPr="0043455E">
              <w:t>2</w:t>
            </w:r>
            <w:r>
              <w:t xml:space="preserve">23 </w:t>
            </w:r>
            <w:r w:rsidRPr="0043455E">
              <w:t>ust.</w:t>
            </w:r>
            <w:r w:rsidR="0043455E" w:rsidRPr="0043455E">
              <w:t> </w:t>
            </w:r>
            <w:r w:rsidRPr="0043455E">
              <w:t>2</w:t>
            </w:r>
            <w:r>
              <w:t xml:space="preserve">–5 oraz </w:t>
            </w:r>
            <w:r w:rsidRPr="0043455E">
              <w:t>art.</w:t>
            </w:r>
            <w:r w:rsidR="0043455E" w:rsidRPr="0043455E">
              <w:t> </w:t>
            </w:r>
            <w:r w:rsidRPr="0043455E">
              <w:t>2</w:t>
            </w:r>
            <w:r>
              <w:t xml:space="preserve">28 </w:t>
            </w:r>
            <w:r w:rsidRPr="0043455E">
              <w:t>ust.</w:t>
            </w:r>
            <w:r w:rsidR="0043455E" w:rsidRPr="0043455E">
              <w:t> </w:t>
            </w:r>
            <w:r w:rsidRPr="0043455E">
              <w:t>1</w:t>
            </w:r>
            <w:r>
              <w:t xml:space="preserve"> rozporządzenia (UE) </w:t>
            </w:r>
            <w:r w:rsidRPr="0043455E">
              <w:t>nr</w:t>
            </w:r>
            <w:r w:rsidR="0043455E" w:rsidRPr="0043455E">
              <w:t> </w:t>
            </w:r>
            <w:r w:rsidRPr="0043455E">
              <w:t>5</w:t>
            </w:r>
            <w:r>
              <w:t>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Podział w pełni skorygowanej wartości ekspozycji w pozycjach pozabilansowych według współczynników konwersji</w:t>
            </w:r>
          </w:p>
          <w:p w14:paraId="7931F456" w14:textId="0BEF750B" w:rsidR="00464F34" w:rsidRPr="002A677E" w:rsidRDefault="00464F34" w:rsidP="00487A02">
            <w:pPr>
              <w:pStyle w:val="InstructionsText"/>
            </w:pPr>
            <w:r>
              <w:t xml:space="preserve">Art. 111 </w:t>
            </w:r>
            <w:r w:rsidRPr="0043455E">
              <w:t>ust.</w:t>
            </w:r>
            <w:r w:rsidR="0043455E" w:rsidRPr="0043455E">
              <w:t> </w:t>
            </w:r>
            <w:r w:rsidRPr="0043455E">
              <w:t>1</w:t>
            </w:r>
            <w:r>
              <w:t xml:space="preserve"> i </w:t>
            </w:r>
            <w:r w:rsidRPr="0043455E">
              <w:t>art.</w:t>
            </w:r>
            <w:r w:rsidR="0043455E" w:rsidRPr="0043455E">
              <w:t> </w:t>
            </w:r>
            <w:r w:rsidRPr="0043455E">
              <w:t>4</w:t>
            </w:r>
            <w:r>
              <w:t xml:space="preserve"> </w:t>
            </w:r>
            <w:r w:rsidRPr="0043455E">
              <w:t>ust.</w:t>
            </w:r>
            <w:r w:rsidR="0043455E" w:rsidRPr="0043455E">
              <w:t> </w:t>
            </w:r>
            <w:r w:rsidRPr="0043455E">
              <w:t>1</w:t>
            </w:r>
            <w:r>
              <w:t xml:space="preserve"> </w:t>
            </w:r>
            <w:r w:rsidRPr="0043455E">
              <w:t>pkt</w:t>
            </w:r>
            <w:r w:rsidR="0043455E" w:rsidRPr="0043455E">
              <w:t> </w:t>
            </w:r>
            <w:r w:rsidRPr="0043455E">
              <w:t>5</w:t>
            </w:r>
            <w:r>
              <w:t xml:space="preserve">6 rozporządzenia (UE) </w:t>
            </w:r>
            <w:r w:rsidRPr="0043455E">
              <w:t>nr</w:t>
            </w:r>
            <w:r w:rsidR="0043455E" w:rsidRPr="0043455E">
              <w:t> </w:t>
            </w:r>
            <w:r w:rsidRPr="0043455E">
              <w:t>5</w:t>
            </w:r>
            <w:r>
              <w:t xml:space="preserve">75/2013. Zob. także art. 222 </w:t>
            </w:r>
            <w:r w:rsidRPr="0043455E">
              <w:t>ust.</w:t>
            </w:r>
            <w:r w:rsidR="0043455E" w:rsidRPr="0043455E">
              <w:t> </w:t>
            </w:r>
            <w:r w:rsidRPr="0043455E">
              <w:t>3</w:t>
            </w:r>
            <w:r>
              <w:t xml:space="preserve"> i </w:t>
            </w:r>
            <w:r w:rsidRPr="0043455E">
              <w:t>art.</w:t>
            </w:r>
            <w:r w:rsidR="0043455E" w:rsidRPr="0043455E">
              <w:t> </w:t>
            </w:r>
            <w:r w:rsidRPr="0043455E">
              <w:t>2</w:t>
            </w:r>
            <w:r>
              <w:t xml:space="preserve">28 </w:t>
            </w:r>
            <w:r w:rsidRPr="0043455E">
              <w:t>ust.</w:t>
            </w:r>
            <w:r w:rsidR="0043455E" w:rsidRPr="0043455E">
              <w:t> </w:t>
            </w:r>
            <w:r w:rsidRPr="0043455E">
              <w:t>1</w:t>
            </w:r>
            <w:r>
              <w:t xml:space="preserve"> rozporządzenia (UE) </w:t>
            </w:r>
            <w:r w:rsidRPr="0043455E">
              <w:t>nr</w:t>
            </w:r>
            <w:r w:rsidR="0043455E" w:rsidRPr="0043455E">
              <w:t> </w:t>
            </w:r>
            <w:r w:rsidRPr="0043455E">
              <w:t>5</w:t>
            </w:r>
            <w:r>
              <w:t>75/2013.</w:t>
            </w:r>
          </w:p>
          <w:p w14:paraId="0C778F2A" w14:textId="77777777" w:rsidR="000A4C10" w:rsidRPr="002A677E" w:rsidRDefault="000A4C10" w:rsidP="00487A02">
            <w:pPr>
              <w:pStyle w:val="InstructionsText"/>
              <w:rPr>
                <w:b/>
                <w:u w:val="single"/>
              </w:rPr>
            </w:pPr>
            <w:r>
              <w:t>Zgłaszać należy w pełni skorygowane wartości ekspozycji przed zastosowaniem współczynnika konwersji.</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Wartość ekspozycji</w:t>
            </w:r>
          </w:p>
          <w:p w14:paraId="6DF8082E" w14:textId="02F7F0C1" w:rsidR="00464F34" w:rsidRPr="002A677E" w:rsidRDefault="00531FC9" w:rsidP="00487A02">
            <w:pPr>
              <w:pStyle w:val="InstructionsText"/>
            </w:pPr>
            <w:r>
              <w:t xml:space="preserve">Art. 111 rozporządzenia (UE) </w:t>
            </w:r>
            <w:r w:rsidRPr="0043455E">
              <w:t>nr</w:t>
            </w:r>
            <w:r w:rsidR="0043455E" w:rsidRPr="0043455E">
              <w:t> </w:t>
            </w:r>
            <w:r w:rsidRPr="0043455E">
              <w:t>5</w:t>
            </w:r>
            <w:r>
              <w:t>75/2013 oraz część trzecia tytuł II rozdział 4 sekcja 4 tego rozporządzenia.</w:t>
            </w:r>
          </w:p>
          <w:p w14:paraId="5F5EABA5" w14:textId="19051688" w:rsidR="00464F34" w:rsidRPr="002A677E" w:rsidRDefault="00464F34" w:rsidP="00487A02">
            <w:pPr>
              <w:pStyle w:val="InstructionsText"/>
            </w:pPr>
            <w:r>
              <w:t xml:space="preserve">Wartość ekspozycji po uwzględnieniu korekty wartości, wszystkich środków ograniczania ryzyka kredytowego i współczynników konwersji kredytowej, którą to wartość należy przypisać wagom ryzyka zgodnie z art. 113 oraz częścią trzecią tytuł II rozdział 2 sekcja 2 rozporządzenia (UE) </w:t>
            </w:r>
            <w:r w:rsidRPr="0043455E">
              <w:t>nr</w:t>
            </w:r>
            <w:r w:rsidR="0043455E" w:rsidRPr="0043455E">
              <w:t> </w:t>
            </w:r>
            <w:r w:rsidRPr="0043455E">
              <w:t>5</w:t>
            </w:r>
            <w:r>
              <w:t>75/2013.</w:t>
            </w:r>
          </w:p>
          <w:p w14:paraId="4DEBB82D" w14:textId="3024F13D" w:rsidR="0029630E" w:rsidRPr="002A677E" w:rsidRDefault="0029630E" w:rsidP="00487A02">
            <w:pPr>
              <w:pStyle w:val="InstructionsText"/>
            </w:pPr>
            <w:r>
              <w:t xml:space="preserve">Wartości ekspozycji w przypadku leasingu podlegają przepisom art. 134 ust. 7 rozporządzenia (UE) </w:t>
            </w:r>
            <w:r w:rsidRPr="0043455E">
              <w:t>nr</w:t>
            </w:r>
            <w:r w:rsidR="0043455E" w:rsidRPr="0043455E">
              <w:t> </w:t>
            </w:r>
            <w:r w:rsidRPr="0043455E">
              <w:t>5</w:t>
            </w:r>
            <w:r>
              <w:t>75/2013. W szczególności wartość rezydualną uwzględnia się według jej zdyskontowanej wartości szacunkowej po uwzględnieniu korekt wartości, wszystkich środków ograniczania ryzyka kredytowego i współczynników konwersji kredytowej.</w:t>
            </w:r>
          </w:p>
          <w:p w14:paraId="67056B04" w14:textId="77777777" w:rsidR="007C64F7" w:rsidRPr="002A677E" w:rsidRDefault="007C64F7" w:rsidP="00487A02">
            <w:pPr>
              <w:pStyle w:val="InstructionsText"/>
            </w:pPr>
            <w:r>
              <w:t>Wartości ekspozycji dla działalności związanej z ryzykiem kredytowym kontrahenta odpowiadają wartościom zgłoszonym w kolumnie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wynikająca z ryzyka kredytowego kontrahenta</w:t>
            </w:r>
          </w:p>
          <w:p w14:paraId="408E296D" w14:textId="05AAA80F"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Wartość ekspozycji dla działalności związanej z ryzykiem kredytowym kontrahenta obliczona zgodnie z metodami określonymi w części trzeciej tytuł II rozdziały 4 i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która jest kwotą istotną dla obliczenia kwot ekspozycji ważonych ryzykiem, tj. po zastosowaniu technik ograniczenia ryzyka kredytowego stosowanych zgodnie z częścią trzecią tytuł II rozdziały 4 i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uwzględniając odliczenie poniesionej straty z tytułu korekty wyceny kredytowej, o której mowa w art. 273 ust. 6 tego rozporządzenia. </w:t>
            </w:r>
          </w:p>
          <w:p w14:paraId="28D8090D" w14:textId="72E60CDE" w:rsidR="007C64F7" w:rsidRPr="002A677E" w:rsidRDefault="007C64F7" w:rsidP="007C64F7">
            <w:pPr>
              <w:rPr>
                <w:rFonts w:ascii="Times New Roman" w:hAnsi="Times New Roman"/>
                <w:sz w:val="24"/>
              </w:rPr>
            </w:pPr>
            <w:r>
              <w:rPr>
                <w:rFonts w:ascii="Times New Roman" w:hAnsi="Times New Roman"/>
                <w:sz w:val="24"/>
              </w:rPr>
              <w:t xml:space="preserve">Wartość ekspozycji dla transakcji, w których stwierdzono szczególne ryzyko korelacji, należy określić zgodnie z art. 291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454696E" w14:textId="3465BEAC" w:rsidR="00464F34" w:rsidRPr="002A677E" w:rsidRDefault="007C64F7" w:rsidP="00F47CA5">
            <w:pPr>
              <w:pStyle w:val="InstructionsText"/>
            </w:pPr>
            <w:r>
              <w:lastRenderedPageBreak/>
              <w:t>W przypadkach, w których stosuje się więcej niż jedną metodę obliczania ryzyka kredytowego kontrahenta w odniesieniu do jednego kontrahenta, poniesioną stratę z tytułu korekty wyceny kredytowej, którą odlicza się na poziomie kontrahenta, przypisuje się do wartości ekspozycji poszczególnych pakietów kompensowania w wierszach 0090–0130, odzwierciedlając stosunek wartości ekspozycji po ograniczeniu ryzyka kredytowego odpowiednich pakietów kompensowania do całkowitej wartości ekspozycji po ograniczeniu ryzyka kredytowego kontrahenta. W tym celu stosuje się wartość ekspozycji po ograniczeniu ryzyka kredytowego zgodnie z instrukcjami dla kolumny 0160 we wzorze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wynikająca z ryzyka kredytowego kontrahenta z wyjątkiem ekspozycji rozliczanych przez kontrahenta centralnego</w:t>
            </w:r>
          </w:p>
          <w:p w14:paraId="41D6EC24" w14:textId="74D1951E" w:rsidR="00E46AC0" w:rsidRPr="002A677E" w:rsidRDefault="00E46AC0" w:rsidP="00F37BEE">
            <w:pPr>
              <w:pStyle w:val="InstructionsText"/>
              <w:rPr>
                <w:rStyle w:val="InstructionsTabelleberschrift"/>
                <w:rFonts w:ascii="Times New Roman" w:hAnsi="Times New Roman"/>
                <w:sz w:val="24"/>
              </w:rPr>
            </w:pPr>
            <w:r>
              <w:t xml:space="preserve">Ekspozycje zgłoszone w kolumnie 0210, z wyłączeniem ekspozycji wynikających z umów i transakcji wymienionych w art. 301 ust. 1 rozporządzenia (UE) </w:t>
            </w:r>
            <w:r w:rsidRPr="0043455E">
              <w:t>nr</w:t>
            </w:r>
            <w:r w:rsidR="0043455E" w:rsidRPr="0043455E">
              <w:t> </w:t>
            </w:r>
            <w:r w:rsidRPr="0043455E">
              <w:t>5</w:t>
            </w:r>
            <w:r>
              <w:t xml:space="preserve">75/2013 przez cały okres, gdy pozostają one nierozliczone z CCP, w tym transakcje związane z kontrahentem centralnym zdefiniowane w art. 300 </w:t>
            </w:r>
            <w:r w:rsidRPr="0043455E">
              <w:t>pkt</w:t>
            </w:r>
            <w:r w:rsidR="0043455E" w:rsidRPr="0043455E">
              <w:t> </w:t>
            </w:r>
            <w:r w:rsidRPr="0043455E">
              <w:t>2</w:t>
            </w:r>
            <w:r>
              <w:t xml:space="preserve"> tego rozporządzenia.</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Kwota ekspozycji ważonej ryzykiem przed uwzględnieniem współczynników wsparcia</w:t>
            </w:r>
          </w:p>
          <w:p w14:paraId="3E955300" w14:textId="282B1350" w:rsidR="00696434" w:rsidRPr="002A677E" w:rsidRDefault="00E46AC0" w:rsidP="001A217F">
            <w:pPr>
              <w:pStyle w:val="InstructionsText"/>
            </w:pPr>
            <w:r>
              <w:t xml:space="preserve">Art. 113 ust. 1–5 rozporządzenia (UE) </w:t>
            </w:r>
            <w:r w:rsidRPr="0043455E">
              <w:t>nr</w:t>
            </w:r>
            <w:r w:rsidR="0043455E" w:rsidRPr="0043455E">
              <w:t> </w:t>
            </w:r>
            <w:r w:rsidRPr="0043455E">
              <w:t>5</w:t>
            </w:r>
            <w:r>
              <w:t>75/2013, bez uwzględniania współczynników wsparcia MŚP oraz infrastruktury określonych w art. 501 i 501a tego rozporządzenia.</w:t>
            </w:r>
          </w:p>
          <w:p w14:paraId="019E027E" w14:textId="536419C1" w:rsidR="00E46AC0" w:rsidRPr="002A677E" w:rsidRDefault="007D1F12" w:rsidP="00696434">
            <w:pPr>
              <w:pStyle w:val="InstructionsText"/>
              <w:rPr>
                <w:b/>
                <w:u w:val="single"/>
              </w:rPr>
            </w:pPr>
            <w:r>
              <w:t>Kwota ekspozycji ważonej ryzykiem stanowiąca wartość rezydualną aktywów będących przedmiotem leasingu podlega art. 134 ust. 7 zdanie piąte i jest obliczana zgodnie ze wzorem „1/t x 100 % x wartość rezydualna”. W szczególności wartością rezydualną jest niezdyskontowana szacunkowa wartość rezydualna na koniec okresu leasingu podlegająca okresowemu przeszacowaniu w celu zapewnienia, aby była stale odpowiednia.</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Korekta kwoty ekspozycji ważonej ryzykiem wynikająca ze współczynnika wsparcia MŚP</w:t>
            </w:r>
          </w:p>
          <w:p w14:paraId="46953D7E" w14:textId="26847C15" w:rsidR="00E46AC0" w:rsidRPr="002A677E" w:rsidRDefault="00E46AC0" w:rsidP="00F37BEE">
            <w:pPr>
              <w:pStyle w:val="InstructionsText"/>
              <w:rPr>
                <w:rStyle w:val="InstructionsTabelleberschrift"/>
                <w:rFonts w:ascii="Times New Roman" w:hAnsi="Times New Roman"/>
                <w:sz w:val="24"/>
              </w:rPr>
            </w:pPr>
            <w:r>
              <w:t xml:space="preserve">Odliczenie różnicy kwot ekspozycji ważonych ryzykiem dla ekspozycji, których nie dotyczy niewykonanie zobowiązania, wobec MŚP (RWEA), które oblicza się zgodnie z częścią trzecią tytuł II rozdział 2 rozporządzenia (UE) </w:t>
            </w:r>
            <w:r w:rsidRPr="0043455E">
              <w:t>nr</w:t>
            </w:r>
            <w:r w:rsidR="0043455E" w:rsidRPr="0043455E">
              <w:t> </w:t>
            </w:r>
            <w:r w:rsidRPr="0043455E">
              <w:t>5</w:t>
            </w:r>
            <w:r>
              <w:t>75/2013, stosownie do przypadku, i RWEA* zgodnie z art. 501 ust. 1 tego rozporządzenia.</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Korekta kwoty ekspozycji ważonej ryzykiem wynikająca ze współczynnika wsparcia infrastruktury</w:t>
            </w:r>
          </w:p>
          <w:p w14:paraId="59D0B96E" w14:textId="60B5F3A3" w:rsidR="00E46AC0" w:rsidRPr="002A677E" w:rsidRDefault="00E46AC0" w:rsidP="00E7205D">
            <w:pPr>
              <w:pStyle w:val="InstructionsText"/>
              <w:rPr>
                <w:rStyle w:val="InstructionsTabelleberschrift"/>
                <w:rFonts w:ascii="Times New Roman" w:hAnsi="Times New Roman"/>
                <w:sz w:val="24"/>
              </w:rPr>
            </w:pPr>
            <w:r>
              <w:t xml:space="preserve">Odliczenie różnicy kwot ekspozycji ważonej ryzykiem obliczanych zgodnie z częścią trzecią tytuł II rozporządzenia (UE) </w:t>
            </w:r>
            <w:r w:rsidRPr="0043455E">
              <w:t>nr</w:t>
            </w:r>
            <w:r w:rsidR="0043455E" w:rsidRPr="0043455E">
              <w:t> </w:t>
            </w:r>
            <w:r w:rsidRPr="0043455E">
              <w:t>5</w:t>
            </w:r>
            <w:r>
              <w:t>75/2013 i RWEA skorygowanej o ryzyko kredytowe w odniesieniu do ekspozycji wobec podmiotów, które obsługują lub finansują fizyczne obiekty lub instalacje, systemy i sieci zapewniające lub wspierające podstawowe usługi publiczne, zgodnie z art. 501a tego rozporządzenia.</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Kwota ekspozycji ważonej ryzykiem po uwzględnieniu współczynników wsparcia</w:t>
            </w:r>
          </w:p>
          <w:p w14:paraId="6A0EF6D2" w14:textId="110A5964" w:rsidR="00696434" w:rsidRPr="002A677E" w:rsidRDefault="00E46AC0" w:rsidP="00E50750">
            <w:pPr>
              <w:pStyle w:val="InstructionsText"/>
            </w:pPr>
            <w:r>
              <w:t xml:space="preserve">Art. 113 ust. 1–5 rozporządzenia (UE) </w:t>
            </w:r>
            <w:r w:rsidRPr="0043455E">
              <w:t>nr</w:t>
            </w:r>
            <w:r w:rsidR="0043455E" w:rsidRPr="0043455E">
              <w:t> </w:t>
            </w:r>
            <w:r w:rsidRPr="0043455E">
              <w:t>5</w:t>
            </w:r>
            <w:r>
              <w:t xml:space="preserve">75/2013, uwzględniając współczynniki wsparcia MŚP oraz infrastruktury określone w art. 501 i 501a tego rozporządzenia </w:t>
            </w:r>
          </w:p>
          <w:p w14:paraId="5B1FB659" w14:textId="423CD269" w:rsidR="00E46AC0" w:rsidRPr="002A677E" w:rsidRDefault="007D1F12" w:rsidP="00E50750">
            <w:pPr>
              <w:pStyle w:val="InstructionsText"/>
              <w:rPr>
                <w:b/>
                <w:u w:val="single"/>
              </w:rPr>
            </w:pPr>
            <w:r>
              <w:t xml:space="preserve">Kwota ekspozycji ważonej ryzykiem stanowiąca wartość rezydualną aktywów będących przedmiotem leasingu podlega art. 134 ust. 7 zdanie piąte i jest obliczana zgodnie ze wzorem „1/t x 100 % x wartość rezydualna”. W szczególności wartością rezydualną jest </w:t>
            </w:r>
            <w:r>
              <w:lastRenderedPageBreak/>
              <w:t>niezdyskontowana szacunkowa wartość rezydualna na koniec okresu leasingu podlegająca okresowemu przeszacowaniu w celu zapewnienia, aby była stale odpowiednia.</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lastRenderedPageBreak/>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z uwzględnieniem oceny kredytowej sporządzonej przez wyznaczoną ECAI</w:t>
            </w:r>
          </w:p>
          <w:p w14:paraId="17D63445" w14:textId="7B42CD6E" w:rsidR="00E46AC0" w:rsidRPr="002A677E" w:rsidRDefault="00E46AC0" w:rsidP="00487A02">
            <w:pPr>
              <w:pStyle w:val="InstructionsText"/>
            </w:pPr>
            <w:r>
              <w:t xml:space="preserve">Art. 112 lit. a)–d), f), g), l), n) o) i q) rozporządzenia (UE) </w:t>
            </w:r>
            <w:r w:rsidRPr="0043455E">
              <w:t>nr</w:t>
            </w:r>
            <w:r w:rsidR="0043455E" w:rsidRPr="0043455E">
              <w:t> </w:t>
            </w:r>
            <w:r w:rsidRPr="0043455E">
              <w:t>5</w:t>
            </w:r>
            <w:r>
              <w:t>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z uwzględnieniem oceny kredytowej uzyskanej od rządu centralnego</w:t>
            </w:r>
          </w:p>
          <w:p w14:paraId="1A2BE267" w14:textId="5D8AA5A2" w:rsidR="00E46AC0" w:rsidRPr="002A677E" w:rsidRDefault="00E46AC0" w:rsidP="00487A02">
            <w:pPr>
              <w:pStyle w:val="InstructionsText"/>
            </w:pPr>
            <w:r>
              <w:t xml:space="preserve">Art. 112 lit. b)–d), f), g), l) i o) rozporządzenia (UE) </w:t>
            </w:r>
            <w:r w:rsidRPr="0043455E">
              <w:t>nr</w:t>
            </w:r>
            <w:r w:rsidR="0043455E" w:rsidRPr="0043455E">
              <w:t> </w:t>
            </w:r>
            <w:r w:rsidRPr="0043455E">
              <w:t>5</w:t>
            </w:r>
            <w:r>
              <w:t>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Wiersze</w:t>
            </w:r>
          </w:p>
        </w:tc>
        <w:tc>
          <w:tcPr>
            <w:tcW w:w="8701" w:type="dxa"/>
            <w:shd w:val="clear" w:color="auto" w:fill="CCCCCC"/>
          </w:tcPr>
          <w:p w14:paraId="5101E780" w14:textId="77777777" w:rsidR="00464F34" w:rsidRPr="002A677E" w:rsidRDefault="00464F34" w:rsidP="00487A02">
            <w:pPr>
              <w:pStyle w:val="InstructionsText"/>
            </w:pPr>
            <w:r>
              <w:t>Instrukcje</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Ekspozycje całkowite</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których dotyczy niewykonanie zobowiązania, w kategoriach ekspozycji „Pozycje związane ze szczególnie wysokim ryzykiem” i „Ekspozycje kapitałowe”.</w:t>
            </w:r>
          </w:p>
          <w:p w14:paraId="0CD31563" w14:textId="62DFA72B" w:rsidR="00610B56" w:rsidRPr="002A677E" w:rsidRDefault="00610B56" w:rsidP="00487A02">
            <w:pPr>
              <w:pStyle w:val="InstructionsText"/>
            </w:pPr>
            <w:r>
              <w:t xml:space="preserve">Art. 127 rozporządzenia (UE) </w:t>
            </w:r>
            <w:r w:rsidRPr="0043455E">
              <w:t>nr</w:t>
            </w:r>
            <w:r w:rsidR="0043455E" w:rsidRPr="0043455E">
              <w:t> </w:t>
            </w:r>
            <w:r w:rsidRPr="0043455E">
              <w:t>5</w:t>
            </w:r>
            <w:r>
              <w:t>75/2013.</w:t>
            </w:r>
          </w:p>
          <w:p w14:paraId="18E81DC8" w14:textId="77777777" w:rsidR="00610B56" w:rsidRPr="002A677E" w:rsidRDefault="00610B56" w:rsidP="00487A02">
            <w:pPr>
              <w:pStyle w:val="InstructionsText"/>
            </w:pPr>
            <w:r>
              <w:t>Zawartość tego wiersza należy zgłaszać wyłącznie dla kategorii ekspozycji „Pozycje związane ze szczególnie wysokim ryzykiem” i „Ekspozycje kapitałowe”.</w:t>
            </w:r>
          </w:p>
          <w:p w14:paraId="1BCB3895" w14:textId="6AF1C43B" w:rsidR="00761891" w:rsidRPr="002A677E" w:rsidRDefault="00167619" w:rsidP="00487A02">
            <w:pPr>
              <w:pStyle w:val="InstructionsText"/>
            </w:pPr>
            <w:r>
              <w:t xml:space="preserve">Ekspozycję, która jest wymieniona w art. 128 ust. 2 rozporządzenia (UE) </w:t>
            </w:r>
            <w:r w:rsidRPr="0043455E">
              <w:t>nr</w:t>
            </w:r>
            <w:r w:rsidR="0043455E" w:rsidRPr="0043455E">
              <w:t> </w:t>
            </w:r>
            <w:r w:rsidRPr="0043455E">
              <w:t>5</w:t>
            </w:r>
            <w:r>
              <w:t xml:space="preserve">75/2013 albo która spełnia kryteria określone w art. 128 ust. 3 lub art. 133 rozporządzenia (UE) </w:t>
            </w:r>
            <w:r w:rsidRPr="0043455E">
              <w:t>nr</w:t>
            </w:r>
            <w:r w:rsidR="0043455E" w:rsidRPr="0043455E">
              <w:t> </w:t>
            </w:r>
            <w:r w:rsidRPr="0043455E">
              <w:t>5</w:t>
            </w:r>
            <w:r>
              <w:t xml:space="preserve">75/2013, przypisuje się do kategorii ekspozycji „Pozycje związane ze szczególnie wysokim ryzykiem” lub „Ekspozycje kapitałowe”. W związku z tym ekspozycji nie przypisuje się do żadnej innej kategorii, nawet w przypadku ekspozycji, której dotyczy niewykonanie zobowiązania, zgodnie z art. 127 rozporządzenia (UE) </w:t>
            </w:r>
            <w:r w:rsidRPr="0043455E">
              <w:t>nr</w:t>
            </w:r>
            <w:r w:rsidR="0043455E" w:rsidRPr="0043455E">
              <w:t> </w:t>
            </w:r>
            <w:r w:rsidRPr="0043455E">
              <w:t>5</w:t>
            </w:r>
            <w:r>
              <w:t>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wobec MŚP</w:t>
            </w:r>
          </w:p>
          <w:p w14:paraId="29C2106E" w14:textId="77777777" w:rsidR="00464F34" w:rsidRPr="002A677E" w:rsidRDefault="00464F34" w:rsidP="00487A02">
            <w:pPr>
              <w:pStyle w:val="InstructionsText"/>
            </w:pPr>
            <w:r>
              <w:t xml:space="preserve">W tym miejscu zgłasza się wszystkie ekspozycje wobec MŚP.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podlegające współczynnikowi wsparcia MŚP</w:t>
            </w:r>
          </w:p>
          <w:p w14:paraId="552F2982" w14:textId="5EE77C2B" w:rsidR="00464F34" w:rsidRPr="002A677E" w:rsidRDefault="00464F34" w:rsidP="00487A02">
            <w:pPr>
              <w:pStyle w:val="InstructionsText"/>
            </w:pPr>
            <w:r>
              <w:t xml:space="preserve">W tym miejscu zgłasza się wyłącznie ekspozycje, które spełniają wymogi określone w art. 501 rozporządzenia (UE) </w:t>
            </w:r>
            <w:r w:rsidRPr="0043455E">
              <w:t>nr</w:t>
            </w:r>
            <w:r w:rsidR="0043455E" w:rsidRPr="0043455E">
              <w:t> </w:t>
            </w:r>
            <w:r w:rsidRPr="0043455E">
              <w:t>5</w:t>
            </w:r>
            <w:r>
              <w:t xml:space="preserve">75/2013.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podlegające współczynnikowi wsparcia infrastruktury</w:t>
            </w:r>
          </w:p>
          <w:p w14:paraId="29B9E5EA" w14:textId="3EBFA252" w:rsidR="001B1F77" w:rsidRPr="002A677E" w:rsidRDefault="001B1F77" w:rsidP="00487A02">
            <w:pPr>
              <w:pStyle w:val="InstructionsText"/>
              <w:rPr>
                <w:rStyle w:val="InstructionsTabelleberschrift"/>
                <w:rFonts w:ascii="Times New Roman" w:hAnsi="Times New Roman"/>
                <w:sz w:val="24"/>
              </w:rPr>
            </w:pPr>
            <w:r>
              <w:t xml:space="preserve">W tym miejscu zgłasza się wyłącznie ekspozycje, które spełniają wymogi określone w art. 501a rozporządzenia (UE) </w:t>
            </w:r>
            <w:r w:rsidRPr="0043455E">
              <w:t>nr</w:t>
            </w:r>
            <w:r w:rsidR="0043455E" w:rsidRPr="0043455E">
              <w:t> </w:t>
            </w:r>
            <w:r w:rsidRPr="0043455E">
              <w:t>5</w:t>
            </w:r>
            <w:r>
              <w:t>75/2013.</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zabezpieczone hipotekami na nieruchomościach – nieruchomości mieszkalne</w:t>
            </w:r>
          </w:p>
          <w:p w14:paraId="43C1D306" w14:textId="4BC81851" w:rsidR="001B1F77" w:rsidRPr="002A677E" w:rsidRDefault="001B1F77" w:rsidP="00487A02">
            <w:pPr>
              <w:pStyle w:val="InstructionsText"/>
            </w:pPr>
            <w:r>
              <w:t xml:space="preserve">Art. 125 rozporządzenia (UE) </w:t>
            </w:r>
            <w:r w:rsidRPr="0043455E">
              <w:t>nr</w:t>
            </w:r>
            <w:r w:rsidR="0043455E" w:rsidRPr="0043455E">
              <w:t> </w:t>
            </w:r>
            <w:r w:rsidRPr="0043455E">
              <w:t>5</w:t>
            </w:r>
            <w:r>
              <w:t>75/2013</w:t>
            </w:r>
          </w:p>
          <w:p w14:paraId="7DC976D3" w14:textId="77777777" w:rsidR="001B1F77" w:rsidRPr="002A677E" w:rsidRDefault="001B1F77" w:rsidP="00487A02">
            <w:pPr>
              <w:pStyle w:val="InstructionsText"/>
              <w:rPr>
                <w:b/>
                <w:u w:val="single"/>
              </w:rPr>
            </w:pPr>
            <w:r>
              <w:t>Wyłącznie ekspozycje zgłoszone w kategorii „ekspozycje zabezpieczone hipotekami na nieruchomościach”</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podlegające stałemu stosowaniu metody standardowej w niepełnym zakresie</w:t>
            </w:r>
          </w:p>
          <w:p w14:paraId="1A2C5988" w14:textId="4863DC35" w:rsidR="001B1F77" w:rsidRPr="002A677E" w:rsidRDefault="001B1F77" w:rsidP="00487A02">
            <w:pPr>
              <w:pStyle w:val="InstructionsText"/>
            </w:pPr>
            <w:r>
              <w:t xml:space="preserve">ekspozycje, do których zastosowano metodę standardową, zgodnie z art. 150 ust. 1 rozporządzenia (UE) </w:t>
            </w:r>
            <w:r w:rsidRPr="0043455E">
              <w:t>nr</w:t>
            </w:r>
            <w:r w:rsidR="0043455E" w:rsidRPr="0043455E">
              <w:t> </w:t>
            </w:r>
            <w:r w:rsidRPr="0043455E">
              <w:t>5</w:t>
            </w:r>
            <w:r>
              <w:t>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lastRenderedPageBreak/>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ekspozycje podlegające metodzie standardowej z uzyskaniem uprzedniego zezwolenia nadzorczego na stopniowe wdrożenie metody IRB</w:t>
            </w:r>
          </w:p>
          <w:p w14:paraId="133C6C49" w14:textId="5B0C86EB" w:rsidR="001B1F77" w:rsidRPr="002A677E" w:rsidRDefault="001B1F77" w:rsidP="00487A02">
            <w:pPr>
              <w:pStyle w:val="InstructionsText"/>
            </w:pPr>
            <w:r>
              <w:t xml:space="preserve">Art. 148 </w:t>
            </w:r>
            <w:r w:rsidRPr="0043455E">
              <w:t>ust.</w:t>
            </w:r>
            <w:r w:rsidR="0043455E" w:rsidRPr="0043455E">
              <w:t> </w:t>
            </w:r>
            <w:r w:rsidRPr="0043455E">
              <w:t>1</w:t>
            </w:r>
            <w:r>
              <w:t xml:space="preserve"> rozporządzenia (UE) </w:t>
            </w:r>
            <w:r w:rsidRPr="0043455E">
              <w:t>nr</w:t>
            </w:r>
            <w:r w:rsidR="0043455E" w:rsidRPr="0043455E">
              <w:t> </w:t>
            </w:r>
            <w:r w:rsidRPr="0043455E">
              <w:t>5</w:t>
            </w:r>
            <w:r>
              <w:t xml:space="preserve">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PODZIAŁ EKSPOZYCJI CAŁKOWITYCH WEDŁUG RODZAJÓW EKSPOZYCJI</w:t>
            </w:r>
          </w:p>
          <w:p w14:paraId="17A71539" w14:textId="77777777" w:rsidR="001B1F77" w:rsidRPr="002A677E" w:rsidRDefault="001B1F77" w:rsidP="00487A02">
            <w:pPr>
              <w:pStyle w:val="InstructionsText"/>
            </w:pPr>
            <w:r>
              <w:t xml:space="preserve">Pozycje zawarte w portfelu bankowym instytucji sprawozdającej dzieli się zgodnie z poniższymi kryteriami na ekspozycje bilansowe podlegające ryzyku kredytowemu, ekspozycje pozabilansowe podlegające ryzyku kredytowemu oraz ekspozycje podlegające ryzyku kredytowemu kontrahenta. </w:t>
            </w:r>
          </w:p>
          <w:p w14:paraId="7FE5F80E" w14:textId="179EDB9A" w:rsidR="001B1F77" w:rsidRPr="002A677E" w:rsidRDefault="001B1F77" w:rsidP="00E7205D">
            <w:pPr>
              <w:pStyle w:val="InstructionsText"/>
            </w:pPr>
            <w:r>
              <w:t xml:space="preserve">Ekspozycje z tytułu ryzyka kredytowego kontrahenta wynikającego z działalności zaliczanej do portfela handlowego danej instytucji, o których mowa w art. 92 ust. 3 lit. f) oraz w art. 299 ust. 2 rozporządzenia (UE) </w:t>
            </w:r>
            <w:r w:rsidRPr="0043455E">
              <w:t>nr</w:t>
            </w:r>
            <w:r w:rsidR="0043455E" w:rsidRPr="0043455E">
              <w:t> </w:t>
            </w:r>
            <w:r w:rsidRPr="0043455E">
              <w:t>5</w:t>
            </w:r>
            <w:r>
              <w:t xml:space="preserve">75/2013, przypisuje się do ekspozycji podlegających ryzyku kredytowemu kontrahenta. Instytucje stosujące przepisy art. 94 ust. 1 rozporządzenia (UE) </w:t>
            </w:r>
            <w:r w:rsidRPr="0043455E">
              <w:t>nr</w:t>
            </w:r>
            <w:r w:rsidR="0043455E" w:rsidRPr="0043455E">
              <w:t> </w:t>
            </w:r>
            <w:r w:rsidRPr="0043455E">
              <w:t>5</w:t>
            </w:r>
            <w:r>
              <w:t>75/2013 również dzielą swoje pozycje zawarte w portfelu handlowym, o których mowa w art. 92 ust. 3 lit. b) tego rozporządzenia, zgodnie z poniższymi kryteriami na ekspozycje bilansowe podlegające ryzyku kredytowemu, ekspozycje pozabilansowe podlegające ryzyku kredytowemu oraz ekspozycje podlegające ryzyku kredytowemu kontrahenta.</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Ekspozycje bilansowe podlegające ryzyku kredytowemu </w:t>
            </w:r>
          </w:p>
          <w:p w14:paraId="624F8F5B" w14:textId="02ACD544" w:rsidR="001B1F77" w:rsidRPr="002A677E" w:rsidRDefault="001B1F77" w:rsidP="00487A02">
            <w:pPr>
              <w:pStyle w:val="InstructionsText"/>
            </w:pPr>
            <w:r>
              <w:t xml:space="preserve">Aktywa, o których mowa w art. 24 rozporządzenia (UE) </w:t>
            </w:r>
            <w:r w:rsidRPr="0043455E">
              <w:t>nr</w:t>
            </w:r>
            <w:r w:rsidR="0043455E" w:rsidRPr="0043455E">
              <w:t> </w:t>
            </w:r>
            <w:r w:rsidRPr="0043455E">
              <w:t>5</w:t>
            </w:r>
            <w:r>
              <w:t>75/2013, nieujęte w żadnej innej kategorii.</w:t>
            </w:r>
          </w:p>
          <w:p w14:paraId="213B7CDD" w14:textId="53AA3359" w:rsidR="001B1F77" w:rsidRPr="002A677E" w:rsidRDefault="001B1F77" w:rsidP="00487A02">
            <w:pPr>
              <w:pStyle w:val="InstructionsText"/>
            </w:pPr>
            <w:r>
              <w:t>Ekspozycje podlegające ryzyku kredytowemu kontrahenta zgłasza się w wierszach 0090–0130, a zatem nie zgłasza się ich w tym wierszu.</w:t>
            </w:r>
          </w:p>
          <w:p w14:paraId="0231E5DB" w14:textId="787B2D00" w:rsidR="001B1F77" w:rsidRPr="002A677E" w:rsidRDefault="001B1F77" w:rsidP="00487A02">
            <w:pPr>
              <w:pStyle w:val="InstructionsText"/>
            </w:pPr>
            <w:r>
              <w:t xml:space="preserve">Dostawy z późniejszym terminem rozliczenia zgodnie z art. 379 ust. 1 rozporządzenia (UE) </w:t>
            </w:r>
            <w:r w:rsidRPr="0043455E">
              <w:t>nr</w:t>
            </w:r>
            <w:r w:rsidR="0043455E" w:rsidRPr="0043455E">
              <w:t> </w:t>
            </w:r>
            <w:r w:rsidRPr="0043455E">
              <w:t>5</w:t>
            </w:r>
            <w:r>
              <w:t>75/2013 (jeżeli nie zostały odliczone) nie są pozycjami bilansowymi, jednak zgłaszane są w tym wierszu.</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pozabilansowe podlegające ryzyku kredytowemu</w:t>
            </w:r>
          </w:p>
          <w:p w14:paraId="0B80ACDD" w14:textId="76DCE728" w:rsidR="001B1F77" w:rsidRPr="002A677E" w:rsidRDefault="001B1F77" w:rsidP="00487A02">
            <w:pPr>
              <w:pStyle w:val="InstructionsText"/>
            </w:pPr>
            <w:r>
              <w:t xml:space="preserve">Pozycje pozabilansowe zawierają elementy wymienione w załączniku I do rozporządzenia (UE) </w:t>
            </w:r>
            <w:r w:rsidRPr="0043455E">
              <w:t>nr</w:t>
            </w:r>
            <w:r w:rsidR="0043455E" w:rsidRPr="0043455E">
              <w:t> </w:t>
            </w:r>
            <w:r w:rsidRPr="0043455E">
              <w:t>5</w:t>
            </w:r>
            <w:r>
              <w:t>75/2013.</w:t>
            </w:r>
          </w:p>
          <w:p w14:paraId="62745F38" w14:textId="77777777" w:rsidR="001B1F77" w:rsidRPr="002A677E" w:rsidRDefault="001B1F77" w:rsidP="00487A02">
            <w:pPr>
              <w:pStyle w:val="InstructionsText"/>
            </w:pPr>
            <w:r>
              <w:t>Ekspozycje podlegające ryzyku kredytowemu kontrahenta zgłasza się w wierszach 0090–0130, a zatem nie zgłasza się ich w tym wierszu.</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 transakcje podlegające ryzyku kredytowemu kontrahenta</w:t>
            </w:r>
          </w:p>
          <w:p w14:paraId="2EC00BBC" w14:textId="77777777" w:rsidR="00E86B98" w:rsidRPr="002A677E" w:rsidRDefault="00E86B98" w:rsidP="00487A02">
            <w:pPr>
              <w:pStyle w:val="InstructionsText"/>
            </w:pPr>
            <w:r>
              <w:t>Transakcje podlegające ryzyku kredytowemu kontrahenta, tj. instrumenty pochodne, transakcje odkupu, transakcje udzielania lub zaciągania pożyczek papierów wartościowych lub towarów, transakcje z długim terminem rozliczenia i transakcje z obowiązkiem uzupełnienia zabezpieczenia kredytowego.</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Pakiety kompensowania transakcji finansowanych z użyciem papierów wartościowych</w:t>
            </w:r>
          </w:p>
          <w:p w14:paraId="06C22FAA" w14:textId="2751E88E" w:rsidR="00E86B98" w:rsidRPr="002A677E" w:rsidRDefault="00E86B98" w:rsidP="00487A02">
            <w:pPr>
              <w:pStyle w:val="InstructionsText"/>
            </w:pPr>
            <w:r>
              <w:lastRenderedPageBreak/>
              <w:t xml:space="preserve">Pakiety kompensowania zawierające wyłącznie transakcje finansowane z użyciem papierów wartościowych zdefiniowane w art. 4 ust. 1 </w:t>
            </w:r>
            <w:r w:rsidRPr="0043455E">
              <w:t>pkt</w:t>
            </w:r>
            <w:r w:rsidR="0043455E" w:rsidRPr="0043455E">
              <w:t> </w:t>
            </w:r>
            <w:r w:rsidRPr="0043455E">
              <w:t>1</w:t>
            </w:r>
            <w:r>
              <w:t xml:space="preserve">39 rozporządzenia (UE) </w:t>
            </w:r>
            <w:r w:rsidRPr="0043455E">
              <w:t>nr</w:t>
            </w:r>
            <w:r w:rsidR="0043455E" w:rsidRPr="0043455E">
              <w:t> </w:t>
            </w:r>
            <w:r w:rsidRPr="0043455E">
              <w:t>5</w:t>
            </w:r>
            <w:r>
              <w:t>75/2013.</w:t>
            </w:r>
          </w:p>
          <w:p w14:paraId="60729C75" w14:textId="02300C70" w:rsidR="001B1F77" w:rsidRPr="002A677E" w:rsidRDefault="00E86B98" w:rsidP="00487A02">
            <w:pPr>
              <w:pStyle w:val="InstructionsText"/>
            </w:pPr>
            <w:r>
              <w:t>W wierszu tym nie zgłasza się transakcji finansowanych z użyciem papierów wartościowych, które uwzględniono w pakiecie kompensowania, dla którego istnieje umowa o kompensowaniu międzyproduktowym, i dlatego zgłoszono je w wierszu 0130.</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lastRenderedPageBreak/>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 tym: rozliczane centralnie przez kwalifikujących się kontrahentów centralnych</w:t>
            </w:r>
          </w:p>
          <w:p w14:paraId="4ED364CF" w14:textId="64CD0377" w:rsidR="001B1F77" w:rsidRPr="002A677E" w:rsidRDefault="00E86B98" w:rsidP="00487A02">
            <w:pPr>
              <w:pStyle w:val="InstructionsText"/>
            </w:pPr>
            <w:r>
              <w:t xml:space="preserve">Umowy i transakcje wymienione w art. 301 ust. 1 rozporządzenia (UE) </w:t>
            </w:r>
            <w:r w:rsidRPr="0043455E">
              <w:t>nr</w:t>
            </w:r>
            <w:r w:rsidR="0043455E" w:rsidRPr="0043455E">
              <w:t> </w:t>
            </w:r>
            <w:r w:rsidRPr="0043455E">
              <w:t>5</w:t>
            </w:r>
            <w:r>
              <w:t xml:space="preserve">75/2013 przez cały okres, gdy pozostają one nierozliczone z kwalifikującym się kontrahentem centralnym (kwalifikujący się CCP) w rozumieniu art. 4 ust. 1 </w:t>
            </w:r>
            <w:r w:rsidRPr="0043455E">
              <w:t>pkt</w:t>
            </w:r>
            <w:r w:rsidR="0043455E" w:rsidRPr="0043455E">
              <w:t> </w:t>
            </w:r>
            <w:r w:rsidRPr="0043455E">
              <w:t>8</w:t>
            </w:r>
            <w:r>
              <w:t xml:space="preserve">8 tego rozporządzenia, w tym transakcje związane z kwalifikującym się CCP, w przypadku których kwoty ekspozycji ważonej ryzykiem oblicza się zgodnie z częścią trzecią tytuł II rozdział 6 sekcja 9 tego rozporządzenia. Transakcja związana z kwalifikującym się CCP ma takie samo znaczenie jak transakcja związana z kontrahentem centralnym zdefiniowana w art. 300 </w:t>
            </w:r>
            <w:r w:rsidRPr="0043455E">
              <w:t>pkt</w:t>
            </w:r>
            <w:r w:rsidR="0043455E" w:rsidRPr="0043455E">
              <w:t> </w:t>
            </w:r>
            <w:r w:rsidRPr="0043455E">
              <w:t>2</w:t>
            </w:r>
            <w:r>
              <w:t xml:space="preserve"> rozporządzenia (UE) </w:t>
            </w:r>
            <w:r w:rsidRPr="0043455E">
              <w:t>nr</w:t>
            </w:r>
            <w:r w:rsidR="0043455E" w:rsidRPr="0043455E">
              <w:t> </w:t>
            </w:r>
            <w:r w:rsidRPr="0043455E">
              <w:t>5</w:t>
            </w:r>
            <w:r>
              <w:t>75/2013, gdy CCP jest kwalifikującym się CCP.</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Pakiety kompensowania instrumentów pochodnych i transakcji z długim terminem rozliczenia</w:t>
            </w:r>
          </w:p>
          <w:p w14:paraId="6CF5B359" w14:textId="0834E03E" w:rsidR="00E86B98" w:rsidRPr="002A677E" w:rsidRDefault="00E86B98" w:rsidP="00487A02">
            <w:pPr>
              <w:pStyle w:val="InstructionsText"/>
            </w:pPr>
            <w:r>
              <w:t xml:space="preserve">Pakiety kompensowania zawierające wyłącznie instrumenty pochodne wymienione w załączniku II do rozporządzenia (UE) </w:t>
            </w:r>
            <w:r w:rsidRPr="0043455E">
              <w:t>nr</w:t>
            </w:r>
            <w:r w:rsidR="0043455E" w:rsidRPr="0043455E">
              <w:t> </w:t>
            </w:r>
            <w:r w:rsidRPr="0043455E">
              <w:t>5</w:t>
            </w:r>
            <w:r>
              <w:t xml:space="preserve">75/2013 oraz transakcje z długim terminem rozliczenia zdefiniowane w art. 272 </w:t>
            </w:r>
            <w:r w:rsidRPr="0043455E">
              <w:t>pkt</w:t>
            </w:r>
            <w:r w:rsidR="0043455E" w:rsidRPr="0043455E">
              <w:t> </w:t>
            </w:r>
            <w:r w:rsidRPr="0043455E">
              <w:t>2</w:t>
            </w:r>
            <w:r>
              <w:t xml:space="preserve"> tego rozporządzenia.</w:t>
            </w:r>
          </w:p>
          <w:p w14:paraId="28EE41AA" w14:textId="77777777" w:rsidR="001B1F77" w:rsidRPr="002A677E" w:rsidRDefault="001B1F77" w:rsidP="00487A02">
            <w:pPr>
              <w:pStyle w:val="InstructionsText"/>
            </w:pPr>
            <w:r>
              <w:t>W wierszu tym nie zgłasza się instrumentów pochodnych oraz transakcji z długim terminem rozliczenia, które uwzględniono w pakiecie kompensowania, dla którego istnieje umowa o kompensowaniu międzyproduktowym, i dlatego zgłoszono je w wierszu 0130.</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W tym: rozliczane centralnie przez kwalifikujących się kontrahentów centralnych</w:t>
            </w:r>
          </w:p>
          <w:p w14:paraId="7CDEC702" w14:textId="7A4ACEFB" w:rsidR="001B1F77" w:rsidRPr="002A677E" w:rsidRDefault="00E86B98" w:rsidP="00487A02">
            <w:pPr>
              <w:pStyle w:val="InstructionsText"/>
            </w:pPr>
            <w:r>
              <w:t>Zob. instrukcje dla wiersza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Pakiety kompensowania, dla których istnieją umowy o kompensowaniu międzyproduktowym</w:t>
            </w:r>
          </w:p>
          <w:p w14:paraId="04F5BFB5" w14:textId="4360EF96" w:rsidR="001B1F77" w:rsidRPr="002A677E" w:rsidRDefault="00E86B98" w:rsidP="00487A02">
            <w:pPr>
              <w:pStyle w:val="InstructionsText"/>
            </w:pPr>
            <w:r>
              <w:t xml:space="preserve">Pakiety kompensowania zawierające transakcje dotyczące różnych kategorii produktów (art. 272 </w:t>
            </w:r>
            <w:r w:rsidRPr="0043455E">
              <w:t>pkt</w:t>
            </w:r>
            <w:r w:rsidR="0043455E" w:rsidRPr="0043455E">
              <w:t> </w:t>
            </w:r>
            <w:r w:rsidRPr="0043455E">
              <w:t>1</w:t>
            </w:r>
            <w:r>
              <w:t xml:space="preserve">1 rozporządzenia (UE) </w:t>
            </w:r>
            <w:r w:rsidRPr="0043455E">
              <w:t>nr</w:t>
            </w:r>
            <w:r w:rsidR="0043455E" w:rsidRPr="0043455E">
              <w:t> </w:t>
            </w:r>
            <w:r w:rsidRPr="0043455E">
              <w:t>5</w:t>
            </w:r>
            <w:r>
              <w:t xml:space="preserve">75/2013), tj. instrumenty pochodne i transakcje finansowane z użyciem papierów wartościowych, dla których istnieje umowa o kompensowaniu międzyproduktowym określona w art. 272 </w:t>
            </w:r>
            <w:r w:rsidRPr="0043455E">
              <w:t>pkt</w:t>
            </w:r>
            <w:r w:rsidR="0043455E" w:rsidRPr="0043455E">
              <w:t> </w:t>
            </w:r>
            <w:r w:rsidRPr="0043455E">
              <w:t>2</w:t>
            </w:r>
            <w:r>
              <w:t xml:space="preserve">5 rozporządzenia (UE) </w:t>
            </w:r>
            <w:r w:rsidRPr="0043455E">
              <w:t>nr</w:t>
            </w:r>
            <w:r w:rsidR="0043455E" w:rsidRPr="0043455E">
              <w:t> </w:t>
            </w:r>
            <w:r w:rsidRPr="0043455E">
              <w:t>5</w:t>
            </w:r>
            <w:r>
              <w:t>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PODZIAŁ EKSPOZYCJI CAŁKOWITYCH WEDŁUG WAG RYZYKA</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7C15AF25" w:rsidR="001B1F77" w:rsidRPr="002A677E" w:rsidRDefault="001B1F77" w:rsidP="00487A02">
            <w:pPr>
              <w:pStyle w:val="InstructionsText"/>
            </w:pP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3155F658" w:rsidR="001B1F77" w:rsidRPr="002A677E" w:rsidRDefault="001B1F77" w:rsidP="00487A02">
            <w:pPr>
              <w:pStyle w:val="InstructionsText"/>
              <w:rPr>
                <w:rStyle w:val="InstructionsTabelleberschrift"/>
                <w:rFonts w:ascii="Times New Roman" w:hAnsi="Times New Roman"/>
                <w:sz w:val="24"/>
              </w:rPr>
            </w:pPr>
            <w:r w:rsidRPr="0043455E">
              <w:rPr>
                <w:rStyle w:val="InstructionsTabelleberschrift"/>
                <w:rFonts w:ascii="Times New Roman" w:hAnsi="Times New Roman"/>
                <w:sz w:val="24"/>
              </w:rPr>
              <w:t>2</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p w14:paraId="2F82CA58" w14:textId="5AC7EE7F" w:rsidR="001B1F77" w:rsidRPr="002A677E" w:rsidRDefault="001B1F77" w:rsidP="00487A02">
            <w:pPr>
              <w:pStyle w:val="InstructionsText"/>
              <w:rPr>
                <w:b/>
              </w:rPr>
            </w:pPr>
            <w:r>
              <w:t xml:space="preserve">Art. 306 </w:t>
            </w:r>
            <w:r w:rsidRPr="0043455E">
              <w:t>ust.</w:t>
            </w:r>
            <w:r w:rsidR="0043455E" w:rsidRPr="0043455E">
              <w:t> </w:t>
            </w:r>
            <w:r w:rsidRPr="0043455E">
              <w:t>1</w:t>
            </w:r>
            <w:r>
              <w:t xml:space="preserve"> rozporządzenia (UE) </w:t>
            </w:r>
            <w:r w:rsidRPr="0043455E">
              <w:t>nr</w:t>
            </w:r>
            <w:r w:rsidR="0043455E" w:rsidRPr="0043455E">
              <w:t> </w:t>
            </w:r>
            <w:r w:rsidRPr="0043455E">
              <w:t>5</w:t>
            </w:r>
            <w:r>
              <w:t>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24390ADE" w:rsidR="001B1F77" w:rsidRPr="002A677E" w:rsidRDefault="001B1F77" w:rsidP="00487A02">
            <w:pPr>
              <w:pStyle w:val="InstructionsText"/>
              <w:rPr>
                <w:rStyle w:val="InstructionsTabelleberschrift"/>
                <w:rFonts w:ascii="Times New Roman" w:hAnsi="Times New Roman"/>
                <w:sz w:val="24"/>
              </w:rPr>
            </w:pPr>
            <w:r w:rsidRPr="0043455E">
              <w:rPr>
                <w:rStyle w:val="InstructionsTabelleberschrift"/>
                <w:rFonts w:ascii="Times New Roman" w:hAnsi="Times New Roman"/>
                <w:sz w:val="24"/>
              </w:rPr>
              <w:t>4</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p w14:paraId="1398F586" w14:textId="4BE119C8" w:rsidR="001B1F77" w:rsidRPr="002A677E" w:rsidRDefault="001B1F77" w:rsidP="00487A02">
            <w:pPr>
              <w:pStyle w:val="InstructionsText"/>
              <w:rPr>
                <w:b/>
                <w:u w:val="single"/>
              </w:rPr>
            </w:pPr>
            <w:r>
              <w:t xml:space="preserve">Art. 305 </w:t>
            </w:r>
            <w:r w:rsidRPr="0043455E">
              <w:t>ust.</w:t>
            </w:r>
            <w:r w:rsidR="0043455E" w:rsidRPr="0043455E">
              <w:t> </w:t>
            </w:r>
            <w:r w:rsidRPr="0043455E">
              <w:t>3</w:t>
            </w:r>
            <w:r>
              <w:t xml:space="preserve"> rozporządzenia (UE) </w:t>
            </w:r>
            <w:r w:rsidRPr="0043455E">
              <w:t>nr</w:t>
            </w:r>
            <w:r w:rsidR="0043455E" w:rsidRPr="0043455E">
              <w:t> </w:t>
            </w:r>
            <w:r w:rsidRPr="0043455E">
              <w:t>5</w:t>
            </w:r>
            <w:r>
              <w:t>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415BEA2B" w:rsidR="001B1F77" w:rsidRPr="002A677E" w:rsidRDefault="001B1F77" w:rsidP="00487A02">
            <w:pPr>
              <w:pStyle w:val="InstructionsText"/>
            </w:pPr>
            <w:r>
              <w:rPr>
                <w:rStyle w:val="InstructionsTabelleberschrift"/>
                <w:rFonts w:ascii="Times New Roman" w:hAnsi="Times New Roman"/>
                <w:sz w:val="24"/>
              </w:rPr>
              <w:t>1</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106082DB" w:rsidR="001B1F77" w:rsidRPr="002A677E" w:rsidRDefault="001B1F77" w:rsidP="00487A02">
            <w:pPr>
              <w:pStyle w:val="InstructionsText"/>
            </w:pPr>
            <w:r>
              <w:rPr>
                <w:rStyle w:val="InstructionsTabelleberschrift"/>
                <w:rFonts w:ascii="Times New Roman" w:hAnsi="Times New Roman"/>
                <w:sz w:val="24"/>
              </w:rPr>
              <w:t>2</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lastRenderedPageBreak/>
              <w:t>0190</w:t>
            </w:r>
          </w:p>
        </w:tc>
        <w:tc>
          <w:tcPr>
            <w:tcW w:w="8701" w:type="dxa"/>
            <w:shd w:val="clear" w:color="auto" w:fill="auto"/>
          </w:tcPr>
          <w:p w14:paraId="4D011FB3" w14:textId="5483200C" w:rsidR="001B1F77" w:rsidRPr="002A677E" w:rsidRDefault="001B1F77" w:rsidP="00487A02">
            <w:pPr>
              <w:pStyle w:val="InstructionsText"/>
            </w:pPr>
            <w:r>
              <w:rPr>
                <w:rStyle w:val="InstructionsTabelleberschrift"/>
                <w:rFonts w:ascii="Times New Roman" w:hAnsi="Times New Roman"/>
                <w:sz w:val="24"/>
              </w:rPr>
              <w:t>3</w:t>
            </w:r>
            <w:r w:rsidRPr="0043455E">
              <w:rPr>
                <w:rStyle w:val="InstructionsTabelleberschrift"/>
                <w:rFonts w:ascii="Times New Roman" w:hAnsi="Times New Roman"/>
                <w:sz w:val="24"/>
              </w:rPr>
              <w:t>5</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25C72264" w:rsidR="001B1F77" w:rsidRPr="002A677E" w:rsidRDefault="001B1F77" w:rsidP="00487A02">
            <w:pPr>
              <w:pStyle w:val="InstructionsText"/>
            </w:pPr>
            <w:r>
              <w:rPr>
                <w:rStyle w:val="InstructionsTabelleberschrift"/>
                <w:rFonts w:ascii="Times New Roman" w:hAnsi="Times New Roman"/>
                <w:sz w:val="24"/>
              </w:rPr>
              <w:t>5</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1E70D570"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w:t>
            </w:r>
            <w:r w:rsidRPr="0043455E">
              <w:rPr>
                <w:rStyle w:val="InstructionsTabelleberschrift"/>
                <w:rFonts w:ascii="Times New Roman" w:hAnsi="Times New Roman"/>
                <w:sz w:val="24"/>
              </w:rPr>
              <w:t>0</w:t>
            </w:r>
            <w:r w:rsidR="0043455E" w:rsidRPr="0043455E">
              <w:t> </w:t>
            </w:r>
            <w:r w:rsidRPr="0043455E">
              <w:rPr>
                <w:rStyle w:val="InstructionsTabelleberschrift"/>
                <w:rFonts w:ascii="Times New Roman" w:hAnsi="Times New Roman"/>
                <w:sz w:val="24"/>
              </w:rPr>
              <w:t>%</w:t>
            </w:r>
          </w:p>
          <w:p w14:paraId="6D02B8FE" w14:textId="41D87C20" w:rsidR="001B1F77" w:rsidRPr="002A677E" w:rsidRDefault="001B1F77" w:rsidP="00487A02">
            <w:pPr>
              <w:pStyle w:val="InstructionsText"/>
            </w:pPr>
            <w:r>
              <w:t xml:space="preserve">Art. 232 </w:t>
            </w:r>
            <w:r w:rsidRPr="0043455E">
              <w:t>ust.</w:t>
            </w:r>
            <w:r w:rsidR="0043455E" w:rsidRPr="0043455E">
              <w:t> </w:t>
            </w:r>
            <w:r w:rsidRPr="0043455E">
              <w:t>3</w:t>
            </w:r>
            <w:r>
              <w:t xml:space="preserve"> </w:t>
            </w:r>
            <w:r w:rsidRPr="0043455E">
              <w:t>lit.</w:t>
            </w:r>
            <w:r w:rsidR="0043455E" w:rsidRPr="0043455E">
              <w:t> </w:t>
            </w:r>
            <w:r w:rsidRPr="0043455E">
              <w:t>c)</w:t>
            </w:r>
            <w:r>
              <w:t xml:space="preserve"> rozporządzenia (UE) </w:t>
            </w:r>
            <w:r w:rsidRPr="0043455E">
              <w:t>nr</w:t>
            </w:r>
            <w:r w:rsidR="0043455E" w:rsidRPr="0043455E">
              <w:t> </w:t>
            </w:r>
            <w:r w:rsidRPr="0043455E">
              <w:t>5</w:t>
            </w:r>
            <w:r>
              <w:t>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18E15B89" w:rsidR="001B1F77" w:rsidRPr="002A677E" w:rsidRDefault="001B1F77" w:rsidP="00487A02">
            <w:pPr>
              <w:pStyle w:val="InstructionsText"/>
            </w:pPr>
            <w:r>
              <w:rPr>
                <w:rStyle w:val="InstructionsTabelleberschrift"/>
                <w:rFonts w:ascii="Times New Roman" w:hAnsi="Times New Roman"/>
                <w:sz w:val="24"/>
              </w:rPr>
              <w:t>7</w:t>
            </w:r>
            <w:r w:rsidRPr="0043455E">
              <w:rPr>
                <w:rStyle w:val="InstructionsTabelleberschrift"/>
                <w:rFonts w:ascii="Times New Roman" w:hAnsi="Times New Roman"/>
                <w:sz w:val="24"/>
              </w:rPr>
              <w:t>5</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34EA2EF6" w:rsidR="001B1F77" w:rsidRPr="002A677E" w:rsidRDefault="001B1F77" w:rsidP="00487A02">
            <w:pPr>
              <w:pStyle w:val="InstructionsText"/>
            </w:pPr>
            <w:r>
              <w:rPr>
                <w:rStyle w:val="InstructionsTabelleberschrift"/>
                <w:rFonts w:ascii="Times New Roman" w:hAnsi="Times New Roman"/>
                <w:sz w:val="24"/>
              </w:rPr>
              <w:t>10</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1F6A38B2" w:rsidR="001B1F77" w:rsidRPr="002A677E" w:rsidRDefault="001B1F77" w:rsidP="00487A02">
            <w:pPr>
              <w:pStyle w:val="InstructionsText"/>
            </w:pPr>
            <w:r>
              <w:rPr>
                <w:rStyle w:val="InstructionsTabelleberschrift"/>
                <w:rFonts w:ascii="Times New Roman" w:hAnsi="Times New Roman"/>
                <w:sz w:val="24"/>
              </w:rPr>
              <w:t>15</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301B9AB5"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p w14:paraId="55894113" w14:textId="702E83BB" w:rsidR="001B1F77" w:rsidRPr="002A677E" w:rsidRDefault="001B1F77" w:rsidP="00487A02">
            <w:pPr>
              <w:pStyle w:val="InstructionsText"/>
            </w:pPr>
            <w:r>
              <w:t xml:space="preserve">Art. 133 ust. 2 i art. 48 ust. 4 rozporządzenia (UE) </w:t>
            </w:r>
            <w:r w:rsidRPr="0043455E">
              <w:t>nr</w:t>
            </w:r>
            <w:r w:rsidR="0043455E" w:rsidRPr="0043455E">
              <w:t> </w:t>
            </w:r>
            <w:r w:rsidRPr="0043455E">
              <w:t>5</w:t>
            </w:r>
            <w:r>
              <w:t>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34AC60FB"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p w14:paraId="26072AFF" w14:textId="38EDEB39" w:rsidR="001B1F77" w:rsidRPr="002A677E" w:rsidRDefault="001B1F77" w:rsidP="00487A02">
            <w:pPr>
              <w:pStyle w:val="InstructionsText"/>
              <w:rPr>
                <w:b/>
                <w:u w:val="single"/>
              </w:rPr>
            </w:pPr>
            <w:r>
              <w:t xml:space="preserve">Art. 471 rozporządzenia (UE) </w:t>
            </w:r>
            <w:r w:rsidRPr="0043455E">
              <w:t>nr</w:t>
            </w:r>
            <w:r w:rsidR="0043455E" w:rsidRPr="0043455E">
              <w:t> </w:t>
            </w:r>
            <w:r w:rsidRPr="0043455E">
              <w:t>5</w:t>
            </w:r>
            <w:r>
              <w:t>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4B091AAE"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w:t>
            </w:r>
            <w:r w:rsidRPr="0043455E">
              <w:rPr>
                <w:rStyle w:val="InstructionsTabelleberschrift"/>
                <w:rFonts w:ascii="Times New Roman" w:hAnsi="Times New Roman"/>
                <w:sz w:val="24"/>
              </w:rPr>
              <w:t>0</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w:t>
            </w:r>
          </w:p>
          <w:p w14:paraId="7317B454" w14:textId="21AB82A8" w:rsidR="001B1F77" w:rsidRPr="002A677E" w:rsidRDefault="001B1F77" w:rsidP="00487A02">
            <w:pPr>
              <w:pStyle w:val="InstructionsText"/>
              <w:rPr>
                <w:b/>
                <w:u w:val="single"/>
              </w:rPr>
            </w:pPr>
            <w:r>
              <w:t xml:space="preserve">Art. 133 </w:t>
            </w:r>
            <w:r w:rsidRPr="0043455E">
              <w:t>ust.</w:t>
            </w:r>
            <w:r w:rsidR="0043455E" w:rsidRPr="0043455E">
              <w:t> </w:t>
            </w:r>
            <w:r w:rsidRPr="0043455E">
              <w:t>2</w:t>
            </w:r>
            <w:r>
              <w:t xml:space="preserve"> i </w:t>
            </w:r>
            <w:r w:rsidRPr="0043455E">
              <w:t>art.</w:t>
            </w:r>
            <w:r w:rsidR="0043455E" w:rsidRPr="0043455E">
              <w:t> </w:t>
            </w:r>
            <w:r w:rsidRPr="0043455E">
              <w:t>3</w:t>
            </w:r>
            <w:r>
              <w:t xml:space="preserve">79 rozporządzenia (UE) </w:t>
            </w:r>
            <w:r w:rsidRPr="0043455E">
              <w:t>nr</w:t>
            </w:r>
            <w:r w:rsidR="0043455E" w:rsidRPr="0043455E">
              <w:t> </w:t>
            </w:r>
            <w:r w:rsidRPr="0043455E">
              <w:t>5</w:t>
            </w:r>
            <w:r>
              <w:t>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Inne wagi ryzyka</w:t>
            </w:r>
          </w:p>
          <w:p w14:paraId="417334B0" w14:textId="77777777" w:rsidR="001B1F77" w:rsidRPr="002A677E" w:rsidRDefault="001B1F77" w:rsidP="00487A02">
            <w:pPr>
              <w:pStyle w:val="InstructionsText"/>
            </w:pPr>
            <w:r>
              <w:t>Ten wiersz jest niedostępny do celów zgłaszania kategorii ekspozycji wobec rządów, wobec przedsiębiorstw, wobec instytucji i ekspozycji detalicznych.</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Zgłaszanie tych ekspozycji nie podlega wagom ryzyka wymienionym we wzorze.</w:t>
            </w:r>
          </w:p>
          <w:p w14:paraId="2DC925E8" w14:textId="51E61ECB" w:rsidR="001B1F77" w:rsidRPr="002A677E" w:rsidRDefault="001B1F77" w:rsidP="00487A02">
            <w:pPr>
              <w:pStyle w:val="InstructionsText"/>
            </w:pPr>
            <w:r>
              <w:t xml:space="preserve">Art. 113 </w:t>
            </w:r>
            <w:r w:rsidRPr="0043455E">
              <w:t>ust.</w:t>
            </w:r>
            <w:r w:rsidR="0043455E" w:rsidRPr="0043455E">
              <w:t> </w:t>
            </w:r>
            <w:r w:rsidRPr="0043455E">
              <w:t>1</w:t>
            </w:r>
            <w:r>
              <w:t xml:space="preserve">–5 rozporządzenia (UE) </w:t>
            </w:r>
            <w:r w:rsidRPr="0043455E">
              <w:t>nr</w:t>
            </w:r>
            <w:r w:rsidR="0043455E" w:rsidRPr="0043455E">
              <w:t> </w:t>
            </w:r>
            <w:r w:rsidRPr="0043455E">
              <w:t>5</w:t>
            </w:r>
            <w:r>
              <w:t xml:space="preserve">75/2013. </w:t>
            </w:r>
          </w:p>
          <w:p w14:paraId="18BFF5DF" w14:textId="77777777" w:rsidR="001B1F77" w:rsidRPr="002A677E" w:rsidRDefault="001B1F77" w:rsidP="00487A02">
            <w:pPr>
              <w:pStyle w:val="InstructionsText"/>
            </w:pPr>
          </w:p>
          <w:p w14:paraId="17483585" w14:textId="7B76B971" w:rsidR="001B1F77" w:rsidRPr="002A677E" w:rsidRDefault="001B1F77" w:rsidP="00487A02">
            <w:pPr>
              <w:pStyle w:val="InstructionsText"/>
            </w:pPr>
            <w:r>
              <w:t xml:space="preserve">Kredytowe instrumenty pochodne uruchamiane n-tym niewykonaniem zobowiązania bez ratingu zgodnie z metodą standardową (art. 134 ust. 6 rozporządzenia (UE) </w:t>
            </w:r>
            <w:r w:rsidRPr="0043455E">
              <w:t>nr</w:t>
            </w:r>
            <w:r w:rsidR="0043455E" w:rsidRPr="0043455E">
              <w:t> </w:t>
            </w:r>
            <w:r w:rsidRPr="0043455E">
              <w:t>5</w:t>
            </w:r>
            <w:r>
              <w:t>75/2013) zgłaszane są w tym wierszu w kategorii ekspozycji „Inne pozycje”.</w:t>
            </w:r>
          </w:p>
          <w:p w14:paraId="4839EA0F" w14:textId="39B47218" w:rsidR="001B1F77" w:rsidRPr="002A677E" w:rsidRDefault="001B1F77" w:rsidP="0014209A">
            <w:pPr>
              <w:pStyle w:val="InstructionsText"/>
            </w:pPr>
            <w:r>
              <w:t xml:space="preserve">Zob. także art. 124 </w:t>
            </w:r>
            <w:r w:rsidRPr="0043455E">
              <w:t>ust.</w:t>
            </w:r>
            <w:r w:rsidR="0043455E" w:rsidRPr="0043455E">
              <w:t> </w:t>
            </w:r>
            <w:r w:rsidRPr="0043455E">
              <w:t>2</w:t>
            </w:r>
            <w:r>
              <w:t xml:space="preserve"> i </w:t>
            </w:r>
            <w:r w:rsidRPr="0043455E">
              <w:t>art.</w:t>
            </w:r>
            <w:r w:rsidR="0043455E" w:rsidRPr="0043455E">
              <w:t> </w:t>
            </w:r>
            <w:r w:rsidRPr="0043455E">
              <w:t>1</w:t>
            </w:r>
            <w:r>
              <w:t xml:space="preserve">52 </w:t>
            </w:r>
            <w:r w:rsidRPr="0043455E">
              <w:t>ust.</w:t>
            </w:r>
            <w:r w:rsidR="0043455E" w:rsidRPr="0043455E">
              <w:t> </w:t>
            </w:r>
            <w:r w:rsidRPr="0043455E">
              <w:t>2</w:t>
            </w:r>
            <w:r>
              <w:t xml:space="preserve"> </w:t>
            </w:r>
            <w:r w:rsidRPr="0043455E">
              <w:t>lit.</w:t>
            </w:r>
            <w:r w:rsidR="0043455E" w:rsidRPr="0043455E">
              <w:t> </w:t>
            </w:r>
            <w:r w:rsidRPr="0043455E">
              <w:t>b)</w:t>
            </w:r>
            <w:r>
              <w:t xml:space="preserve"> rozporządzenia (UE) </w:t>
            </w:r>
            <w:r w:rsidRPr="0043455E">
              <w:t>nr</w:t>
            </w:r>
            <w:r w:rsidR="0043455E" w:rsidRPr="0043455E">
              <w:t> </w:t>
            </w:r>
            <w:r w:rsidRPr="0043455E">
              <w:t>5</w:t>
            </w:r>
            <w:r>
              <w:t xml:space="preserve">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PODZIAŁ EKSPOZYCJI CAŁKOWITYCH WEDŁUG METODY (PRZEDSIĘBIORSTWO ZBIOROWEGO INWESTOWANIA)</w:t>
            </w:r>
          </w:p>
          <w:p w14:paraId="2BAD7DF7" w14:textId="72FC6CD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Wiersze te zgłasza się wyłącznie w odniesieniu do kategorii ekspozycji związanych z przedsiębiorstwami zbiorowego inwestowania, zgodnie z art. 132, 132a, 132b i 132c</w:t>
            </w:r>
            <w:r>
              <w:t xml:space="preserve"> rozporządzenia (UE) </w:t>
            </w:r>
            <w:r w:rsidRPr="0043455E">
              <w:t>nr</w:t>
            </w:r>
            <w:r w:rsidR="0043455E" w:rsidRPr="0043455E">
              <w:t> </w:t>
            </w:r>
            <w:r w:rsidRPr="0043455E">
              <w:t>5</w:t>
            </w:r>
            <w:r>
              <w:t>75/2013</w:t>
            </w:r>
            <w:r>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Metoda pełnego przeglądu</w:t>
            </w:r>
          </w:p>
          <w:p w14:paraId="6B60464B" w14:textId="767EFE95" w:rsidR="00E86B98" w:rsidRPr="002A677E" w:rsidRDefault="00E86B98" w:rsidP="00487A02">
            <w:pPr>
              <w:pStyle w:val="InstructionsText"/>
              <w:rPr>
                <w:rStyle w:val="InstructionsTabelleberschrift"/>
                <w:rFonts w:ascii="Times New Roman" w:hAnsi="Times New Roman"/>
                <w:sz w:val="24"/>
              </w:rPr>
            </w:pPr>
            <w:r>
              <w:t xml:space="preserve">Art. 132a </w:t>
            </w:r>
            <w:r w:rsidRPr="0043455E">
              <w:t>ust.</w:t>
            </w:r>
            <w:r w:rsidR="0043455E" w:rsidRPr="0043455E">
              <w:t> </w:t>
            </w:r>
            <w:r w:rsidRPr="0043455E">
              <w:t>1</w:t>
            </w:r>
            <w:r>
              <w:t xml:space="preserve"> rozporządzenia (UE) </w:t>
            </w:r>
            <w:r w:rsidRPr="0043455E">
              <w:t>nr</w:t>
            </w:r>
            <w:r w:rsidR="0043455E" w:rsidRPr="0043455E">
              <w:t> </w:t>
            </w:r>
            <w:r w:rsidRPr="0043455E">
              <w:t>5</w:t>
            </w:r>
            <w:r>
              <w:t>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Metoda oparta na uprawnieniach</w:t>
            </w:r>
          </w:p>
          <w:p w14:paraId="56185E49" w14:textId="64EF3656" w:rsidR="00E86B98" w:rsidRPr="002A677E" w:rsidRDefault="00E86B98" w:rsidP="00487A02">
            <w:pPr>
              <w:pStyle w:val="InstructionsText"/>
              <w:rPr>
                <w:rStyle w:val="InstructionsTabelleberschrift"/>
                <w:rFonts w:ascii="Times New Roman" w:hAnsi="Times New Roman"/>
                <w:sz w:val="24"/>
              </w:rPr>
            </w:pPr>
            <w:r>
              <w:t xml:space="preserve">Art. 132a </w:t>
            </w:r>
            <w:r w:rsidRPr="0043455E">
              <w:t>ust.</w:t>
            </w:r>
            <w:r w:rsidR="0043455E" w:rsidRPr="0043455E">
              <w:t> </w:t>
            </w:r>
            <w:r w:rsidRPr="0043455E">
              <w:t>2</w:t>
            </w:r>
            <w:r>
              <w:t xml:space="preserve"> rozporządzenia (UE) </w:t>
            </w:r>
            <w:r w:rsidRPr="0043455E">
              <w:t>nr</w:t>
            </w:r>
            <w:r w:rsidR="0043455E" w:rsidRPr="0043455E">
              <w:t> </w:t>
            </w:r>
            <w:r w:rsidRPr="0043455E">
              <w:t>5</w:t>
            </w:r>
            <w:r>
              <w:t>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Metoda rezerwowa</w:t>
            </w:r>
          </w:p>
          <w:p w14:paraId="78735693" w14:textId="2E3701D5" w:rsidR="00E86B98" w:rsidRPr="002A677E" w:rsidRDefault="00E86B98" w:rsidP="00487A02">
            <w:pPr>
              <w:pStyle w:val="InstructionsText"/>
              <w:rPr>
                <w:rStyle w:val="InstructionsTabelleberschrift"/>
                <w:rFonts w:ascii="Times New Roman" w:hAnsi="Times New Roman"/>
                <w:sz w:val="24"/>
              </w:rPr>
            </w:pPr>
            <w:r>
              <w:t xml:space="preserve">Art. 132 </w:t>
            </w:r>
            <w:r w:rsidRPr="0043455E">
              <w:t>ust.</w:t>
            </w:r>
            <w:r w:rsidR="0043455E" w:rsidRPr="0043455E">
              <w:t> </w:t>
            </w:r>
            <w:r w:rsidRPr="0043455E">
              <w:t>2</w:t>
            </w:r>
            <w:r>
              <w:t xml:space="preserve"> rozporządzenia (UE) </w:t>
            </w:r>
            <w:r w:rsidRPr="0043455E">
              <w:t>nr</w:t>
            </w:r>
            <w:r w:rsidR="0043455E" w:rsidRPr="0043455E">
              <w:t> </w:t>
            </w:r>
            <w:r w:rsidRPr="0043455E">
              <w:t>5</w:t>
            </w:r>
            <w:r>
              <w:t>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lastRenderedPageBreak/>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Pozycje uzupełniające</w:t>
            </w:r>
          </w:p>
          <w:p w14:paraId="40A38B29" w14:textId="77777777" w:rsidR="00E86B98" w:rsidRPr="002A677E" w:rsidRDefault="00E86B98" w:rsidP="00487A02">
            <w:pPr>
              <w:pStyle w:val="InstructionsText"/>
              <w:rPr>
                <w:b/>
                <w:u w:val="single"/>
              </w:rPr>
            </w:pPr>
            <w:r>
              <w:t>W odniesieniu do wierszy 0290–0320 zob. także wyjaśnienie celu pozycji uzupełniających zawarte w sekcji ogólnej wzoru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zabezpieczone hipotekami na nieruchomościach komercyjnych</w:t>
            </w:r>
          </w:p>
          <w:p w14:paraId="082BF5F4" w14:textId="331059BD" w:rsidR="00E86B98" w:rsidRPr="002A677E" w:rsidRDefault="00E86B98" w:rsidP="00487A02">
            <w:pPr>
              <w:pStyle w:val="InstructionsText"/>
            </w:pPr>
            <w:r>
              <w:t xml:space="preserve">Art. 112 </w:t>
            </w:r>
            <w:r w:rsidRPr="0043455E">
              <w:t>lit.</w:t>
            </w:r>
            <w:r w:rsidR="0043455E" w:rsidRPr="0043455E">
              <w:t> </w:t>
            </w:r>
            <w:r w:rsidRPr="0043455E">
              <w:t>i)</w:t>
            </w:r>
            <w:r>
              <w:t xml:space="preserve"> rozporządzenia (UE) </w:t>
            </w:r>
            <w:r w:rsidRPr="0043455E">
              <w:t>nr</w:t>
            </w:r>
            <w:r w:rsidR="0043455E" w:rsidRPr="0043455E">
              <w:t> </w:t>
            </w:r>
            <w:r w:rsidRPr="0043455E">
              <w:t>5</w:t>
            </w:r>
            <w:r>
              <w:t>75/2013</w:t>
            </w:r>
          </w:p>
          <w:p w14:paraId="19873995" w14:textId="21E0AE72" w:rsidR="00E86B98" w:rsidRPr="002A677E" w:rsidRDefault="00E86B98" w:rsidP="00487A02">
            <w:pPr>
              <w:pStyle w:val="InstructionsText"/>
            </w:pPr>
            <w:r>
              <w:t xml:space="preserve">Jest to wyłącznie pozycja uzupełniająca. Niezależnie od obliczania kwot ekspozycji na ryzyko z tytułu ekspozycji zabezpieczonych nieruchomościami komercyjnymi zgodnie z art. 124 i 126 rozporządzenia (UE) </w:t>
            </w:r>
            <w:r w:rsidRPr="0043455E">
              <w:t>nr</w:t>
            </w:r>
            <w:r w:rsidR="0043455E" w:rsidRPr="0043455E">
              <w:t> </w:t>
            </w:r>
            <w:r w:rsidRPr="0043455E">
              <w:t>5</w:t>
            </w:r>
            <w:r>
              <w:t>75/2013 ekspozycje są dzielone i zgłaszane w tym wierszu, jeżeli ekspozycje zabezpieczone są przez nieruchomości komercyjne.</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31D365D9"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których dotyczy niewykonanie zobowiązania, podlegające wadze ryzyka równej 10</w:t>
            </w:r>
            <w:r w:rsidRPr="0043455E">
              <w:rPr>
                <w:rStyle w:val="InstructionsTabelleberschrift"/>
                <w:rFonts w:ascii="Times New Roman" w:hAnsi="Times New Roman"/>
                <w:sz w:val="24"/>
              </w:rPr>
              <w:t>0</w:t>
            </w:r>
            <w:r w:rsidR="0043455E" w:rsidRPr="0043455E">
              <w:t> </w:t>
            </w:r>
            <w:r w:rsidRPr="0043455E">
              <w:rPr>
                <w:rStyle w:val="InstructionsTabelleberschrift"/>
                <w:rFonts w:ascii="Times New Roman" w:hAnsi="Times New Roman"/>
                <w:sz w:val="24"/>
              </w:rPr>
              <w:t>%</w:t>
            </w:r>
          </w:p>
          <w:p w14:paraId="6A941F3C" w14:textId="2C17F134" w:rsidR="00E86B98" w:rsidRPr="002A677E" w:rsidRDefault="00E86B98" w:rsidP="00487A02">
            <w:pPr>
              <w:pStyle w:val="InstructionsText"/>
            </w:pPr>
            <w:r>
              <w:t xml:space="preserve">Art. 112 </w:t>
            </w:r>
            <w:r w:rsidRPr="0043455E">
              <w:t>lit.</w:t>
            </w:r>
            <w:r w:rsidR="0043455E" w:rsidRPr="0043455E">
              <w:t> </w:t>
            </w:r>
            <w:r w:rsidRPr="0043455E">
              <w:t>j)</w:t>
            </w:r>
            <w:r>
              <w:t xml:space="preserve"> rozporządzenia (UE) </w:t>
            </w:r>
            <w:r w:rsidRPr="0043455E">
              <w:t>nr</w:t>
            </w:r>
            <w:r w:rsidR="0043455E" w:rsidRPr="0043455E">
              <w:t> </w:t>
            </w:r>
            <w:r w:rsidRPr="0043455E">
              <w:t>5</w:t>
            </w:r>
            <w:r>
              <w:t>75/2013</w:t>
            </w:r>
          </w:p>
          <w:p w14:paraId="4F7F2414" w14:textId="77777777" w:rsidR="00E86B98" w:rsidRPr="002A677E" w:rsidRDefault="00E86B98" w:rsidP="00487A02">
            <w:pPr>
              <w:pStyle w:val="InstructionsText"/>
            </w:pPr>
            <w:r>
              <w:t>Ekspozycje ujęte w kategorii ekspozycji „ekspozycje, których dotyczy niewykonanie zobowiązania”, które uwzględnia się w tej kategorii ekspozycji, jeżeli nie dotyczyło ich niewykonanie zobowiązania.</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Ekspozycje zabezpieczone hipotekami na nieruchomościach mieszkalnych </w:t>
            </w:r>
          </w:p>
          <w:p w14:paraId="5BDAA36A" w14:textId="5B08152C" w:rsidR="00E86B98" w:rsidRPr="002A677E" w:rsidRDefault="00887929" w:rsidP="00487A02">
            <w:pPr>
              <w:pStyle w:val="InstructionsText"/>
            </w:pPr>
            <w:r>
              <w:t xml:space="preserve">Art. 112 </w:t>
            </w:r>
            <w:r w:rsidRPr="0043455E">
              <w:t>lit.</w:t>
            </w:r>
            <w:r w:rsidR="0043455E" w:rsidRPr="0043455E">
              <w:t> </w:t>
            </w:r>
            <w:r w:rsidRPr="0043455E">
              <w:t>i)</w:t>
            </w:r>
            <w:r>
              <w:t xml:space="preserve"> rozporządzenia (UE) </w:t>
            </w:r>
            <w:r w:rsidRPr="0043455E">
              <w:t>nr</w:t>
            </w:r>
            <w:r w:rsidR="0043455E" w:rsidRPr="0043455E">
              <w:t> </w:t>
            </w:r>
            <w:r w:rsidRPr="0043455E">
              <w:t>5</w:t>
            </w:r>
            <w:r>
              <w:t>75/2013</w:t>
            </w:r>
          </w:p>
          <w:p w14:paraId="6DBBFFDB" w14:textId="7345D302" w:rsidR="00E86B98" w:rsidRPr="002A677E" w:rsidRDefault="00E86B98" w:rsidP="00487A02">
            <w:pPr>
              <w:pStyle w:val="InstructionsText"/>
              <w:rPr>
                <w:b/>
                <w:u w:val="single"/>
              </w:rPr>
            </w:pPr>
            <w:r>
              <w:t xml:space="preserve">Jest to wyłącznie pozycja uzupełniająca. Niezależnie od obliczania kwot ekspozycji na ryzyko z tytułu ekspozycji zabezpieczonych nieruchomościami mieszkalnymi zgodnie z art. 124 i 125 rozporządzenia (UE) </w:t>
            </w:r>
            <w:r w:rsidRPr="0043455E">
              <w:t>nr</w:t>
            </w:r>
            <w:r w:rsidR="0043455E" w:rsidRPr="0043455E">
              <w:t> </w:t>
            </w:r>
            <w:r w:rsidRPr="0043455E">
              <w:t>5</w:t>
            </w:r>
            <w:r>
              <w:t>75/2013 ekspozycje są dzielone i zgłaszane w tym wierszu, jeżeli ekspozycje zabezpieczone są przez nieruchomości.</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600FAF6F"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których dotyczy niewykonanie zobowiązania, podlegające wadze ryzyka równej 15</w:t>
            </w:r>
            <w:r w:rsidRPr="0043455E">
              <w:rPr>
                <w:rStyle w:val="InstructionsTabelleberschrift"/>
                <w:rFonts w:ascii="Times New Roman" w:hAnsi="Times New Roman"/>
                <w:sz w:val="24"/>
              </w:rPr>
              <w:t>0</w:t>
            </w:r>
            <w:r w:rsidR="0043455E" w:rsidRPr="0043455E">
              <w:t> </w:t>
            </w:r>
            <w:r w:rsidRPr="0043455E">
              <w:rPr>
                <w:rStyle w:val="InstructionsTabelleberschrift"/>
                <w:rFonts w:ascii="Times New Roman" w:hAnsi="Times New Roman"/>
                <w:sz w:val="24"/>
              </w:rPr>
              <w:t>%</w:t>
            </w:r>
            <w:r>
              <w:rPr>
                <w:rStyle w:val="InstructionsTabelleberschrift"/>
                <w:rFonts w:ascii="Times New Roman" w:hAnsi="Times New Roman"/>
                <w:sz w:val="24"/>
              </w:rPr>
              <w:t xml:space="preserve"> </w:t>
            </w:r>
          </w:p>
          <w:p w14:paraId="0681B1E0" w14:textId="4F3405DB" w:rsidR="00E86B98" w:rsidRPr="002A677E" w:rsidRDefault="00887929" w:rsidP="00487A02">
            <w:pPr>
              <w:pStyle w:val="InstructionsText"/>
            </w:pPr>
            <w:r>
              <w:t xml:space="preserve">Art. 112 </w:t>
            </w:r>
            <w:r w:rsidRPr="0043455E">
              <w:t>lit.</w:t>
            </w:r>
            <w:r w:rsidR="0043455E" w:rsidRPr="0043455E">
              <w:t> </w:t>
            </w:r>
            <w:r w:rsidRPr="0043455E">
              <w:t>j)</w:t>
            </w:r>
            <w:r>
              <w:t xml:space="preserve"> rozporządzenia (UE) </w:t>
            </w:r>
            <w:r w:rsidRPr="0043455E">
              <w:t>nr</w:t>
            </w:r>
            <w:r w:rsidR="0043455E" w:rsidRPr="0043455E">
              <w:t> </w:t>
            </w:r>
            <w:r w:rsidRPr="0043455E">
              <w:t>5</w:t>
            </w:r>
            <w:r>
              <w:t>75/2013</w:t>
            </w:r>
          </w:p>
          <w:p w14:paraId="38918FFA" w14:textId="77777777" w:rsidR="00E86B98" w:rsidRPr="002A677E" w:rsidRDefault="00E86B98" w:rsidP="00487A02">
            <w:pPr>
              <w:pStyle w:val="InstructionsText"/>
            </w:pPr>
            <w:r>
              <w:t>Ekspozycje ujęte w kategorii ekspozycji „ekspozycje, których dotyczy niewykonanie zobowiązania”, które uwzględnia się w tej kategorii ekspozycji, jeżeli nie dotyczyło ich niewykonanie zobowiązania.</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9064804"/>
      <w:r>
        <w:rPr>
          <w:rFonts w:ascii="Times New Roman" w:hAnsi="Times New Roman"/>
          <w:sz w:val="24"/>
          <w:u w:val="none"/>
        </w:rPr>
        <w:t>3.3.</w:t>
      </w:r>
      <w:r>
        <w:tab/>
      </w:r>
      <w:r>
        <w:rPr>
          <w:rFonts w:ascii="Times New Roman" w:hAnsi="Times New Roman"/>
          <w:sz w:val="24"/>
        </w:rPr>
        <w:t>Ryzyko kredytowe i ryzyko kredytowe kontrahenta oraz dostawy z późniejszym terminem rozliczenia: Wymogi kapitałowe według metody IRB</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9064805"/>
      <w:r>
        <w:rPr>
          <w:rFonts w:ascii="Times New Roman" w:hAnsi="Times New Roman"/>
          <w:sz w:val="24"/>
          <w:u w:val="none"/>
        </w:rPr>
        <w:t>3.3.1.</w:t>
      </w:r>
      <w:r>
        <w:tab/>
      </w:r>
      <w:r>
        <w:rPr>
          <w:rFonts w:ascii="Times New Roman" w:hAnsi="Times New Roman"/>
          <w:sz w:val="24"/>
        </w:rPr>
        <w:t>Zakres wzoru CR IRB</w:t>
      </w:r>
      <w:bookmarkEnd w:id="218"/>
      <w:bookmarkEnd w:id="219"/>
      <w:bookmarkEnd w:id="220"/>
    </w:p>
    <w:p w14:paraId="0D6B8B2B" w14:textId="77777777" w:rsidR="001C7AB7" w:rsidRPr="002A677E" w:rsidRDefault="0043455E" w:rsidP="00487A02">
      <w:pPr>
        <w:pStyle w:val="InstructionsText2"/>
        <w:numPr>
          <w:ilvl w:val="0"/>
          <w:numId w:val="0"/>
        </w:numPr>
        <w:ind w:left="1353" w:hanging="360"/>
      </w:pPr>
      <w:fldSimple w:instr=" seq paragraphs ">
        <w:r w:rsidR="008F3052">
          <w:t>72</w:t>
        </w:r>
      </w:fldSimple>
      <w:r w:rsidR="008F3052">
        <w:t>.</w:t>
      </w:r>
      <w:r w:rsidR="008F3052">
        <w:tab/>
        <w:t>Zakres wzoru CR IRB obejmuje:</w:t>
      </w:r>
    </w:p>
    <w:p w14:paraId="71C6A2AC" w14:textId="77777777" w:rsidR="001C7AB7" w:rsidRPr="002A677E" w:rsidRDefault="00125707" w:rsidP="00487A02">
      <w:pPr>
        <w:pStyle w:val="InstructionsText2"/>
        <w:numPr>
          <w:ilvl w:val="0"/>
          <w:numId w:val="0"/>
        </w:numPr>
        <w:ind w:left="1353" w:hanging="360"/>
      </w:pPr>
      <w:r>
        <w:t>i.</w:t>
      </w:r>
      <w:r>
        <w:tab/>
        <w:t>ryzyko kredytowe w portfelu bankowym, w tym:</w:t>
      </w:r>
    </w:p>
    <w:p w14:paraId="6C5B8735" w14:textId="77777777" w:rsidR="001C7AB7" w:rsidRPr="002A677E" w:rsidRDefault="001C7AB7" w:rsidP="00487A02">
      <w:pPr>
        <w:pStyle w:val="InstructionsText2"/>
        <w:numPr>
          <w:ilvl w:val="0"/>
          <w:numId w:val="49"/>
        </w:numPr>
      </w:pPr>
      <w:r>
        <w:t>ryzyko kredytowe kontrahenta w portfelu bankowym;</w:t>
      </w:r>
    </w:p>
    <w:p w14:paraId="0E5EFDA9" w14:textId="77777777" w:rsidR="001C7AB7" w:rsidRPr="002A677E" w:rsidRDefault="001C7AB7" w:rsidP="00487A02">
      <w:pPr>
        <w:pStyle w:val="InstructionsText2"/>
        <w:numPr>
          <w:ilvl w:val="0"/>
          <w:numId w:val="49"/>
        </w:numPr>
      </w:pPr>
      <w:r>
        <w:t>ryzyko rozmycia dotyczące nabytych wierzytelności;</w:t>
      </w:r>
    </w:p>
    <w:p w14:paraId="6D35E42E" w14:textId="77777777" w:rsidR="001C7AB7" w:rsidRPr="002A677E" w:rsidRDefault="00125707" w:rsidP="00487A02">
      <w:pPr>
        <w:pStyle w:val="InstructionsText2"/>
        <w:numPr>
          <w:ilvl w:val="0"/>
          <w:numId w:val="0"/>
        </w:numPr>
        <w:ind w:left="1353" w:hanging="360"/>
      </w:pPr>
      <w:r>
        <w:t>ii.</w:t>
      </w:r>
      <w:r>
        <w:tab/>
        <w:t>ryzyko kredytowe kontrahenta w portfelu handlowym;</w:t>
      </w:r>
    </w:p>
    <w:p w14:paraId="477FA3DC" w14:textId="77777777" w:rsidR="001C7AB7" w:rsidRPr="002A677E" w:rsidRDefault="00125707" w:rsidP="00487A02">
      <w:pPr>
        <w:pStyle w:val="InstructionsText2"/>
        <w:numPr>
          <w:ilvl w:val="0"/>
          <w:numId w:val="0"/>
        </w:numPr>
        <w:ind w:left="1353" w:hanging="360"/>
      </w:pPr>
      <w:r>
        <w:lastRenderedPageBreak/>
        <w:t>iii.</w:t>
      </w:r>
      <w:r>
        <w:tab/>
        <w:t>dostawy z późniejszym terminem rozliczenia wynikające z całej działalności gospodarczej.</w:t>
      </w:r>
    </w:p>
    <w:p w14:paraId="06BDFF2D" w14:textId="1667322B" w:rsidR="001C7AB7" w:rsidRPr="002A677E" w:rsidRDefault="0043455E" w:rsidP="00487A02">
      <w:pPr>
        <w:pStyle w:val="InstructionsText2"/>
        <w:numPr>
          <w:ilvl w:val="0"/>
          <w:numId w:val="0"/>
        </w:numPr>
        <w:ind w:left="1353" w:hanging="360"/>
      </w:pPr>
      <w:fldSimple w:instr=" seq paragraphs ">
        <w:r w:rsidR="008F3052">
          <w:t>73</w:t>
        </w:r>
      </w:fldSimple>
      <w:r w:rsidR="008F3052">
        <w:t>.</w:t>
      </w:r>
      <w:r w:rsidR="008F3052">
        <w:tab/>
        <w:t xml:space="preserve">Zakres tego wzoru odnosi się do ekspozycji, w odniesieniu do których kwoty ekspozycji ważonych ryzykiem oblicza się zgodnie z art. 151–157 części trzeciej tytuł II rozdział 3 rozporządzenia (UE) </w:t>
      </w:r>
      <w:r w:rsidR="008F3052" w:rsidRPr="0043455E">
        <w:t>nr</w:t>
      </w:r>
      <w:r w:rsidRPr="0043455E">
        <w:t> </w:t>
      </w:r>
      <w:r w:rsidR="008F3052" w:rsidRPr="0043455E">
        <w:t>5</w:t>
      </w:r>
      <w:r w:rsidR="008F3052">
        <w:t xml:space="preserve">75/2013 (podejście IRB). </w:t>
      </w:r>
    </w:p>
    <w:p w14:paraId="41F30311" w14:textId="77777777" w:rsidR="001C7AB7" w:rsidRPr="002A677E" w:rsidRDefault="0043455E" w:rsidP="00487A02">
      <w:pPr>
        <w:pStyle w:val="InstructionsText2"/>
        <w:numPr>
          <w:ilvl w:val="0"/>
          <w:numId w:val="0"/>
        </w:numPr>
        <w:ind w:left="1353" w:hanging="360"/>
      </w:pPr>
      <w:fldSimple w:instr=" seq paragraphs ">
        <w:r w:rsidR="008F3052">
          <w:t>74</w:t>
        </w:r>
      </w:fldSimple>
      <w:r w:rsidR="008F3052">
        <w:t>.</w:t>
      </w:r>
      <w:r w:rsidR="008F3052">
        <w:tab/>
        <w:t xml:space="preserve">Wzór CR IRB nie obejmuje następujących danych: </w:t>
      </w:r>
    </w:p>
    <w:p w14:paraId="22C972FA" w14:textId="77777777" w:rsidR="001C7AB7" w:rsidRPr="002A677E" w:rsidRDefault="00125707" w:rsidP="00487A02">
      <w:pPr>
        <w:pStyle w:val="InstructionsText2"/>
        <w:numPr>
          <w:ilvl w:val="0"/>
          <w:numId w:val="0"/>
        </w:numPr>
        <w:ind w:left="1353" w:hanging="360"/>
      </w:pPr>
      <w:r>
        <w:t>i.</w:t>
      </w:r>
      <w:r>
        <w:tab/>
        <w:t xml:space="preserve">ekspozycji kapitałowych, które zgłasza się we wzorze CR EQU IRB; </w:t>
      </w:r>
    </w:p>
    <w:p w14:paraId="254CA575" w14:textId="77777777" w:rsidR="001C7AB7" w:rsidRPr="002A677E" w:rsidRDefault="00125707" w:rsidP="00487A02">
      <w:pPr>
        <w:pStyle w:val="InstructionsText2"/>
        <w:numPr>
          <w:ilvl w:val="0"/>
          <w:numId w:val="0"/>
        </w:numPr>
        <w:ind w:left="1353" w:hanging="360"/>
      </w:pPr>
      <w:r>
        <w:t>ii.</w:t>
      </w:r>
      <w:r>
        <w:tab/>
        <w:t>pozycji sekurytyzacyjnych, które zgłasza się we wzorach CE SEC lub CR SEC Szczegóły;</w:t>
      </w:r>
    </w:p>
    <w:p w14:paraId="08743BAB" w14:textId="067E9590" w:rsidR="001C7AB7" w:rsidRPr="002A677E" w:rsidRDefault="00125707" w:rsidP="00487A02">
      <w:pPr>
        <w:pStyle w:val="InstructionsText2"/>
        <w:numPr>
          <w:ilvl w:val="0"/>
          <w:numId w:val="0"/>
        </w:numPr>
        <w:ind w:left="1353" w:hanging="360"/>
      </w:pPr>
      <w:r>
        <w:t>iii.</w:t>
      </w:r>
      <w:r>
        <w:tab/>
        <w:t xml:space="preserve"> „innych aktywów niegenerujących zobowiązania kredytowego”, o których mowa w art. 147 ust. 2 lit. g) rozporządzenia (UE) </w:t>
      </w:r>
      <w:r w:rsidRPr="0043455E">
        <w:t>nr</w:t>
      </w:r>
      <w:r w:rsidR="0043455E" w:rsidRPr="0043455E">
        <w:t> </w:t>
      </w:r>
      <w:r w:rsidRPr="0043455E">
        <w:t>5</w:t>
      </w:r>
      <w:r>
        <w:t xml:space="preserve">75/2013. Waga ryzyka dla tej kategorii ekspozycji musi zawsze wynosić 100 %, z wyjątkiem środków pieniężnych w kasie, równoważnych pozycji pieniężnych oraz ekspozycji, które stanowią rezydualną wartość aktywów będących przedmiotem leasingu, zgodnie z art. 156 rozporządzenia (UE) </w:t>
      </w:r>
      <w:r w:rsidRPr="0043455E">
        <w:t>nr</w:t>
      </w:r>
      <w:r w:rsidR="0043455E" w:rsidRPr="0043455E">
        <w:t> </w:t>
      </w:r>
      <w:r w:rsidRPr="0043455E">
        <w:t>5</w:t>
      </w:r>
      <w:r>
        <w:t>75/2013. Kwoty ekspozycji ważonych ryzykiem dla tej kategorii ekspozycji zgłasza się bezpośrednio we wzorze CA;</w:t>
      </w:r>
    </w:p>
    <w:p w14:paraId="6E21D181" w14:textId="77777777" w:rsidR="001C7AB7" w:rsidRPr="002A677E" w:rsidRDefault="00125707" w:rsidP="00487A02">
      <w:pPr>
        <w:pStyle w:val="InstructionsText2"/>
        <w:numPr>
          <w:ilvl w:val="0"/>
          <w:numId w:val="0"/>
        </w:numPr>
        <w:ind w:left="1353" w:hanging="360"/>
      </w:pPr>
      <w:r>
        <w:t>iv.</w:t>
      </w:r>
      <w:r>
        <w:tab/>
        <w:t>ryzyka związanego z korektą wyceny kredytowej, które zgłasza się we wzorze dotyczącym ryzyka związanego z CVA.</w:t>
      </w:r>
    </w:p>
    <w:p w14:paraId="226F3F85" w14:textId="77777777" w:rsidR="001C7AB7" w:rsidRPr="002A677E" w:rsidRDefault="001C7AB7" w:rsidP="001235ED">
      <w:pPr>
        <w:pStyle w:val="InstructionsText2"/>
        <w:numPr>
          <w:ilvl w:val="0"/>
          <w:numId w:val="0"/>
        </w:numPr>
        <w:ind w:left="1418"/>
      </w:pPr>
      <w:r>
        <w:t xml:space="preserve">Wzór CR IRB nie wymaga podziału ekspozycji według metody IRB pod względem geograficznym według siedziby kontrahenta. Podział ten zgłasza się we wzorze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Pozycje (i) oraz (iii) nie dotyczą wzoru CR IRB 7.</w:t>
      </w:r>
    </w:p>
    <w:p w14:paraId="7D4DC8CE" w14:textId="77777777" w:rsidR="001C7AB7" w:rsidRPr="002A677E" w:rsidRDefault="0043455E" w:rsidP="00487A02">
      <w:pPr>
        <w:pStyle w:val="InstructionsText2"/>
        <w:numPr>
          <w:ilvl w:val="0"/>
          <w:numId w:val="0"/>
        </w:numPr>
        <w:ind w:left="1353" w:hanging="360"/>
      </w:pPr>
      <w:fldSimple w:instr=" seq paragraphs ">
        <w:r w:rsidR="008F3052">
          <w:t>75</w:t>
        </w:r>
      </w:fldSimple>
      <w:r w:rsidR="008F3052">
        <w:t>.</w:t>
      </w:r>
      <w:r w:rsidR="008F3052">
        <w:tab/>
        <w:t>Aby wyjaśnić, czy instytucja korzysta ze swoich własnych oszacowań LGD lub współczynników konwersji kredytowej, w odniesieniu do każdej kategorii ekspozycji podaje się następujące informacje:</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„NIE” = w przypadku stosowania oszacowań LGD według metody nadzorczej oraz współczynników konwersji kredytowej (podstawowa metoda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„TAK” = w przypadku niestosowania oszacowań LGD według metody nadzorczej oraz współczynników konwersji kredytowej (zaawansowana metoda IRB). Obejmuje to wszystkie portfele ekspozycji detalicznych.</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Jeżeli w przypadku części swoich ekspozycji według metody IRB instytucja korzysta z własnych oszacowań LGD do obliczenia </w:t>
      </w:r>
      <w:r>
        <w:rPr>
          <w:rStyle w:val="InstructionsTabelleText"/>
          <w:rFonts w:ascii="Times New Roman" w:hAnsi="Times New Roman"/>
          <w:sz w:val="24"/>
        </w:rPr>
        <w:t>kwot ekspozycji ważonych ryzykiem</w:t>
      </w:r>
      <w:r>
        <w:rPr>
          <w:rFonts w:ascii="Times New Roman" w:hAnsi="Times New Roman"/>
          <w:sz w:val="24"/>
        </w:rPr>
        <w:t xml:space="preserve">, a także z oszacowań LGD według metody nadzorczej w celu obliczenia </w:t>
      </w:r>
      <w:r>
        <w:rPr>
          <w:rStyle w:val="InstructionsTabelleText"/>
          <w:rFonts w:ascii="Times New Roman" w:hAnsi="Times New Roman"/>
          <w:sz w:val="24"/>
        </w:rPr>
        <w:t>kwot ekspozycji ważonych ryzykiem</w:t>
      </w:r>
      <w:r>
        <w:rPr>
          <w:rFonts w:ascii="Times New Roman" w:hAnsi="Times New Roman"/>
          <w:sz w:val="24"/>
        </w:rPr>
        <w:t xml:space="preserve"> w odniesieniu do innej części swoich ekspozycji według metody IRB, należy zgłosić wartość ekspozycji całkowitej we wzorze CR IRB dla pozycji F-IRB oraz dla pozycji A-IRB.</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9064806"/>
      <w:r>
        <w:rPr>
          <w:rFonts w:ascii="Times New Roman" w:hAnsi="Times New Roman"/>
          <w:sz w:val="24"/>
          <w:u w:val="none"/>
        </w:rPr>
        <w:lastRenderedPageBreak/>
        <w:t>3.3.2.</w:t>
      </w:r>
      <w:r>
        <w:tab/>
      </w:r>
      <w:r>
        <w:rPr>
          <w:rFonts w:ascii="Times New Roman" w:hAnsi="Times New Roman"/>
          <w:sz w:val="24"/>
        </w:rPr>
        <w:t>Podział wzoru CR IRB</w:t>
      </w:r>
      <w:bookmarkEnd w:id="221"/>
      <w:bookmarkEnd w:id="222"/>
      <w:bookmarkEnd w:id="223"/>
      <w:bookmarkEnd w:id="224"/>
      <w:bookmarkEnd w:id="225"/>
      <w:bookmarkEnd w:id="226"/>
      <w:bookmarkEnd w:id="227"/>
      <w:bookmarkEnd w:id="228"/>
    </w:p>
    <w:p w14:paraId="4A3FF0C6" w14:textId="77777777" w:rsidR="001C7AB7" w:rsidRPr="002A677E" w:rsidRDefault="0043455E" w:rsidP="00487A02">
      <w:pPr>
        <w:pStyle w:val="InstructionsText2"/>
        <w:numPr>
          <w:ilvl w:val="0"/>
          <w:numId w:val="0"/>
        </w:numPr>
        <w:ind w:left="1353" w:hanging="360"/>
      </w:pPr>
      <w:fldSimple w:instr=" seq paragraphs ">
        <w:r w:rsidR="008F3052">
          <w:t>76</w:t>
        </w:r>
      </w:fldSimple>
      <w:r w:rsidR="008F3052">
        <w:t>.</w:t>
      </w:r>
      <w:r w:rsidR="008F3052">
        <w:tab/>
        <w:t>Wzór CR IRB składa się z siedmiu wzorów. Wzór CR IRB 1 zawiera ogólny przegląd ekspozycji według metody IRB i różnych metod obliczania kwot ekspozycji ważonych ryzykiem, a także podział ekspozycji całkowitych według rodzajów ekspozycji. Wzór CR IRB 2 zawiera podział ekspozycji całkowitych przypisanych klasom jakości lub pulom dłużników (ekspozycje zgłaszane w wierszu 0070 wzoru CR IRB 1). Wzór CR IRB 3 zawiera wszystkie istotne parametry wykorzystywane do obliczenia wymogów kapitałowych z tytułu ryzyka kredytowego dla modeli IRB. Wzór CR IRB 4 zawiera rachunek przepływów wyjaśniający zmiany kwot ekspozycji ważonych ryzykiem ustalanych na podstawie metody wewnętrznych ratingów dla ryzyka kredytowego. Wzór CR IRB 5 zawiera informacje dotyczące wyników weryfikacji historycznej wartości PD dla zgłaszanych modeli. Wzór CR IRB 6 zawiera wszystkie istotne parametry wykorzystywane do obliczenia wymogów kapitałowych z tytułu ryzyka kredytowego według kryteriów klasyfikacji kredytowania specjalistycznego. Wzór CR IRB 7 zawiera przegląd odsetka wartości ekspozycji objętej metodą standardową lub metodą IRB dla każdej odpowiedniej kategorii ekspozycji. Wzory CR IRB 1, CR IRB 2, CR IRB 3 i CR IRB 5 zgłasza się oddzielnie w odniesieniu do następujących kategorii ekspozycji lub subekspozycji:</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wartość całkowita</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(wzór dotyczący wartości całkowitych należy zgłaszać w odniesieniu do podstawowej metody IRB oraz oddzielnie w przypadku zaawansowanej metody IRB);</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ekspozycje wobec rządów centralnych i banków centralnych </w:t>
      </w:r>
    </w:p>
    <w:p w14:paraId="19FD4BF4" w14:textId="4826847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ekspozycje wobec instytucji</w:t>
      </w:r>
    </w:p>
    <w:p w14:paraId="2A33DD3A" w14:textId="7AA9FE2F"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ekspozycje wobec przedsiębiorstw – MŚP</w:t>
      </w:r>
    </w:p>
    <w:p w14:paraId="70E54B68" w14:textId="75E00951"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Na potrzeby zaklasyfikowania do tej kategorii subekspozycji jednostki sprawozdawcze stosują swoją wewnętrzną definicję MŚP wykorzystywaną w wewnętrznych procesach zarządzania ryzykiem.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ekspozycje wobec przedsiębiorstw – kredytowanie specjalistyczne</w:t>
      </w:r>
    </w:p>
    <w:p w14:paraId="1003485F" w14:textId="4FC02AA8"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ekspozycje wobec przedsiębiorstw – inne </w:t>
      </w:r>
    </w:p>
    <w:p w14:paraId="2BC0A49B" w14:textId="6E35D6A8"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(wszystkie ekspozycje wobec przedsiębiorstw, o których mowa w art. 147 ust. 2 lit. 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niezgłoszone w pozycji 4.1 i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ekspozycje detaliczne – wobec MŚP zabezpieczone nieruchomością</w:t>
      </w:r>
    </w:p>
    <w:p w14:paraId="41CDE7BA" w14:textId="56C281D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(ekspozycje detaliczne,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związku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tego rozporządzenia, które są zabezpieczone nieruchomością). Na potrzeby zaklasyfikowania do tej kategorii subekspozycji jednostki sprawozdawcze stosują swoją wewnętrzną definicję MŚP wykorzystywaną w wewnętrznych procesach zarządzania ryzykiem.</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ekspozycje detaliczne – ekspozycje zabezpieczone nieruchomością wobec podmiotów niebędących MŚP</w:t>
      </w:r>
    </w:p>
    <w:p w14:paraId="0AD84A3A" w14:textId="0B730FCB"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(ekspozycje detaliczne, o których mowa w art. 147 ust. 2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które zabezpieczone są nieruchomością i nie są zgłoszone w pozycji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W pozycjach 5.1 i 5.2 za ekspozycje detaliczne zabezpieczone nieruchomościami uznaje się wszelkie ekspozycje detaliczne zabezpieczone nieruchomościami uznanymi za zabezpieczenie, niezależnie od stosunku wartości zabezpieczenia do wartości ekspozycji lub od celu pożyczki.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kwalifikowane odnawialne ekspozycje detaliczne</w:t>
      </w:r>
    </w:p>
    <w:p w14:paraId="5D39186F" w14:textId="13CFFB0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(ekspozycje detaliczne,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związku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tego rozporządzenia).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ekspozycje detaliczne – inne ekspozycje wobec MŚP</w:t>
      </w:r>
    </w:p>
    <w:p w14:paraId="18E79C76" w14:textId="66A9E98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(ekspozycje detaliczne,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niezgłoszone w pozycji 5.1 i 5.3). Na potrzeby zaklasyfikowania do tej kategorii subekspozycji jednostki sprawozdawcze stosują swoją wewnętrzną definicję MŚP wykorzystywaną w wewnętrznych procesach zarządzania ryzykiem.</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ekspozycje detaliczne – inne ekspozycje wobec przedsiębiorstw niebędących MŚP</w:t>
      </w:r>
    </w:p>
    <w:p w14:paraId="6BB46999" w14:textId="192427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(ekspozycje detaliczne,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niezgłoszone w pozycji 5.2 i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239157380"/>
      <w:bookmarkStart w:id="231" w:name="_Toc262568038"/>
      <w:bookmarkStart w:id="232" w:name="_Toc264038436"/>
      <w:bookmarkStart w:id="233" w:name="_Toc295829866"/>
      <w:bookmarkStart w:id="234" w:name="_Toc308155143"/>
      <w:bookmarkStart w:id="235" w:name="_Toc310415030"/>
      <w:bookmarkStart w:id="236" w:name="_Toc360188360"/>
      <w:bookmarkStart w:id="237" w:name="_Toc119064807"/>
      <w:r>
        <w:rPr>
          <w:rFonts w:ascii="Times New Roman" w:hAnsi="Times New Roman"/>
          <w:sz w:val="24"/>
          <w:u w:val="none"/>
        </w:rPr>
        <w:t>3.3.3.</w:t>
      </w:r>
      <w:r>
        <w:tab/>
      </w:r>
      <w:r>
        <w:rPr>
          <w:rFonts w:ascii="Times New Roman" w:hAnsi="Times New Roman"/>
          <w:sz w:val="24"/>
        </w:rPr>
        <w:t>C 08.01 – Ryzyko kredytowe i ryzyko kredytowe kontrahenta oraz dostawy z późniejszym terminem rozliczenia: wymogi kapitałowe według metody IRB (CR IRB 1)</w:t>
      </w:r>
      <w:bookmarkEnd w:id="229"/>
      <w:bookmarkEnd w:id="237"/>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9064808"/>
      <w:r>
        <w:rPr>
          <w:rFonts w:ascii="Times New Roman" w:hAnsi="Times New Roman"/>
          <w:sz w:val="24"/>
          <w:u w:val="none"/>
        </w:rPr>
        <w:t>3.3.3.1</w:t>
      </w:r>
      <w:r>
        <w:tab/>
      </w:r>
      <w:r>
        <w:rPr>
          <w:rFonts w:ascii="Times New Roman" w:hAnsi="Times New Roman"/>
          <w:sz w:val="24"/>
        </w:rPr>
        <w:t>Instrukcje dotyczące poszczególnych pozycji</w:t>
      </w:r>
      <w:bookmarkEnd w:id="230"/>
      <w:bookmarkEnd w:id="231"/>
      <w:bookmarkEnd w:id="232"/>
      <w:bookmarkEnd w:id="233"/>
      <w:bookmarkEnd w:id="234"/>
      <w:bookmarkEnd w:id="235"/>
      <w:bookmarkEnd w:id="236"/>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Kolumny</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Instrukcje</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SKALA RATINGU WEWNĘTRZNEGO/PD PRZYPISANE KLASIE JAKOŚCI LUB PULI DŁUŻNIKA (%)</w:t>
            </w:r>
          </w:p>
          <w:p w14:paraId="091A6478" w14:textId="49D6AFD1" w:rsidR="001C7AB7" w:rsidRPr="002A677E" w:rsidRDefault="001C7AB7" w:rsidP="001C7AB7">
            <w:pPr>
              <w:rPr>
                <w:rFonts w:ascii="Times New Roman" w:hAnsi="Times New Roman"/>
                <w:sz w:val="24"/>
              </w:rPr>
            </w:pPr>
            <w:r>
              <w:rPr>
                <w:rStyle w:val="InstructionsTabelleText"/>
                <w:rFonts w:ascii="Times New Roman" w:hAnsi="Times New Roman"/>
                <w:sz w:val="24"/>
              </w:rPr>
              <w:t>PD przypisane klasie jakości lub puli dłużnika, które należy zgłosić, oparte są na przepisach art. 180</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Dla każdej indywidualnej klasy jakości lub puli dłużnika zgłasza się PD przypisane określonej klasie jakości lub puli dłużnika. W przypadku danych liczbowych odpowiadających zagregowaniu klas jakości lub pul dłużnika (np. „ekspozycje całkowite”) zgłasza się średnią wartość PD ważoną ekspozycją, która to wartość jest przypisana zagregowanym klasom jakości lub pulom dłużnika. Wartość ekspozycji (kolumna 0110) wykorzystuje się do obliczenia średniej wartości PD ważonej ekspozycją</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Dla każdej indywidualnej klasy jakości lub puli dłużnika zgłasza się PD przypisane określonej klasie jakości lub puli dłużnika. Wszystkie zgłoszone parametry ryzyka są oparte na parametrach ryzyka wykorzystywanych w skali ratingu wewnętrznego zatwierdzonej przez właściwy organ.</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Posiadanie wzorca nadzoru nie jest ani zamierzone, ani pożądane. Jeżeli instytucja sprawozdająca stosuje niepowtarzalną skalę ratingową lub ma możliwość zgłaszania danych zgodnie z wewnętrznym wzorcem, wówczas wykorzystuje się ten wzorzec.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W innym przypadku łączy się różne skale ratingu i szereguje je zgodnie z następującymi kryteriami: klasy jakości dłużnika z różnych skali ratingowych łączy się i szereguje od </w:t>
            </w:r>
            <w:r>
              <w:rPr>
                <w:rStyle w:val="InstructionsTabelleText"/>
                <w:rFonts w:ascii="Times New Roman" w:hAnsi="Times New Roman"/>
                <w:sz w:val="24"/>
              </w:rPr>
              <w:lastRenderedPageBreak/>
              <w:t>najniższego PD przypisanego każdej klasie jakości dłużnika do najwyższego. Jeżeli instytucja stosuje dużą liczbę klas jakości i pul, może uzgodnić z właściwym organem zgłaszanie ograniczonej liczby klas i pul. To samo dotyczy ciągłych skali ratingowych: z właściwym organem uzgadnia się zgłaszanie ograniczonej liczby klas.</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Jeżeli instytucje chcą zgłaszać inną liczbę klas jakości niż stosowana na poziomie wewnętrznym, wcześniej kontaktują się w tej kwestii z właściwym organem.</w:t>
            </w:r>
          </w:p>
          <w:p w14:paraId="383AC658" w14:textId="11C79D79"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Ostatnia klasa ratingowa lub ostatnie klasy ratingowe przeznaczone są dla ekspozycji, których dotyczy niewykonanie zobowiązania, o PD wynoszącym 10</w:t>
            </w:r>
            <w:r w:rsidRPr="0043455E">
              <w:rPr>
                <w:rStyle w:val="InstructionsTabelleText"/>
                <w:rFonts w:ascii="Times New Roman" w:hAnsi="Times New Roman"/>
                <w:sz w:val="24"/>
              </w:rPr>
              <w:t>0</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w:t>
            </w:r>
            <w:r>
              <w:rPr>
                <w:rStyle w:val="InstructionsTabelleText"/>
                <w:rFonts w:ascii="Times New Roman" w:hAnsi="Times New Roman"/>
                <w:sz w:val="24"/>
              </w:rPr>
              <w:t>.</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Do celów ważenia średniej wartości PD wykorzystuje się wartość ekspozycji zgłoszoną w kolumnie 110. Średnią wartość PD ważoną ekspozycją oblicza się z uwzględnieniem wszystkich ekspozycji zgłoszonych w danym wierszu. W wierszu, w którym zgłasza się wyłącznie ekspozycje, których dotyczy niewykonanie zobowiązania, średnia wartość PD wynosi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PIERWOTNA EKSPOZYCJA PRZED UWZGLĘDNIENIEM WSPÓŁCZYNNIKÓW KONWERSJI</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Instytucje zgłaszają wartość ekspozycji przed uwzględnieniem korekt wartości, rezerw, efektów technik ograniczania ryzyka kredytowego lub współczynników konwersji kredytowej. </w:t>
            </w:r>
          </w:p>
          <w:p w14:paraId="62E2DA78" w14:textId="03411B17" w:rsidR="001C7AB7" w:rsidRPr="002A677E" w:rsidRDefault="001C7AB7" w:rsidP="001C7AB7">
            <w:pPr>
              <w:rPr>
                <w:rFonts w:ascii="Times New Roman" w:hAnsi="Times New Roman"/>
                <w:sz w:val="24"/>
              </w:rPr>
            </w:pPr>
            <w:r>
              <w:rPr>
                <w:rFonts w:ascii="Times New Roman" w:hAnsi="Times New Roman"/>
                <w:sz w:val="24"/>
              </w:rPr>
              <w:t xml:space="preserve">Wartość pierwotnej ekspozycji zgłaszana jest zgodnie z art. 24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oraz z art. 166 ust. 1, 2, 4, 5, 6 i 7 tego rozporządzenia.</w:t>
            </w:r>
          </w:p>
          <w:p w14:paraId="33E414D9" w14:textId="1B642C3C" w:rsidR="001C7AB7" w:rsidRPr="002A677E" w:rsidRDefault="001C7AB7" w:rsidP="001C7AB7">
            <w:pPr>
              <w:rPr>
                <w:rFonts w:ascii="Times New Roman" w:hAnsi="Times New Roman"/>
                <w:sz w:val="24"/>
              </w:rPr>
            </w:pPr>
            <w:r>
              <w:rPr>
                <w:rFonts w:ascii="Times New Roman" w:hAnsi="Times New Roman"/>
                <w:sz w:val="24"/>
              </w:rPr>
              <w:t xml:space="preserve">Efekty wynikające z art. 166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(efekty umów o kompensowaniu pozycji bilansowych obejmujących kredyty i depozyty) zgłasza się oddzielnie jako ochronę kredytową rzeczywistą, a tym samym nie obniżają one pierwotnej ekspozycji. </w:t>
            </w:r>
          </w:p>
          <w:p w14:paraId="500087D9" w14:textId="761054B3" w:rsidR="001C7AB7" w:rsidRPr="002A677E" w:rsidRDefault="006C35BA" w:rsidP="00F34382">
            <w:pPr>
              <w:rPr>
                <w:rFonts w:ascii="Times New Roman" w:hAnsi="Times New Roman"/>
                <w:sz w:val="24"/>
              </w:rPr>
            </w:pPr>
            <w:r>
              <w:rPr>
                <w:rFonts w:ascii="Times New Roman" w:hAnsi="Times New Roman"/>
                <w:sz w:val="24"/>
              </w:rPr>
              <w:t xml:space="preserve">W przypadku instrumentów pochodnych, transakcji odkupu, transakcji udzielania lub zaciągania pożyczek papierów wartościowych lub towarów, transakcji z długim terminem rozliczenia oraz transakcji z obowiązkiem uzupełnienia zabezpieczenia kredytowego podlegających ryzyku kredytowemu kontrahenta (część trzecia tytuł II rozdział 4 lub rozdział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pierwotna ekspozycja odpowiada wartości ekspozycji wynikającej z ryzyka kredytowego kontrahenta (zob. instrukcje do kolumny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W TYM: DUŻE PODMIOTY SEKTORA FINANSOWEGO ORAZ NIEREGULOWANE PODMIOTY FINANSOWE</w:t>
            </w:r>
          </w:p>
          <w:p w14:paraId="38DF2305" w14:textId="68F14489" w:rsidR="001C7AB7" w:rsidRPr="002A677E" w:rsidRDefault="001C7AB7" w:rsidP="00F34382">
            <w:pPr>
              <w:rPr>
                <w:rFonts w:ascii="Times New Roman" w:hAnsi="Times New Roman"/>
                <w:b/>
                <w:sz w:val="24"/>
                <w:u w:val="single"/>
              </w:rPr>
            </w:pPr>
            <w:r>
              <w:rPr>
                <w:rFonts w:ascii="Times New Roman" w:hAnsi="Times New Roman"/>
                <w:sz w:val="24"/>
              </w:rPr>
              <w:t xml:space="preserve">Podział pierwotnej ekspozycji przed uwzględnieniem współczynników konwersji w odniesieniu do wszystkich ekspozycji podmiotów, o których mowa w art. 142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i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 zastrzeżeniem wyższego współczynnika korelacji określonego zgodnie z art. 153 ust. 2 tego rozporządzenia.</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TECHNIKI OGRANICZANIA RYZYKA KREDYTOWEGO Z UWZGLĘDNIENIEM EFEKTÓW SUBSTYTUCYJNYCH W ODNIESIENIU DO EKSPOZYCJI</w:t>
            </w:r>
          </w:p>
          <w:p w14:paraId="1AE12741" w14:textId="2998523B" w:rsidR="001C7AB7" w:rsidRPr="002A677E" w:rsidRDefault="001C7AB7" w:rsidP="001C7AB7">
            <w:pPr>
              <w:rPr>
                <w:rFonts w:ascii="Times New Roman" w:hAnsi="Times New Roman"/>
                <w:sz w:val="24"/>
              </w:rPr>
            </w:pPr>
            <w:r>
              <w:rPr>
                <w:rFonts w:ascii="Times New Roman" w:hAnsi="Times New Roman"/>
                <w:sz w:val="24"/>
              </w:rPr>
              <w:t xml:space="preserve">Ograniczanie ryzyka kredytowego zdefiniowane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które zmniejsza ryzyko kredytowe z tytułu ekspozycji poprzez substytucję ekspozycji określonych poniżej w pozycji „SUBSTYTUCJA EKSPOZYCJI W WYNIKU OGRANICZANIA RYZYKA KREDYTOWEGO”.</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lastRenderedPageBreak/>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OCHRONA KREDYTOWA NIERZECZYWISTA</w:t>
            </w:r>
          </w:p>
          <w:p w14:paraId="629F3C09" w14:textId="72C3F120"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Ochrona kredytowa nierzeczywista zgodnie z art. 4 ust. 1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9</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t>Nierzeczywista ochrona kredytowa, która ma wpływ na ekspozycję (np. stosowana do celów technik ograniczania ryzyka kredytowego z uwzględnieniem efektów substytucyjnych w odniesieniu do ekspozycji), jest ograniczona do wartości ekspozycji.</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GWARANCJE:</w:t>
            </w:r>
          </w:p>
          <w:p w14:paraId="47C4CE12" w14:textId="292B8786" w:rsidR="001C7AB7" w:rsidRPr="002A677E" w:rsidRDefault="001C7AB7" w:rsidP="001C7AB7">
            <w:pPr>
              <w:jc w:val="left"/>
              <w:rPr>
                <w:rFonts w:ascii="Times New Roman" w:hAnsi="Times New Roman"/>
                <w:sz w:val="24"/>
              </w:rPr>
            </w:pPr>
            <w:r>
              <w:rPr>
                <w:rFonts w:ascii="Times New Roman" w:hAnsi="Times New Roman"/>
                <w:sz w:val="24"/>
              </w:rPr>
              <w:t>W przypadku niestosowania własnych oszacowań LGD przedstawia się wartość skorygowaną (G</w:t>
            </w:r>
            <w:r>
              <w:rPr>
                <w:rFonts w:ascii="Times New Roman" w:hAnsi="Times New Roman"/>
                <w:sz w:val="24"/>
                <w:vertAlign w:val="subscript"/>
              </w:rPr>
              <w:t>A</w:t>
            </w:r>
            <w:r>
              <w:rPr>
                <w:rFonts w:ascii="Times New Roman" w:hAnsi="Times New Roman"/>
                <w:sz w:val="24"/>
              </w:rPr>
              <w:t xml:space="preserve">) zdefiniowaną w art. 236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422623A" w14:textId="03668CFE" w:rsidR="001C7AB7" w:rsidRPr="002A677E" w:rsidRDefault="001C7AB7" w:rsidP="001C7AB7">
            <w:pPr>
              <w:jc w:val="left"/>
              <w:rPr>
                <w:rFonts w:ascii="Times New Roman" w:hAnsi="Times New Roman"/>
                <w:sz w:val="24"/>
              </w:rPr>
            </w:pPr>
            <w:r>
              <w:rPr>
                <w:rFonts w:ascii="Times New Roman" w:hAnsi="Times New Roman"/>
                <w:sz w:val="24"/>
              </w:rPr>
              <w:t xml:space="preserve">W przypadku stosowania własnych oszacowań LGD zgodnie z art. 183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 wyłączeniem ust. 3) zgłasza się odpowiednią wartość wykorzystaną w modelu wewnętrznym.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Gwarancje zgłasza się w kolumnie 0040, jeżeli nie dokonano korekty LGD. W przypadku dokonania korekty LGD kwotę gwarancji zgłasza się w kolumnie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W odniesieniu do ekspozycji z uwzględnieniem ujęcia podwójnego niewykonania zobowiązania wartość ochrony kredytowej nierzeczywistej zgłaszana jest w kolumnie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KREDYTOWE INSTRUMENTY POCHODNE:</w:t>
            </w:r>
          </w:p>
          <w:p w14:paraId="507ED484" w14:textId="578F5B66" w:rsidR="001C7AB7" w:rsidRPr="002A677E" w:rsidRDefault="001C7AB7" w:rsidP="001C7AB7">
            <w:pPr>
              <w:rPr>
                <w:rFonts w:ascii="Times New Roman" w:hAnsi="Times New Roman"/>
                <w:sz w:val="24"/>
              </w:rPr>
            </w:pPr>
            <w:r>
              <w:rPr>
                <w:rFonts w:ascii="Times New Roman" w:hAnsi="Times New Roman"/>
                <w:sz w:val="24"/>
              </w:rPr>
              <w:t>W przypadku niestosowania własnych oszacowań LGD przedstawia się wartość skorygowaną (G</w:t>
            </w:r>
            <w:r>
              <w:rPr>
                <w:rFonts w:ascii="Times New Roman" w:hAnsi="Times New Roman"/>
                <w:sz w:val="24"/>
                <w:vertAlign w:val="subscript"/>
              </w:rPr>
              <w:t>A</w:t>
            </w:r>
            <w:r>
              <w:rPr>
                <w:rFonts w:ascii="Times New Roman" w:hAnsi="Times New Roman"/>
                <w:sz w:val="24"/>
              </w:rPr>
              <w:t xml:space="preserve">) zdefiniowaną w art. 236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CABAFD6" w14:textId="1E6176A6" w:rsidR="00785F3E" w:rsidRPr="002A677E" w:rsidRDefault="00785F3E" w:rsidP="001C7AB7">
            <w:pPr>
              <w:rPr>
                <w:rFonts w:ascii="Times New Roman" w:hAnsi="Times New Roman"/>
                <w:sz w:val="24"/>
              </w:rPr>
            </w:pPr>
            <w:r>
              <w:rPr>
                <w:rFonts w:ascii="Times New Roman" w:hAnsi="Times New Roman"/>
                <w:sz w:val="24"/>
              </w:rPr>
              <w:t xml:space="preserve">W przypadku stosowania własnych oszacowań LGD zgodnie z art. 183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zgłasza się odpowiednią wartość wykorzystaną w modelu wewnętrznym.</w:t>
            </w:r>
          </w:p>
          <w:p w14:paraId="51855D16" w14:textId="77777777" w:rsidR="001C7AB7" w:rsidRPr="002A677E" w:rsidRDefault="001C7AB7" w:rsidP="001C7AB7">
            <w:pPr>
              <w:rPr>
                <w:rFonts w:ascii="Times New Roman" w:hAnsi="Times New Roman"/>
                <w:sz w:val="24"/>
              </w:rPr>
            </w:pPr>
            <w:r>
              <w:rPr>
                <w:rFonts w:ascii="Times New Roman" w:hAnsi="Times New Roman"/>
                <w:sz w:val="24"/>
              </w:rPr>
              <w:t>W przypadku dokonania korekty LGD kwotę kredytowych instrumentów pochodnych zgłasza się w kolumnie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W odniesieniu do ekspozycji z uwzględnieniem ujęcia podwójnego niewykonania zobowiązania wartość ochrony kredytowej nierzeczywistej zgłaszana jest w kolumnie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INNE RODZAJE OCHRONY KREDYTOWEJ RZECZYWISTEJ</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Zabezpieczenie, które ma wpływ na wartość PD ekspozycji, jest ograniczone do wartości</w:t>
            </w:r>
            <w:r>
              <w:rPr>
                <w:rFonts w:ascii="Times New Roman" w:hAnsi="Times New Roman"/>
                <w:sz w:val="24"/>
              </w:rPr>
              <w:t xml:space="preserve"> pierwotnej ekspozycji przed uwzględnieniem współczynników konwersji</w:t>
            </w:r>
            <w:r>
              <w:rPr>
                <w:rStyle w:val="InstructionsTabelleText"/>
                <w:rFonts w:ascii="Times New Roman" w:hAnsi="Times New Roman"/>
                <w:sz w:val="24"/>
              </w:rPr>
              <w:t>.</w:t>
            </w:r>
          </w:p>
          <w:p w14:paraId="2EE2EFC1" w14:textId="6483349C"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W przypadku niestosowania własnych oszacowań LGD zastosowanie ma art. 232 ust. 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75/2013</w:t>
            </w:r>
            <w:r>
              <w:rPr>
                <w:rFonts w:ascii="Times New Roman" w:hAnsi="Times New Roman"/>
                <w:sz w:val="24"/>
              </w:rPr>
              <w:t>.</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W przypadku stosowania własnych oszacowań LGD zgłasza się techniki ograniczania ryzyka kredytowego, które mają wpływ na wartość PD. Zgłasza się odpowiednią wartość nominalną lub rynkową.</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W przypadku dokonania korekty LGD kwotę tę zgłasza się w kolumnie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SUBSTYTUCJA EKSPOZYCJI W WYNIKU OGRANICZANIA RYZYKA KREDYTOWEGO</w:t>
            </w:r>
          </w:p>
          <w:p w14:paraId="47306796" w14:textId="77777777" w:rsidR="001C7AB7" w:rsidRPr="002A677E" w:rsidRDefault="001C7AB7" w:rsidP="001C7AB7">
            <w:pPr>
              <w:rPr>
                <w:rFonts w:ascii="Times New Roman" w:hAnsi="Times New Roman"/>
                <w:sz w:val="24"/>
              </w:rPr>
            </w:pPr>
            <w:r>
              <w:rPr>
                <w:rFonts w:ascii="Times New Roman" w:hAnsi="Times New Roman"/>
                <w:sz w:val="24"/>
              </w:rPr>
              <w:lastRenderedPageBreak/>
              <w:t>Wypływy odpowiadają zabezpieczonej części pierwotnej ekspozycji przed uwzględnieniem współczynników konwersji, którą to część odlicza się od kategorii ekspozycji dłużnika i, w stosownych przypadkach, od klasy jakości lub puli dłużnika, a następnie przypisuje kategorii ekspozycji gwaranta i, w stosownych przypadkach, klasie jakości lub puli dłużnika. Kwotę tę uznaje się za wpływ do kategorii ekspozycji gwaranta i, w stosownych przypadkach, do klas jakości lub pul dłużnika.</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Uwzględnia się również wpływy i wypływy w obrębie tych samych kategorii ekspozycji i, w stosownych przypadkach, klas jakości lub pul dłużnika.</w:t>
            </w:r>
          </w:p>
          <w:p w14:paraId="2EAF7A59" w14:textId="77777777" w:rsidR="001C7AB7" w:rsidRPr="002A677E" w:rsidRDefault="001C7AB7" w:rsidP="001C7AB7">
            <w:pPr>
              <w:rPr>
                <w:rFonts w:ascii="Times New Roman" w:hAnsi="Times New Roman"/>
                <w:sz w:val="24"/>
              </w:rPr>
            </w:pPr>
            <w:r>
              <w:rPr>
                <w:rFonts w:ascii="Times New Roman" w:hAnsi="Times New Roman"/>
                <w:sz w:val="24"/>
              </w:rPr>
              <w:t>Uwzględnia się ekspozycje wynikające z ewentualnych wpływów i wypływów w odniesieniu do innych wzorów.</w:t>
            </w:r>
          </w:p>
          <w:p w14:paraId="1CF5670D" w14:textId="708348C3" w:rsidR="006C35BA" w:rsidRPr="002A677E" w:rsidRDefault="006C35BA" w:rsidP="009A4399">
            <w:pPr>
              <w:rPr>
                <w:rFonts w:ascii="Times New Roman" w:hAnsi="Times New Roman"/>
                <w:sz w:val="24"/>
              </w:rPr>
            </w:pPr>
            <w:r>
              <w:rPr>
                <w:rFonts w:ascii="Times New Roman" w:hAnsi="Times New Roman"/>
                <w:sz w:val="24"/>
              </w:rPr>
              <w:t xml:space="preserve">Kolumny te wykorzystuje się wyłącznie wówczas, gdy instytucje uzyskały zezwolenie właściwego organu na traktowanie tych ekspozycji podlegających stałemu stosowaniu metody standardowej w niepełnym zakresie zgodnie z art. 150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lub na zaklasyfikowanie ekspozycji do kategorii ekspozycji zgodnie z charakterystyką gwaranta.</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EKSPOZYCJA PO UWZGLĘDNIENIU EFEKTÓW SUBSTYTUCYJNYCH ZWIĄZANYCH Z OGRANICZANIEM RYZYKA KREDYTOWEGO PRZED UWZGLĘDNIENIEM WSPÓŁCZYNNIKÓW KONWERSJI</w:t>
            </w:r>
          </w:p>
          <w:p w14:paraId="2832BD0C" w14:textId="77777777" w:rsidR="001C7AB7" w:rsidRPr="002A677E" w:rsidRDefault="001C7AB7" w:rsidP="001C7AB7">
            <w:pPr>
              <w:rPr>
                <w:rFonts w:ascii="Times New Roman" w:hAnsi="Times New Roman"/>
                <w:sz w:val="24"/>
              </w:rPr>
            </w:pPr>
            <w:r>
              <w:rPr>
                <w:rFonts w:ascii="Times New Roman" w:hAnsi="Times New Roman"/>
                <w:sz w:val="24"/>
              </w:rPr>
              <w:t>Ekspozycja przypisana do odpowiadającej jej klasy jakości lub puli dłużnika oraz kategoria ekspozycji po uwzględnieniu wypływów i wpływów wynikających z technik ograniczania ryzyka kredytowego z uwzględnieniem efektów substytucyjnych w odniesieniu do ekspozycji.</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 tym: pozycje pozabilansowe </w:t>
            </w:r>
          </w:p>
          <w:p w14:paraId="6C35CF48" w14:textId="77777777" w:rsidR="001C7AB7" w:rsidRPr="002A677E" w:rsidRDefault="001C7AB7" w:rsidP="001C7AB7">
            <w:pPr>
              <w:rPr>
                <w:rFonts w:ascii="Times New Roman" w:hAnsi="Times New Roman"/>
                <w:sz w:val="24"/>
              </w:rPr>
            </w:pPr>
            <w:r>
              <w:rPr>
                <w:rFonts w:ascii="Times New Roman" w:hAnsi="Times New Roman"/>
                <w:sz w:val="24"/>
              </w:rPr>
              <w:t>Zob. instrukcje dotyczące wzoru 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WARTOŚĆ EKSPOZYCJI</w:t>
            </w:r>
          </w:p>
          <w:p w14:paraId="53CB4935" w14:textId="3764A832" w:rsidR="001C7AB7" w:rsidRPr="002A677E" w:rsidRDefault="001C7AB7" w:rsidP="001C7AB7">
            <w:pPr>
              <w:rPr>
                <w:rFonts w:ascii="Times New Roman" w:hAnsi="Times New Roman"/>
                <w:sz w:val="24"/>
              </w:rPr>
            </w:pPr>
            <w:r>
              <w:rPr>
                <w:rFonts w:ascii="Times New Roman" w:hAnsi="Times New Roman"/>
                <w:sz w:val="24"/>
              </w:rPr>
              <w:t xml:space="preserve">Zgłasza się wartości ekspozycji określone zgodnie z art. 166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oraz z art. 230 ust. 1 zdanie drugie tego rozporządzenia.</w:t>
            </w:r>
          </w:p>
          <w:p w14:paraId="38C4611A" w14:textId="1DC74A12" w:rsidR="001C7AB7" w:rsidRPr="002A677E" w:rsidRDefault="001C7AB7" w:rsidP="001C7AB7">
            <w:pPr>
              <w:rPr>
                <w:rFonts w:ascii="Times New Roman" w:hAnsi="Times New Roman"/>
                <w:sz w:val="24"/>
              </w:rPr>
            </w:pPr>
            <w:r>
              <w:rPr>
                <w:rFonts w:ascii="Times New Roman" w:hAnsi="Times New Roman"/>
                <w:sz w:val="24"/>
              </w:rPr>
              <w:t xml:space="preserve">W odniesieniu do instrumentów, o których mowa w załączniku I, niezależnie od metody wybranej przez instytucję stosuje się współczynniki konwersji kredytowej i wartości procentowe zgodnie z art. 166 ust. 8, 9 i 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0CDFD08" w14:textId="77777777" w:rsidR="001C7AB7" w:rsidRPr="002A677E" w:rsidRDefault="008D24A6" w:rsidP="00BD6DB9">
            <w:pPr>
              <w:rPr>
                <w:rFonts w:ascii="Times New Roman" w:hAnsi="Times New Roman"/>
                <w:sz w:val="24"/>
              </w:rPr>
            </w:pPr>
            <w:r>
              <w:rPr>
                <w:rFonts w:ascii="Times New Roman" w:hAnsi="Times New Roman"/>
                <w:sz w:val="24"/>
              </w:rPr>
              <w:t>Wartości ekspozycji dla działalności związanej z ryzykiem kredytowym kontrahenta są tożsame z wartościami zgłoszonymi w kolumnie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 tym: wynikająca z ryzyka kredytowego kontrahenta </w:t>
            </w:r>
          </w:p>
          <w:p w14:paraId="50E90EFC" w14:textId="77777777" w:rsidR="001C7AB7" w:rsidRPr="002A677E" w:rsidRDefault="001C7AB7" w:rsidP="00FD6CCB">
            <w:pPr>
              <w:rPr>
                <w:rFonts w:ascii="Times New Roman" w:hAnsi="Times New Roman"/>
                <w:sz w:val="24"/>
              </w:rPr>
            </w:pPr>
            <w:r>
              <w:rPr>
                <w:rFonts w:ascii="Times New Roman" w:hAnsi="Times New Roman"/>
                <w:sz w:val="24"/>
              </w:rPr>
              <w:t>Zob. odpowiednie instrukcje dla CR SA w kolumnie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W TYM: DUŻE PODMIOTY SEKTORA FINANSOWEGO ORAZ NIEREGULOWANE PODMIOTY FINANSOWE</w:t>
            </w:r>
          </w:p>
          <w:p w14:paraId="1C760051" w14:textId="75F8D770" w:rsidR="001C7AB7" w:rsidRPr="002A677E" w:rsidRDefault="001C7AB7" w:rsidP="00F34382">
            <w:pPr>
              <w:rPr>
                <w:rFonts w:ascii="Times New Roman" w:hAnsi="Times New Roman"/>
                <w:b/>
                <w:sz w:val="24"/>
                <w:u w:val="single"/>
              </w:rPr>
            </w:pPr>
            <w:r>
              <w:rPr>
                <w:rFonts w:ascii="Times New Roman" w:hAnsi="Times New Roman"/>
                <w:sz w:val="24"/>
              </w:rPr>
              <w:t xml:space="preserve">Podział wartości ekspozycji dla wszystkich ekspozycji wobec podmiotów, o których mowa w art. 142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i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 zastrzeżeniem wyższego współczynnika korelacji określonego zgodnie z art. 153 ust. 2 tego rozporządzenia.</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TECHNIKI OGRANICZANIA RYZYKA KREDYTOWEGO UWZGLĘDNIANE W OSZACOWANIACH LGD BEZ UJĘCIA PODWÓJNEGO NIEWYKONANIA ZOBOWIĄZANIA</w:t>
            </w:r>
          </w:p>
          <w:p w14:paraId="4FF0DBDD" w14:textId="5588DE12" w:rsidR="001C7AB7" w:rsidRDefault="001C7AB7" w:rsidP="001C7AB7">
            <w:pPr>
              <w:rPr>
                <w:rFonts w:ascii="Times New Roman" w:hAnsi="Times New Roman"/>
                <w:sz w:val="24"/>
              </w:rPr>
            </w:pPr>
            <w:r>
              <w:rPr>
                <w:rFonts w:ascii="Times New Roman" w:hAnsi="Times New Roman"/>
                <w:sz w:val="24"/>
              </w:rPr>
              <w:t>W kolumnach tych nie ujmuje się technik ograniczania ryzyka kredytowego, które mają wpływ na oszacowania LGD w wyniku efektu substytucyjnego tych technik.</w:t>
            </w:r>
          </w:p>
          <w:p w14:paraId="7EBC4781" w14:textId="1CF04A4B" w:rsidR="004D4BDB" w:rsidRPr="002A677E" w:rsidRDefault="004D4BDB" w:rsidP="001C7AB7">
            <w:pPr>
              <w:rPr>
                <w:rFonts w:ascii="Times New Roman" w:hAnsi="Times New Roman"/>
                <w:sz w:val="24"/>
              </w:rPr>
            </w:pPr>
            <w:r>
              <w:rPr>
                <w:rFonts w:ascii="Times New Roman" w:hAnsi="Times New Roman"/>
                <w:sz w:val="24"/>
              </w:rPr>
              <w:t>Zgłoszone wartości zabezpieczenia są ograniczone do wartości ekspozycji.</w:t>
            </w:r>
          </w:p>
          <w:p w14:paraId="662F81E1" w14:textId="1E906D3D" w:rsidR="001C7AB7" w:rsidRPr="002A677E" w:rsidRDefault="00C61FF5" w:rsidP="001C7AB7">
            <w:pPr>
              <w:rPr>
                <w:rFonts w:ascii="Times New Roman" w:hAnsi="Times New Roman"/>
                <w:sz w:val="24"/>
              </w:rPr>
            </w:pPr>
            <w:r>
              <w:rPr>
                <w:rFonts w:ascii="Times New Roman" w:hAnsi="Times New Roman"/>
                <w:sz w:val="24"/>
              </w:rPr>
              <w:t xml:space="preserve">W przypadku niestosowania własnych oszacowań LGD uwzględnia się art. 228 ust. 2, art. 230 ust. 1 i 2 oraz art. 231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W przypadku stosowania własnych oszacowań LGD: </w:t>
            </w:r>
          </w:p>
          <w:p w14:paraId="718750A6" w14:textId="65ED5CB3" w:rsidR="001C7AB7" w:rsidRPr="002A677E" w:rsidRDefault="001C7AB7" w:rsidP="001C7AB7">
            <w:pPr>
              <w:rPr>
                <w:rFonts w:ascii="Times New Roman" w:hAnsi="Times New Roman"/>
                <w:sz w:val="24"/>
              </w:rPr>
            </w:pPr>
            <w:r>
              <w:rPr>
                <w:rFonts w:ascii="Times New Roman" w:hAnsi="Times New Roman"/>
                <w:sz w:val="24"/>
              </w:rPr>
              <w:t xml:space="preserve">– jeśli chodzi o ochronę kredytową nierzeczywistą, w odniesieniu do ekspozycji wobec rządów centralnych i banków centralnych, instytucji i przedsiębiorstw uwzględnia się art. 161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odniesieniu do ekspozycji detalicznych uwzględnia się art. 164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F2DF107" w14:textId="4717CF69" w:rsidR="001C7AB7" w:rsidRPr="002A677E" w:rsidRDefault="001C7AB7" w:rsidP="007968EE">
            <w:pPr>
              <w:rPr>
                <w:rFonts w:ascii="Times New Roman" w:hAnsi="Times New Roman"/>
                <w:b/>
                <w:sz w:val="24"/>
                <w:u w:val="single"/>
              </w:rPr>
            </w:pPr>
            <w:r>
              <w:rPr>
                <w:rFonts w:ascii="Times New Roman" w:hAnsi="Times New Roman"/>
                <w:sz w:val="24"/>
              </w:rPr>
              <w:t xml:space="preserve">– jeśli chodzi o ochronę kredytową rzeczywistą, zabezpieczenie uwzględnia się w oszacowaniach LGD zgodnie z art. 181 ust. 1 lit. e) i f)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GWARANCJE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Zob. instrukcje dla kolumny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KREDYTOWE INSTRUMENTY POCHODNE </w:t>
            </w:r>
          </w:p>
          <w:p w14:paraId="33CD18C5" w14:textId="77777777" w:rsidR="001C7AB7" w:rsidRPr="002A677E" w:rsidRDefault="001C7AB7" w:rsidP="001C7AB7">
            <w:pPr>
              <w:rPr>
                <w:rFonts w:ascii="Times New Roman" w:hAnsi="Times New Roman"/>
                <w:sz w:val="24"/>
              </w:rPr>
            </w:pPr>
            <w:r>
              <w:rPr>
                <w:rFonts w:ascii="Times New Roman" w:hAnsi="Times New Roman"/>
                <w:sz w:val="24"/>
              </w:rPr>
              <w:t>Zob. instrukcje dla kolumny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ZASTOSOWANE WŁASNE OSZACOWANIA LGD: INNE RODZAJE OCHRONY KREDYTOWEJ RZECZYWISTEJ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Odpowiednia wartość wykorzystana w modelu wewnętrznym instytucji.</w:t>
            </w:r>
          </w:p>
          <w:p w14:paraId="69145E08" w14:textId="0B060867" w:rsidR="001C7AB7" w:rsidRPr="002A677E" w:rsidRDefault="001C7AB7" w:rsidP="00255BA9">
            <w:pPr>
              <w:rPr>
                <w:rFonts w:ascii="Times New Roman" w:hAnsi="Times New Roman"/>
                <w:sz w:val="24"/>
              </w:rPr>
            </w:pPr>
            <w:r>
              <w:rPr>
                <w:rFonts w:ascii="Times New Roman" w:hAnsi="Times New Roman"/>
                <w:sz w:val="24"/>
              </w:rPr>
              <w:t xml:space="preserve">Środki ograniczania ryzyka kredytowego, które są zgodne z kryteriami określonymi w art. 212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ZDEPONOWANE ŚRODKI PIENIĘŻNE</w:t>
            </w:r>
          </w:p>
          <w:p w14:paraId="7AC0BF31" w14:textId="425F85F1" w:rsidR="00B85B8C" w:rsidRPr="002A677E" w:rsidRDefault="008D24A6" w:rsidP="008D24A6">
            <w:pPr>
              <w:rPr>
                <w:rFonts w:ascii="Times New Roman" w:hAnsi="Times New Roman"/>
                <w:sz w:val="24"/>
              </w:rPr>
            </w:pPr>
            <w:r>
              <w:rPr>
                <w:rFonts w:ascii="Times New Roman" w:hAnsi="Times New Roman"/>
                <w:sz w:val="24"/>
              </w:rPr>
              <w:t xml:space="preserve">Art. 200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Środki pieniężne zdeponowane w instytucji będącej osobą trzecią lub bankowe instrumenty pieniężne utrzymywane przez instytucję będącą osobą trzecią nietrzymane na powierniczym rachunku zastrzeżonym i zastawione na rzecz instytucji kredytującej. Wartość zgłaszanego zabezpieczenia ogranicza się do wartości ekspozycji na poziomie indywidualnej ekspozycji.</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POLISY UBEZPIECZENIOWE NA ŻYCIE</w:t>
            </w:r>
          </w:p>
          <w:p w14:paraId="5B6FD91D" w14:textId="294C583A" w:rsidR="00B85B8C" w:rsidRPr="002A677E" w:rsidRDefault="007968EE" w:rsidP="008D24A6">
            <w:pPr>
              <w:rPr>
                <w:rFonts w:ascii="Times New Roman" w:hAnsi="Times New Roman"/>
                <w:sz w:val="24"/>
              </w:rPr>
            </w:pPr>
            <w:r>
              <w:rPr>
                <w:rFonts w:ascii="Times New Roman" w:hAnsi="Times New Roman"/>
                <w:sz w:val="24"/>
              </w:rPr>
              <w:t xml:space="preserve">Art. 200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Wartość zgłaszanego zabezpieczenia ogranicza się do wartości ekspozycji na poziomie indywidualnej ekspozycji.</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INSTRUMENTY BĘDĄCE W POSIADANIU OSOBY TRZECIEJ</w:t>
            </w:r>
          </w:p>
          <w:p w14:paraId="650D8F83" w14:textId="1E125B55" w:rsidR="00B85B8C" w:rsidRPr="002A677E" w:rsidRDefault="007968EE" w:rsidP="00F66371">
            <w:pPr>
              <w:rPr>
                <w:rFonts w:ascii="Times New Roman" w:hAnsi="Times New Roman"/>
                <w:sz w:val="24"/>
              </w:rPr>
            </w:pPr>
            <w:r>
              <w:rPr>
                <w:rFonts w:ascii="Times New Roman" w:hAnsi="Times New Roman"/>
                <w:sz w:val="24"/>
              </w:rPr>
              <w:t xml:space="preserve">Art. 200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4478030" w14:textId="4BC0F300" w:rsidR="008D24A6" w:rsidRPr="002A677E" w:rsidRDefault="008D24A6" w:rsidP="00F34382">
            <w:pPr>
              <w:rPr>
                <w:rFonts w:ascii="Times New Roman" w:hAnsi="Times New Roman"/>
                <w:b/>
                <w:sz w:val="24"/>
                <w:u w:val="single"/>
              </w:rPr>
            </w:pPr>
            <w:r>
              <w:rPr>
                <w:rFonts w:ascii="Times New Roman" w:hAnsi="Times New Roman"/>
                <w:sz w:val="24"/>
              </w:rPr>
              <w:lastRenderedPageBreak/>
              <w:t xml:space="preserve">Obejmuje to instrumenty emitowane przez instytucję będącą osobą trzecią, które podlegają wykupowi przez tę instytucję na żądanie. Wartość zgłaszanego zabezpieczenia ogranicza się do wartości ekspozycji na poziomie indywidualnej ekspozycji. Z tej kolumny należy wyłączyć ekspozycje objęte instrumentami będącymi w posiadaniu osoby trzeciej, jeżeli – zgodnie z art. 232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 instytucje traktują instrumenty z opcją wykupu na żądanie, uznane zgodnie z art. 200 lit. c) tego rozporządzenia, jako gwarancję udzieloną przez instytucję emitującą.</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lastRenderedPageBreak/>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UZNANE ZABEZPIECZENIE FINANSOWE</w:t>
            </w:r>
          </w:p>
          <w:p w14:paraId="23BB1AF5" w14:textId="0D72E9AF" w:rsidR="008D24A6" w:rsidRPr="002A677E" w:rsidRDefault="008D24A6" w:rsidP="008D24A6">
            <w:pPr>
              <w:rPr>
                <w:rFonts w:ascii="Times New Roman" w:hAnsi="Times New Roman"/>
                <w:sz w:val="24"/>
              </w:rPr>
            </w:pPr>
            <w:r>
              <w:rPr>
                <w:rFonts w:ascii="Times New Roman" w:hAnsi="Times New Roman"/>
                <w:sz w:val="24"/>
              </w:rPr>
              <w:t xml:space="preserve">W przypadku operacji portfela handlowego uwzględnia się instrumenty finansowe i towary kwalifikujące się do ekspozycji zaliczanych do portfela handlowego zgodnie z art. 299 ust. 2 lit. c)–f)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Obligacje powiązane z ryzykiem kredytowym oraz kompensowanie pozycji bilansowych zgodnie z częścią trzecią tytuł II rozdział 4 sekcja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traktuje się jak zabezpieczenie gotówkowe.</w:t>
            </w:r>
          </w:p>
          <w:p w14:paraId="5C05E9AA" w14:textId="7BE98B07" w:rsidR="008D24A6" w:rsidRPr="002A677E" w:rsidRDefault="008D24A6" w:rsidP="008D24A6">
            <w:pPr>
              <w:rPr>
                <w:rFonts w:ascii="Times New Roman" w:hAnsi="Times New Roman"/>
                <w:sz w:val="24"/>
              </w:rPr>
            </w:pPr>
            <w:r>
              <w:rPr>
                <w:rFonts w:ascii="Times New Roman" w:hAnsi="Times New Roman"/>
                <w:sz w:val="24"/>
              </w:rPr>
              <w:t xml:space="preserve">W przypadku niestosowania własnych oszacowań LGD w odniesieniu do uznanego zabezpieczenia finansowego zgodnie z art. 197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zgłasza się skorygowaną wartość (Cvam) określoną w art. 223 ust. 2 tego rozporządzenia.</w:t>
            </w:r>
          </w:p>
          <w:p w14:paraId="69E21598" w14:textId="71286333" w:rsidR="008D24A6" w:rsidRPr="002A677E" w:rsidRDefault="008D24A6" w:rsidP="007968EE">
            <w:pPr>
              <w:rPr>
                <w:rFonts w:ascii="Times New Roman" w:hAnsi="Times New Roman"/>
                <w:b/>
                <w:sz w:val="24"/>
                <w:u w:val="single"/>
              </w:rPr>
            </w:pPr>
            <w:r>
              <w:rPr>
                <w:rFonts w:ascii="Times New Roman" w:hAnsi="Times New Roman"/>
                <w:sz w:val="24"/>
              </w:rPr>
              <w:t xml:space="preserve">W przypadku stosowania własnych oszacowań LGD zabezpieczenie finansowe uwzględnia się w oszacowaniach LGD zgodnie z art. 181 ust. 1 lit. e) i f)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Kwotą, którą należy zgłosić, jest szacunkowa wartość rynkowa zabezpieczenia.</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INNE UZNANE ZABEZPIECZENIE</w:t>
            </w:r>
          </w:p>
          <w:p w14:paraId="399B667C" w14:textId="0582ECA7" w:rsidR="008D24A6" w:rsidRPr="002A677E" w:rsidRDefault="008D24A6" w:rsidP="008D24A6">
            <w:pPr>
              <w:rPr>
                <w:rFonts w:ascii="Times New Roman" w:hAnsi="Times New Roman"/>
                <w:sz w:val="24"/>
              </w:rPr>
            </w:pPr>
            <w:r>
              <w:rPr>
                <w:rFonts w:ascii="Times New Roman" w:hAnsi="Times New Roman"/>
                <w:sz w:val="24"/>
              </w:rPr>
              <w:t xml:space="preserve">W przypadku niestosowania własnych oszacowań LGD wartości określa się zgodnie z art. 199 ust. 1–8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oraz art. 229 tego rozporządzenia.</w:t>
            </w:r>
          </w:p>
          <w:p w14:paraId="19B77B51" w14:textId="206A66A0" w:rsidR="008D24A6" w:rsidRPr="002A677E" w:rsidRDefault="008D24A6" w:rsidP="007968EE">
            <w:pPr>
              <w:rPr>
                <w:rFonts w:ascii="Times New Roman" w:hAnsi="Times New Roman"/>
                <w:b/>
                <w:sz w:val="24"/>
                <w:u w:val="single"/>
              </w:rPr>
            </w:pPr>
            <w:r>
              <w:rPr>
                <w:rFonts w:ascii="Times New Roman" w:hAnsi="Times New Roman"/>
                <w:sz w:val="24"/>
              </w:rPr>
              <w:t xml:space="preserve">W przypadku stosowania własnych oszacowań LGD w oszacowaniach LGD zgodnie z art. 181 ust. 1 lit. e) i f)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uwzględnia się inne zabezpieczenie.</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NIERUCHOMOŚCI</w:t>
            </w:r>
          </w:p>
          <w:p w14:paraId="364B1535" w14:textId="19FD2B4A" w:rsidR="008D24A6" w:rsidRPr="002A677E" w:rsidRDefault="008D24A6" w:rsidP="008D24A6">
            <w:pPr>
              <w:spacing w:line="240" w:lineRule="exact"/>
              <w:rPr>
                <w:rFonts w:ascii="Times New Roman" w:hAnsi="Times New Roman"/>
                <w:sz w:val="24"/>
              </w:rPr>
            </w:pPr>
            <w:r>
              <w:rPr>
                <w:rFonts w:ascii="Times New Roman" w:hAnsi="Times New Roman"/>
                <w:sz w:val="24"/>
              </w:rPr>
              <w:t xml:space="preserve">W przypadku niestosowania własnych oszacowań LGD wartości określa się zgodnie z art. 199 ust. 2,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zgłasza w tej kolumnie. Uwzględnia się również leasing nieruchomości (zob. art. 199 ust. 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Zob. także art. 229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W przypadku stosowania własnych oszacowań LGD kwotą, którą należy zgłosić, jest szacunkowa wartość rynkowa.</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INNE ZABEZPIECZENIE RZECZOWE</w:t>
            </w:r>
          </w:p>
          <w:p w14:paraId="1682AAB8" w14:textId="1F6C434E" w:rsidR="008D24A6" w:rsidRPr="002A677E" w:rsidRDefault="008D24A6" w:rsidP="008D24A6">
            <w:pPr>
              <w:rPr>
                <w:rFonts w:ascii="Times New Roman" w:hAnsi="Times New Roman"/>
                <w:sz w:val="24"/>
              </w:rPr>
            </w:pPr>
            <w:r>
              <w:rPr>
                <w:rFonts w:ascii="Times New Roman" w:hAnsi="Times New Roman"/>
                <w:sz w:val="24"/>
              </w:rPr>
              <w:t xml:space="preserve">W przypadku niestosowania własnych oszacowań LGD wartości określa się zgodnie z art. 199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i 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zgłasza w tej kolumnie. Uwzględnia się również leasing własności innej niż nieruchomości (zob. art. 199 ust. 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Zob. także art. 229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W przypadku stosowania własnych oszacowań LGD kwotą, którą należy zgłosić, jest szacunkowa wartość rynkowa zabezpieczenia.</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WIERZYTELNOŚCI</w:t>
            </w:r>
          </w:p>
          <w:p w14:paraId="70D4F809" w14:textId="2AD230F9" w:rsidR="008D24A6" w:rsidRPr="002A677E" w:rsidRDefault="008D24A6" w:rsidP="008D24A6">
            <w:pPr>
              <w:rPr>
                <w:rFonts w:ascii="Times New Roman" w:hAnsi="Times New Roman"/>
                <w:sz w:val="24"/>
              </w:rPr>
            </w:pPr>
            <w:r>
              <w:rPr>
                <w:rFonts w:ascii="Times New Roman" w:hAnsi="Times New Roman"/>
                <w:sz w:val="24"/>
              </w:rPr>
              <w:lastRenderedPageBreak/>
              <w:t xml:space="preserve">W przypadku niestosowania własnych oszacowań LGD wartości określa się zgodnie z art. 199 ust. 5 oraz art. 229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zgłasza w tej kolumnie.</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W przypadku stosowania własnych oszacowań LGD kwotą, którą należy zgłosić, jest szacunkowa wartość rynkowa zabezpieczenia.</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lastRenderedPageBreak/>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 UWZGLĘDNIENIEM UJĘCIA PODWÓJNEGO NIEWYKONANIA ZOBOWIĄZANIA: OCHRONA KREDYTOWA NIERZECZYWISTA</w:t>
            </w:r>
          </w:p>
          <w:p w14:paraId="3ABF72D1" w14:textId="0A2AB11D" w:rsidR="008D24A6" w:rsidRPr="002A677E" w:rsidRDefault="008D24A6" w:rsidP="008D24A6">
            <w:pPr>
              <w:rPr>
                <w:rFonts w:ascii="Times New Roman" w:hAnsi="Times New Roman"/>
                <w:sz w:val="24"/>
              </w:rPr>
            </w:pPr>
            <w:r>
              <w:rPr>
                <w:rFonts w:ascii="Times New Roman" w:hAnsi="Times New Roman"/>
                <w:sz w:val="24"/>
              </w:rPr>
              <w:t xml:space="preserve">Gwarancje i kredytowe instrumenty pochodne zabezpieczające ekspozycje z uwzględnieniem ujęcia podwójnego niewykonania zobowiązania zgodnie z art. 153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uwzględniające art. 202 i art. 217 ust. 1 tego rozporządzenia.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Zgłaszane wartości nie mogą przekraczać wartości odpowiednich ekspozycji.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ŚREDNIA WARTOŚĆ LGD WAŻONA EKSPOZYCJĄ (%)</w:t>
            </w:r>
          </w:p>
          <w:p w14:paraId="5CD7C536" w14:textId="54AFC079" w:rsidR="008D24A6" w:rsidRPr="002A677E" w:rsidRDefault="008D24A6" w:rsidP="008D24A6">
            <w:pPr>
              <w:rPr>
                <w:rFonts w:ascii="Times New Roman" w:hAnsi="Times New Roman"/>
                <w:sz w:val="24"/>
              </w:rPr>
            </w:pPr>
            <w:r>
              <w:rPr>
                <w:rFonts w:ascii="Times New Roman" w:hAnsi="Times New Roman"/>
                <w:sz w:val="24"/>
              </w:rPr>
              <w:t xml:space="preserve">Uwzględnia się wszystkie efekty technik ograniczania ryzyka kredytowego dla LGD określonych w części trzeciej tytuł II rozdziały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przypadku ekspozycji z uwzględnieniem ujęcia podwójnego niewykonania zobowiązania LGD, które należy zgłosić, odpowiada temu wybranemu zgodnie z art. 161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CB58587" w14:textId="1023F37D" w:rsidR="008D24A6" w:rsidRPr="002A677E" w:rsidRDefault="008D24A6" w:rsidP="008D24A6">
            <w:pPr>
              <w:rPr>
                <w:rFonts w:ascii="Times New Roman" w:hAnsi="Times New Roman"/>
                <w:sz w:val="24"/>
              </w:rPr>
            </w:pPr>
            <w:r>
              <w:rPr>
                <w:rFonts w:ascii="Times New Roman" w:hAnsi="Times New Roman"/>
                <w:sz w:val="24"/>
              </w:rPr>
              <w:t xml:space="preserve">W odniesieniu do ekspozycji, których dotyczy niewykonanie zobowiązania, uwzględnia się przepisy określone w art. 181 ust. 1 lit. h)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Wartość ekspozycji, o której mowa w kolumnie 0110, wykorzystuje się do obliczenia średnich wartości ważonych ekspozycją.</w:t>
            </w:r>
          </w:p>
          <w:p w14:paraId="693A5141" w14:textId="238317A8" w:rsidR="008D24A6" w:rsidRPr="002A677E" w:rsidRDefault="008D24A6" w:rsidP="008D24A6">
            <w:pPr>
              <w:rPr>
                <w:rFonts w:ascii="Times New Roman" w:hAnsi="Times New Roman"/>
                <w:sz w:val="24"/>
              </w:rPr>
            </w:pPr>
            <w:r>
              <w:rPr>
                <w:rFonts w:ascii="Times New Roman" w:hAnsi="Times New Roman"/>
                <w:sz w:val="24"/>
              </w:rPr>
              <w:t xml:space="preserve">Uwzględnia się wszystkie efekty (tak więc w sprawozdawczości ujmuje się efekty dolnego limitu mającego zastosowanie do ekspozycji zabezpieczonych nieruchomościami zgodnie z art. 164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D4C0832" w14:textId="6C71E038" w:rsidR="008D24A6" w:rsidRPr="002A677E" w:rsidRDefault="008D24A6" w:rsidP="008D24A6">
            <w:pPr>
              <w:rPr>
                <w:rFonts w:ascii="Times New Roman" w:hAnsi="Times New Roman"/>
                <w:sz w:val="24"/>
              </w:rPr>
            </w:pPr>
            <w:r>
              <w:rPr>
                <w:rFonts w:ascii="Times New Roman" w:hAnsi="Times New Roman"/>
                <w:sz w:val="24"/>
              </w:rPr>
              <w:t xml:space="preserve">W przypadku instytucji stosujących metodę IRB, ale niestosujących własnych oszacowań LGD, efekty technik ograniczania ryzyka wynikające z zabezpieczenia finansowego są odzwierciedlone w E* – w pełni skorygowanej wartości ekspozycji – a następnie odzwierciedlane w LGD* zgodnie z art. 228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Średnia wartość LGD ważona ekspozycją związana z każdą „klasą jakości lub pulą dłużnika” PD wynika ze średniej ostrożnościowych wartości LGD przypisanych do ekspozycji tej klasy jakości/puli PD, ważonych stosownymi wartościami ekspozycji z kolumny 0110.</w:t>
            </w:r>
          </w:p>
          <w:p w14:paraId="761A5E7B" w14:textId="7688009A" w:rsidR="008D24A6" w:rsidRPr="002A677E" w:rsidRDefault="008D24A6" w:rsidP="008D24A6">
            <w:pPr>
              <w:rPr>
                <w:rFonts w:ascii="Times New Roman" w:hAnsi="Times New Roman"/>
                <w:sz w:val="24"/>
              </w:rPr>
            </w:pPr>
            <w:r>
              <w:rPr>
                <w:rFonts w:ascii="Times New Roman" w:hAnsi="Times New Roman"/>
                <w:sz w:val="24"/>
              </w:rPr>
              <w:t xml:space="preserve">W przypadku stosowania własnych oszacowań LGD uwzględnia się art. 175 oraz art. 181 ust. 1 i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CA79C00" w14:textId="4BE7DC60" w:rsidR="008D24A6" w:rsidRPr="002A677E" w:rsidRDefault="008D24A6" w:rsidP="008D24A6">
            <w:pPr>
              <w:rPr>
                <w:rFonts w:ascii="Times New Roman" w:hAnsi="Times New Roman"/>
                <w:sz w:val="24"/>
              </w:rPr>
            </w:pPr>
            <w:r>
              <w:rPr>
                <w:rFonts w:ascii="Times New Roman" w:hAnsi="Times New Roman"/>
                <w:sz w:val="24"/>
              </w:rPr>
              <w:t xml:space="preserve">W przypadku ekspozycji z uwzględnieniem ujęcia podwójnego niewykonania zobowiązania LGD, które należy zgłosić, odpowiada temu wybranemu zgodnie z art. 161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Obliczanie średniej wartości LGD ważonej ekspozycją jest oparte na parametrach ryzyka rzeczywiście wykorzystywanych w skali ratingu wewnętrznego zatwierdzonej przez właściwy organ.</w:t>
            </w:r>
          </w:p>
          <w:p w14:paraId="4ED81588" w14:textId="697565C3" w:rsidR="008D24A6" w:rsidRPr="002A677E" w:rsidRDefault="008D24A6" w:rsidP="008D24A6">
            <w:pPr>
              <w:rPr>
                <w:rFonts w:ascii="Times New Roman" w:hAnsi="Times New Roman"/>
                <w:sz w:val="24"/>
              </w:rPr>
            </w:pPr>
            <w:r>
              <w:rPr>
                <w:rFonts w:ascii="Times New Roman" w:hAnsi="Times New Roman"/>
                <w:sz w:val="24"/>
              </w:rPr>
              <w:t xml:space="preserve">Nie zgłasza się danych dotyczących ekspozycji związanych z kredytowaniem specjalistycznym, o których mowa w art. 153 ust.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Jeżeli PD </w:t>
            </w:r>
            <w:r>
              <w:rPr>
                <w:rFonts w:ascii="Times New Roman" w:hAnsi="Times New Roman"/>
                <w:sz w:val="24"/>
              </w:rPr>
              <w:lastRenderedPageBreak/>
              <w:t>szacuje się w odniesieniu do ekspozycji związanych z kredytowaniem specjalistycznym, dane zgłasza się na podstawie własnych oszacowań LGD lub regulacyjnych wartości LGD.</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Ekspozycji i odpowiednich wartości LGD dotyczących regulowanych dużych podmiotów sektora finansowego oraz nieregulowanych podmiotów finansowych nie uwzględnia się w obliczeniach na potrzeby kolumny 0230, ale wyłącznie w obliczeniach dla celów kolumny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ŚREDNIA WARTOŚĆ LGD WAŻONA EKSPOZYCJĄ (%) W ODNIESIENIU DO DUŻYCH PODMIOTÓW SEKTORA FINANSOWEGO ORAZ NIEREGULOWANYCH PODMIOTÓW FINANSOWYCH</w:t>
            </w:r>
          </w:p>
          <w:p w14:paraId="67234E4F" w14:textId="2EEDD1A9" w:rsidR="008D24A6" w:rsidRPr="002A677E" w:rsidRDefault="008D24A6" w:rsidP="00AD7567">
            <w:pPr>
              <w:rPr>
                <w:rFonts w:ascii="Times New Roman" w:hAnsi="Times New Roman"/>
                <w:sz w:val="24"/>
              </w:rPr>
            </w:pPr>
            <w:r>
              <w:rPr>
                <w:rFonts w:ascii="Times New Roman" w:hAnsi="Times New Roman"/>
                <w:sz w:val="24"/>
              </w:rPr>
              <w:t xml:space="preserve">Średnia wartość LGD ważona ekspozycją (%) dla wszystkich ekspozycji wobec dużych podmiotów sektora finansowego zdefiniowanych w art. 142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wobec nieregulowanych podmiotów sektora finansowego zdefiniowanych w art. 142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 zastrzeżeniem wyższego współczynnika korelacji określonej zgodnie z art. 153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ŚREDNI TERMIN ZAPADALNOŚCI WAŻONY EKSPOZYCJĄ (W DNIACH)</w:t>
            </w:r>
          </w:p>
          <w:p w14:paraId="1C9B3946" w14:textId="7AB1639C" w:rsidR="008D24A6" w:rsidRPr="002A677E" w:rsidRDefault="008D24A6" w:rsidP="008D24A6">
            <w:pPr>
              <w:rPr>
                <w:rFonts w:ascii="Times New Roman" w:hAnsi="Times New Roman"/>
                <w:sz w:val="24"/>
              </w:rPr>
            </w:pPr>
            <w:r>
              <w:rPr>
                <w:rFonts w:ascii="Times New Roman" w:hAnsi="Times New Roman"/>
                <w:sz w:val="24"/>
              </w:rPr>
              <w:t xml:space="preserve">Zgłaszaną wartość określa się zgodnie z art. 162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Wartość ekspozycji (kolumna 0110) wykorzystuje się do obliczenia średnich wartości ważonych ekspozycją. Średni termin zapadalności podawany jest jako liczba dni.</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Dane te nie są zgłaszane w odniesieniu do wartości ekspozycji, dla których zapadalność nie jest elementem obliczeń </w:t>
            </w:r>
            <w:r>
              <w:rPr>
                <w:rStyle w:val="InstructionsTabelleText"/>
                <w:rFonts w:ascii="Times New Roman" w:hAnsi="Times New Roman"/>
                <w:sz w:val="24"/>
              </w:rPr>
              <w:t>kwot ekspozycji ważonych ryzykiem</w:t>
            </w:r>
            <w:r>
              <w:rPr>
                <w:rFonts w:ascii="Times New Roman" w:hAnsi="Times New Roman"/>
                <w:sz w:val="24"/>
              </w:rPr>
              <w:t>. Oznacza to, że kolumna ta nie zostanie wypełniona w przypadku kategorii ekspozycji „ekspozycje detaliczne”.</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KWOTA EKSPOZYCJI WAŻONEJ RYZYKIEM PRZED UWZGLĘDNIENIEM WSPÓŁCZYNNIKÓW WSPARCIA</w:t>
            </w:r>
          </w:p>
          <w:p w14:paraId="2749A426" w14:textId="51BEEDA6" w:rsidR="008D24A6" w:rsidRPr="002A677E" w:rsidRDefault="008D24A6" w:rsidP="008D24A6">
            <w:pPr>
              <w:rPr>
                <w:rFonts w:ascii="Times New Roman" w:hAnsi="Times New Roman"/>
                <w:sz w:val="24"/>
              </w:rPr>
            </w:pPr>
            <w:r>
              <w:rPr>
                <w:rFonts w:ascii="Times New Roman" w:hAnsi="Times New Roman"/>
                <w:sz w:val="24"/>
              </w:rPr>
              <w:t xml:space="preserve">W przypadku ekspozycji wobec rządów centralnych i banków centralnych oraz wobec przedsiębiorstw i instytucji zob. art. 153 ust. 1, 2,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przypadku ekspozycji detalicznych zob. art. 154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4F2AFE60" w14:textId="0A82EA40" w:rsidR="008D24A6" w:rsidRPr="002A677E" w:rsidRDefault="008D24A6" w:rsidP="003F19BA">
            <w:pPr>
              <w:rPr>
                <w:rFonts w:ascii="Times New Roman" w:hAnsi="Times New Roman"/>
                <w:b/>
                <w:sz w:val="24"/>
                <w:u w:val="single"/>
              </w:rPr>
            </w:pPr>
            <w:r>
              <w:rPr>
                <w:rFonts w:ascii="Times New Roman" w:hAnsi="Times New Roman"/>
                <w:sz w:val="24"/>
              </w:rPr>
              <w:t xml:space="preserve">Nie bierze się pod uwagę współczynników wsparcia MŚP oraz infrastruktury określonych w art. 501 i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KOREKTA KWOTY EKSPOZYCJI WAŻONEJ RYZYKIEM WYNIKAJĄCA ZE WSPÓŁCZYNNIKA WSPARCIA MŚP</w:t>
            </w:r>
          </w:p>
          <w:p w14:paraId="5C6EFF92" w14:textId="41AEEBE0" w:rsidR="008D24A6" w:rsidRPr="002A677E" w:rsidRDefault="008D24A6" w:rsidP="00F34382">
            <w:pPr>
              <w:rPr>
                <w:rFonts w:ascii="Times New Roman" w:hAnsi="Times New Roman"/>
                <w:b/>
                <w:sz w:val="24"/>
                <w:u w:val="single"/>
              </w:rPr>
            </w:pPr>
            <w:r>
              <w:rPr>
                <w:rFonts w:ascii="Times New Roman" w:hAnsi="Times New Roman"/>
                <w:sz w:val="24"/>
              </w:rPr>
              <w:t xml:space="preserve">Odliczenie różnicy kwot ekspozycji ważonych ryzykiem dla ekspozycji, których nie dotyczy niewykonanie zobowiązania, wobec MŚP (RWEA), które oblicza się zgodnie z częścią trzecią tytuł II rozdział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stosownie do przypadku, i RWEA* zgodnie z art. 501 tego rozporządzenia.</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KOREKTA KWOTY EKSPOZYCJI WAŻONEJ RYZYKIEM WYNIKAJĄCA ZE WSPÓŁCZYNNIKA WSPARCIA INFRASTRUKTURY</w:t>
            </w:r>
          </w:p>
          <w:p w14:paraId="551B54F5" w14:textId="6B3BDF8B" w:rsidR="008D24A6" w:rsidRPr="002A677E" w:rsidRDefault="008D24A6" w:rsidP="002F11F3">
            <w:pPr>
              <w:rPr>
                <w:rFonts w:ascii="Times New Roman" w:hAnsi="Times New Roman"/>
                <w:b/>
                <w:sz w:val="24"/>
                <w:u w:val="single"/>
              </w:rPr>
            </w:pPr>
            <w:r>
              <w:rPr>
                <w:rFonts w:ascii="Times New Roman" w:hAnsi="Times New Roman"/>
                <w:sz w:val="24"/>
              </w:rPr>
              <w:t xml:space="preserve">Odliczenie różnicy kwot ekspozycji ważonej ryzykiem obliczanych zgodnie z częścią trzecią tytuł 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RWEA skorygowanej o ryzyko kredytowe w odniesieniu do ekspozycji wobec podmiotów, które obsługują lub finansują fizyczne </w:t>
            </w:r>
            <w:r>
              <w:rPr>
                <w:rFonts w:ascii="Times New Roman" w:hAnsi="Times New Roman"/>
                <w:sz w:val="24"/>
              </w:rPr>
              <w:lastRenderedPageBreak/>
              <w:t xml:space="preserve">obiekty lub instalacje, systemy i sieci zapewniające lub wspierające podstawowe usługi publiczne, zgodnie z art. 501a tego rozporządzenia.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lastRenderedPageBreak/>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KWOTA EKSPOZYCJI WAŻONEJ RYZYKIEM PO UWZGLĘDNIENIU WSPÓŁCZYNNIKÓW WSPARCIA</w:t>
            </w:r>
          </w:p>
          <w:p w14:paraId="01882A55" w14:textId="11EAFB8A" w:rsidR="008D24A6" w:rsidRPr="002A677E" w:rsidRDefault="008D24A6" w:rsidP="008D24A6">
            <w:pPr>
              <w:rPr>
                <w:rFonts w:ascii="Times New Roman" w:hAnsi="Times New Roman"/>
                <w:sz w:val="24"/>
              </w:rPr>
            </w:pPr>
            <w:r>
              <w:rPr>
                <w:rFonts w:ascii="Times New Roman" w:hAnsi="Times New Roman"/>
                <w:sz w:val="24"/>
              </w:rPr>
              <w:t xml:space="preserve">W przypadku ekspozycji wobec rządów centralnych i banków centralnych oraz wobec przedsiębiorstw i instytucji zob. art. 153 ust. 1, 2,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przypadku ekspozycji detalicznych zob. art. 154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FCC9D00" w14:textId="3EABE8FF" w:rsidR="008D24A6" w:rsidRPr="002A677E" w:rsidRDefault="008D24A6" w:rsidP="003F19BA">
            <w:pPr>
              <w:rPr>
                <w:rFonts w:ascii="Times New Roman" w:hAnsi="Times New Roman"/>
                <w:b/>
                <w:sz w:val="24"/>
                <w:u w:val="single"/>
              </w:rPr>
            </w:pPr>
            <w:r>
              <w:rPr>
                <w:rFonts w:ascii="Times New Roman" w:hAnsi="Times New Roman"/>
                <w:sz w:val="24"/>
              </w:rPr>
              <w:t xml:space="preserve">Bierze się pod uwagę współczynniki wsparcia MŚP oraz infrastruktury określone w art. 501 i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W TYM: DUŻE PODMIOTY SEKTORA FINANSOWEGO ORAZ NIEREGULOWANE PODMIOTY FINANSOWE</w:t>
            </w:r>
          </w:p>
          <w:p w14:paraId="3A1A0D19" w14:textId="7F291904" w:rsidR="008D24A6" w:rsidRPr="002A677E" w:rsidDel="005A2363" w:rsidRDefault="008D24A6" w:rsidP="002F11F3">
            <w:pPr>
              <w:rPr>
                <w:rFonts w:ascii="Times New Roman" w:hAnsi="Times New Roman"/>
                <w:sz w:val="24"/>
              </w:rPr>
            </w:pPr>
            <w:r>
              <w:rPr>
                <w:rFonts w:ascii="Times New Roman" w:hAnsi="Times New Roman"/>
                <w:sz w:val="24"/>
              </w:rPr>
              <w:t xml:space="preserve">Podział kwoty ekspozycji ważonej ryzykiem po uwzględnieniu współczynnika wsparcia MŚP dla wszystkich ekspozycji wobec dużych podmiotów sektora finansowego zdefiniowanych w art. 142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wobec nieregulowanych podmiotów sektora finansowego zdefiniowanych w art. 142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tego rozporządzenia z zastrzeżeniem wyższego współczynnika korelacji określonej zgodnie z art. 153 ust. 2 tego rozporządzenia.</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KWOTA OCZEKIWANEJ STRATY</w:t>
            </w:r>
          </w:p>
          <w:p w14:paraId="5AE1BAE7" w14:textId="47374FB9" w:rsidR="008D24A6" w:rsidRPr="002A677E" w:rsidRDefault="008D24A6" w:rsidP="002F11F3">
            <w:pPr>
              <w:jc w:val="left"/>
              <w:rPr>
                <w:rFonts w:ascii="Times New Roman" w:hAnsi="Times New Roman"/>
                <w:sz w:val="24"/>
              </w:rPr>
            </w:pPr>
            <w:r>
              <w:rPr>
                <w:rFonts w:ascii="Times New Roman" w:hAnsi="Times New Roman"/>
                <w:sz w:val="24"/>
              </w:rPr>
              <w:t xml:space="preserve">Definicja oczekiwanej straty – zob. art. 5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obliczanie kwoty oczekiwanej straty – zob. art. 158 tego rozporządzenia. W odniesieniu do ekspozycji, których dotyczy niewykonanie zobowiązania, zob. art. 181 ust. 1 lit. h)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Kwota oczekiwanej straty, którą należy zgłosić, opiera się na parametrach ryzyka rzeczywiście wykorzystywanych w skali ratingu wewnętrznego zatwierdzonej przez właściwy organ.</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KOREKTY WARTOŚCI I REZERWY</w:t>
            </w:r>
          </w:p>
          <w:p w14:paraId="5D650089" w14:textId="3063A044" w:rsidR="008D24A6" w:rsidRPr="002A677E" w:rsidRDefault="008D24A6" w:rsidP="008D24A6">
            <w:pPr>
              <w:rPr>
                <w:rFonts w:ascii="Times New Roman" w:hAnsi="Times New Roman"/>
                <w:sz w:val="24"/>
              </w:rPr>
            </w:pPr>
            <w:r>
              <w:rPr>
                <w:rFonts w:ascii="Times New Roman" w:hAnsi="Times New Roman"/>
                <w:sz w:val="24"/>
              </w:rPr>
              <w:t xml:space="preserve">Zgłasza się korekty wartości oraz korekty z tytułu szczególnego i ogólnego ryzyka kredytowego zgodnie z art. 159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Korekty z tytułu ogólnego ryzyka kredytowego zgłasza się poprzez przypisanie kwoty proporcjonalnej na podstawie oczekiwanej straty w różnych klasach jakości dłużnika.</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LICZBA DŁUŻNIKÓW</w:t>
            </w:r>
          </w:p>
          <w:p w14:paraId="23192B69" w14:textId="78044678" w:rsidR="008D24A6" w:rsidRPr="002A677E" w:rsidRDefault="008D24A6" w:rsidP="008D24A6">
            <w:pPr>
              <w:rPr>
                <w:rFonts w:ascii="Times New Roman" w:hAnsi="Times New Roman"/>
                <w:sz w:val="24"/>
              </w:rPr>
            </w:pPr>
            <w:r>
              <w:rPr>
                <w:rFonts w:ascii="Times New Roman" w:hAnsi="Times New Roman"/>
                <w:sz w:val="24"/>
              </w:rPr>
              <w:t xml:space="preserve">Art. 172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i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7A31D89" w14:textId="28F468AC" w:rsidR="008D24A6" w:rsidRPr="002A677E" w:rsidRDefault="008D24A6" w:rsidP="008D24A6">
            <w:pPr>
              <w:rPr>
                <w:rFonts w:ascii="Times New Roman" w:hAnsi="Times New Roman"/>
                <w:sz w:val="24"/>
              </w:rPr>
            </w:pPr>
            <w:r>
              <w:rPr>
                <w:rFonts w:ascii="Times New Roman" w:hAnsi="Times New Roman"/>
                <w:sz w:val="24"/>
              </w:rPr>
              <w:t xml:space="preserve">Dla wszystkich kategorii ekspozycji, z wyjątkiem kategorii ekspozycji detalicznych i przypadków wymienionych w art. 172 ust. 1 lit. e) zdanie drugie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instytucje zgłaszają liczbę podmiotów prawnych/dłużników, których oceniono oddzielnie, niezależnie od liczby różnych przyznanych pożyczek lub ekspozycji. </w:t>
            </w:r>
          </w:p>
          <w:p w14:paraId="67B0C1B2" w14:textId="2E444340" w:rsidR="008D24A6" w:rsidRPr="002A677E" w:rsidRDefault="008D24A6" w:rsidP="008D24A6">
            <w:pPr>
              <w:rPr>
                <w:rFonts w:ascii="Times New Roman" w:hAnsi="Times New Roman"/>
                <w:sz w:val="24"/>
              </w:rPr>
            </w:pPr>
            <w:r>
              <w:rPr>
                <w:rFonts w:ascii="Times New Roman" w:hAnsi="Times New Roman"/>
                <w:sz w:val="24"/>
              </w:rPr>
              <w:t xml:space="preserve">W obrębie kategorii ekspozycji detalicznych lub jeżeli odrębne ekspozycje wobec tego samego dłużnika są przypisane do różnych klas jakości dłużnika zgodnie z art. 172 ust. 1 lit. e) zdanie drugie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innych kategoriach ekspozycji, instytucje zgłaszają liczbę ekspozycji, które zostały oddzielnie przypisane do określonej klasy jakości lub puli. Jeżeli art. 172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ma zastosowanie, dłużnik może zostać uwzględniony w więcej niż jednej klasie jakości.</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lastRenderedPageBreak/>
              <w:t>Jako że kolumna ta dotyczy elementu struktury skal ratingowych, odnosi się do pierwotnej ekspozycji przed uwzględnieniem współczynników konwersji przypisanych do każdej klasy jakości lub puli dłużnika bez brania pod uwagę efektu technik ograniczania ryzyka kredytowego (w szczególności efektów redystrybucji).</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KWOTA EKSPOZYCJI WAŻONEJ RYZYKIEM PRZY NIEUWZGLĘDNIENIU KREDYTOWYCH INSTRUMENTÓW POCHODNYCH</w:t>
            </w:r>
          </w:p>
          <w:p w14:paraId="73CF7CCE" w14:textId="7AF36435"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Instytucje zgłaszają hipotetyczną kwotę ekspozycji ważonej ryzykiem, którą oblicza się jako RWEA bez uznawania kwalifikującego się kredytowego instrumentu pochodnego jako techniki ograniczania ryzyka kredytowego, jak określono w art. 204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Kwoty te przedstawia się w kategoriach ekspozycji istotnych dla ekspozycji wobec dłużnika pierwotnego.</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Wiersze</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Instrukcje</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EKSPOZYCJE CAŁKOWITE</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w tym: ekspozycje podlegające współczynnikowi wsparcia MŚP</w:t>
            </w:r>
          </w:p>
          <w:p w14:paraId="5011AC41" w14:textId="63DD8648" w:rsidR="00785F3E" w:rsidRPr="002A677E" w:rsidRDefault="00785F3E" w:rsidP="00785F3E">
            <w:pPr>
              <w:rPr>
                <w:rFonts w:ascii="Times New Roman" w:hAnsi="Times New Roman"/>
                <w:sz w:val="24"/>
              </w:rPr>
            </w:pPr>
            <w:r>
              <w:rPr>
                <w:rFonts w:ascii="Times New Roman" w:hAnsi="Times New Roman"/>
                <w:sz w:val="24"/>
              </w:rPr>
              <w:t xml:space="preserve">W tym miejscu zgłasza się wyłącznie ekspozycje, które spełniają wymogi określone w art. 501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w tym: ekspozycje podlegające współczynnikowi wsparcia infrastruktury</w:t>
            </w:r>
          </w:p>
          <w:p w14:paraId="3F826699" w14:textId="64C60A93" w:rsidR="004D45AA" w:rsidRPr="002A677E" w:rsidRDefault="004D45AA" w:rsidP="004D45AA">
            <w:pPr>
              <w:rPr>
                <w:rFonts w:ascii="Times New Roman" w:hAnsi="Times New Roman"/>
                <w:b/>
                <w:sz w:val="24"/>
                <w:u w:val="single"/>
              </w:rPr>
            </w:pPr>
            <w:r>
              <w:rPr>
                <w:rFonts w:ascii="Times New Roman" w:hAnsi="Times New Roman"/>
                <w:sz w:val="24"/>
              </w:rPr>
              <w:t xml:space="preserve">W tym miejscu zgłasza się wyłącznie ekspozycje, które spełniają wymogi określone w art.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PODZIAŁ EKSPOZYCJI CAŁKOWITYCH WEDŁUG RODZAJÓW EKSPOZYCJI:</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Pozycje bilansowe podlegające ryzyku kredytowemu </w:t>
            </w:r>
          </w:p>
          <w:p w14:paraId="2A69AE9F" w14:textId="6F720E68"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Aktywów, o których mowa w art. 24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nie ujmuje się w żadnej innej kategorii</w:t>
            </w:r>
            <w:r>
              <w:rPr>
                <w:rFonts w:ascii="Times New Roman" w:hAnsi="Times New Roman"/>
                <w:sz w:val="24"/>
              </w:rPr>
              <w:t>.</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Ekspozycje podlegające ryzyku kredytowemu kontrahenta zgłasza się w wierszach 0040–0060, a zatem nie zgłasza się ich w tym wierszu.</w:t>
            </w:r>
          </w:p>
          <w:p w14:paraId="0C6C49F1" w14:textId="59A9D37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Dostawy z późniejszym terminem rozliczenia zgodnie z art. 379 ust. 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(jeżeli nie zostały odliczone) nie są pozycjami bilansowymi, jednak zgłaszane są w tym wierszu.</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Pozycje pozabilansowe podlegające ryzyku kredytowemu</w:t>
            </w:r>
          </w:p>
          <w:p w14:paraId="1A7B1274" w14:textId="34FF7CB9"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Pozycje pozabilansowe zawierają pozycje zgodnie z art. 166 ust. 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a także pozycje wymienione w załączniku I do tego</w:t>
            </w:r>
            <w:r>
              <w:rPr>
                <w:rFonts w:ascii="Times New Roman" w:hAnsi="Times New Roman"/>
                <w:sz w:val="24"/>
              </w:rPr>
              <w:t xml:space="preserve"> rozporządzenia</w:t>
            </w:r>
            <w:r>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Ekspozycje podlegające ryzyku kredytowemu kontrahenta zgłasza się w wierszach 0040–0060, a zatem nie zgłasza się ich w tym wierszu.</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lastRenderedPageBreak/>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Ekspozycje / transakcje podlegające ryzyku kredytowemu kontrahenta</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Zob. odpowiednie instrukcje dla CR SA w wierszach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Pakiety kompensowania transakcji finansowanych z użyciem papierów wartościowych</w:t>
            </w:r>
          </w:p>
          <w:p w14:paraId="5DB6E99C" w14:textId="77777777" w:rsidR="004D45AA" w:rsidRPr="002A677E" w:rsidRDefault="004D45AA" w:rsidP="00393FF2">
            <w:pPr>
              <w:rPr>
                <w:rFonts w:ascii="Times New Roman" w:hAnsi="Times New Roman"/>
                <w:sz w:val="24"/>
              </w:rPr>
            </w:pPr>
            <w:r>
              <w:rPr>
                <w:rFonts w:ascii="Times New Roman" w:hAnsi="Times New Roman"/>
                <w:sz w:val="24"/>
              </w:rPr>
              <w:t>Zob. odpowiednie instrukcje dla CR SA w wierszu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Pakiety</w:t>
            </w:r>
            <w:r>
              <w:rPr>
                <w:rFonts w:ascii="Times New Roman" w:hAnsi="Times New Roman"/>
                <w:sz w:val="24"/>
              </w:rPr>
              <w:t xml:space="preserve"> </w:t>
            </w:r>
            <w:r>
              <w:rPr>
                <w:rStyle w:val="InstructionsTabelleberschrift"/>
                <w:rFonts w:ascii="Times New Roman" w:hAnsi="Times New Roman"/>
                <w:sz w:val="24"/>
              </w:rPr>
              <w:t>kompensowania instrumentów pochodnych i transakcji z długim terminem rozliczenia</w:t>
            </w:r>
          </w:p>
          <w:p w14:paraId="3566F3CC" w14:textId="77777777" w:rsidR="004D45AA" w:rsidRPr="002A677E" w:rsidRDefault="004D45AA" w:rsidP="00393FF2">
            <w:pPr>
              <w:rPr>
                <w:rFonts w:ascii="Times New Roman" w:hAnsi="Times New Roman"/>
                <w:sz w:val="24"/>
              </w:rPr>
            </w:pPr>
            <w:r>
              <w:rPr>
                <w:rFonts w:ascii="Times New Roman" w:hAnsi="Times New Roman"/>
                <w:sz w:val="24"/>
              </w:rPr>
              <w:t>Zob. odpowiednie instrukcje dla CR SA w wierszu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Pakiety kompensowania, dla których istnieją umowy o kompensowaniu międzyproduktowym</w:t>
            </w:r>
          </w:p>
          <w:p w14:paraId="7A725958" w14:textId="77777777" w:rsidR="004D45AA" w:rsidRPr="002A677E" w:rsidRDefault="004D45AA" w:rsidP="004D45AA">
            <w:pPr>
              <w:rPr>
                <w:rFonts w:ascii="Times New Roman" w:hAnsi="Times New Roman"/>
                <w:sz w:val="24"/>
              </w:rPr>
            </w:pPr>
            <w:r>
              <w:rPr>
                <w:rFonts w:ascii="Times New Roman" w:hAnsi="Times New Roman"/>
                <w:sz w:val="24"/>
              </w:rPr>
              <w:t>Zob. odpowiednie instrukcje dla CR SA w wierszu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EKSPOZYCJE PRZYPISANE KLASOM JAKOŚCI LUB PULOM DŁUŻNIKÓW: RAZEM</w:t>
            </w:r>
          </w:p>
          <w:p w14:paraId="00BC0058" w14:textId="618A1BE9" w:rsidR="004D45AA" w:rsidRPr="002A677E" w:rsidRDefault="004D45AA" w:rsidP="004D45AA">
            <w:pPr>
              <w:rPr>
                <w:rFonts w:ascii="Times New Roman" w:hAnsi="Times New Roman"/>
                <w:sz w:val="24"/>
              </w:rPr>
            </w:pPr>
            <w:r>
              <w:rPr>
                <w:rFonts w:ascii="Times New Roman" w:hAnsi="Times New Roman"/>
                <w:sz w:val="24"/>
              </w:rPr>
              <w:t xml:space="preserve">W odniesieniu do ekspozycji wobec przedsiębiorstw, instytucji oraz rządów centralnych i banków centralnych zob.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oraz art. 170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4765CDF1" w14:textId="272B110A" w:rsidR="004D45AA" w:rsidRPr="002A677E" w:rsidRDefault="004D45AA" w:rsidP="004D45AA">
            <w:pPr>
              <w:rPr>
                <w:rFonts w:ascii="Times New Roman" w:hAnsi="Times New Roman"/>
                <w:sz w:val="24"/>
              </w:rPr>
            </w:pPr>
            <w:r>
              <w:rPr>
                <w:rFonts w:ascii="Times New Roman" w:hAnsi="Times New Roman"/>
                <w:sz w:val="24"/>
              </w:rPr>
              <w:t xml:space="preserve">W przypadku ekspozycji detalicznych zob. art. 170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odniesieniu do ekspozycji wynikających z nabytych wierzytelności zob. art. 166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Ekspozycji wobec ryzyka rozmycia dotyczącego nabytych wierzytelności nie zgłasza się według klas jakości ani pul dłużnika; zgłasza się je w wierszu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Jeżeli instytucja stosuje dużą liczbę klas jakości i pul, może uzgodnić z właściwym organem zgłaszanie ograniczonej liczby klas i pul.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Nie stosuje się wzorca nadzoru. Zamiast tego instytucje określają wzorzec, z którego będą korzystać.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METODA KLASYFIKACJI KREDYTOWANIA SPECJALISTYCZNEGO: RAZEM</w:t>
            </w:r>
          </w:p>
          <w:p w14:paraId="2E4D8D67" w14:textId="33BB49F0" w:rsidR="004D45AA" w:rsidRPr="002A677E" w:rsidRDefault="004D45AA" w:rsidP="00AC6619">
            <w:pPr>
              <w:rPr>
                <w:rFonts w:ascii="Times New Roman" w:hAnsi="Times New Roman"/>
                <w:sz w:val="24"/>
              </w:rPr>
            </w:pPr>
            <w:r>
              <w:rPr>
                <w:rFonts w:ascii="Times New Roman" w:hAnsi="Times New Roman"/>
                <w:sz w:val="24"/>
              </w:rPr>
              <w:t xml:space="preserve">Art. 153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Ma to zastosowanie wyłącznie do kategorii ekspozycji wobec przedsiębiorstw – kredytowanie specjalistyczne.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PODEJŚCIE ALTERNATYWNE: EKSPOZYCJE ZABEZPIECZONE NIERUCHOMOŚCIĄ</w:t>
            </w:r>
          </w:p>
          <w:p w14:paraId="6131F39B" w14:textId="7EAE3C5F" w:rsidR="004D45AA" w:rsidRPr="002A677E" w:rsidRDefault="004D45AA" w:rsidP="004D45AA">
            <w:pPr>
              <w:rPr>
                <w:rFonts w:ascii="Times New Roman" w:hAnsi="Times New Roman"/>
                <w:sz w:val="24"/>
              </w:rPr>
            </w:pPr>
            <w:r>
              <w:rPr>
                <w:rFonts w:ascii="Times New Roman" w:hAnsi="Times New Roman"/>
                <w:sz w:val="24"/>
              </w:rPr>
              <w:t xml:space="preserve">Art. 193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i 2,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94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–7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30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Takie rozwiązanie alternatywne jest dostępne wyłącznie dla instytucji stosujących podstawową metodę IRB.</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lastRenderedPageBreak/>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EKSPOZYCJE Z TYTUŁU DOSTAW Z PÓŹNIEJSZYM TERMINEM ROZLICZENIA, Z ZASTOSOWANIEM WAG RYZYKA ZGODNIE Z PODEJŚCIEM ALTERNATYWNYM LUB WAG RYZYKA W WYSOKOŚCI 100 % ORAZ INNE EKSPOZYCJE PODLEGAJĄCE WAGOM RYZYKA</w:t>
            </w:r>
          </w:p>
          <w:p w14:paraId="0783F043" w14:textId="65A9121C" w:rsidR="004D45AA" w:rsidRPr="002A677E" w:rsidRDefault="004D45AA" w:rsidP="00E1685B">
            <w:pPr>
              <w:rPr>
                <w:rFonts w:ascii="Times New Roman" w:hAnsi="Times New Roman"/>
                <w:sz w:val="24"/>
              </w:rPr>
            </w:pPr>
            <w:r>
              <w:rPr>
                <w:rFonts w:ascii="Times New Roman" w:hAnsi="Times New Roman"/>
                <w:sz w:val="24"/>
              </w:rPr>
              <w:t xml:space="preserve">Ekspozycje z tytułu dostaw z późniejszym terminem rozliczenia, wobec których stosuje się podejście alternatywne, o którym mowa w art. 379 ust. 2 akapit pierwszy zdanie ostatnie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wobec których stosuje się wagi ryzyka 100 % zgodnie z art. 379 ust. 2 akapit ostatni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tym wierszu zgłasza się kredytowe instrumenty pochodne uruchamiane n-tym niewykonaniem zobowiązania bez ratingu zgodnie z art. 153 ust. 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oraz wszelkie inne ekspozycje podlegające wagom ryzyka nieujęte w żadnym innym wierszu.</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RYZYKO ROZMYCIA: NABYTE WIERZYTELNOŚCI RAZEM</w:t>
            </w:r>
          </w:p>
          <w:p w14:paraId="52C8CBD1" w14:textId="57396652" w:rsidR="004D45AA" w:rsidRPr="002A677E" w:rsidRDefault="004D45AA" w:rsidP="004D45AA">
            <w:pPr>
              <w:rPr>
                <w:rFonts w:ascii="Times New Roman" w:hAnsi="Times New Roman"/>
                <w:sz w:val="24"/>
              </w:rPr>
            </w:pPr>
            <w:r>
              <w:rPr>
                <w:rFonts w:ascii="Times New Roman" w:hAnsi="Times New Roman"/>
                <w:sz w:val="24"/>
              </w:rPr>
              <w:t xml:space="preserve">Definicja ryzyka rozmycia – zob.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Obliczanie kwot ekspozycji ważonych ryzykiem dla ryzyka rozmycia – zob. art. 157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Ryzyko rozmycia zgłasza się w odniesieniu do nabytych wierzytelności korporacyjnych i detalicznych.</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9064809"/>
      <w:r>
        <w:rPr>
          <w:rFonts w:ascii="Times New Roman" w:hAnsi="Times New Roman"/>
          <w:sz w:val="24"/>
          <w:u w:val="none"/>
        </w:rPr>
        <w:t>3.3.4.</w:t>
      </w:r>
      <w:r>
        <w:tab/>
      </w:r>
      <w:r>
        <w:rPr>
          <w:rFonts w:ascii="Times New Roman" w:hAnsi="Times New Roman"/>
          <w:sz w:val="24"/>
        </w:rPr>
        <w:t>C 08.02 – Ryzyko kredytowe i ryzyko kredytowe kontrahenta oraz dostawy z późniejszym terminem rozliczenia: wymogi kapitałowe według metody IRB: podział według klas jakości lub puli dłużników (wzór CR IRB 2)</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Kolumna</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Instrukcje</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Klasa jakości dłużnika (identyfikator wiersza)</w:t>
            </w:r>
          </w:p>
          <w:p w14:paraId="3F34567F" w14:textId="77777777" w:rsidR="00E97CD2" w:rsidRPr="002A677E" w:rsidRDefault="00E97CD2" w:rsidP="00133396">
            <w:pPr>
              <w:rPr>
                <w:rFonts w:ascii="Times New Roman" w:hAnsi="Times New Roman"/>
                <w:sz w:val="24"/>
              </w:rPr>
            </w:pPr>
            <w:r>
              <w:rPr>
                <w:rFonts w:ascii="Times New Roman" w:hAnsi="Times New Roman"/>
                <w:sz w:val="24"/>
              </w:rPr>
              <w:t>Jest to identyfikator wiersza, który jest niepowtarzalny dla każdego wiersza w danym arkuszu wzoru. Numeracja następuje w kolejności numerycznej: 1, 2, 3 itd.</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Pierwsza zgłaszana klasa (lub pula) jest najlepsza, a następnie druga i kolejne. Ostatnia zgłaszana klasa lub klasy (lub pula) obejmuje ekspozycje, których dotyczy niewykonanie zobowiązania.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Instrukcje dla każdej z tych kolumn są takie same jak dla odpowiadających im numerami kolumn we wzorze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Wiersz</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Instrukcje</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 xml:space="preserve">Wartości zgłoszone w tych wierszach należy wprowadzać w porządku odpowiadającym wartości PD przypisanej klasie jakości lub puli dłużnika. Wartość PD dla dłużników, którzy nie wykonali swoich zobowiązań, wynosi 100 %. Ekspozycje objęte podejściem alternatywnym w odniesieniu do zabezpieczeń </w:t>
            </w:r>
            <w:r>
              <w:rPr>
                <w:rFonts w:ascii="Times New Roman" w:hAnsi="Times New Roman"/>
                <w:sz w:val="24"/>
              </w:rPr>
              <w:lastRenderedPageBreak/>
              <w:t>w postaci nieruchomości (dostępne wyłącznie wówczas, gdy nie stosuje się własnych oszacowań LGD) nie są przypisywane zgodnie z wartością PD dla dłużników i nie są zgłaszane w tym wzorze.</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9064810"/>
      <w:r>
        <w:rPr>
          <w:rFonts w:ascii="Times New Roman" w:hAnsi="Times New Roman"/>
          <w:sz w:val="24"/>
        </w:rPr>
        <w:t>C 08.03 – Ryzyko kredytowe oraz dostawy z późniejszym terminem rozliczenia: wymogi kapitałowe według metody IRB (podział według zakresów PD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9064811"/>
      <w:r>
        <w:rPr>
          <w:rFonts w:ascii="Times New Roman" w:hAnsi="Times New Roman"/>
          <w:sz w:val="24"/>
        </w:rPr>
        <w:t>Uwagi ogólne</w:t>
      </w:r>
      <w:bookmarkEnd w:id="324"/>
      <w:bookmarkEnd w:id="325"/>
    </w:p>
    <w:p w14:paraId="6CEFD717" w14:textId="5D3C5C84" w:rsidR="008151A6" w:rsidRPr="002A677E" w:rsidRDefault="0043455E" w:rsidP="00487A02">
      <w:pPr>
        <w:pStyle w:val="InstructionsText2"/>
        <w:numPr>
          <w:ilvl w:val="0"/>
          <w:numId w:val="0"/>
        </w:numPr>
        <w:ind w:left="1353" w:hanging="360"/>
      </w:pPr>
      <w:fldSimple w:instr=" seq paragraphs ">
        <w:r w:rsidR="008F3052">
          <w:t>77</w:t>
        </w:r>
      </w:fldSimple>
      <w:r w:rsidR="008F3052">
        <w:t xml:space="preserve">. Instytucje zgłaszają informacje zawarte w tym wzorze zgodnie z art. 452 lit. g) pkt (i)–(v) rozporządzenia (UE) </w:t>
      </w:r>
      <w:r w:rsidR="008F3052" w:rsidRPr="0043455E">
        <w:t>nr</w:t>
      </w:r>
      <w:r w:rsidRPr="0043455E">
        <w:t> </w:t>
      </w:r>
      <w:r w:rsidR="008F3052" w:rsidRPr="0043455E">
        <w:t>5</w:t>
      </w:r>
      <w:r w:rsidR="008F3052">
        <w:t xml:space="preserve">75/2013 w celu przedstawienia informacji dotyczących głównych parametrów stosowanych do obliczenia wymogów kapitałowych w odniesieniu do metody IRB. Informacje zgłaszane w tym wzorze nie obejmują danych dotyczących kredytowania specjalistycznego, o którym mowa w art. 153 ust. 5 rozporządzenia (UE) </w:t>
      </w:r>
      <w:r w:rsidR="008F3052" w:rsidRPr="0043455E">
        <w:t>nr</w:t>
      </w:r>
      <w:r w:rsidRPr="0043455E">
        <w:t> </w:t>
      </w:r>
      <w:r w:rsidR="008F3052" w:rsidRPr="0043455E">
        <w:t>5</w:t>
      </w:r>
      <w:r w:rsidR="008F3052">
        <w:t xml:space="preserve">75/2013, uwzględnianych we wzorze C 08.06. Ten wzór nie obejmuje ekspozycji na ryzyko kredytowe kontrahenta (CCR) (część trzecia tytuł II rozdział 6 rozporządzenia (UE) </w:t>
      </w:r>
      <w:r w:rsidR="008F3052" w:rsidRPr="0043455E">
        <w:t>nr</w:t>
      </w:r>
      <w:r w:rsidRPr="0043455E">
        <w:t> </w:t>
      </w:r>
      <w:r w:rsidR="008F3052" w:rsidRPr="0043455E">
        <w:t>5</w:t>
      </w:r>
      <w:r w:rsidR="008F3052">
        <w:t>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9064812"/>
      <w:r>
        <w:rPr>
          <w:rFonts w:ascii="Times New Roman" w:hAnsi="Times New Roman"/>
          <w:sz w:val="24"/>
        </w:rPr>
        <w:t>Instrukcje dotyczące poszczególnych pozycji</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Kolumny</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EKSPOZYCJE BILANSOWE</w:t>
            </w:r>
          </w:p>
          <w:p w14:paraId="4A8FAFE3" w14:textId="38EDD761" w:rsidR="008151A6" w:rsidRPr="002A677E" w:rsidRDefault="008151A6" w:rsidP="00A44410">
            <w:pPr>
              <w:rPr>
                <w:rFonts w:ascii="Times New Roman" w:hAnsi="Times New Roman"/>
                <w:sz w:val="24"/>
              </w:rPr>
            </w:pPr>
            <w:r>
              <w:rPr>
                <w:rFonts w:ascii="Times New Roman" w:hAnsi="Times New Roman"/>
                <w:sz w:val="24"/>
              </w:rPr>
              <w:t xml:space="preserve">Wartość ekspozycji obliczana zgodnie z art. 166 ust. 1–7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t xml:space="preserve"> </w:t>
            </w:r>
            <w:r>
              <w:rPr>
                <w:rFonts w:ascii="Times New Roman" w:hAnsi="Times New Roman"/>
                <w:sz w:val="24"/>
              </w:rPr>
              <w:t>bez uwzględniania jakichkolwiek korekt z tytułu ryzyka kredytowego</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EKSPOZYCJE POZABILANSOWE PRZED UWZGLĘDNIENIEM WSPÓŁCZYNNIKÓW KONWERSJI</w:t>
            </w:r>
          </w:p>
          <w:p w14:paraId="7DE32B0B" w14:textId="4C7927E4" w:rsidR="008151A6" w:rsidRPr="002A677E" w:rsidRDefault="008151A6" w:rsidP="00664874">
            <w:pPr>
              <w:rPr>
                <w:rFonts w:ascii="Times New Roman" w:hAnsi="Times New Roman"/>
                <w:sz w:val="24"/>
              </w:rPr>
            </w:pPr>
            <w:r>
              <w:rPr>
                <w:rFonts w:ascii="Times New Roman" w:hAnsi="Times New Roman"/>
                <w:sz w:val="24"/>
              </w:rPr>
              <w:t xml:space="preserve">Wartość ekspozycji zgodnie a art. 166 ust. 1–7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bez uwzględniania jakichkolwiek korekt z tytułu ryzyka kredytowego i jakichkolwiek współczynników konwersji, ani oszacowań własnych, ani współczynników konwersji określonych w art. 166 ust. 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ani też wartości procentowych określonych w art. 166 ust. 10 tego rozporządzenia </w:t>
            </w:r>
          </w:p>
          <w:p w14:paraId="0EF7359E" w14:textId="0A1F976B" w:rsidR="008151A6" w:rsidRPr="002A677E" w:rsidRDefault="008151A6" w:rsidP="00664874">
            <w:pPr>
              <w:rPr>
                <w:rFonts w:ascii="Times New Roman" w:hAnsi="Times New Roman"/>
                <w:sz w:val="24"/>
              </w:rPr>
            </w:pPr>
            <w:r>
              <w:rPr>
                <w:rFonts w:ascii="Times New Roman" w:hAnsi="Times New Roman"/>
                <w:sz w:val="24"/>
              </w:rPr>
              <w:t xml:space="preserve">Ekspozycje pozabilansowe obejmują wszystkie zaangażowane, lecz nie wykorzystane kwoty i wszystkie pozycje pozabilansowe wymienione w załączniku I do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ŚREDNIE WSPÓŁCZYNNIKI KONWERSJI WAŻONE EKSPOZYCJĄ</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W odniesieniu do wszystkich ekspozycji uwzględnionych w każdym koszyku o stałym zakresie PD średni współczynnik konwersji stosowany przez instytucje przy obliczaniu kwot ekspozycji ważonych ryzykiem, ważony ekspozycją pozabilansową przed uwzględnieniem współczynnika konwersji zgłaszaną w kolumnie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WARTOŚĆ EKSPOZYCJI PO UWZGLĘDNIENIU WSPÓŁCZYNNIKÓW KONWERSJI I PO ZASTOSOWANIU TECHNIK OGRANICZANIA RYZYKA KREDYTOWEGO</w:t>
            </w:r>
          </w:p>
          <w:p w14:paraId="2389923D" w14:textId="295BA4BE" w:rsidR="008151A6" w:rsidRPr="002A677E" w:rsidRDefault="008151A6" w:rsidP="00664874">
            <w:pPr>
              <w:rPr>
                <w:rFonts w:ascii="Times New Roman" w:hAnsi="Times New Roman"/>
                <w:sz w:val="24"/>
              </w:rPr>
            </w:pPr>
            <w:r>
              <w:rPr>
                <w:rFonts w:ascii="Times New Roman" w:hAnsi="Times New Roman"/>
                <w:sz w:val="24"/>
              </w:rPr>
              <w:lastRenderedPageBreak/>
              <w:t xml:space="preserve">Wartość ekspozycji zgodnie z art. 166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FBBE395" w14:textId="178A07CA" w:rsidR="008151A6" w:rsidRPr="002A677E" w:rsidRDefault="008151A6" w:rsidP="00E1685B">
            <w:pPr>
              <w:rPr>
                <w:rFonts w:ascii="Times New Roman" w:hAnsi="Times New Roman"/>
                <w:sz w:val="24"/>
              </w:rPr>
            </w:pPr>
            <w:r>
              <w:rPr>
                <w:rFonts w:ascii="Times New Roman" w:hAnsi="Times New Roman"/>
                <w:sz w:val="24"/>
              </w:rPr>
              <w:t xml:space="preserve">W tej kolumnie uwzględnia się sumę wartości ekspozycji dla ekspozycji bilansowych i ekspozycji pozabilansowych po uwzględnieniu współczynników konwersji zgodnie z art. 166 ust. 8–10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po zastosowaniu technik ograniczania ryzyka kredytowego.</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ŚREDNIA WARTOŚĆ PD WAŻONA EKSPOZYCJĄ (%)</w:t>
            </w:r>
          </w:p>
          <w:p w14:paraId="56D6AA16" w14:textId="77777777" w:rsidR="008151A6" w:rsidRDefault="008151A6" w:rsidP="00A44410">
            <w:pPr>
              <w:rPr>
                <w:rFonts w:ascii="Times New Roman" w:hAnsi="Times New Roman"/>
                <w:sz w:val="24"/>
              </w:rPr>
            </w:pPr>
            <w:r>
              <w:rPr>
                <w:rFonts w:ascii="Times New Roman" w:hAnsi="Times New Roman"/>
                <w:sz w:val="24"/>
              </w:rPr>
              <w:t>W odniesieniu do wszystkich ekspozycji uwzględnionych w każdym koszyku o stałym zakresie PD średnie oszacowanie wartości PD dla każdego dłużnika, ważone wartością ekspozycji po uwzględnieniu współczynników konwersji i po zastosowaniu technik ograniczania ryzyka kredytowego zgłaszaną w kolumnie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Kolumna ta nie musi być wypełniana dla sumy wszystkich kategorii ekspozycji.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LICZBA DŁUŻNIKÓW</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Liczba podmiotów prawnych lub dłużników przypisanych do każdego koszyka o stałym zakresie zakresu PD </w:t>
            </w:r>
          </w:p>
          <w:p w14:paraId="1C88C53C" w14:textId="77777777" w:rsidR="001A370B" w:rsidRPr="002A677E" w:rsidRDefault="001A370B" w:rsidP="001A370B">
            <w:pPr>
              <w:rPr>
                <w:rFonts w:ascii="Times New Roman" w:hAnsi="Times New Roman"/>
                <w:sz w:val="24"/>
              </w:rPr>
            </w:pPr>
            <w:r>
              <w:rPr>
                <w:rFonts w:ascii="Times New Roman" w:hAnsi="Times New Roman"/>
                <w:sz w:val="24"/>
              </w:rPr>
              <w:t>Liczbę dłużników oblicza się zgodnie z instrukcjami w kolumnie 0300 we wzorze C 08.01. Dłużników solidarnych traktuje się tak samo jak do celów kalibracji PD.</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ŚREDNIA WARTOŚĆ LGD WAŻONA EKSPOZYCJĄ (%)</w:t>
            </w:r>
          </w:p>
          <w:p w14:paraId="184DDD1C" w14:textId="77777777" w:rsidR="008151A6" w:rsidRPr="002A677E" w:rsidRDefault="008151A6" w:rsidP="00664874">
            <w:pPr>
              <w:rPr>
                <w:rFonts w:ascii="Times New Roman" w:hAnsi="Times New Roman"/>
                <w:sz w:val="24"/>
              </w:rPr>
            </w:pPr>
            <w:r>
              <w:rPr>
                <w:rFonts w:ascii="Times New Roman" w:hAnsi="Times New Roman"/>
                <w:sz w:val="24"/>
              </w:rPr>
              <w:t>W odniesieniu do wszystkich ekspozycji uwzględnionych w każdym koszyku o stałym zakresie PD średnie oszacowania LGD dla każdej ekspozycji, ważone wartością ekspozycji po uwzględnieniu współczynnika konwersji i po zastosowaniu technika ograniczania ryzyka kredytowego zgłaszaną w kolumnie 0040</w:t>
            </w:r>
          </w:p>
          <w:p w14:paraId="7E28335D" w14:textId="77049681" w:rsidR="008151A6" w:rsidRPr="002A677E" w:rsidRDefault="008151A6" w:rsidP="00664874">
            <w:pPr>
              <w:rPr>
                <w:rFonts w:ascii="Times New Roman" w:hAnsi="Times New Roman"/>
                <w:sz w:val="24"/>
              </w:rPr>
            </w:pPr>
            <w:r>
              <w:rPr>
                <w:rFonts w:ascii="Times New Roman" w:hAnsi="Times New Roman"/>
                <w:sz w:val="24"/>
              </w:rPr>
              <w:t xml:space="preserve">Zgłoszona wartość LGD odpowiada ostatecznemu szacunkowi LGD wykorzystanemu do obliczenia kwot ekspozycji ważonych ryzykiem uzyskanych po uwzględnieniu, stosownie do przypadku, wszelkich efektów ograniczenia ryzyka kredytowego i warunków pogorszenia koniunktury. W odniesieniu do ekspozycji detalicznych zabezpieczonych nieruchomościami przy zgłaszaniu wartości LGD uwzględnia się dolne limity określone w art. 164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7477FD4" w14:textId="7F851EC9" w:rsidR="008151A6" w:rsidRPr="002A677E" w:rsidRDefault="008151A6" w:rsidP="00664874">
            <w:pPr>
              <w:rPr>
                <w:rFonts w:ascii="Times New Roman" w:hAnsi="Times New Roman"/>
                <w:sz w:val="24"/>
              </w:rPr>
            </w:pPr>
            <w:r>
              <w:rPr>
                <w:rFonts w:ascii="Times New Roman" w:hAnsi="Times New Roman"/>
                <w:sz w:val="24"/>
              </w:rPr>
              <w:t xml:space="preserve">W przypadku ekspozycji z uwzględnieniem ujęcia podwójnego niewykonania zobowiązania LGD, które należy zgłosić, odpowiada temu wybranemu </w:t>
            </w:r>
            <w:r>
              <w:rPr>
                <w:rStyle w:val="InstructionsTabelleText"/>
                <w:rFonts w:ascii="Times New Roman" w:hAnsi="Times New Roman"/>
                <w:sz w:val="24"/>
              </w:rPr>
              <w:t>zgodnie z</w:t>
            </w:r>
            <w:r>
              <w:rPr>
                <w:rFonts w:ascii="Times New Roman" w:hAnsi="Times New Roman"/>
                <w:sz w:val="24"/>
              </w:rPr>
              <w:t xml:space="preserve"> art. 161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97FA337" w14:textId="2707646C" w:rsidR="008151A6" w:rsidRDefault="008151A6" w:rsidP="00E1685B">
            <w:pPr>
              <w:rPr>
                <w:rFonts w:ascii="Times New Roman" w:hAnsi="Times New Roman"/>
                <w:sz w:val="24"/>
              </w:rPr>
            </w:pPr>
            <w:r>
              <w:rPr>
                <w:rFonts w:ascii="Times New Roman" w:hAnsi="Times New Roman"/>
                <w:sz w:val="24"/>
              </w:rPr>
              <w:t xml:space="preserve">W odniesieniu do ekspozycji objętych metodą IRB-A, których dotyczy niewykonanie zobowiązania, uwzględnia się przepisy określone w art. 181 ust. 1 lit. h)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Zgłoszona wartość LGD odpowiada szacunkowej wartości LGD, której dotyczy niewykonanie zobowiązania, </w:t>
            </w:r>
            <w:r>
              <w:rPr>
                <w:rStyle w:val="InstructionsTabelleText"/>
                <w:rFonts w:ascii="Times New Roman" w:hAnsi="Times New Roman"/>
                <w:sz w:val="24"/>
              </w:rPr>
              <w:t>zgodnie z</w:t>
            </w:r>
            <w:r>
              <w:rPr>
                <w:rFonts w:ascii="Times New Roman" w:hAnsi="Times New Roman"/>
                <w:sz w:val="24"/>
              </w:rPr>
              <w:t xml:space="preserve"> mającymi zastosowanie metodami szacowania.</w:t>
            </w:r>
          </w:p>
          <w:p w14:paraId="3CFFCA66" w14:textId="60A573D5" w:rsidR="00121BFD" w:rsidRPr="002A677E" w:rsidRDefault="00121BFD" w:rsidP="00E1685B">
            <w:pPr>
              <w:rPr>
                <w:rFonts w:ascii="Times New Roman" w:hAnsi="Times New Roman"/>
                <w:sz w:val="24"/>
              </w:rPr>
            </w:pPr>
            <w:r>
              <w:rPr>
                <w:rFonts w:ascii="Times New Roman" w:hAnsi="Times New Roman"/>
                <w:sz w:val="24"/>
              </w:rPr>
              <w:t>Kolumna ta nie musi być wypełniana dla sumy wszystkich kategorii ekspozycji.</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ŚREDNI TERMIN ZAPADALNOŚCI WAŻONY EKSPOZYCJĄ (W LATACH)</w:t>
            </w:r>
          </w:p>
          <w:p w14:paraId="78A0978E" w14:textId="77777777" w:rsidR="008151A6" w:rsidRPr="002A677E" w:rsidRDefault="008151A6" w:rsidP="00664874">
            <w:pPr>
              <w:rPr>
                <w:rFonts w:ascii="Times New Roman" w:hAnsi="Times New Roman"/>
                <w:sz w:val="24"/>
              </w:rPr>
            </w:pPr>
            <w:r>
              <w:rPr>
                <w:rFonts w:ascii="Times New Roman" w:hAnsi="Times New Roman"/>
                <w:sz w:val="24"/>
              </w:rPr>
              <w:t>W odniesieniu do wszystkich ekspozycji uwzględnionych w każdym koszyku o stałym zakresie PD średni termin zapadalności każdej ekspozycji ważony wartością ekspozycji po uwzględnieniu współczynnika konwersji zgłaszaną w kolumnie 0040</w:t>
            </w:r>
          </w:p>
          <w:p w14:paraId="43E30C16" w14:textId="75ED3D9A" w:rsidR="008151A6" w:rsidRPr="002A677E" w:rsidRDefault="008151A6" w:rsidP="00664874">
            <w:pPr>
              <w:rPr>
                <w:rFonts w:ascii="Times New Roman" w:hAnsi="Times New Roman"/>
                <w:sz w:val="24"/>
              </w:rPr>
            </w:pPr>
            <w:r>
              <w:rPr>
                <w:rFonts w:ascii="Times New Roman" w:hAnsi="Times New Roman"/>
                <w:sz w:val="24"/>
              </w:rPr>
              <w:lastRenderedPageBreak/>
              <w:t xml:space="preserve">Zgłaszany termin zapadalności określa się zgodnie z art. 162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Średni termin zapadalności podawany jest jako liczba lat.</w:t>
            </w:r>
          </w:p>
          <w:p w14:paraId="3538AA9B" w14:textId="11E11313" w:rsidR="008151A6" w:rsidRPr="002A677E" w:rsidRDefault="008151A6" w:rsidP="002F11F3">
            <w:pPr>
              <w:rPr>
                <w:rFonts w:ascii="Times New Roman" w:hAnsi="Times New Roman"/>
                <w:sz w:val="24"/>
              </w:rPr>
            </w:pPr>
            <w:r>
              <w:rPr>
                <w:rFonts w:ascii="Times New Roman" w:hAnsi="Times New Roman"/>
                <w:sz w:val="24"/>
              </w:rPr>
              <w:t>Danych tych nie zgłasza się w odniesieniu do wartości ekspozycji, dla których termin zapadalność nie jest elementem obliczeń</w:t>
            </w:r>
            <w:r>
              <w:rPr>
                <w:rStyle w:val="InstructionsTabelleText"/>
                <w:rFonts w:ascii="Times New Roman" w:hAnsi="Times New Roman"/>
                <w:sz w:val="24"/>
              </w:rPr>
              <w:t xml:space="preserve"> kwot ekspozycji ważonych ryzykiem</w:t>
            </w:r>
            <w:r>
              <w:rPr>
                <w:rFonts w:ascii="Times New Roman" w:hAnsi="Times New Roman"/>
                <w:sz w:val="24"/>
              </w:rPr>
              <w:t xml:space="preserve"> zgodnie z częścią trzecią tytuł II rozdział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Oznacza to, że kolumny tej nie wypełnia się w przypadku kategorii ekspozycji „ekspozycje detaliczne”.</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KWOTA EKSPOZYCJI WAŻONEJ RYZYKIEM PO UWZGLĘDNIENIU WSPÓŁCZYNNIKÓW WSPARCIA</w:t>
            </w:r>
          </w:p>
          <w:p w14:paraId="3D40BF94" w14:textId="66BAEAAB" w:rsidR="008151A6" w:rsidRPr="002A677E" w:rsidRDefault="008151A6" w:rsidP="00664874">
            <w:pPr>
              <w:rPr>
                <w:rFonts w:ascii="Times New Roman" w:hAnsi="Times New Roman"/>
                <w:sz w:val="24"/>
              </w:rPr>
            </w:pPr>
            <w:r>
              <w:rPr>
                <w:rFonts w:ascii="Times New Roman" w:hAnsi="Times New Roman"/>
                <w:sz w:val="24"/>
              </w:rPr>
              <w:t xml:space="preserve">W odniesieniu do ekspozycji wobec rządów centralnych i banków centralnych oraz instytucji i przedsiębiorstw – kwota ekspozycji ważonej ryzykiem obliczana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 w odniesieniu do ekspozycji detalicznych – kwota ekspozycji ważonej ryzykiem obliczona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8026103" w14:textId="71371DE4" w:rsidR="008151A6" w:rsidRPr="002A677E" w:rsidRDefault="008151A6" w:rsidP="003F19BA">
            <w:pPr>
              <w:rPr>
                <w:rFonts w:ascii="Times New Roman" w:hAnsi="Times New Roman"/>
                <w:sz w:val="24"/>
              </w:rPr>
            </w:pPr>
            <w:r>
              <w:rPr>
                <w:rFonts w:ascii="Times New Roman" w:hAnsi="Times New Roman"/>
                <w:sz w:val="24"/>
              </w:rPr>
              <w:t xml:space="preserve">Bierze się pod uwagę współczynniki wsparcia MŚP oraz infrastruktury </w:t>
            </w:r>
            <w:r>
              <w:rPr>
                <w:rStyle w:val="InstructionsTabelleText"/>
                <w:rFonts w:ascii="Times New Roman" w:hAnsi="Times New Roman"/>
                <w:sz w:val="24"/>
              </w:rPr>
              <w:t>określone</w:t>
            </w:r>
            <w:r>
              <w:rPr>
                <w:rFonts w:ascii="Times New Roman" w:hAnsi="Times New Roman"/>
                <w:sz w:val="24"/>
              </w:rPr>
              <w:t xml:space="preserve"> w art. 501 i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KWOTA OCZEKIWANEJ STRATY</w:t>
            </w:r>
          </w:p>
          <w:p w14:paraId="4832D8CA" w14:textId="31923C0E" w:rsidR="008151A6" w:rsidRPr="002A677E" w:rsidRDefault="008151A6" w:rsidP="00664874">
            <w:pPr>
              <w:rPr>
                <w:rFonts w:ascii="Times New Roman" w:hAnsi="Times New Roman"/>
                <w:sz w:val="24"/>
              </w:rPr>
            </w:pPr>
            <w:r>
              <w:rPr>
                <w:rFonts w:ascii="Times New Roman" w:hAnsi="Times New Roman"/>
                <w:sz w:val="24"/>
              </w:rPr>
              <w:t xml:space="preserve">Kwota oczekiwanej straty obliczona zgodnie z art. 158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Kwota oczekiwanej straty, którą należy zgłosić, opiera się na parametrach rzeczywistego ryzyka wykorzystywanych w skali ratingu wewnętrznego zatwierdzonej przez odpowiedni właściwy organ.</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KOREKTY WARTOŚCI I REZERWY</w:t>
            </w:r>
          </w:p>
          <w:p w14:paraId="6ABA875A" w14:textId="74B823D0" w:rsidR="00A44410" w:rsidRPr="002A677E" w:rsidRDefault="008151A6" w:rsidP="00664874">
            <w:pPr>
              <w:rPr>
                <w:rFonts w:ascii="Times New Roman" w:hAnsi="Times New Roman"/>
                <w:sz w:val="24"/>
              </w:rPr>
            </w:pPr>
            <w:r>
              <w:rPr>
                <w:rFonts w:ascii="Times New Roman" w:hAnsi="Times New Roman"/>
                <w:sz w:val="24"/>
              </w:rPr>
              <w:t xml:space="preserve">Korekty z tytułu szczególnego i ogólnego ryzyka kredytowego zgodnie z rozporządzeniem delegowanym Komisji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83/2014, dodatkowe korekty wartości zgodnie z art. 34 i 110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a także inne redukcje funduszy własnych związane z ekspozycjami przypisanymi do każdego koszyka o stałym zakresie PD. </w:t>
            </w:r>
          </w:p>
          <w:p w14:paraId="10E77039" w14:textId="381CD7C0" w:rsidR="008151A6" w:rsidRPr="002A677E" w:rsidRDefault="008151A6" w:rsidP="00664874">
            <w:pPr>
              <w:rPr>
                <w:rFonts w:ascii="Times New Roman" w:hAnsi="Times New Roman"/>
                <w:sz w:val="24"/>
              </w:rPr>
            </w:pPr>
            <w:r>
              <w:rPr>
                <w:rFonts w:ascii="Times New Roman" w:hAnsi="Times New Roman"/>
                <w:sz w:val="24"/>
              </w:rPr>
              <w:t xml:space="preserve">Są to korekty wartości i rezerwy uwzględniane do celów wykonania art. 159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Ogólne rezerwy zgłasza się poprzez przypisanie kwoty proporcjonalnej </w:t>
            </w:r>
            <w:r>
              <w:rPr>
                <w:rStyle w:val="InstructionsTabelleText"/>
                <w:rFonts w:ascii="Times New Roman" w:hAnsi="Times New Roman"/>
                <w:sz w:val="24"/>
              </w:rPr>
              <w:t>zgodnie z</w:t>
            </w:r>
            <w:r>
              <w:rPr>
                <w:rFonts w:ascii="Times New Roman" w:hAnsi="Times New Roman"/>
                <w:sz w:val="24"/>
              </w:rPr>
              <w:t xml:space="preserve"> oczekiwaną stratą w różnych klasach jakości dłużnika.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Wiersze</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ZAKRES PD</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Ekspozycje przypisuje się do odpowiedniego koszyka o stałym zakresie PD na podstawie PD oszacowanego dla każdego dłużnika przyporządkowanego do danej kategorii ekspozycji (bez uwzględniania jakichkolwiek efektów subsytucyjnych wynikających z ograniczenia ryzyka kredytowego). Instytucje przyporządkowują każdą ekspozycję do zakresu PD podanego w niniejszym wzorze, uwzględniając również skale ciągłe. Wszystkie ekspozycje, których dotyczy niewykonanie zobowiązania, ujmuje się w koszyku odpowiadającym PD w wysokości 100</w:t>
            </w:r>
            <w:r>
              <w:t> </w:t>
            </w:r>
            <w:r>
              <w:rPr>
                <w:rFonts w:ascii="Times New Roman" w:hAnsi="Times New Roman"/>
                <w:sz w:val="24"/>
              </w:rPr>
              <w: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lastRenderedPageBreak/>
              <w:t>{r0170, c0050} i {r0170, c0070} zgłasza się w odniesieniu do każdej kategorii ekspozycji, ale nie dla sumy wszystkich kategorii ekspozycji.</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9064813"/>
      <w:r>
        <w:rPr>
          <w:rFonts w:ascii="Times New Roman" w:hAnsi="Times New Roman"/>
          <w:sz w:val="24"/>
        </w:rPr>
        <w:lastRenderedPageBreak/>
        <w:t>C 08.04 – Ryzyko kredytowe oraz dostawy z późniejszym terminem rozliczenia: wymogi kapitałowe według metody IRB (rachunki przepływów kwot ekspozycji ważonych ryzykiem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9064814"/>
      <w:r>
        <w:rPr>
          <w:rFonts w:ascii="Times New Roman" w:hAnsi="Times New Roman"/>
          <w:sz w:val="24"/>
        </w:rPr>
        <w:t>Uwagi ogólne</w:t>
      </w:r>
      <w:bookmarkEnd w:id="330"/>
      <w:bookmarkEnd w:id="331"/>
    </w:p>
    <w:p w14:paraId="51E67014" w14:textId="076B23ED" w:rsidR="008151A6" w:rsidRPr="002A677E" w:rsidRDefault="0043455E" w:rsidP="00487A02">
      <w:pPr>
        <w:pStyle w:val="InstructionsText2"/>
        <w:numPr>
          <w:ilvl w:val="0"/>
          <w:numId w:val="0"/>
        </w:numPr>
        <w:ind w:left="1353" w:hanging="360"/>
      </w:pPr>
      <w:fldSimple w:instr=" seq paragraphs ">
        <w:r w:rsidR="008F3052">
          <w:t>78</w:t>
        </w:r>
      </w:fldSimple>
      <w:r w:rsidR="008F3052">
        <w:t xml:space="preserve">. Instytucje zgłaszają informacje zawarte w tym wzorze zgodnie z art. 438 lit. h) rozporządzenia (UE) </w:t>
      </w:r>
      <w:r w:rsidR="008F3052" w:rsidRPr="0043455E">
        <w:t>nr</w:t>
      </w:r>
      <w:r w:rsidRPr="0043455E">
        <w:t> </w:t>
      </w:r>
      <w:r w:rsidR="008F3052" w:rsidRPr="0043455E">
        <w:t>5</w:t>
      </w:r>
      <w:r w:rsidR="008F3052">
        <w:t xml:space="preserve">75/2013. Ten wzór nie obejmuje ekspozycji na ryzyko kredytowe kontrahenta (CCR) (część trzecia tytuł II rozdział 6 rozporządzenia (UE) </w:t>
      </w:r>
      <w:r w:rsidR="008F3052" w:rsidRPr="0043455E">
        <w:t>nr</w:t>
      </w:r>
      <w:r w:rsidRPr="0043455E">
        <w:t> </w:t>
      </w:r>
      <w:r w:rsidR="008F3052" w:rsidRPr="0043455E">
        <w:t>5</w:t>
      </w:r>
      <w:r w:rsidR="008F3052">
        <w:t>75/2013).</w:t>
      </w:r>
    </w:p>
    <w:p w14:paraId="10667F98" w14:textId="77777777" w:rsidR="002F29AF" w:rsidRPr="002A677E" w:rsidRDefault="0043455E" w:rsidP="00487A02">
      <w:pPr>
        <w:pStyle w:val="InstructionsText2"/>
        <w:numPr>
          <w:ilvl w:val="0"/>
          <w:numId w:val="0"/>
        </w:numPr>
        <w:ind w:left="1353" w:hanging="360"/>
      </w:pPr>
      <w:fldSimple w:instr=" seq paragraphs ">
        <w:r w:rsidR="002F29AF">
          <w:t>79</w:t>
        </w:r>
      </w:fldSimple>
      <w:r w:rsidR="002F29AF">
        <w:t xml:space="preserve">. Instytucje zgłaszają przepływy RWEA jako zmiany między kwotami ekspozycji ważonych ryzykiem na dzień odniesienia a kwotami ekspozycji ważonych ryzykiem na poprzedni dzień odniesienia. W przypadku sprawozdań kwartalnych należy zgłaszać dane z końca kwartału poprzedzającego kwartał, w którym wypada sprawozdawczy dzień odniesienia.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9064815"/>
      <w:r>
        <w:rPr>
          <w:rFonts w:ascii="Times New Roman" w:hAnsi="Times New Roman"/>
          <w:sz w:val="24"/>
        </w:rPr>
        <w:t>Instrukcje dotyczące poszczególnych pozycji</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Kolumna</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KWOTA EKSPOZYCJI WAŻONEJ RYZYKIEM</w:t>
            </w:r>
          </w:p>
          <w:p w14:paraId="1B8885D3" w14:textId="2E27DF2B" w:rsidR="008151A6" w:rsidRPr="002A677E" w:rsidRDefault="008151A6" w:rsidP="00AC6619">
            <w:pPr>
              <w:rPr>
                <w:rFonts w:ascii="Times New Roman" w:hAnsi="Times New Roman"/>
                <w:sz w:val="24"/>
              </w:rPr>
            </w:pPr>
            <w:r>
              <w:rPr>
                <w:rFonts w:ascii="Times New Roman" w:hAnsi="Times New Roman"/>
                <w:sz w:val="24"/>
              </w:rPr>
              <w:t xml:space="preserve">Całkowita kwota ekspozycji ważonej ryzykiem z tytułu ryzyka kredytowego obliczana według metody IRB z uwzględnieniem współczynników wsparcia zgodnie z art. 501 i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Wiersze</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KWOTA EKSPOZYCJI WAŻONEJ RYZYKIEM NA KONIEC POPRZEDNIEGO OKRESU SPRAWOZDAWCZEGO</w:t>
            </w:r>
          </w:p>
          <w:p w14:paraId="22828C6F" w14:textId="5AE94569" w:rsidR="008151A6" w:rsidRPr="002A677E" w:rsidRDefault="008151A6" w:rsidP="00F66DFB">
            <w:pPr>
              <w:rPr>
                <w:rFonts w:ascii="Times New Roman" w:hAnsi="Times New Roman"/>
                <w:sz w:val="24"/>
              </w:rPr>
            </w:pPr>
            <w:r>
              <w:rPr>
                <w:rFonts w:ascii="Times New Roman" w:hAnsi="Times New Roman"/>
                <w:sz w:val="24"/>
              </w:rPr>
              <w:t xml:space="preserve">Kwota ekspozycji ważonej ryzykiem na koniec poprzedniego okresu sprawozdawczego po zastosowaniu współczynników wsparcia MŚP oraz infrastruktury określonych w art. 501 i art.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WIELKOŚĆ AKTYWÓW (+/-)</w:t>
            </w:r>
          </w:p>
          <w:p w14:paraId="12B2D7D1" w14:textId="77777777" w:rsidR="008151A6" w:rsidRPr="002A677E" w:rsidRDefault="008151A6" w:rsidP="00664874">
            <w:pPr>
              <w:rPr>
                <w:rFonts w:ascii="Times New Roman" w:hAnsi="Times New Roman"/>
                <w:sz w:val="24"/>
              </w:rPr>
            </w:pPr>
            <w:r>
              <w:rPr>
                <w:rFonts w:ascii="Times New Roman" w:hAnsi="Times New Roman"/>
                <w:sz w:val="24"/>
              </w:rPr>
              <w:t>Zmiana wysokości kwoty ekspozycji ważonej ryzykiem, jaka zaszła w okresie od końca poprzedniego okresu sprawozdawczego do końca bieżącego okresu sprawozdawczego, spowodowana wielkością aktywów, tj. organicznymi zmianami wielkości i składu portfela (m.in. wskutek powstawania nowych przedsiębiorstw i upływu terminów zapadalności kredytów), z wyłączeniem zmian wielkości portfela wynikających z nabywania i zbywania podmiotów.</w:t>
            </w:r>
          </w:p>
          <w:p w14:paraId="720E19CE" w14:textId="77777777" w:rsidR="008151A6" w:rsidRPr="002A677E" w:rsidRDefault="008151A6" w:rsidP="00664874">
            <w:pPr>
              <w:rPr>
                <w:rFonts w:ascii="Times New Roman" w:hAnsi="Times New Roman"/>
                <w:sz w:val="24"/>
              </w:rPr>
            </w:pPr>
            <w:r>
              <w:rPr>
                <w:rFonts w:ascii="Times New Roman" w:hAnsi="Times New Roman"/>
                <w:sz w:val="24"/>
              </w:rPr>
              <w:t>Wzrost kwot ekspozycji ważonych ryzykiem zgłasza się jako kwotę dodatnią, a spadek kwot ekspozycji ważonych ryzykiem – jako kwotę ujemną.</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JAKOŚĆ AKTYWÓW (+/-)</w:t>
            </w:r>
          </w:p>
          <w:p w14:paraId="6A88FF18" w14:textId="77777777" w:rsidR="008151A6" w:rsidRPr="002A677E" w:rsidRDefault="008151A6" w:rsidP="00664874">
            <w:pPr>
              <w:rPr>
                <w:rFonts w:ascii="Times New Roman" w:hAnsi="Times New Roman"/>
                <w:sz w:val="24"/>
              </w:rPr>
            </w:pPr>
            <w:r>
              <w:rPr>
                <w:rFonts w:ascii="Times New Roman" w:hAnsi="Times New Roman"/>
                <w:sz w:val="24"/>
              </w:rPr>
              <w:t>Zmiana wysokości kwoty ekspozycji ważonej ryzykiem, jaka zaszła w okresie od końca poprzedniego okresu sprawozdawczego do końca bieżącego okresu sprawozdawczego, spowodowana jakością aktywów, tj. zmianami oceny jakości aktywów danej instytucji wynikającymi ze zmian ryzyka kredytobiorcy, w tym na skutek migracji ratingowej lub podobnych efektów.</w:t>
            </w:r>
          </w:p>
          <w:p w14:paraId="24AF3901" w14:textId="77777777" w:rsidR="008151A6" w:rsidRPr="002A677E" w:rsidRDefault="008151A6" w:rsidP="00664874">
            <w:pPr>
              <w:rPr>
                <w:rFonts w:ascii="Times New Roman" w:hAnsi="Times New Roman"/>
                <w:sz w:val="24"/>
              </w:rPr>
            </w:pPr>
            <w:r>
              <w:rPr>
                <w:rFonts w:ascii="Times New Roman" w:hAnsi="Times New Roman"/>
                <w:sz w:val="24"/>
              </w:rPr>
              <w:t>Wzrost kwot ekspozycji ważonych ryzykiem zgłasza się jako kwotę dodatnią, a spadek kwot ekspozycji ważonych ryzykiem – jako kwotę ujemną.</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AKTUALIZACJE MODELI (+/-)</w:t>
            </w:r>
          </w:p>
          <w:p w14:paraId="1E1E2DE0" w14:textId="77777777" w:rsidR="008151A6" w:rsidRPr="002A677E" w:rsidRDefault="008151A6" w:rsidP="00664874">
            <w:pPr>
              <w:rPr>
                <w:rFonts w:ascii="Times New Roman" w:hAnsi="Times New Roman"/>
                <w:sz w:val="24"/>
              </w:rPr>
            </w:pPr>
            <w:r>
              <w:rPr>
                <w:rFonts w:ascii="Times New Roman" w:hAnsi="Times New Roman"/>
                <w:sz w:val="24"/>
              </w:rPr>
              <w:t>Zmiana wysokości kwoty ekspozycji ważonej ryzykiem, jaka zaszła w okresie od końca poprzedniego okresu sprawozdawczego do końca bieżącego okresu sprawozdawczego, spowodowana aktualizacjami modeli, tj. zmianami wynikającymi z wdrożenia nowych modeli, zmianami w modelach, zmianami zakresu modeli lub wszelkimi innymi zmianami służącymi wyeliminowaniu słabych punktów modelu.</w:t>
            </w:r>
          </w:p>
          <w:p w14:paraId="06D2AE7D" w14:textId="77777777" w:rsidR="008151A6" w:rsidRPr="002A677E" w:rsidRDefault="008151A6" w:rsidP="00664874">
            <w:pPr>
              <w:rPr>
                <w:rFonts w:ascii="Times New Roman" w:hAnsi="Times New Roman"/>
                <w:sz w:val="24"/>
              </w:rPr>
            </w:pPr>
            <w:r>
              <w:rPr>
                <w:rFonts w:ascii="Times New Roman" w:hAnsi="Times New Roman"/>
                <w:sz w:val="24"/>
              </w:rPr>
              <w:t>Wzrost kwot ekspozycji ważonych ryzykiem zgłasza się jako kwotę dodatnią, a spadek kwot ekspozycji ważonych ryzykiem – jako kwotę ujemną.</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METODA I POLITYKA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Zmiana wysokości kwoty ekspozycji ważonej ryzykiem, jaka zaszła w okresie od końca poprzedniego okresu sprawozdawczego do końca bieżącego okresu sprawozdawczego, spowodowana zmianami metodyki i polityki, tj. zmianami metody dokonywania obliczeń w wyniku zmian polityki regulacyjnej, w tym zarówno w wyniku zmian obowiązujących regulacji, jak i wprowadzania nowych regulacji, z wyłączeniem zmian w modelach, które uwzględnia się w wierszu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Wzrost kwot ekspozycji ważonych ryzykiem zgłasza się jako kwotę dodatnią, a spadek kwot ekspozycji ważonych ryzykiem – jako kwotę ujemną.</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NABYCIA I ZBYCIA (+/-)</w:t>
            </w:r>
          </w:p>
          <w:p w14:paraId="5F2DE967" w14:textId="77777777" w:rsidR="008151A6" w:rsidRPr="002A677E" w:rsidRDefault="008151A6" w:rsidP="00664874">
            <w:pPr>
              <w:rPr>
                <w:rFonts w:ascii="Times New Roman" w:hAnsi="Times New Roman"/>
                <w:sz w:val="24"/>
              </w:rPr>
            </w:pPr>
            <w:r>
              <w:rPr>
                <w:rFonts w:ascii="Times New Roman" w:hAnsi="Times New Roman"/>
                <w:sz w:val="24"/>
              </w:rPr>
              <w:t>Zmiana wysokości kwoty ekspozycji ważonej ryzykiem, jaka zaszła w okresie od końca poprzedniego okresu sprawozdawczego do końca bieżącego okresu sprawozdawczego, spowodowana nabyciami i zbyciami, tj. zmianami wielkości portfela wynikającymi z nabywania i zbywania podmiotów.</w:t>
            </w:r>
          </w:p>
          <w:p w14:paraId="7F5FFA64" w14:textId="77777777" w:rsidR="008151A6" w:rsidRPr="002A677E" w:rsidRDefault="008151A6" w:rsidP="00664874">
            <w:pPr>
              <w:rPr>
                <w:rFonts w:ascii="Times New Roman" w:hAnsi="Times New Roman"/>
                <w:sz w:val="24"/>
              </w:rPr>
            </w:pPr>
            <w:r>
              <w:rPr>
                <w:rFonts w:ascii="Times New Roman" w:hAnsi="Times New Roman"/>
                <w:sz w:val="24"/>
              </w:rPr>
              <w:t>Wzrost kwot ekspozycji ważonych ryzykiem zgłasza się jako kwotę dodatnią, a spadek kwot ekspozycji ważonych ryzykiem – jako kwotę ujemną.</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WAHANIA KURSÓW WYMIANY WALUT (+/-)</w:t>
            </w:r>
          </w:p>
          <w:p w14:paraId="018AAA5D" w14:textId="77777777" w:rsidR="008151A6" w:rsidRPr="002A677E" w:rsidRDefault="008151A6" w:rsidP="00664874">
            <w:pPr>
              <w:rPr>
                <w:rFonts w:ascii="Times New Roman" w:hAnsi="Times New Roman"/>
                <w:sz w:val="24"/>
              </w:rPr>
            </w:pPr>
            <w:r>
              <w:rPr>
                <w:rFonts w:ascii="Times New Roman" w:hAnsi="Times New Roman"/>
                <w:sz w:val="24"/>
              </w:rPr>
              <w:t>Zmiana wysokości kwoty ekspozycji ważonej ryzykiem, jaka zaszła w okresie od końca poprzedniego okresu sprawozdawczego do końca bieżącego okresu sprawozdawczego, spowodowana wahaniami kursów wymiany walut, tj. zmianami wynikającymi z wahań przeliczenia waluty obcej.</w:t>
            </w:r>
          </w:p>
          <w:p w14:paraId="3FB6626A" w14:textId="77777777" w:rsidR="008151A6" w:rsidRPr="002A677E" w:rsidRDefault="008151A6" w:rsidP="00664874">
            <w:pPr>
              <w:rPr>
                <w:rFonts w:ascii="Times New Roman" w:hAnsi="Times New Roman"/>
                <w:sz w:val="24"/>
              </w:rPr>
            </w:pPr>
            <w:r>
              <w:rPr>
                <w:rFonts w:ascii="Times New Roman" w:hAnsi="Times New Roman"/>
                <w:sz w:val="24"/>
              </w:rPr>
              <w:t>Wzrost kwot ekspozycji ważonych ryzykiem zgłasza się jako kwotę dodatnią, a spadek kwot ekspozycji ważonych ryzykiem – jako kwotę ujemną.</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INNE (+/-)</w:t>
            </w:r>
          </w:p>
          <w:p w14:paraId="051040A7" w14:textId="77777777" w:rsidR="008151A6" w:rsidRPr="002A677E" w:rsidRDefault="008151A6" w:rsidP="00664874">
            <w:pPr>
              <w:rPr>
                <w:rFonts w:ascii="Times New Roman" w:hAnsi="Times New Roman"/>
                <w:sz w:val="24"/>
              </w:rPr>
            </w:pPr>
            <w:r>
              <w:rPr>
                <w:rFonts w:ascii="Times New Roman" w:hAnsi="Times New Roman"/>
                <w:sz w:val="24"/>
              </w:rPr>
              <w:lastRenderedPageBreak/>
              <w:t>Zmiana wysokości kwoty ekspozycji ważonej ryzykiem, jaka zaszła w okresie od końca poprzedniego okresu sprawozdawczego do końca bieżącego okresu sprawozdawczego, spowodowana innymi czynnikami.</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Tę kategorię wykorzystuje się do ujmowania zmian, których nie można przypisać do żadnej z powyższych kategorii. </w:t>
            </w:r>
          </w:p>
          <w:p w14:paraId="4B3705AC" w14:textId="77777777" w:rsidR="008151A6" w:rsidRPr="002A677E" w:rsidRDefault="008151A6" w:rsidP="0044539D">
            <w:pPr>
              <w:rPr>
                <w:rFonts w:ascii="Times New Roman" w:hAnsi="Times New Roman"/>
                <w:sz w:val="24"/>
              </w:rPr>
            </w:pPr>
            <w:r>
              <w:rPr>
                <w:rFonts w:ascii="Times New Roman" w:hAnsi="Times New Roman"/>
                <w:sz w:val="24"/>
              </w:rPr>
              <w:t>Wzrost kwot ekspozycji ważonych ryzykiem zgłasza się jako kwotę dodatnią, a spadek kwot ekspozycji ważonych ryzykiem – jako kwotę ujemną.</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KWOTA EKSPOZYCJI WAŻONEJ RYZYKIEM NA KONIEC OKRESU SPRAWOZDAWCZEGO</w:t>
            </w:r>
          </w:p>
          <w:p w14:paraId="35E1C96E" w14:textId="48C1EC96" w:rsidR="008151A6" w:rsidRPr="002A677E" w:rsidRDefault="008151A6" w:rsidP="003F19BA">
            <w:pPr>
              <w:pStyle w:val="CommentText"/>
            </w:pPr>
            <w:r>
              <w:rPr>
                <w:rFonts w:ascii="Times New Roman" w:hAnsi="Times New Roman"/>
                <w:sz w:val="24"/>
              </w:rPr>
              <w:t xml:space="preserve">Kwota ekspozycji ważonej ryzykiem w okresie sprawozdawczym po zastosowaniu współczynników wsparcia MŚP i infrastruktury określonych w art. 501 i art.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9064816"/>
      <w:r>
        <w:rPr>
          <w:rFonts w:ascii="Times New Roman" w:hAnsi="Times New Roman"/>
          <w:sz w:val="24"/>
        </w:rPr>
        <w:t>C 08.05 – Ryzyko kredytowe oraz dostawy z późniejszym terminem rozliczenia: wymogi kapitałowe według metody IRB (weryfikacja historyczna PD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9064817"/>
      <w:r>
        <w:rPr>
          <w:rFonts w:ascii="Times New Roman" w:hAnsi="Times New Roman"/>
          <w:sz w:val="24"/>
        </w:rPr>
        <w:t>Uwagi ogólne</w:t>
      </w:r>
      <w:bookmarkEnd w:id="336"/>
      <w:bookmarkEnd w:id="337"/>
    </w:p>
    <w:p w14:paraId="687EBF72" w14:textId="21FF58EE" w:rsidR="008151A6" w:rsidRPr="002A677E" w:rsidRDefault="0043455E" w:rsidP="00487A02">
      <w:pPr>
        <w:pStyle w:val="InstructionsText2"/>
        <w:numPr>
          <w:ilvl w:val="0"/>
          <w:numId w:val="0"/>
        </w:numPr>
        <w:ind w:left="1353" w:hanging="360"/>
      </w:pPr>
      <w:fldSimple w:instr=" seq paragraphs ">
        <w:r w:rsidR="008F3052">
          <w:t>80</w:t>
        </w:r>
      </w:fldSimple>
      <w:r w:rsidR="008F3052">
        <w:t xml:space="preserve">. Instytucje zgłaszają informacje zawarte w tym wzorze zgodnie z art. 452 lit. h) rozporządzenia (UE) </w:t>
      </w:r>
      <w:r w:rsidR="008F3052" w:rsidRPr="0043455E">
        <w:t>nr</w:t>
      </w:r>
      <w:r w:rsidRPr="0043455E">
        <w:t> </w:t>
      </w:r>
      <w:r w:rsidR="008F3052" w:rsidRPr="0043455E">
        <w:t>5</w:t>
      </w:r>
      <w:r w:rsidR="008F3052">
        <w:t xml:space="preserve">75/2013. Instytucja uwzględnia modele stosowane w każdej kategorii ekspozycji i wyjaśniają procentowy udział kwoty ekspozycji ważonych ryzykiem w odpowiedniej kategorii ekspozycji objętej modelami, dla których zgłasza się tu wyniki weryfikacji historycznej. Ten wzór nie obejmuje ekspozycji na ryzyko kredytowe kontrahenta (CCR) (część trzecia tytuł II rozdział 6 rozporządzenia (UE) </w:t>
      </w:r>
      <w:r w:rsidR="008F3052" w:rsidRPr="0043455E">
        <w:t>nr</w:t>
      </w:r>
      <w:r w:rsidRPr="0043455E">
        <w:t> </w:t>
      </w:r>
      <w:r w:rsidR="008F3052" w:rsidRPr="0043455E">
        <w:t>5</w:t>
      </w:r>
      <w:r w:rsidR="008F3052">
        <w:t>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9064818"/>
      <w:r>
        <w:rPr>
          <w:rFonts w:ascii="Times New Roman" w:hAnsi="Times New Roman"/>
          <w:sz w:val="24"/>
        </w:rPr>
        <w:t>Instrukcje dotyczące poszczególnych pozycji</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Kolumny</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ŚREDNIA ARYTMETYCZNA 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Średnia arytmetyczna PD na początku okresu sprawozdawczego w przypadku dłużników, których można przyporządkować do danego koszyka o stałym zakresie PD, wyliczona w kolumnie 0020 (średnia ważona liczbą dłużników).</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LICZBA DŁUŻNIKÓW NA KONIEC POPRZEDNIEGO ROKU</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Liczba dłużników na koniec poprzedniego roku podlegających sprawozdawczości.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Uwzględnia się wszystkich dłużników, na których w danym momencie ciąży zobowiązanie kredytowe. </w:t>
            </w:r>
          </w:p>
          <w:p w14:paraId="21BC54D4" w14:textId="77777777" w:rsidR="008151A6" w:rsidRPr="002A677E" w:rsidRDefault="008A0983" w:rsidP="008A0983">
            <w:pPr>
              <w:rPr>
                <w:rFonts w:ascii="Times New Roman" w:hAnsi="Times New Roman"/>
                <w:sz w:val="24"/>
              </w:rPr>
            </w:pPr>
            <w:r>
              <w:rPr>
                <w:rFonts w:ascii="Times New Roman" w:hAnsi="Times New Roman"/>
                <w:sz w:val="24"/>
              </w:rPr>
              <w:t>Liczbę dłużników oblicza się zgodnie z instrukcjami w kolumnie 0300 we wzorze C 08.01. Dłużników solidarnych traktuje się tak samo jak do celów kalibracji PD.</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 TYM: LICZBA DŁUŻNIKÓW, KTÓRZY NIE WYKONALI ZOBOWIĄZANIA W CIĄGU ROKU</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lastRenderedPageBreak/>
              <w:t xml:space="preserve">Liczba dłużników, którzy nie wykonali zobowiązania w ciągu roku (tj. w okresie obserwacji, w którym obliczono współczynnik niewykonania zobowiązania). </w:t>
            </w:r>
          </w:p>
          <w:p w14:paraId="48260464" w14:textId="0B34D9A0"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Przypadki niewykonania zobowiązania określa się zgodnie z art. 178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W liczniku i mianowniku wyliczenia jednorocznego współczynnika niewykonania zobowiązania każdego dłużnika niewykonującego zobowiązania liczy się tylko raz, nawet jeśli dłużnik nie wykonał zobowiązania więcej niż raz w ciągu danego jednorocznego okresu.</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ZAOBSERWOWANA ŚREDNIA WARTOŚĆ WSPÓŁCZYNNIKA NIEWYKONANIA ZOBOWIĄZANIA (%)</w:t>
            </w:r>
          </w:p>
          <w:p w14:paraId="0E98A019" w14:textId="206244EC"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Jednoroczny współczynnik niewykonania zobowiązania, o których mowa w art. 4 ust. 1 pkt 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Instytucje zapewniają, aby:</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mianownik składał się z liczby dłużników, którzy nie dopuścili się niewykonania zobowiązania, a których zobowiązania kredytowe odnotowano na początku rocznego okresu obserwacji (tj. na początku roku poprzedzającego sprawozdawczy dzień odniesienia); w tym kontekście zobowiązanie kredytowe odnosi się do obu poniższych wariantów: (i) dowolnej pozycji bilansowej, w tym wszelkie kwoty kapitału, odsetek i opłat; (ii) dowolnych pozycji pozabilansowych, w tym gwarancji wydanych przez instytucję jako gwaranta.</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licznik obejmował wszystkich dłużników uwzględnionych w mianowniku, u których wystąpił co najmniej jeden przypadek niewykonania zobowiązania w jednorocznym okresie obserwacji (rok poprzedzający sprawozdawczy dzień odniesienia).</w:t>
            </w:r>
          </w:p>
          <w:p w14:paraId="2A4BCFA4" w14:textId="77777777" w:rsidR="008151A6" w:rsidRPr="002A677E" w:rsidRDefault="008151A6" w:rsidP="00851278">
            <w:pPr>
              <w:rPr>
                <w:rFonts w:ascii="Times New Roman" w:hAnsi="Times New Roman"/>
                <w:sz w:val="24"/>
              </w:rPr>
            </w:pPr>
            <w:r>
              <w:rPr>
                <w:rFonts w:ascii="Times New Roman" w:hAnsi="Times New Roman"/>
                <w:sz w:val="24"/>
              </w:rPr>
              <w:t>W odniesieniu do liczenia liczby dłużników zob. kolumna 0300 wzoru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ŚREDNIA HISTORYCZNA WARTOŚĆ JEDNOROCZNEGO WSPÓŁCZYNNIKA NIEWYKONANIA ZOBOWIĄZANIA (%)</w:t>
            </w:r>
          </w:p>
          <w:p w14:paraId="3A64B738" w14:textId="77777777" w:rsidR="008151A6" w:rsidRPr="002A677E" w:rsidRDefault="00A5427A" w:rsidP="008E0688">
            <w:pPr>
              <w:rPr>
                <w:rFonts w:ascii="Times New Roman" w:hAnsi="Times New Roman"/>
                <w:sz w:val="24"/>
              </w:rPr>
            </w:pPr>
            <w:r>
              <w:rPr>
                <w:rFonts w:ascii="Times New Roman" w:hAnsi="Times New Roman"/>
                <w:sz w:val="24"/>
              </w:rPr>
              <w:t>Średnia arytmetyczna jednorocznego współczynnika niewykonania zobowiązania z pięciu ostatnich lat (dłużnicy na początku każdego roku, którzy nie wykonują zobowiązań w ciągu tego roku/dłużnicy razem na początku roku) stanowi minimum. Instytucja może stosować dłuższy okres historyczny, który jest zgodny z rzeczywistymi praktykami zarządzania ryzykiem stosowanymi przez tę instytucję.</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Wiersze</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ZAKRES PD</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Ekspozycje przypisuje się do odpowiedniego koszyka o stałym zakresie PD na podstawie PD oszacowanego na początku okresu sprawozdawczego dla każdego dłużnika przyporządkowanego do danej kategorii ekspozycji (bez uwzględniania jakichkolwiek efektów substytucyjnych wynikających z ograniczenia ryzyka kredytowego). Instytucje przyporządkowują każdą ekspozycję do zakresu PD podanego w niniejszym wzorze, uwzględniając również skale ciągłe. Wszystkie ekspozycje, których dotyczy niewykonanie zobowiązania, ujmuje się w koszyku odpowiadającym PD w wysokości 100</w:t>
            </w:r>
            <w:r>
              <w:t> </w:t>
            </w:r>
            <w:r>
              <w:rPr>
                <w:rFonts w:ascii="Times New Roman" w:hAnsi="Times New Roman"/>
                <w:sz w:val="24"/>
              </w:rPr>
              <w:t>%.</w:t>
            </w:r>
          </w:p>
        </w:tc>
      </w:tr>
    </w:tbl>
    <w:p w14:paraId="6CCC7E67" w14:textId="4E130D5C"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9064819"/>
      <w:r>
        <w:rPr>
          <w:rFonts w:ascii="Times New Roman" w:hAnsi="Times New Roman"/>
          <w:sz w:val="24"/>
        </w:rPr>
        <w:lastRenderedPageBreak/>
        <w:t xml:space="preserve">C 08.05.1 – Ryzyko kredytowe oraz dostawy z późniejszym terminem rozliczenia: wymogi kapitałowe według metody IRB: Weryfikacja historyczna PD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80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f)</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9064820"/>
      <w:r>
        <w:rPr>
          <w:rFonts w:ascii="Times New Roman" w:hAnsi="Times New Roman"/>
          <w:sz w:val="24"/>
        </w:rPr>
        <w:t>Instrukcje dotyczące poszczególnych pozycji</w:t>
      </w:r>
      <w:bookmarkEnd w:id="342"/>
      <w:bookmarkEnd w:id="343"/>
    </w:p>
    <w:p w14:paraId="126E5E9F" w14:textId="3218FB8D" w:rsidR="008151A6" w:rsidRPr="002A677E" w:rsidRDefault="0043455E" w:rsidP="00487A02">
      <w:pPr>
        <w:pStyle w:val="InstructionsText2"/>
        <w:numPr>
          <w:ilvl w:val="0"/>
          <w:numId w:val="0"/>
        </w:numPr>
        <w:ind w:left="1353" w:hanging="360"/>
      </w:pPr>
      <w:fldSimple w:instr=" seq paragraphs ">
        <w:r w:rsidR="008F3052">
          <w:t>81</w:t>
        </w:r>
      </w:fldSimple>
      <w:r w:rsidR="008F3052">
        <w:t xml:space="preserve">. Oprócz wzoru C 08.05 instytucje przekazują informacje zawarte we wzorze C 08.05.1, jeżeli stosują art. 180 ust. 1 z lit. f) rozporządzenia (UE) </w:t>
      </w:r>
      <w:r w:rsidR="008F3052" w:rsidRPr="0043455E">
        <w:t>nr</w:t>
      </w:r>
      <w:r w:rsidRPr="0043455E">
        <w:t> </w:t>
      </w:r>
      <w:r w:rsidR="008F3052" w:rsidRPr="0043455E">
        <w:t>5</w:t>
      </w:r>
      <w:r w:rsidR="008F3052">
        <w:t>75/2013 przy oszacowywaniu PD i wyłącznie do celów oszacowania PD zgodnie z tym samym artykułem. Instrukcje są takie same jak dla wzoru C 08.05, z następującymi wyjątkami: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Kolumny</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ZAKRES PD</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Instytucje zgłaszają zakresy PD </w:t>
            </w:r>
            <w:r>
              <w:rPr>
                <w:rStyle w:val="InstructionsTabelleText"/>
                <w:rFonts w:ascii="Times New Roman" w:hAnsi="Times New Roman"/>
                <w:sz w:val="24"/>
              </w:rPr>
              <w:t>zgodnie z</w:t>
            </w:r>
            <w:r>
              <w:rPr>
                <w:rFonts w:ascii="Times New Roman" w:hAnsi="Times New Roman"/>
                <w:sz w:val="24"/>
              </w:rPr>
              <w:t xml:space="preserve"> ich wewnętrznymi klasami jakości, które przyporządkowują do skali stosowanej przez zewnętrzną ECAI, zamiast korzystać ze stałego zewnętrznego zakresu PD.</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EKWIWALENT RATINGU ZEWNĘTRZNEGO</w:t>
            </w:r>
          </w:p>
          <w:p w14:paraId="7891F0E7" w14:textId="0D843A44" w:rsidR="008151A6" w:rsidRPr="002A677E" w:rsidRDefault="00B7583B" w:rsidP="00E1685B">
            <w:pPr>
              <w:rPr>
                <w:rFonts w:ascii="Times New Roman" w:hAnsi="Times New Roman"/>
                <w:sz w:val="24"/>
              </w:rPr>
            </w:pPr>
            <w:r>
              <w:rPr>
                <w:rFonts w:ascii="Times New Roman" w:hAnsi="Times New Roman"/>
                <w:sz w:val="24"/>
              </w:rPr>
              <w:t xml:space="preserve">Instytucje zgłaszają jedną kolumnę dla każdej rozpatrywanej ECAI zgodnie z art. 180 ust. 1 lit. f)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Instytucje uwzględniają w tych kolumnach rating zewnętrzny, do którego przyporządkowywane są ich wewnętrzne zakresy PD.</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9064821"/>
      <w:r>
        <w:rPr>
          <w:rFonts w:ascii="Times New Roman" w:hAnsi="Times New Roman"/>
          <w:sz w:val="24"/>
        </w:rPr>
        <w:t>C 08.06 – Ryzyko kredytowe oraz dostawy z późniejszym terminem rozliczenia: wymogi kapitałowe według metody IRB (metoda klasyfikacji kredytowania specjalistycznego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9064822"/>
      <w:r>
        <w:rPr>
          <w:rFonts w:ascii="Times New Roman" w:hAnsi="Times New Roman"/>
          <w:sz w:val="24"/>
        </w:rPr>
        <w:t>Uwagi ogólne</w:t>
      </w:r>
      <w:bookmarkEnd w:id="346"/>
      <w:bookmarkEnd w:id="347"/>
    </w:p>
    <w:p w14:paraId="281DDF45" w14:textId="57C3ACB2" w:rsidR="008151A6" w:rsidRPr="002A677E" w:rsidRDefault="0043455E" w:rsidP="00487A02">
      <w:pPr>
        <w:pStyle w:val="InstructionsText2"/>
        <w:numPr>
          <w:ilvl w:val="0"/>
          <w:numId w:val="0"/>
        </w:numPr>
        <w:ind w:left="1353" w:hanging="360"/>
      </w:pPr>
      <w:fldSimple w:instr=" seq paragraphs ">
        <w:r w:rsidR="008F3052">
          <w:t>82</w:t>
        </w:r>
      </w:fldSimple>
      <w:r w:rsidR="008F3052">
        <w:t xml:space="preserve">. Instytucje zgłaszają informacje zawarte w tym wzorze zgodnie z art. 438 lit. e) rozporządzenia (UE) </w:t>
      </w:r>
      <w:r w:rsidR="008F3052" w:rsidRPr="0043455E">
        <w:t>nr</w:t>
      </w:r>
      <w:r w:rsidRPr="0043455E">
        <w:t> </w:t>
      </w:r>
      <w:r w:rsidR="008F3052" w:rsidRPr="0043455E">
        <w:t>5</w:t>
      </w:r>
      <w:r w:rsidR="008F3052">
        <w:t>75/2013. Instytucje zgłaszają informacje na temat następujących rodzajów ekspozycji związanych z kredytowaniem specjalistycznym, o których mowa w art. 153 ust. 5 tabela 1:</w:t>
      </w:r>
    </w:p>
    <w:p w14:paraId="1D0B1AA8" w14:textId="77777777" w:rsidR="008151A6" w:rsidRPr="002A677E" w:rsidRDefault="008151A6" w:rsidP="00487A02">
      <w:pPr>
        <w:pStyle w:val="InstructionsText2"/>
        <w:numPr>
          <w:ilvl w:val="1"/>
          <w:numId w:val="15"/>
        </w:numPr>
      </w:pPr>
      <w:r>
        <w:t>finansowanie projektów;</w:t>
      </w:r>
    </w:p>
    <w:p w14:paraId="4E0A6889" w14:textId="48E7FF01" w:rsidR="008151A6" w:rsidRPr="002A677E" w:rsidRDefault="008151A6" w:rsidP="00487A02">
      <w:pPr>
        <w:pStyle w:val="InstructionsText2"/>
        <w:numPr>
          <w:ilvl w:val="1"/>
          <w:numId w:val="15"/>
        </w:numPr>
      </w:pPr>
      <w:r>
        <w:t>nieruchomości przynoszące dochody i nieruchomości komercyjne charakteryzujące się dużą zmiennością;</w:t>
      </w:r>
    </w:p>
    <w:p w14:paraId="005930E1" w14:textId="77777777" w:rsidR="008151A6" w:rsidRPr="002A677E" w:rsidRDefault="008151A6" w:rsidP="00487A02">
      <w:pPr>
        <w:pStyle w:val="InstructionsText2"/>
        <w:numPr>
          <w:ilvl w:val="1"/>
          <w:numId w:val="15"/>
        </w:numPr>
      </w:pPr>
      <w:r>
        <w:t>finansowanie obiektów;</w:t>
      </w:r>
    </w:p>
    <w:p w14:paraId="78B4EACC" w14:textId="77777777" w:rsidR="008151A6" w:rsidRPr="002A677E" w:rsidRDefault="008151A6" w:rsidP="00487A02">
      <w:pPr>
        <w:pStyle w:val="InstructionsText2"/>
        <w:numPr>
          <w:ilvl w:val="1"/>
          <w:numId w:val="15"/>
        </w:numPr>
      </w:pPr>
      <w:r>
        <w:t>finansowanie towarów.</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9064823"/>
      <w:r>
        <w:rPr>
          <w:rFonts w:ascii="Times New Roman" w:hAnsi="Times New Roman"/>
          <w:sz w:val="24"/>
        </w:rPr>
        <w:t>Instrukcje dotyczące poszczególnych pozycji</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Kolumny</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PIERWOTNA EKSPOZYCJA PRZED UWZGLĘDNIENIEM WSPÓŁCZYNNIKÓW KONWERSJI</w:t>
            </w:r>
          </w:p>
          <w:p w14:paraId="32A139DA" w14:textId="77777777" w:rsidR="008151A6" w:rsidRPr="002A677E" w:rsidRDefault="008151A6" w:rsidP="00664874">
            <w:pPr>
              <w:rPr>
                <w:rFonts w:ascii="Times New Roman" w:hAnsi="Times New Roman"/>
                <w:sz w:val="24"/>
              </w:rPr>
            </w:pPr>
            <w:r>
              <w:rPr>
                <w:rFonts w:ascii="Times New Roman" w:hAnsi="Times New Roman"/>
                <w:sz w:val="24"/>
              </w:rPr>
              <w:t>Zob. instrukcje dotyczące wzoru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EKSPOZYCJA PO UWZGLĘDNIENIU EFEKTÓW SUBSTYTUCYJNYCH ZWIĄZANYCH Z OGRANICZANIEM RYZYKA KREDYTOWEGO PRZED UWZGLĘDNIENIEM WSPÓŁCZYNNIKÓW KONWERSJI</w:t>
            </w:r>
          </w:p>
          <w:p w14:paraId="3A653499" w14:textId="77777777" w:rsidR="008151A6" w:rsidRPr="002A677E" w:rsidRDefault="008151A6" w:rsidP="00664874">
            <w:pPr>
              <w:rPr>
                <w:rFonts w:ascii="Times New Roman" w:hAnsi="Times New Roman"/>
                <w:sz w:val="24"/>
              </w:rPr>
            </w:pPr>
            <w:r>
              <w:rPr>
                <w:rFonts w:ascii="Times New Roman" w:hAnsi="Times New Roman"/>
                <w:sz w:val="24"/>
              </w:rPr>
              <w:t>Zob. instrukcje dotyczące wzoru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W TYM: POZYCJE POZABILANSOWE </w:t>
            </w:r>
          </w:p>
          <w:p w14:paraId="4ABA7FFD" w14:textId="77777777" w:rsidR="008151A6" w:rsidRPr="002A677E" w:rsidRDefault="008151A6" w:rsidP="00664874">
            <w:pPr>
              <w:rPr>
                <w:rFonts w:ascii="Times New Roman" w:hAnsi="Times New Roman"/>
                <w:sz w:val="24"/>
              </w:rPr>
            </w:pPr>
            <w:r>
              <w:rPr>
                <w:rFonts w:ascii="Times New Roman" w:hAnsi="Times New Roman"/>
                <w:sz w:val="24"/>
              </w:rPr>
              <w:t>Zob. instrukcje dotyczące wzoru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WARTOŚĆ EKSPOZYCJI</w:t>
            </w:r>
          </w:p>
          <w:p w14:paraId="1609B101" w14:textId="77777777" w:rsidR="008151A6" w:rsidRPr="002A677E" w:rsidRDefault="008151A6" w:rsidP="00664874">
            <w:pPr>
              <w:rPr>
                <w:rFonts w:ascii="Times New Roman" w:hAnsi="Times New Roman"/>
                <w:sz w:val="24"/>
              </w:rPr>
            </w:pPr>
            <w:r>
              <w:rPr>
                <w:rFonts w:ascii="Times New Roman" w:hAnsi="Times New Roman"/>
                <w:sz w:val="24"/>
              </w:rPr>
              <w:t>Zob. instrukcje dotyczące wzoru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W TYM: WYNIKAJĄCA Z RYZYKA KREDYTOWEGO KONTRAHENTA </w:t>
            </w:r>
          </w:p>
          <w:p w14:paraId="016DCD4A" w14:textId="77777777" w:rsidR="008151A6" w:rsidRPr="002A677E" w:rsidRDefault="008151A6" w:rsidP="00664874">
            <w:pPr>
              <w:rPr>
                <w:rFonts w:ascii="Times New Roman" w:hAnsi="Times New Roman"/>
                <w:sz w:val="24"/>
              </w:rPr>
            </w:pPr>
            <w:r>
              <w:rPr>
                <w:rFonts w:ascii="Times New Roman" w:hAnsi="Times New Roman"/>
                <w:sz w:val="24"/>
              </w:rPr>
              <w:t>Zob. instrukcje dotyczące wzoru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WAGA RYZYKA</w:t>
            </w:r>
          </w:p>
          <w:p w14:paraId="2750035C" w14:textId="3E53832E" w:rsidR="002771C5" w:rsidRPr="002A677E" w:rsidRDefault="0044539D" w:rsidP="00664874">
            <w:pPr>
              <w:rPr>
                <w:rFonts w:ascii="Times New Roman" w:hAnsi="Times New Roman"/>
                <w:sz w:val="24"/>
              </w:rPr>
            </w:pPr>
            <w:r>
              <w:rPr>
                <w:rFonts w:ascii="Times New Roman" w:hAnsi="Times New Roman"/>
                <w:sz w:val="24"/>
              </w:rPr>
              <w:t xml:space="preserve">Art. 153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Jest to stała kolumna do celów informacyjnych. Nie wolno jej zmieniać.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KWOTA EKSPOZYCJI WAŻONEJ RYZYKIEM PO UWZGLĘDNIENIU WSPÓŁCZYNNIKÓW WSPARCIA</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Zob. instrukcje dotyczące wzoru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KWOTA OCZEKIWANEJ STRATY</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Zob. instrukcje dotyczące wzoru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KOREKTY WARTOŚCI I REZERWY</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Zob. instrukcje dotyczące wzoru CR-IRB.</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Wiersze</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33D093A3" w:rsidR="008151A6" w:rsidRPr="002A677E" w:rsidRDefault="008151A6" w:rsidP="00E1685B">
            <w:pPr>
              <w:rPr>
                <w:rFonts w:ascii="Times New Roman" w:hAnsi="Times New Roman"/>
                <w:sz w:val="24"/>
              </w:rPr>
            </w:pPr>
            <w:r>
              <w:rPr>
                <w:rFonts w:ascii="Times New Roman" w:hAnsi="Times New Roman"/>
                <w:sz w:val="24"/>
              </w:rPr>
              <w:t xml:space="preserve">Ekspozycje przypisuje się do odpowiedniej kategorii i terminu zapadalności </w:t>
            </w:r>
            <w:r>
              <w:rPr>
                <w:rStyle w:val="InstructionsTabelleText"/>
                <w:rFonts w:ascii="Times New Roman" w:hAnsi="Times New Roman"/>
                <w:sz w:val="24"/>
              </w:rPr>
              <w:t>zgodnie z</w:t>
            </w:r>
            <w:r>
              <w:rPr>
                <w:rFonts w:ascii="Times New Roman" w:hAnsi="Times New Roman"/>
                <w:sz w:val="24"/>
              </w:rPr>
              <w:t xml:space="preserve"> art. 153 ust. 5 tabela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9064824"/>
      <w:r>
        <w:rPr>
          <w:rFonts w:ascii="Times New Roman" w:hAnsi="Times New Roman"/>
          <w:sz w:val="24"/>
        </w:rPr>
        <w:lastRenderedPageBreak/>
        <w:t>C 08.07 – Ryzyko kredytowe oraz dostawy z późniejszym terminem rozliczenia: wymogi kapitałowe według metody IRB (zakres stosowania metody IRB i metody standardowej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9064825"/>
      <w:r>
        <w:rPr>
          <w:rFonts w:ascii="Times New Roman" w:hAnsi="Times New Roman"/>
          <w:sz w:val="24"/>
        </w:rPr>
        <w:t>Uwagi ogólne</w:t>
      </w:r>
      <w:bookmarkEnd w:id="352"/>
      <w:bookmarkEnd w:id="353"/>
    </w:p>
    <w:p w14:paraId="5F11BD1F" w14:textId="6405096E" w:rsidR="008151A6" w:rsidRPr="002A677E" w:rsidRDefault="0043455E" w:rsidP="00487A02">
      <w:pPr>
        <w:pStyle w:val="InstructionsText2"/>
        <w:numPr>
          <w:ilvl w:val="0"/>
          <w:numId w:val="0"/>
        </w:numPr>
        <w:ind w:left="1353" w:hanging="360"/>
      </w:pPr>
      <w:fldSimple w:instr=" seq paragraphs ">
        <w:r w:rsidR="008F3052">
          <w:t>83</w:t>
        </w:r>
      </w:fldSimple>
      <w:r w:rsidR="008F3052">
        <w:t xml:space="preserve">. Do celów tego wzoru instytucje obliczające kwoty ekspozycji ważonych ryzykiem zgodnie z metodą IRB w odniesieniu do ryzyka kredytowego przypisują swoje ekspozycje według metody standardowej określonej w części trzeciej tytuł II rozdział 2 rozporządzenia (UE) </w:t>
      </w:r>
      <w:r w:rsidR="008F3052" w:rsidRPr="0043455E">
        <w:t>nr</w:t>
      </w:r>
      <w:r w:rsidRPr="0043455E">
        <w:t> </w:t>
      </w:r>
      <w:r w:rsidR="008F3052" w:rsidRPr="0043455E">
        <w:t>5</w:t>
      </w:r>
      <w:r w:rsidR="008F3052">
        <w:t>75/2013 lub metody IRB określonej w części trzeciej tytuł II rozdział 3 tego rozporządzenia, a także część każdej kategorii ekspozycji, którą uwzględniono w planie rozciągnięcia metody. Instytucje zamieszczają w tym wzorze informacje według kategorii ekspozycji, zgodnie z podziałem na kategorie ekspozycji zawartym w wierszach wzoru.</w:t>
      </w:r>
    </w:p>
    <w:p w14:paraId="4691373C" w14:textId="1FFDE600" w:rsidR="008151A6" w:rsidRPr="002A677E" w:rsidRDefault="0043455E" w:rsidP="00487A02">
      <w:pPr>
        <w:pStyle w:val="InstructionsText2"/>
        <w:numPr>
          <w:ilvl w:val="0"/>
          <w:numId w:val="0"/>
        </w:numPr>
        <w:ind w:left="1353" w:hanging="360"/>
      </w:pPr>
      <w:fldSimple w:instr=" seq paragraphs ">
        <w:r w:rsidR="008F3052">
          <w:t>84</w:t>
        </w:r>
      </w:fldSimple>
      <w:r w:rsidR="008F3052">
        <w:t>. W kolumnach 0030–0050 należy uwzględnić pełne spektrum ekspozycji, tak aby suma każdego wiersza dla tych trzech kolumn stanowiła 100 % wszystkich kategorii ekspozycji z wyjątkiem pozycji sekurytyzacyjnych i pozycji odliczonych.</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9064826"/>
      <w:r>
        <w:rPr>
          <w:rFonts w:ascii="Times New Roman" w:hAnsi="Times New Roman"/>
          <w:sz w:val="24"/>
        </w:rPr>
        <w:t>Instrukcje dotyczące poszczególnych pozycji</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Kolumny</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CAŁKOWITA WARTOŚĆ EKSPOZYCJI OKREŚLONA W ART. 166 ROZPORZĄDZENIA (UE) NR 575/2013</w:t>
            </w:r>
          </w:p>
          <w:p w14:paraId="4EDD59E5" w14:textId="497CF471" w:rsidR="00EE6F6C" w:rsidRPr="002A677E" w:rsidRDefault="00EE6F6C" w:rsidP="00840A22">
            <w:pPr>
              <w:rPr>
                <w:rFonts w:ascii="Times New Roman" w:hAnsi="Times New Roman"/>
                <w:b/>
                <w:sz w:val="24"/>
              </w:rPr>
            </w:pPr>
            <w:r>
              <w:rPr>
                <w:rFonts w:ascii="Times New Roman" w:hAnsi="Times New Roman"/>
                <w:sz w:val="24"/>
              </w:rPr>
              <w:t xml:space="preserve">Instytucje stosują wartość ekspozycji przed ograniczeniem ryzyka kredytowego zgodnie z art. 166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CAŁKOWITA WARTOŚĆ EKSPOZYCJI OBJĘTA METODĄ STANDARDOWĄ I METODĄ IRB</w:t>
            </w:r>
          </w:p>
          <w:p w14:paraId="65EB5759" w14:textId="5FFE97DA" w:rsidR="008151A6" w:rsidRPr="002A677E" w:rsidRDefault="008151A6" w:rsidP="00EE6F6C">
            <w:pPr>
              <w:rPr>
                <w:rFonts w:ascii="Times New Roman" w:hAnsi="Times New Roman"/>
                <w:sz w:val="24"/>
              </w:rPr>
            </w:pPr>
            <w:r>
              <w:rPr>
                <w:rFonts w:ascii="Times New Roman" w:hAnsi="Times New Roman"/>
                <w:sz w:val="24"/>
              </w:rPr>
              <w:t xml:space="preserve">Instytucje stosują wartość ekspozycji przed ograniczeniem ryzyka kredytowego zgodnie z art. 429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celu zgłaszania całkowitej wartości ekspozycji, w tym zarówno ekspozycji podlegających metodzie standardowej, jak i ekspozycji podlegających metodzie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 CAŁKOWITEJ WARTOŚCI EKSPOZYCJI PODLEGAJĄCEJ STAŁEMU ZASTOSOWANIU CZĘŚCIOWEMU METODY STANDARDOWEJ (%)</w:t>
            </w:r>
          </w:p>
          <w:p w14:paraId="468D6087" w14:textId="3C4D0D11" w:rsidR="008151A6" w:rsidRPr="002A677E" w:rsidRDefault="008151A6" w:rsidP="00EE6F6C">
            <w:pPr>
              <w:rPr>
                <w:rFonts w:ascii="Times New Roman" w:hAnsi="Times New Roman"/>
                <w:sz w:val="24"/>
              </w:rPr>
            </w:pPr>
            <w:r>
              <w:rPr>
                <w:rFonts w:ascii="Times New Roman" w:hAnsi="Times New Roman"/>
                <w:sz w:val="24"/>
              </w:rPr>
              <w:t xml:space="preserve">Część ekspozycji dla każdej kategorii ekspozycji podlegającej metodzie standardowej (ekspozycja podlegająca metodzie standardowej przed ograniczeniem ryzyka kredytowego ponad łączną ekspozycję w tej kategorii ekspozycji w kolumnie 0020), mieszcząca się w zakresie zezwolenia na stałe zastosowanie częściowe metody standardowej, otrzymanego od właściwych organów zgodnie z art. 150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 CAŁKOWITEJ WARTOŚCI EKSPOZYCJI OBJĘTEJ PLANEM ROZCIĄGNIĘCIA METODY (%)</w:t>
            </w:r>
          </w:p>
          <w:p w14:paraId="487877B8" w14:textId="27E1829E" w:rsidR="008151A6" w:rsidRPr="002A677E" w:rsidRDefault="008151A6" w:rsidP="00664874">
            <w:pPr>
              <w:rPr>
                <w:rFonts w:ascii="Times New Roman" w:hAnsi="Times New Roman"/>
                <w:sz w:val="24"/>
              </w:rPr>
            </w:pPr>
            <w:r>
              <w:rPr>
                <w:rFonts w:ascii="Times New Roman" w:hAnsi="Times New Roman"/>
                <w:sz w:val="24"/>
              </w:rPr>
              <w:t xml:space="preserve">Część ekspozycji dla każdej kategorii ekspozycji podlegającej sekwencyjnemu wdrażaniu metody IRB zgodnie z art. 148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Obejmują one: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lastRenderedPageBreak/>
              <w:t xml:space="preserve">zarówno ekspozycje, w przypadku których instytucje planują stosować metodę IRB z uwzględnieniem własnych oszacowań wartości LGD i współczynników konwersji (F-IRB i A-IRB); </w:t>
            </w:r>
          </w:p>
          <w:p w14:paraId="19994760" w14:textId="2B26B899"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nieistotne ekspozycje kapitałowe, których nie uwzględniono w kolumnach 0020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ekspozycje podlegające już metodzie IRB-F, w przypadku gdy instytucja planuje w przyszłości zastosować metodę A-IRB;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ekspozycje związane z kredytowaniem specjalistycznym podlegającym metodzie klasyfikacji nadzorczej, nieuwzględnione w kolumnie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 CAŁKOWITEJ WARTOŚCI EKSPOZYCJI OBJĘTEJ METODĄ IRB (%)</w:t>
            </w:r>
          </w:p>
          <w:p w14:paraId="3B809DEB" w14:textId="02302E96" w:rsidR="008151A6" w:rsidRPr="002A677E" w:rsidRDefault="008151A6" w:rsidP="009A4399">
            <w:pPr>
              <w:rPr>
                <w:rFonts w:ascii="Times New Roman" w:hAnsi="Times New Roman"/>
                <w:b/>
                <w:sz w:val="24"/>
              </w:rPr>
            </w:pPr>
            <w:r>
              <w:rPr>
                <w:rFonts w:ascii="Times New Roman" w:hAnsi="Times New Roman"/>
                <w:sz w:val="24"/>
              </w:rPr>
              <w:t xml:space="preserve">Część ekspozycji dla każdej kategorii ekspozycji podlegającej metodzie IRB (ekspozycja podlegająca metodzie IRB przed ograniczeniem ryzyka kredytowego ponad łączną ekspozycję w tej kategorii ekspozycji), mieszcząca się w zakresie zezwolenia na stosowanie metody IRB otrzymanego od właściwych organów zgodnie z art. 143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Obejmuje to zarówno ekspozycje, w przypadku których instytucje mają zezwolenie na stosowanie własnych oszacowań wartości LGD i współczynników konwersji lub nie mają takiego zezwolenia (F-IRB i A-IRB), łącznie z metodą klasyfikacji nadzorczej dla ekspozycji związanych z kredytowaniem specjalistycznym i ekspozycji kapitałowych według uproszczonej metody ważenia ryzykiem, jak i ekspozycje zgłoszone w wierszu 0170 we wzorze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Wiersze</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Instrukcje</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KATEGORIE EKSPOZYCJI</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Instytucje zamieszczają w tym wzorze informacje według kategorii ekspozycji, zgodnie z podziałem na kategorie ekspozycji zawartym w wierszach wzoru.</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9064827"/>
      <w:r>
        <w:rPr>
          <w:rFonts w:ascii="Times New Roman" w:hAnsi="Times New Roman"/>
          <w:sz w:val="24"/>
          <w:u w:val="none"/>
        </w:rPr>
        <w:t>3.4.</w:t>
      </w:r>
      <w:r>
        <w:tab/>
      </w:r>
      <w:r>
        <w:rPr>
          <w:rFonts w:ascii="Times New Roman" w:hAnsi="Times New Roman"/>
          <w:sz w:val="24"/>
        </w:rPr>
        <w:t>Ryzyko kredytowe i ryzyko kredytowe kontrahenta oraz dostawy z późniejszym terminem rozliczenia: Informacje z podziałem pod względem geograficznym</w:t>
      </w:r>
      <w:bookmarkEnd w:id="356"/>
      <w:bookmarkEnd w:id="357"/>
      <w:bookmarkEnd w:id="358"/>
    </w:p>
    <w:p w14:paraId="59CE9D64" w14:textId="77777777" w:rsidR="004357B9" w:rsidRPr="002A677E" w:rsidRDefault="0043455E" w:rsidP="00487A02">
      <w:pPr>
        <w:pStyle w:val="InstructionsText2"/>
        <w:numPr>
          <w:ilvl w:val="0"/>
          <w:numId w:val="0"/>
        </w:numPr>
        <w:ind w:left="1353" w:hanging="360"/>
      </w:pPr>
      <w:fldSimple w:instr=" seq paragraphs ">
        <w:r w:rsidR="008F3052">
          <w:t>85</w:t>
        </w:r>
      </w:fldSimple>
      <w:r w:rsidR="008F3052">
        <w:t>.</w:t>
      </w:r>
      <w:r w:rsidR="008F3052">
        <w:tab/>
        <w:t>Wszystkie instytucje przedkładają informacje zagregowane na poziomie łącznym. Ponadto instytucje osiągające próg określony w art. 5 ust. 5 niniejszego rozporządzenia wykonawczego przedkładają informacje według państw w odniesieniu do ekspozycji krajowych i zagranicznych. Próg należy uwzględniać wyłącznie w odniesieniu do wzorów CR GB 1 i CR GB 2. Ekspozycje wobec organizacji ponadnarodowych przypisuje się do obszaru geograficznego „Inne państwa”.</w:t>
      </w:r>
    </w:p>
    <w:p w14:paraId="6678F7E4" w14:textId="77777777" w:rsidR="004357B9" w:rsidRPr="002A677E" w:rsidRDefault="0043455E" w:rsidP="00487A02">
      <w:pPr>
        <w:pStyle w:val="InstructionsText2"/>
        <w:numPr>
          <w:ilvl w:val="0"/>
          <w:numId w:val="0"/>
        </w:numPr>
        <w:ind w:left="1353" w:hanging="360"/>
      </w:pPr>
      <w:fldSimple w:instr=" seq paragraphs ">
        <w:r w:rsidR="008F3052">
          <w:t>86</w:t>
        </w:r>
      </w:fldSimple>
      <w:r w:rsidR="008F3052">
        <w:t>.</w:t>
      </w:r>
      <w:r w:rsidR="008F3052">
        <w:tab/>
        <w:t xml:space="preserve">Pojęcie „siedziby dłużnika” odnosi się do państwa założenia dłużnika. Pojęcie to można stosować na zasadzie bezpośredniego dłużnika lub na zasadzie ostatecznego ryzyka. Tym samym techniki ograniczania ryzyka kredytowego z uwzględnieniem efektów substytucyjnych mogą zmienić przypisanie ekspozycji do państwa. Ekspozycje wobec organizacji ponadnarodowych nie są przypisywane do państwa siedziby instytucji, tylko do obszaru geograficznego „Inne państwa”, </w:t>
      </w:r>
      <w:r w:rsidR="008F3052">
        <w:lastRenderedPageBreak/>
        <w:t>niezależnie od kategorii ekspozycji, do której przypisano daną ekspozycję wobec organizacji ponadnarodowej.</w:t>
      </w:r>
    </w:p>
    <w:p w14:paraId="49CADB9D" w14:textId="77777777" w:rsidR="0096378F" w:rsidRPr="002A677E" w:rsidRDefault="0043455E" w:rsidP="00487A02">
      <w:pPr>
        <w:pStyle w:val="InstructionsText2"/>
        <w:numPr>
          <w:ilvl w:val="0"/>
          <w:numId w:val="0"/>
        </w:numPr>
        <w:ind w:left="1353" w:hanging="360"/>
      </w:pPr>
      <w:fldSimple w:instr=" seq paragraphs ">
        <w:r w:rsidR="008F3052">
          <w:t>87</w:t>
        </w:r>
      </w:fldSimple>
      <w:r w:rsidR="008F3052">
        <w:t>.</w:t>
      </w:r>
      <w:r w:rsidR="008F3052">
        <w:tab/>
        <w:t>Dane dotyczące „pierwotnej ekspozycji przed uwzględnieniem współczynników konwersji” zgłaszane są z odwołaniem do państwa siedziby dłużnika bezpośredniego. Dane dotyczące „wartości ekspozycji” i „kwot ekspozycji ważonych ryzykiem” zgłaszane są w odniesieniu do państwa siedziby dłużnika ostatecznego.</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9064828"/>
      <w:r>
        <w:rPr>
          <w:rFonts w:ascii="Times New Roman" w:hAnsi="Times New Roman"/>
          <w:sz w:val="24"/>
          <w:u w:val="none"/>
        </w:rPr>
        <w:t>3.4.1.</w:t>
      </w:r>
      <w:r>
        <w:tab/>
      </w:r>
      <w:r>
        <w:rPr>
          <w:rFonts w:ascii="Times New Roman" w:hAnsi="Times New Roman"/>
          <w:sz w:val="24"/>
        </w:rPr>
        <w:t>C 09.01 – Podział ekspozycji pod względem geograficznym według siedziby dłużnika: ekspozycje według metody standardowej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9064829"/>
      <w:r>
        <w:rPr>
          <w:rFonts w:ascii="Times New Roman" w:hAnsi="Times New Roman"/>
          <w:sz w:val="24"/>
          <w:u w:val="none"/>
        </w:rPr>
        <w:t>3.4.1.1.</w:t>
      </w:r>
      <w:r>
        <w:tab/>
      </w:r>
      <w:r>
        <w:rPr>
          <w:rFonts w:ascii="Times New Roman" w:hAnsi="Times New Roman"/>
          <w:sz w:val="24"/>
        </w:rPr>
        <w:t>Instrukcje dotyczące poszczególnych pozycji</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Kolumny</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PIERWOTNA EKSPOZYCJA PRZED UWZGLĘDNIENIEM WSPÓŁCZYNNIKÓW KONWERSJI</w:t>
            </w:r>
          </w:p>
          <w:p w14:paraId="00A439B8" w14:textId="77777777" w:rsidR="004357B9" w:rsidRPr="002A677E" w:rsidRDefault="004357B9" w:rsidP="004357B9">
            <w:pPr>
              <w:rPr>
                <w:rFonts w:ascii="Times New Roman" w:hAnsi="Times New Roman"/>
                <w:sz w:val="24"/>
              </w:rPr>
            </w:pPr>
            <w:r>
              <w:rPr>
                <w:rFonts w:ascii="Times New Roman" w:hAnsi="Times New Roman"/>
                <w:sz w:val="24"/>
              </w:rPr>
              <w:t>Definicja taka sama jak dla kolumny 0010 wzoru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Ekspozycje, których dotyczy niewykonanie zobowiązania</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Pierwotna ekspozycja przed uwzględnieniem współczynników konwersji w odniesieniu do tych ekspozycji, które zostały sklasyfikowane jako „ekspozycje, których dotyczy niewykonanie zobowiązania”, oraz w odniesieniu do tych ekspozycji, których dotyczy niewykonanie zobowiązania, które zostały przypisane do kategorii ekspozycji „ekspozycje związane ze szczególnie wysokim ryzykiem” lub „ekspozycje kapitałowe”.</w:t>
            </w:r>
          </w:p>
          <w:p w14:paraId="61376670" w14:textId="4DF555CC"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Ta „pozycja uzupełniająca” zawiera dodatkowe informacje o strukturze dłużnika w przypadku ekspozycji, których dotyczy niewykonanie zobowiązania. Ekspozycje sklasyfikowane jako „ekspozycje, których dotyczy niewykonanie zobowiązania” zgodnie z art. 112 lit. j)</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zgłasza się w przypadku, gdy dłużnicy zostaliby zgłoszeni, jeżeli ekspozycje te nie zostałyby przypisane do kategorii ekspozycji „ekspozycje, których dotyczy niewykonanie zobowiązania”. </w:t>
            </w:r>
          </w:p>
          <w:p w14:paraId="2561BB51" w14:textId="2F3F1529" w:rsidR="004357B9" w:rsidRPr="002A677E" w:rsidRDefault="004357B9" w:rsidP="00E1685B">
            <w:pPr>
              <w:rPr>
                <w:rFonts w:ascii="Times New Roman" w:hAnsi="Times New Roman"/>
                <w:sz w:val="24"/>
              </w:rPr>
            </w:pPr>
            <w:r>
              <w:rPr>
                <w:rStyle w:val="InstructionsTabelleText"/>
                <w:rFonts w:ascii="Times New Roman" w:hAnsi="Times New Roman"/>
                <w:sz w:val="24"/>
              </w:rPr>
              <w:t>Informacja ta jest „pozycją uzupełniającą”, dlatego nie wpływa na obliczanie kwot ekspozycji ważonych ryzykiem dla kategorii ekspozycji „ekspozycje, których dotyczy niewykonanie zobowiązania”, „ekspozycje związane ze szczególnie wysokim ryzykiem” lub „ekspozycje kapitałowe” zgodnie z art. 112 odpowiednio lit. j), k) i p)</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Zaobserwowane w danym okresie nowe przypadki niewykonania zobowiązania</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Kwotę pierwotnych ekspozycji, które zostały przeniesione do kategorii „ekspozycji, których dotyczy niewykonanie zobowiązania” w okresie trzech miesięcy od ostatniego terminu przekazywania sprawozdania, zgłasza się w odniesieniu do kategorii ekspozycji, do której dłużnik należał pierwotnie.</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Korekty z tytułu ogólnego ryzyka kredytowego</w:t>
            </w:r>
          </w:p>
          <w:p w14:paraId="499CF437" w14:textId="2878F3CE" w:rsidR="004357B9" w:rsidRPr="002A677E" w:rsidRDefault="004357B9" w:rsidP="004357B9">
            <w:pPr>
              <w:rPr>
                <w:rFonts w:ascii="Times New Roman" w:hAnsi="Times New Roman"/>
                <w:sz w:val="24"/>
              </w:rPr>
            </w:pPr>
            <w:r>
              <w:rPr>
                <w:rFonts w:ascii="Times New Roman" w:hAnsi="Times New Roman"/>
                <w:sz w:val="24"/>
              </w:rPr>
              <w:t xml:space="preserve">Korekty z tytułu ryzyka kredytowego, o których mowa w art. 110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w rozporządzeniu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83/2014. </w:t>
            </w:r>
          </w:p>
          <w:p w14:paraId="2551B30E" w14:textId="52CB2EA7" w:rsidR="00D95045" w:rsidRPr="002A677E" w:rsidRDefault="00D95045" w:rsidP="00D95045">
            <w:pPr>
              <w:rPr>
                <w:rFonts w:ascii="Times New Roman" w:hAnsi="Times New Roman"/>
                <w:sz w:val="24"/>
              </w:rPr>
            </w:pPr>
            <w:r>
              <w:rPr>
                <w:rFonts w:ascii="Times New Roman" w:hAnsi="Times New Roman"/>
                <w:sz w:val="24"/>
              </w:rPr>
              <w:lastRenderedPageBreak/>
              <w:t xml:space="preserve">W pozycji tej uwzględnia się korekty z tytułu ogólnego ryzyka kredytowego, które kwalifikują się do włączenia do kapitału Tier II, przed zastosowaniem pułapu, o którym mowa w art. 62 lit. 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Kwota, którą należy zgłosić, jest kwotą przed skutkami podatkowymi.</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Korekty z tytułu szczególnego ryzyka kredytowego</w:t>
            </w:r>
          </w:p>
          <w:p w14:paraId="53F47A5D" w14:textId="57E17DF7" w:rsidR="004357B9" w:rsidRPr="002A677E" w:rsidRDefault="004357B9" w:rsidP="003B2712">
            <w:pPr>
              <w:rPr>
                <w:rFonts w:ascii="Times New Roman" w:hAnsi="Times New Roman"/>
                <w:b/>
                <w:sz w:val="24"/>
                <w:u w:val="single"/>
              </w:rPr>
            </w:pPr>
            <w:r>
              <w:rPr>
                <w:rFonts w:ascii="Times New Roman" w:hAnsi="Times New Roman"/>
                <w:sz w:val="24"/>
              </w:rPr>
              <w:t xml:space="preserve">Korekty z tytułu ryzyka kredytowego, o których mowa w art. 110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w rozporządzeniu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Spisania</w:t>
            </w:r>
          </w:p>
          <w:p w14:paraId="3C9D4698" w14:textId="224D7F1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 xml:space="preserve">Odpisy, o których mowa w MSSF 9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.4.4 i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Dodatkowe korekty wartości i inne redukcje funduszy własnych</w:t>
            </w:r>
          </w:p>
          <w:p w14:paraId="7219EC33" w14:textId="3C7A2CAC" w:rsidR="00664874" w:rsidRPr="002A677E" w:rsidRDefault="00664874" w:rsidP="00664874">
            <w:pPr>
              <w:rPr>
                <w:rFonts w:ascii="Times New Roman" w:hAnsi="Times New Roman"/>
                <w:b/>
                <w:sz w:val="24"/>
                <w:u w:val="single"/>
              </w:rPr>
            </w:pPr>
            <w:r>
              <w:rPr>
                <w:rFonts w:ascii="Times New Roman" w:hAnsi="Times New Roman"/>
                <w:sz w:val="24"/>
              </w:rPr>
              <w:t xml:space="preserve">Zgodnie z art. 111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Korekty z tytułu ryzyka kredytowego/spisania w zakresie zaobserwowanych nowych przypadków niewykonania zobowiązania</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Suma korekt z tytułu ryzyka kredytowego i spisań dla tych ekspozycji, które sklasyfikowano jako „ekspozycje, których dotyczy niewykonanie zobowiązania” w okresie trzech miesięcy od ostatniego terminu przekazywania sprawozdania.</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Wartość ekspozycji</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0200 wzoru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KWOTA EKSPOZYCJI WAŻONEJ RYZYKIEM PRZED UWZGLĘDNIENIEM WSPÓŁCZYNNIKÓW WSPARCIA</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Definicja taka sama jak dla kolumny 0215 wzoru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KOREKTA KWOTY EKSPOZYCJI WAŻONEJ RYZYKIEM WYNIKAJĄCA ZE WSPÓŁCZYNNIKA WSPARCIA MŚP</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Definicja taka sama jak dla kolumny 0216 wzoru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KOREKTA KWOTY EKSPOZYCJI WAŻONEJ RYZYKIEM WYNIKAJĄCA ZE WSPÓŁCZYNNIKA WSPARCIA INFRASTRUKTURY</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Definicja taka sama jak dla kolumny 0217 wzoru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KWOTA EKSPOZYCJI WAŻONEJ RYZYKIEM PO UWZGLĘDNIENIU WSPÓŁCZYNNIKÓW WSPARCIA</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Definicja taka sama jak dla kolumny 0220 wzoru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Wiersze</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rządów centralnych lub banków centralnych</w:t>
            </w:r>
          </w:p>
          <w:p w14:paraId="504AB30A" w14:textId="0B2EFD7B"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lastRenderedPageBreak/>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samorządów regionalnych lub władz lokalnych</w:t>
            </w:r>
          </w:p>
          <w:p w14:paraId="23983289" w14:textId="7EB47CF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podmiotów sektora publicznego</w:t>
            </w:r>
          </w:p>
          <w:p w14:paraId="1C212B83" w14:textId="6AA7B610"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wielostronnych banków rozwoju</w:t>
            </w:r>
          </w:p>
          <w:p w14:paraId="373C9F87" w14:textId="7E62C8BE"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organizacji międzynarodowych</w:t>
            </w:r>
          </w:p>
          <w:p w14:paraId="7936A43F" w14:textId="763CF66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e)</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instytucji</w:t>
            </w:r>
          </w:p>
          <w:p w14:paraId="02950B6A" w14:textId="53C9B75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f)</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wobec przedsiębiorstw</w:t>
            </w:r>
          </w:p>
          <w:p w14:paraId="1509655B" w14:textId="421A243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g)</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 tym: ekspozycje wobec MŚP</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0020 wzoru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detaliczne</w:t>
            </w:r>
          </w:p>
          <w:p w14:paraId="3883BAA8" w14:textId="0D52BCB7"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h)</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 tym: ekspozycje wobec MŚP</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0020 wzoru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zabezpieczone hipotekami na nieruchomościach</w:t>
            </w:r>
          </w:p>
          <w:p w14:paraId="37245A82" w14:textId="44FE4FA5"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i)</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 tym: ekspozycje wobec MŚP</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0020 wzoru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których dotyczy niewykonanie zobowiązania</w:t>
            </w:r>
          </w:p>
          <w:p w14:paraId="269BB8CC" w14:textId="01D26735"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j)</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Pozycje związane ze szczególnie wysokim ryzykiem</w:t>
            </w:r>
          </w:p>
          <w:p w14:paraId="58B198B1" w14:textId="48F0BE70"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k)</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Obligacje zabezpieczone</w:t>
            </w:r>
          </w:p>
          <w:p w14:paraId="6BDF5460" w14:textId="61C7748A"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l)</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Ekspozycje z tytułu należności od instytucji i przedsiębiorstw posiadających krótkoterminową ocenę kredytową</w:t>
            </w:r>
          </w:p>
          <w:p w14:paraId="0D01A770" w14:textId="6979F705" w:rsidR="004357B9" w:rsidRPr="002A677E" w:rsidRDefault="000737D3" w:rsidP="00D21B29">
            <w:pPr>
              <w:ind w:left="72"/>
              <w:rPr>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n)</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lastRenderedPageBreak/>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Przedsiębiorstwa zbiorowego inwestowania</w:t>
            </w:r>
          </w:p>
          <w:p w14:paraId="48FD8243" w14:textId="3D3D34C3" w:rsidR="004357B9" w:rsidRPr="002A677E" w:rsidRDefault="000737D3" w:rsidP="00D21B29">
            <w:pPr>
              <w:ind w:left="72"/>
              <w:rPr>
                <w:rFonts w:ascii="Times New Roman" w:hAnsi="Times New Roman"/>
                <w:bCs/>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o)</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Suma wierszy 0141–0143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Metoda pełnego przeglądu</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0281 wzoru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Metoda oparta na uprawnieniach</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0282 wzoru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Metoda rezerwowa</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Definicja taka sama jak dla wiersza 0283 wzoru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kapitałowe</w:t>
            </w:r>
          </w:p>
          <w:p w14:paraId="2AA80A14" w14:textId="4543826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p)</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Inne ekspozycje</w:t>
            </w:r>
          </w:p>
          <w:p w14:paraId="35A52D49" w14:textId="4DA12BD2"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 112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q)</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Ekspozycje całkowite</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9064830"/>
      <w:r>
        <w:rPr>
          <w:rFonts w:ascii="Times New Roman" w:hAnsi="Times New Roman"/>
          <w:sz w:val="24"/>
          <w:u w:val="none"/>
        </w:rPr>
        <w:t>3.4.2.</w:t>
      </w:r>
      <w:r>
        <w:tab/>
      </w:r>
      <w:r>
        <w:rPr>
          <w:rFonts w:ascii="Times New Roman" w:hAnsi="Times New Roman"/>
          <w:sz w:val="24"/>
        </w:rPr>
        <w:t>C 09.02 – Podział ekspozycji pod względem geograficznym według siedziby dłużnika: ekspozycje według metody IRB</w:t>
      </w:r>
      <w:bookmarkEnd w:id="366"/>
      <w:r>
        <w:rPr>
          <w:rFonts w:ascii="Times New Roman" w:hAnsi="Times New Roman"/>
          <w:sz w:val="24"/>
        </w:rPr>
        <w:t xml:space="preserve"> (CR GB 2)</w:t>
      </w:r>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9064831"/>
      <w:r>
        <w:rPr>
          <w:rFonts w:ascii="Times New Roman" w:hAnsi="Times New Roman"/>
          <w:sz w:val="24"/>
          <w:u w:val="none"/>
        </w:rPr>
        <w:t>3.4.2.1.</w:t>
      </w:r>
      <w:r>
        <w:tab/>
      </w:r>
      <w:r>
        <w:rPr>
          <w:rFonts w:ascii="Times New Roman" w:hAnsi="Times New Roman"/>
          <w:sz w:val="24"/>
        </w:rPr>
        <w:t>Instrukcje dotyczące poszczególnych pozycji</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Kolumny</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PIERWOTNA EKSPOZYCJA PRZED UWZGLĘDNIENIEM WSPÓŁCZYNNIKÓW KONWERSJI</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Definicja taka sama jak dla kolumny 0020 wzoru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 tym: cechujące się niewykonaniem zobowiązania</w:t>
            </w:r>
          </w:p>
          <w:p w14:paraId="1D943763" w14:textId="126DBE80"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Wartość pierwotnej ekspozycji dla tych ekspozycji, które zostały sklasyfikowane jako ekspozycje, których dotyczy niewykonanie zobowiązania zgodnie z art. 178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Zaobserwowane w danym okresie nowe przypadki niewykonania zobowiązania</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Kwotę pierwotnych ekspozycji, które sklasyfikowano jako „ekspozycje, których dotyczy niewykonanie zobowiązania” w okresie trzech miesięcy od ostatniego terminu przekazywania sprawozdania, zgłasza się w odniesieniu do kategorii ekspozycji, do której dłużnik należał pierwotnie.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Korekty z tytułu ogólnego ryzyka kredytowego</w:t>
            </w:r>
          </w:p>
          <w:p w14:paraId="71E5569B" w14:textId="61117591" w:rsidR="004357B9" w:rsidRPr="002A677E" w:rsidRDefault="004357B9" w:rsidP="00D82B60">
            <w:pPr>
              <w:rPr>
                <w:rFonts w:ascii="Times New Roman" w:hAnsi="Times New Roman"/>
                <w:b/>
                <w:sz w:val="24"/>
                <w:u w:val="single"/>
              </w:rPr>
            </w:pPr>
            <w:r>
              <w:rPr>
                <w:rFonts w:ascii="Times New Roman" w:hAnsi="Times New Roman"/>
                <w:sz w:val="24"/>
              </w:rPr>
              <w:lastRenderedPageBreak/>
              <w:t xml:space="preserve">Korekty z tytułu ryzyka kredytowego, o których mowa w art. 110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w rozporządzeniu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Korekty z tytułu szczególnego ryzyka kredytowego</w:t>
            </w:r>
          </w:p>
          <w:p w14:paraId="05C4F6FE" w14:textId="1AC112DE" w:rsidR="004357B9" w:rsidRPr="002A677E" w:rsidRDefault="004357B9" w:rsidP="003B2712">
            <w:pPr>
              <w:rPr>
                <w:rFonts w:ascii="Times New Roman" w:hAnsi="Times New Roman"/>
                <w:b/>
                <w:sz w:val="24"/>
                <w:u w:val="single"/>
              </w:rPr>
            </w:pPr>
            <w:r>
              <w:rPr>
                <w:rFonts w:ascii="Times New Roman" w:hAnsi="Times New Roman"/>
                <w:sz w:val="24"/>
              </w:rPr>
              <w:t xml:space="preserve">Korekty z tytułu ryzyka kredytowego, o których mowa w art. 110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w rozporządzeniu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Spisania</w:t>
            </w:r>
          </w:p>
          <w:p w14:paraId="1BC74517" w14:textId="4B1EED23"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 xml:space="preserve">Odpisy, o których mowa w MSSF 9 </w:t>
            </w:r>
            <w:r w:rsidRPr="0043455E">
              <w:rPr>
                <w:rStyle w:val="InstructionsTabelleText"/>
                <w:rFonts w:ascii="Times New Roman" w:hAnsi="Times New Roman"/>
                <w:sz w:val="24"/>
              </w:rPr>
              <w:t>pkt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.4.4 i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Korekty z tytułu ryzyka kredytowego/spisania w zakresie zaobserwowanych nowych przypadków niewykonania zobowiązania</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Suma korekt z tytułu ryzyka kredytowego i spisań dla tych ekspozycji, które sklasyfikowano jako „ekspozycje, których dotyczy niewykonanie zobowiązania” w okresie trzech miesięcy od ostatniego terminu przekazywania sprawozdania.</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SKALA RATINGU WEWNĘTRZNEGO/PD PRZYPISANE KLASIE JAKOŚCI LUB PULI DŁUŻNIKA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0010 wzoru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ŚREDNIA WARTOŚĆ LGD WAŻONA EKSPOZYCJĄ (%)</w:t>
            </w:r>
          </w:p>
          <w:p w14:paraId="7FDB0A4A" w14:textId="0D728F5F"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Definicja taka sama jak dla kolumn 0230 i 0240 wzoru CR IRB: średnia wartość LGD ważona ekspozycją (%) dotyczy wszystkich ekspozycji, w tym ekspozycji wobec dużych podmiotów sektora finansowego i nieregulowanych podmiotów finansowych. Zastosowanie ma art. 181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h)</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1126B797" w14:textId="483CC719" w:rsidR="0042766A" w:rsidRPr="002A677E" w:rsidRDefault="0027034D" w:rsidP="009A4399">
            <w:pPr>
              <w:rPr>
                <w:rFonts w:ascii="Times New Roman" w:hAnsi="Times New Roman"/>
                <w:b/>
                <w:sz w:val="24"/>
                <w:u w:val="single"/>
              </w:rPr>
            </w:pPr>
            <w:r>
              <w:rPr>
                <w:rFonts w:ascii="Times New Roman" w:hAnsi="Times New Roman"/>
                <w:sz w:val="24"/>
              </w:rPr>
              <w:t xml:space="preserve">W przypadku ekspozycji związanych z kredytowaniem specjalistycznym, w przypadku których wartość PD jest szacunkowa, zgłaszana wartość powinna być szacunkową albo regulacyjną wartością LGD. W odniesieniu do ekspozycji związanych z kredytowaniem specjalistycznym, o których mowa w art. 153 ust.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nie zgłasza się danych, ponieważ nie są dostępne.</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 tym: cechujące się niewykonaniem zobowiązania</w:t>
            </w:r>
          </w:p>
          <w:p w14:paraId="71E4C07B" w14:textId="763128FD" w:rsidR="004357B9" w:rsidRPr="002A677E" w:rsidRDefault="004357B9" w:rsidP="003B2712">
            <w:pPr>
              <w:rPr>
                <w:rFonts w:ascii="Times New Roman" w:hAnsi="Times New Roman"/>
                <w:b/>
                <w:sz w:val="24"/>
                <w:u w:val="single"/>
              </w:rPr>
            </w:pPr>
            <w:r>
              <w:rPr>
                <w:rStyle w:val="InstructionsTabelleText"/>
                <w:rFonts w:ascii="Times New Roman" w:hAnsi="Times New Roman"/>
                <w:sz w:val="24"/>
              </w:rPr>
              <w:t>Wartość LGD ważona ekspozycją dla tych ekspozycji, które zostały sklasyfikowane jako ekspozycje, których dotyczy niewykonanie zobowiązania</w:t>
            </w:r>
            <w:r>
              <w:rPr>
                <w:rFonts w:ascii="Times New Roman" w:hAnsi="Times New Roman"/>
                <w:sz w:val="24"/>
              </w:rPr>
              <w:t xml:space="preserve"> zgodnie z art. 178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Wartość ekspozycji</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0110 wzoru CR IRB W tym:</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KWOTA EKSPOZYCJI WAŻONEJ RYZYKIEM PRZED UWZGLĘDNIENIEM WSPÓŁCZYNNIKÓW WSPARCIA</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0255 wzoru CR IRB W tym:</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 tym: cechujące się niewykonaniem zobowiązania</w:t>
            </w:r>
          </w:p>
          <w:p w14:paraId="0AEC330D" w14:textId="7B35CB3A" w:rsidR="004357B9" w:rsidRPr="002A677E" w:rsidRDefault="004357B9" w:rsidP="00BB22D4">
            <w:pPr>
              <w:rPr>
                <w:rFonts w:ascii="Times New Roman" w:hAnsi="Times New Roman"/>
                <w:b/>
                <w:sz w:val="24"/>
                <w:u w:val="single"/>
              </w:rPr>
            </w:pPr>
            <w:r>
              <w:rPr>
                <w:rStyle w:val="InstructionsTabelleText"/>
                <w:rFonts w:ascii="Times New Roman" w:hAnsi="Times New Roman"/>
                <w:sz w:val="24"/>
              </w:rPr>
              <w:lastRenderedPageBreak/>
              <w:t>Kwota ekspozycji ważonej ryzykiem dla tych ekspozycji, które zostały sklasyfikowane jako ekspozycje, których dotyczy niewykonanie zobowiązania zgodnie z</w:t>
            </w:r>
            <w:r>
              <w:rPr>
                <w:rFonts w:ascii="Times New Roman" w:hAnsi="Times New Roman"/>
                <w:sz w:val="24"/>
              </w:rPr>
              <w:t xml:space="preserve"> art. 178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lastRenderedPageBreak/>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KOREKTA KWOTY EKSPOZYCJI WAŻONEJ RYZYKIEM WYNIKAJĄCA ZE WSPÓŁCZYNNIKA WSPARCIA MŚP</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Definicja taka sama jak dla kolumny 0256 wzoru CR IRB W tym:</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KOREKTA KWOTY EKSPOZYCJI WAŻONEJ RYZYKIEM WYNIKAJĄCA ZE WSPÓŁCZYNNIKA WSPARCIA INFRASTRUKTURY</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Definicja taka sama jak dla kolumny 0257 wzoru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KWOTA EKSPOZYCJI WAŻONEJ RYZYKIEM PO UWZGLĘDNIENIU WSPÓŁCZYNNIKÓW WSPARCIA</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0260 wzoru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KWOTA OCZEKIWANEJ STRATY</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Definicja taka sama jak dla kolumny 0280 wzoru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Wiersze</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Ekspozycje wobec rządów centralnych i banków centralnych </w:t>
            </w:r>
          </w:p>
          <w:p w14:paraId="6E885E54" w14:textId="36E4858F" w:rsidR="004357B9" w:rsidRPr="002A677E" w:rsidRDefault="004357B9" w:rsidP="000737D3">
            <w:pPr>
              <w:rPr>
                <w:rFonts w:ascii="Times New Roman" w:hAnsi="Times New Roman"/>
                <w:sz w:val="24"/>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Ekspozycje wobec instytucji</w:t>
            </w:r>
          </w:p>
          <w:p w14:paraId="001901B2" w14:textId="18478008" w:rsidR="004357B9" w:rsidRPr="002A677E" w:rsidRDefault="000737D3" w:rsidP="00D21B29">
            <w:pPr>
              <w:rPr>
                <w:rFonts w:ascii="Times New Roman" w:hAnsi="Times New Roman"/>
                <w:sz w:val="24"/>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Ekspozycje wobec przedsiębiorstw </w:t>
            </w:r>
          </w:p>
          <w:p w14:paraId="1BE4AA6A" w14:textId="5B79320B" w:rsidR="004357B9" w:rsidRPr="002A677E" w:rsidRDefault="004357B9" w:rsidP="003B2712">
            <w:pPr>
              <w:pStyle w:val="ListParagraph"/>
              <w:ind w:left="0"/>
              <w:rPr>
                <w:rFonts w:ascii="Times New Roman" w:hAnsi="Times New Roman"/>
                <w:sz w:val="24"/>
              </w:rPr>
            </w:pPr>
            <w:r>
              <w:rPr>
                <w:rFonts w:ascii="Times New Roman" w:hAnsi="Times New Roman"/>
                <w:sz w:val="24"/>
              </w:rPr>
              <w:t xml:space="preserve">Wszystkie ekspozycje wobec przedsiębiorstw, o których mowa w art. 147 ust. 2 lit. 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 tym: związane z kredytowaniem specjalistycznym (z wyłączeniem kredytowania specjalistycznego objętego metodą klasyfikacji)</w:t>
            </w:r>
          </w:p>
          <w:p w14:paraId="1FAD8AA4" w14:textId="1BFA7A25" w:rsidR="004357B9" w:rsidRPr="002A677E" w:rsidRDefault="004357B9" w:rsidP="004357B9">
            <w:pPr>
              <w:pStyle w:val="ListParagraph"/>
              <w:ind w:left="0"/>
              <w:rPr>
                <w:rFonts w:ascii="Times New Roman" w:hAnsi="Times New Roman"/>
                <w:sz w:val="24"/>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FAC6FA5" w14:textId="108C6FDD" w:rsidR="0042766A" w:rsidRPr="002A677E" w:rsidRDefault="0042766A" w:rsidP="009A4399">
            <w:pPr>
              <w:pStyle w:val="ListParagraph"/>
              <w:ind w:left="0"/>
              <w:rPr>
                <w:rFonts w:ascii="Times New Roman" w:hAnsi="Times New Roman"/>
                <w:sz w:val="24"/>
              </w:rPr>
            </w:pPr>
            <w:r>
              <w:rPr>
                <w:rFonts w:ascii="Times New Roman" w:hAnsi="Times New Roman"/>
                <w:sz w:val="24"/>
              </w:rPr>
              <w:t xml:space="preserve">Nie zgłasza się danych dotyczących ekspozycji związanych z kredytowaniem specjalistycznym, o których mowa w art. 153 ust.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W tym: związane z kredytowaniem specjalistycznym objętym metodą klasyfikacji</w:t>
            </w:r>
          </w:p>
          <w:p w14:paraId="5A679D78" w14:textId="0CC0FD81" w:rsidR="000E093A" w:rsidRPr="002A677E" w:rsidRDefault="000E093A" w:rsidP="00D21B29">
            <w:pPr>
              <w:rPr>
                <w:rFonts w:ascii="Times New Roman" w:hAnsi="Times New Roman"/>
                <w:b/>
                <w:sz w:val="24"/>
                <w:u w:val="single"/>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 tym: ekspozycje wobec MŚP</w:t>
            </w:r>
          </w:p>
          <w:p w14:paraId="724FE757" w14:textId="52D8E228" w:rsidR="004357B9" w:rsidRPr="002A677E" w:rsidRDefault="000737D3" w:rsidP="00D21B29">
            <w:pPr>
              <w:pStyle w:val="ListParagraph"/>
              <w:ind w:left="0"/>
              <w:rPr>
                <w:rFonts w:ascii="Times New Roman" w:hAnsi="Times New Roman"/>
                <w:sz w:val="24"/>
              </w:rPr>
            </w:pPr>
            <w:r>
              <w:rPr>
                <w:rFonts w:ascii="Times New Roman" w:hAnsi="Times New Roman"/>
                <w:sz w:val="24"/>
              </w:rPr>
              <w:t xml:space="preserve">Art. 147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lastRenderedPageBreak/>
              <w:t>W ramach metody IRB jednostki sprawozdawcze stosują swoją wewnętrzną definicję MŚP wykorzystywaną w wewnętrznych procesach zarządzania ryzykiem.</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Ekspozycje detaliczne</w:t>
            </w:r>
          </w:p>
          <w:p w14:paraId="2CC05E0F" w14:textId="05580180" w:rsidR="004357B9" w:rsidRPr="002A677E" w:rsidRDefault="004357B9" w:rsidP="003B2712">
            <w:pPr>
              <w:rPr>
                <w:rFonts w:ascii="Times New Roman" w:hAnsi="Times New Roman"/>
                <w:sz w:val="24"/>
              </w:rPr>
            </w:pPr>
            <w:r>
              <w:rPr>
                <w:rFonts w:ascii="Times New Roman" w:hAnsi="Times New Roman"/>
                <w:sz w:val="24"/>
              </w:rPr>
              <w:t xml:space="preserve">Wszystkie ekspozycje detaliczne, o których mowa w art. 147 ust. 2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Ekspozycje detaliczne – zabezpieczone nieruchomością</w:t>
            </w:r>
          </w:p>
          <w:p w14:paraId="03FDEE6E" w14:textId="44C892D5" w:rsidR="004357B9" w:rsidRPr="002A677E" w:rsidRDefault="003B2712" w:rsidP="00D21B29">
            <w:pPr>
              <w:pStyle w:val="ListParagraph"/>
              <w:ind w:left="0"/>
              <w:rPr>
                <w:rFonts w:ascii="Times New Roman" w:hAnsi="Times New Roman"/>
                <w:sz w:val="24"/>
              </w:rPr>
            </w:pPr>
            <w:r>
              <w:rPr>
                <w:rFonts w:ascii="Times New Roman" w:hAnsi="Times New Roman"/>
                <w:sz w:val="24"/>
              </w:rPr>
              <w:t xml:space="preserve">Ekspozycje detaliczne,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które są zabezpieczone nieruchomością</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Za ekspozycje detaliczne zabezpieczone nieruchomością uznaje się wszelkie ekspozycje detaliczne zabezpieczone nieruchomościami uznanymi za zabezpieczenie, niezależnie od stosunku wartości zabezpieczenia do wartości ekspozycji lub od celu pożyczki.</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Ekspozycje wobec MŚP</w:t>
            </w:r>
          </w:p>
          <w:p w14:paraId="4D74C036" w14:textId="4795B972" w:rsidR="004357B9" w:rsidRPr="002A677E" w:rsidRDefault="004357B9" w:rsidP="00BD4E13">
            <w:pPr>
              <w:pStyle w:val="ListParagraph"/>
              <w:ind w:left="0"/>
              <w:rPr>
                <w:rFonts w:ascii="Times New Roman" w:hAnsi="Times New Roman"/>
                <w:sz w:val="24"/>
              </w:rPr>
            </w:pPr>
            <w:r>
              <w:rPr>
                <w:rFonts w:ascii="Times New Roman" w:hAnsi="Times New Roman"/>
                <w:sz w:val="24"/>
              </w:rPr>
              <w:t xml:space="preserve">Ekspozycje detaliczne,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które są zabezpieczone nieruchomością</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Ekspozycje wobec podmiotów niebędących MŚP</w:t>
            </w:r>
          </w:p>
          <w:p w14:paraId="0C47B4CE" w14:textId="2E8396FA" w:rsidR="004357B9" w:rsidRPr="002A677E" w:rsidRDefault="004357B9" w:rsidP="003B2712">
            <w:pPr>
              <w:pStyle w:val="ListParagraph"/>
              <w:ind w:left="0"/>
              <w:rPr>
                <w:rFonts w:ascii="Times New Roman" w:hAnsi="Times New Roman"/>
                <w:sz w:val="24"/>
              </w:rPr>
            </w:pPr>
            <w:r>
              <w:rPr>
                <w:rFonts w:ascii="Times New Roman" w:hAnsi="Times New Roman"/>
                <w:sz w:val="24"/>
              </w:rPr>
              <w:t xml:space="preserve">Ekspozycje detaliczne,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które są zabezpieczone nieruchomością</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Kwalifikowane odnawialne ekspozycje detaliczne</w:t>
            </w:r>
          </w:p>
          <w:p w14:paraId="2D419350" w14:textId="22726F1F" w:rsidR="004357B9" w:rsidRPr="002A677E" w:rsidRDefault="003B2712" w:rsidP="00F811C6">
            <w:pPr>
              <w:pStyle w:val="ListParagraph"/>
              <w:ind w:left="0"/>
              <w:rPr>
                <w:rFonts w:ascii="Times New Roman" w:hAnsi="Times New Roman"/>
                <w:sz w:val="24"/>
              </w:rPr>
            </w:pPr>
            <w:r>
              <w:rPr>
                <w:rFonts w:ascii="Times New Roman" w:hAnsi="Times New Roman"/>
                <w:sz w:val="24"/>
              </w:rPr>
              <w:t xml:space="preserve">Ekspozycje detaliczne, o których mowa w art. 147 ust. 2 lit. d) w związku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Inne ekspozycje detaliczne</w:t>
            </w:r>
          </w:p>
          <w:p w14:paraId="605A7126" w14:textId="60E14ED3" w:rsidR="004357B9" w:rsidRPr="002A677E" w:rsidRDefault="004357B9" w:rsidP="003B2712">
            <w:pPr>
              <w:pStyle w:val="ListParagraph"/>
              <w:ind w:left="0"/>
              <w:rPr>
                <w:rFonts w:ascii="Times New Roman" w:hAnsi="Times New Roman"/>
                <w:sz w:val="24"/>
              </w:rPr>
            </w:pPr>
            <w:r>
              <w:rPr>
                <w:rFonts w:ascii="Times New Roman" w:hAnsi="Times New Roman"/>
                <w:sz w:val="24"/>
              </w:rPr>
              <w:t xml:space="preserve">Inne ekspozycje detaliczne, o których mowa w art. 147 ust. 2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których nie zgłoszono w wierszach 0070–0100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Ekspozycje wobec MŚP</w:t>
            </w:r>
          </w:p>
          <w:p w14:paraId="282A1BA8" w14:textId="2FBB709E" w:rsidR="004357B9" w:rsidRPr="002A677E" w:rsidRDefault="004357B9" w:rsidP="0024244E">
            <w:pPr>
              <w:pStyle w:val="ListParagraph"/>
              <w:ind w:left="0"/>
              <w:rPr>
                <w:rFonts w:ascii="Times New Roman" w:hAnsi="Times New Roman"/>
                <w:sz w:val="24"/>
              </w:rPr>
            </w:pPr>
            <w:r>
              <w:rPr>
                <w:rFonts w:ascii="Times New Roman" w:hAnsi="Times New Roman"/>
                <w:sz w:val="24"/>
              </w:rPr>
              <w:t xml:space="preserve">Inne ekspozycje detaliczne wobec MŚP, o których mowa w art. 147 ust. 2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Ekspozycje wobec podmiotów niebędących MŚP</w:t>
            </w:r>
          </w:p>
          <w:p w14:paraId="1538F6BF" w14:textId="4B96DAFE" w:rsidR="004357B9" w:rsidRPr="002A677E" w:rsidRDefault="004357B9" w:rsidP="00DF4FF2">
            <w:pPr>
              <w:rPr>
                <w:rFonts w:ascii="Times New Roman" w:hAnsi="Times New Roman"/>
                <w:sz w:val="24"/>
              </w:rPr>
            </w:pPr>
            <w:r>
              <w:rPr>
                <w:rFonts w:ascii="Times New Roman" w:hAnsi="Times New Roman"/>
                <w:sz w:val="24"/>
              </w:rPr>
              <w:t xml:space="preserve">Inne ekspozycje detaliczne wobec osób fizycznych, o których mowa w art. 147 ust. 2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Ekspozycje kapitałowe</w:t>
            </w:r>
          </w:p>
          <w:p w14:paraId="591FF03F" w14:textId="05D1BDFE" w:rsidR="004357B9" w:rsidRPr="002A677E" w:rsidRDefault="004357B9" w:rsidP="00DF4FF2">
            <w:pPr>
              <w:rPr>
                <w:rFonts w:ascii="Times New Roman" w:hAnsi="Times New Roman"/>
                <w:b/>
                <w:sz w:val="24"/>
                <w:u w:val="single"/>
              </w:rPr>
            </w:pPr>
            <w:r>
              <w:rPr>
                <w:rFonts w:ascii="Times New Roman" w:hAnsi="Times New Roman"/>
                <w:sz w:val="24"/>
              </w:rPr>
              <w:t xml:space="preserve">Ekspozycje kapitałowe, o których mowa w art. 147 ust. 2 lit. 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Ekspozycje całkowite</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9064832"/>
      <w:r>
        <w:rPr>
          <w:rFonts w:ascii="Times New Roman" w:hAnsi="Times New Roman"/>
          <w:sz w:val="24"/>
          <w:u w:val="none"/>
        </w:rPr>
        <w:lastRenderedPageBreak/>
        <w:t>3.4.3.</w:t>
      </w:r>
      <w:r>
        <w:tab/>
      </w:r>
      <w:r>
        <w:rPr>
          <w:rFonts w:ascii="Times New Roman" w:hAnsi="Times New Roman"/>
          <w:sz w:val="24"/>
        </w:rPr>
        <w:t xml:space="preserve">C 09.04 – Podział ekspozycji kredytowych istotnych do celów obliczania bufora antycyklicznego według państw oraz specyficznego dla instytucji wskaźnika bufora antycyklicznego </w:t>
      </w:r>
      <w:bookmarkEnd w:id="372"/>
      <w:r>
        <w:rPr>
          <w:rFonts w:ascii="Times New Roman" w:hAnsi="Times New Roman"/>
          <w:sz w:val="24"/>
        </w:rPr>
        <w:t>(CCB)</w:t>
      </w:r>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9064833"/>
      <w:r>
        <w:rPr>
          <w:rFonts w:ascii="Times New Roman" w:hAnsi="Times New Roman"/>
          <w:sz w:val="24"/>
          <w:u w:val="none"/>
        </w:rPr>
        <w:t>3.4.3.1.</w:t>
      </w:r>
      <w:r>
        <w:tab/>
      </w:r>
      <w:r>
        <w:rPr>
          <w:rFonts w:ascii="Times New Roman" w:hAnsi="Times New Roman"/>
          <w:sz w:val="24"/>
        </w:rPr>
        <w:t>Uwagi ogólne</w:t>
      </w:r>
      <w:bookmarkEnd w:id="375"/>
      <w:bookmarkEnd w:id="376"/>
      <w:bookmarkEnd w:id="377"/>
    </w:p>
    <w:p w14:paraId="31C3185E" w14:textId="7458212F" w:rsidR="00430F6F" w:rsidRPr="002A677E" w:rsidRDefault="0043455E" w:rsidP="00487A02">
      <w:pPr>
        <w:pStyle w:val="InstructionsText2"/>
        <w:numPr>
          <w:ilvl w:val="0"/>
          <w:numId w:val="0"/>
        </w:numPr>
        <w:ind w:left="1353" w:hanging="360"/>
      </w:pPr>
      <w:fldSimple w:instr=" seq paragraphs ">
        <w:r w:rsidR="008F3052">
          <w:t>88</w:t>
        </w:r>
      </w:fldSimple>
      <w:r w:rsidR="008F3052">
        <w:t>.</w:t>
      </w:r>
      <w:r w:rsidR="008F3052">
        <w:tab/>
        <w:t xml:space="preserve">Wzór ten służy uzyskaniu większej ilości informacji dotyczących składników specyficznego dla instytucji bufora antycyklicznego. Żądane informacje dotyczą wymogów w zakresie funduszy własnych określonych zgodnie z częścią trzecią tytuł II i IV rozporządzenia (UE) </w:t>
      </w:r>
      <w:r w:rsidR="008F3052" w:rsidRPr="0043455E">
        <w:t>nr</w:t>
      </w:r>
      <w:r w:rsidRPr="0043455E">
        <w:t> </w:t>
      </w:r>
      <w:r w:rsidR="008F3052" w:rsidRPr="0043455E">
        <w:t>5</w:t>
      </w:r>
      <w:r w:rsidR="008F3052">
        <w:t xml:space="preserve">75/2013 oraz lokalizacji geograficznej ekspozycji kredytowych, ekspozycji z tytułu sekurytyzacji oraz ekspozycji zaliczanych do portfela handlowego istotnych do celów obliczania specyficznego dla instytucji bufora antycyklicznego zgodnie z art. 140 dyrektywy 2013/36/UE (odnośne ekspozycje kredytowe). </w:t>
      </w:r>
    </w:p>
    <w:p w14:paraId="248A8B84" w14:textId="77777777" w:rsidR="00430F6F" w:rsidRPr="002A677E" w:rsidRDefault="0043455E" w:rsidP="00487A02">
      <w:pPr>
        <w:pStyle w:val="InstructionsText2"/>
        <w:numPr>
          <w:ilvl w:val="0"/>
          <w:numId w:val="0"/>
        </w:numPr>
        <w:ind w:left="1353" w:hanging="360"/>
      </w:pPr>
      <w:fldSimple w:instr=" seq paragraphs ">
        <w:r w:rsidR="008F3052">
          <w:t>89</w:t>
        </w:r>
      </w:fldSimple>
      <w:r w:rsidR="008F3052">
        <w:t>.</w:t>
      </w:r>
      <w:r w:rsidR="008F3052">
        <w:tab/>
        <w:t xml:space="preserve">Informacje przewidziane we wzorze C 09.04 podaje się dla odnośnych ekspozycji kredytowych „razem” dla wszystkich jurysdykcji, w których zlokalizowane są te ekspozycje, oraz indywidualnie dla każdej z jurysdykcji, w której zlokalizowane są odnośne ekspozycje kredytowe. Łączne dane oraz informacje o każdej jurysdykcji zgłasza się w osobnym wymiarze. </w:t>
      </w:r>
    </w:p>
    <w:p w14:paraId="721717B9" w14:textId="77777777" w:rsidR="007463E2" w:rsidRPr="002A677E" w:rsidRDefault="0043455E" w:rsidP="00487A02">
      <w:pPr>
        <w:pStyle w:val="InstructionsText2"/>
        <w:numPr>
          <w:ilvl w:val="0"/>
          <w:numId w:val="0"/>
        </w:numPr>
        <w:ind w:left="1353" w:hanging="360"/>
      </w:pPr>
      <w:fldSimple w:instr=" seq paragraphs ">
        <w:r w:rsidR="008F3052">
          <w:t>90</w:t>
        </w:r>
      </w:fldSimple>
      <w:r w:rsidR="008F3052">
        <w:t>.</w:t>
      </w:r>
      <w:r w:rsidR="008F3052">
        <w:tab/>
        <w:t>Progu określonego w art. 5 ust. 5 niniejszego rozporządzenia wykonawczego nie stosuje się przy zgłaszaniu tego podziału.</w:t>
      </w:r>
    </w:p>
    <w:p w14:paraId="7AF60D10" w14:textId="72A78816" w:rsidR="005A7CA9" w:rsidRPr="002A677E" w:rsidRDefault="0043455E" w:rsidP="00487A02">
      <w:pPr>
        <w:pStyle w:val="InstructionsText2"/>
        <w:numPr>
          <w:ilvl w:val="0"/>
          <w:numId w:val="0"/>
        </w:numPr>
        <w:ind w:left="1353" w:hanging="360"/>
      </w:pPr>
      <w:fldSimple w:instr=" seq paragraphs ">
        <w:r w:rsidR="008F3052">
          <w:t>91</w:t>
        </w:r>
      </w:fldSimple>
      <w:r w:rsidR="008F3052">
        <w:t>.</w:t>
      </w:r>
      <w:r w:rsidR="008F3052">
        <w:tab/>
        <w:t xml:space="preserve">W celu określenia lokalizacji geograficznej ekspozycje przypisuje się do lokalizacji bezpośredniego dłużnika zgodnie z rozporządzeniem delegowanym Komisji (UE) </w:t>
      </w:r>
      <w:r w:rsidR="008F3052" w:rsidRPr="0043455E">
        <w:t>nr</w:t>
      </w:r>
      <w:r w:rsidRPr="0043455E">
        <w:t> </w:t>
      </w:r>
      <w:r w:rsidR="008F3052" w:rsidRPr="0043455E">
        <w:t>1</w:t>
      </w:r>
      <w:r w:rsidR="008F3052">
        <w:t>152/2014</w:t>
      </w:r>
      <w:r w:rsidR="008F3052">
        <w:footnoteReference w:id="5"/>
      </w:r>
      <w:r w:rsidR="008F3052">
        <w:t>. Techniki ograniczenia ryzyka kredytowego nie prowadzą zatem do zmiany przypisania ekspozycji do jej lokalizacji geograficznej do celów zgłoszenia informacji określonych w niniejszym wzorze.</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9064834"/>
      <w:r>
        <w:rPr>
          <w:rFonts w:ascii="Times New Roman" w:hAnsi="Times New Roman"/>
          <w:sz w:val="24"/>
          <w:u w:val="none"/>
        </w:rPr>
        <w:t>3.4.3.2.</w:t>
      </w:r>
      <w:r>
        <w:tab/>
      </w:r>
      <w:r>
        <w:rPr>
          <w:rFonts w:ascii="Times New Roman" w:hAnsi="Times New Roman"/>
          <w:sz w:val="24"/>
        </w:rPr>
        <w:t>Instrukcje dotyczące poszczególnych pozycji</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Kolumny</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Kwota</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Wartość odnośnych ekspozycji kredytowych oraz związanych z nimi wymogów w zakresie funduszy własnych, określona zgodnie z instrukcjami dla danego wiersza.</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Ujęcie procentowe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Informacje jakościowe</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Informacje te zgłasza się wyłącznie w odniesieniu do państwa siedziby instytucji (jurysdykcji odpowiadającej państwu członkowskiemu jej pochodzenia) oraz „razem” dla wszystkich państw.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lastRenderedPageBreak/>
              <w:t>Instytucje zgłaszają {y} albo {n} zgodnie z instrukcjami dla danego wiersza.</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Wiersze</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Odnośne ekspozycje kredytowe – ryzyko kredytowe</w:t>
            </w:r>
          </w:p>
          <w:p w14:paraId="3806537D" w14:textId="088A304B" w:rsidR="00BD5485" w:rsidRPr="002A677E" w:rsidRDefault="00BD5485" w:rsidP="00DF4FF2">
            <w:pPr>
              <w:rPr>
                <w:rFonts w:ascii="Times New Roman" w:hAnsi="Times New Roman"/>
                <w:b/>
                <w:sz w:val="24"/>
                <w:u w:val="single"/>
              </w:rPr>
            </w:pPr>
            <w:r>
              <w:rPr>
                <w:rFonts w:ascii="Times New Roman" w:hAnsi="Times New Roman"/>
                <w:sz w:val="24"/>
              </w:rPr>
              <w:t xml:space="preserve">Odnośne ekspozycje kredytowe, o których mowa w art. 140 ust. 4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dyrektywy 2013/36/UE.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Wartość ekspozycji według metody standardowej</w:t>
            </w:r>
          </w:p>
          <w:p w14:paraId="14785702" w14:textId="0B590026"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Wartość ekspozycji obliczona zgodnie z art. 111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odpowiednich ekspozycji kredytowych, o których mowa w art. 140 ust. 4 lit. a) dyrektywy 2013/36/UE.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Wartość ekspozycji z tytułu pozycji sekurytyzacyjnych w portfelu bankowym wyłącza się z tego wiersza i zgłasza w wierszu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Wartość ekspozycji według metody IRB</w:t>
            </w:r>
          </w:p>
          <w:p w14:paraId="53852A77" w14:textId="4A0FA80B"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Wartość ekspozycji obliczona zgodnie z art. 166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odpowiednich ekspozycji kredytowych, o których mowa w art. 140 ust. 4 lit. a) dyrektywy 2013/36/UE.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Wartość ekspozycji z tytułu pozycji sekurytyzacyjnych w portfelu bankowym wyłącza się z tego wiersza i zgłasza w wierszu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Odnośne ekspozycje kredytowe – ryzyko rynkowe</w:t>
            </w:r>
          </w:p>
          <w:p w14:paraId="1D49BA1E" w14:textId="23B4ED62" w:rsidR="00BD5485" w:rsidRPr="002A677E" w:rsidRDefault="00BD5485" w:rsidP="00A37A04">
            <w:pPr>
              <w:rPr>
                <w:rFonts w:ascii="Times New Roman" w:hAnsi="Times New Roman"/>
                <w:b/>
                <w:bCs/>
                <w:sz w:val="24"/>
                <w:u w:val="single"/>
              </w:rPr>
            </w:pPr>
            <w:r>
              <w:rPr>
                <w:rFonts w:ascii="Times New Roman" w:hAnsi="Times New Roman"/>
                <w:sz w:val="24"/>
              </w:rPr>
              <w:t xml:space="preserve">Odnośne ekspozycje kredytowe, o których mowa w art. 140 ust. 4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dyrektywy 2013/36/UE.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Suma pozycji długich i krótkich dotyczących ekspozycji zaliczonych do portfela handlowego według metody standardowej</w:t>
            </w:r>
          </w:p>
          <w:p w14:paraId="7295B532" w14:textId="4856F57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Suma długich i krótkich pozycji netto zgodnie z art. 327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odnośnych ekspozycji kredytowych, o których mowa w art. 140 ust. 4 lit. b) dyrektywy 2013/36/UE podlegających wymogom w zakresie funduszy własnych na podstawie części trzeciej tytuł IV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ekspozycje z tytułu instrumentów dłużnych innych niż sekurytyzacja;</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ekspozycje z tytułu pozycji sekurytyzacyjnych w portfelu handlowym;</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ekspozycje z tytułu korelacyjnego portfela handlowego;</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ekspozycje z tytułu udziałowych papierów wartościowych;</w:t>
            </w:r>
          </w:p>
          <w:p w14:paraId="65F2CF5E" w14:textId="34F30D1C"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 xml:space="preserve">ekspozycje wobec przedsiębiorstw zbiorowego inwestowania, jeżeli wymogi kapitałowe zostały obliczone zgodnie z art. 348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Wartość ekspozycji zaliczonych do portfela handlowego według modeli wewnętrznych</w:t>
            </w:r>
          </w:p>
          <w:p w14:paraId="5FDCCA73" w14:textId="2A7B438B"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Dla odnośnych ekspozycji kredytowych zgodnie z art. 140 ust. 4 lit. b) dyrektywy 2013/36/UE podlegających wymogom w zakresie funduszy własnych na podstawie </w:t>
            </w:r>
            <w:r>
              <w:rPr>
                <w:rFonts w:ascii="Times New Roman" w:hAnsi="Times New Roman"/>
                <w:sz w:val="24"/>
              </w:rPr>
              <w:lastRenderedPageBreak/>
              <w:t xml:space="preserve">części trzeciej tytuł IV rozdział 2 i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należy zgłosić sumę poniższych wartości:</w:t>
            </w:r>
          </w:p>
          <w:p w14:paraId="344F79A4" w14:textId="4E7F84E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 xml:space="preserve">wartości godziwej pozycji w instrumentach innych niż instrumenty pochodne, odpowiadających odnośnym ekspozycjom kredytowym zgodnie z art. 140 ust. 4 lit. b) dyrektywy 2013/36/UE, określonym zgodnie z art. 104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7FA5694" w14:textId="27E407E7"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 xml:space="preserve">wartości referencyjnej instrumentów pochodnych, które reprezentują odpowiednie ekspozycje kredytowe, o których mowa w art. 140 ust. 4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dyrektywy 2013/36/UE.</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Odnośne ekspozycje kredytowe – pozycje sekurytyzacyjne w portfelu bankowym</w:t>
            </w:r>
          </w:p>
          <w:p w14:paraId="34F2C8C1" w14:textId="6AB124DF" w:rsidR="00BD5485" w:rsidRPr="002A677E" w:rsidRDefault="00C44421" w:rsidP="00A37A04">
            <w:pPr>
              <w:rPr>
                <w:rFonts w:ascii="Times New Roman" w:hAnsi="Times New Roman"/>
                <w:sz w:val="24"/>
              </w:rPr>
            </w:pPr>
            <w:r>
              <w:rPr>
                <w:rFonts w:ascii="Times New Roman" w:hAnsi="Times New Roman"/>
                <w:sz w:val="24"/>
              </w:rPr>
              <w:t xml:space="preserve">Wartość ekspozycji obliczona zgodnie z art. 248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dla odpowiednich ekspozycji kredytowych, o których mowa w art. 140 ust. 4 lit. c) dyrektywy 2013/36/UE.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Wymogi w zakresie funduszy własnych i wagi</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Łączne wymogi w zakresie funduszy własnych dla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Suma wierszy 0080, 0090 i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Wymogi w zakresie funduszy własnych dla odnośnych ekspozycji kredytowych – ryzyko kredytowe </w:t>
            </w:r>
          </w:p>
          <w:p w14:paraId="1FD5576D" w14:textId="2BE403E1"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Wymogi w zakresie funduszy własnych obliczone zgodnie z częścią trzecią tytuł II rozdziały 1–4 i rozdział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odnośnych ekspozycji kredytowych,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40 ust. 4 lit. a) dyrektywy 2013/36/UE, w danym państwie.</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Wymogi w zakresie funduszy własnych dla pozycji sekurytyzacyjnych w portfelu bankowym wyłącza się z tego wiersza i zgłasza w wierszu 0100.</w:t>
            </w:r>
          </w:p>
          <w:p w14:paraId="2F0143CE" w14:textId="6AB7AB21" w:rsidR="00BD5485" w:rsidRPr="002A677E" w:rsidRDefault="00BD5485" w:rsidP="002B004B">
            <w:pPr>
              <w:rPr>
                <w:rFonts w:ascii="Times New Roman" w:hAnsi="Times New Roman"/>
                <w:b/>
                <w:bCs/>
                <w:sz w:val="24"/>
                <w:u w:val="single"/>
              </w:rPr>
            </w:pPr>
            <w:r>
              <w:rPr>
                <w:rFonts w:ascii="Times New Roman" w:hAnsi="Times New Roman"/>
                <w:sz w:val="24"/>
              </w:rPr>
              <w:t xml:space="preserve">Wymogi w zakresie funduszy własnych wynoszą 8 % kwoty ekspozycji ważonej ryzykiem zgodnie z częścią trzecią tytuł II rozdziały 1–4 i rozdział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Wymogi w zakresie funduszy własnych dla odnośnych ekspozycji kredytowych – ryzyko rynkowe </w:t>
            </w:r>
          </w:p>
          <w:p w14:paraId="7806E83A" w14:textId="4D6D93D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Wymogi w zakresie funduszy własnych obliczone zgodnie z częścią trzecią tytuł IV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ryzyka szczególnego lub zgodnie z częścią trzecią tytuł IV rozdział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dodatkowego ryzyka niewykonania zobowiązań i ryzyka migracji dla odnośnych ekspozycji kredytowych, o których mowa w art. 140 ust. 4 lit. b) dyrektywy 2013/36/UE, w danym państwie. </w:t>
            </w:r>
          </w:p>
          <w:p w14:paraId="3C07DE13" w14:textId="0CB63EC6"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 xml:space="preserve">Wymogi w zakresie funduszy własnych dla odnośnych ekspozycji kredytowych według ram ryzyka rynkowego obejmują m.in. wymogi w zakresie funduszy własnych dla pozycji sekurytyzacyjnych obliczone zgodnie z częścią trzecią tytuł IV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oraz wymogi w zakresie funduszy własnych dla ekspozycji wobec przedsiębiorstw zbiorowego inwestowania, określone zgodnie z art. 348 tego rozporządzenia.</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Wymogi w zakresie funduszy własnych dla odnośnych ekspozycji kredytowych – pozycje sekurytyzacyjne w portfelu bankowym</w:t>
            </w:r>
          </w:p>
          <w:p w14:paraId="4DD097E6" w14:textId="1A7D412E"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Wymogi w zakresie funduszy własnych obliczone zgodnie z częścią trzecią tytuł II rozdział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odnośnych ekspozycji kredytowych, o których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40 ust. 4 lit. c) dyrektywy 2013/36/UE, w danym państwie.</w:t>
            </w:r>
          </w:p>
          <w:p w14:paraId="566043C5" w14:textId="1D484D6C" w:rsidR="00BD5485" w:rsidRPr="002A677E" w:rsidRDefault="00BD5485" w:rsidP="004D3C0E">
            <w:pPr>
              <w:rPr>
                <w:rFonts w:ascii="Times New Roman" w:hAnsi="Times New Roman"/>
                <w:b/>
                <w:bCs/>
                <w:sz w:val="24"/>
                <w:u w:val="single"/>
              </w:rPr>
            </w:pPr>
            <w:r>
              <w:rPr>
                <w:rFonts w:ascii="Times New Roman" w:hAnsi="Times New Roman"/>
                <w:sz w:val="24"/>
              </w:rPr>
              <w:t xml:space="preserve">Wymogi w zakresie funduszy własnych wynoszą 8 % kwoty ekspozycji ważonej ryzykiem obliczonej zgodnie z częścią trzecią tytuł II rozdział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Wymogi w zakresie funduszy własnych: wagi</w:t>
            </w:r>
          </w:p>
          <w:p w14:paraId="21DBAB49" w14:textId="77777777" w:rsidR="00966663" w:rsidRPr="002A677E" w:rsidRDefault="00966663" w:rsidP="00966663">
            <w:pPr>
              <w:rPr>
                <w:rFonts w:ascii="Times New Roman" w:hAnsi="Times New Roman"/>
                <w:sz w:val="24"/>
              </w:rPr>
            </w:pPr>
            <w:r>
              <w:rPr>
                <w:rFonts w:ascii="Times New Roman" w:hAnsi="Times New Roman"/>
                <w:sz w:val="24"/>
              </w:rPr>
              <w:t>Wagę stosowaną do wskaźnika bufora antycyklicznego w każdym państwie oblicza się jako współczynnik wymogów w zakresie funduszy własnych, określony w następujący sposób:</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Licznik: łączne wymogi w zakresie funduszy własnych, które dotyczą odnośnych ekspozycji kredytowych w danym państwie [r0070; c0010; arkusz dotyczący danego państwa], </w:t>
            </w:r>
          </w:p>
          <w:p w14:paraId="4D0CA9CD" w14:textId="362BA12E"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 xml:space="preserve">Mianownik: łączne wymogi w zakresie funduszy własnych, które dotyczą odnośnych ekspozycji kredytowych istotnych do celów obliczania bufora antycyklicznego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dyrektywy 2013/36/UE [r0070; c0010; „Razem”].</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Informacji na temat wag dla wymogów w zakresie funduszy własnych nie zgłasza się jako wartość „Razem” dla wszystkich państw.</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Wskaźniki bufora antycyklicznego</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Wskaźnik bufora antycyklicznego określony przez wyznaczony organ</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Wskaźnik bufora antycyklicznego określony dla danego państwa przez wyznaczony organ tego państwa zgodnie z art. 136, 137, 139, art. 140 ust. 2 lit. a) i c) oraz art. 140 ust. 3 lit. b) dyrektywy 2013/36/UE.</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Wiersz ten pozostawia się niewypełniony, jeżeli dla danego państwa wyznaczony organ tego państwa nie określił wskaźnika bufora antycyklicznego.</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Nie zgłasza się wskaźników bufora antycyklicznego określonych przez wyznaczony organ, które na sprawozdawczy dzień odniesienia nie mają jeszcze zastosowania w danym państwie.</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Informacji na temat wskaźnika bufora antycyklicznego określonego przez wyznaczony organ nie zgłasza się jako wartość „Razem” dla wszystkich krajów.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Wskaźnik bufora antycyklicznego mający zastosowanie w państwie, w którym mieści się instytucja</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Wskaźnik bufora antycyklicznego mający zastosowanie w danym państwie, który został ustalony przez wyznaczony organ państwa siedziby instytucji, zgodnie z art. 137, 138, 139, art. 140 ust. 2 lit. b) i art. 140 ust. 3 lit. a) dyrektywy 2013/36/UE. Nie zgłasza się wskaźników bufora antycyklicznego, które na sprawozdawczy dzień odniesienia nie mają jeszcze zastosowania.</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lastRenderedPageBreak/>
              <w:t>Informacji na temat wskaźnika bufora antycyklicznego mającego zastosowanie w państwie, w którym mieści się instytucja, nie zgłasza się jako wartość „Razem” dla wszystkich państw.</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lastRenderedPageBreak/>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Specyficzny dla instytucji wskaźnik bufora antycyklicznego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Specyficzny dla instytucji wskaźnik bufora antycyklicznego obliczony zgodnie z art. 140 ust. 1 dyrektywy 2013/36/UE. </w:t>
            </w:r>
          </w:p>
          <w:p w14:paraId="310E04AC" w14:textId="3AB7B7E1"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Specyficzny dla instytucji wskaźnik bufora antycyklicznego oblicza się jako średnią ważoną wskaźników bufora antycyklicznego mających zastosowanie w jurysdykcjach, w których odnośne ekspozycje kredytowe instytucji się znajdują lub są stosowane do celów art. 140 na mocy art. 139 ust. 2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dyrektywy 2013/36/UE. Odnośny wskaźnik bufora antycyklicznego zgłasza się, stosownie do przypadku, w pozycji [r0120; c0020; arkusz dotyczący danego państwa] lub [r0130; c0020; arkusz dotyczący danego państwa], stosownie do przypadku.</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Wagę stosowaną do wskaźnika bufora antycyklicznego w każdym państwie stanowi udział wymogów w zakresie funduszy własnych w łącznych wymogach w zakresie funduszy własnych; podlega ona zgłoszeniu w pozycji [r0110; c0020; arkusz dotyczący danego państwa].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Informacje na temat specyficznego dla instytucji wskaźnika bufora antycyklicznego zgłasza się wyłącznie jako wartość „Razem” dla wszystkich państw, a nie osobno dla każdego państwa.</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Zastosowanie 2-procentowego progu</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Zastosowanie 2-procentowego progu dla ogólnej ekspozycji kredytowej</w:t>
            </w:r>
            <w:r>
              <w:rPr>
                <w:rFonts w:ascii="Times New Roman" w:hAnsi="Times New Roman"/>
                <w:sz w:val="24"/>
              </w:rPr>
              <w:t xml:space="preserve"> </w:t>
            </w:r>
          </w:p>
          <w:p w14:paraId="62B98746" w14:textId="0D93347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Zgodnie z art. 2 ust. 5 lit. b) rozporządzenia delegowanego Komisji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152/2014 zagraniczne ogólne ekspozycje kredytowe, które łącznie nie przekraczają 2 % łącznych ogólnych ekspozycji kredytowych, ekspozycji zaliczonych do portfela handlowego i ekspozycji sekurytyzacyjnych tej instytucji, można przypisać państwu członkowskiemu pochodzenia instytucji. Łączne ogólne ekspozycje kredytowe, ekspozycje zaliczone do portfela handlowego i ekspozycje sekurytyzacyjne oblicza się z wykluczeniem ogólnych ekspozycji kredytowych zlokalizowanych zgodnie z art. 2 ust. 5 lit. a) i art. 2 ust. 4 rozporządzenia delegowanego Komisji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152/2014.</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Jeżeli instytucja skorzysta z tego odstępstwa, we wzorze dla jurysdykcji odpowiadającej państwu członkowskiemu jej pochodzenia oraz w pozycji „Razem” dla wszystkich państw wpisuje „y”.</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Jeżeli instytucja nie skorzysta z tego odstępstwa, w odpowiedniej komórce wpisuje „n”.</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Zastosowanie 2-procentowego progu dla ekspozycji zaliczonej do portfela handlowego</w:t>
            </w:r>
          </w:p>
          <w:p w14:paraId="369B6ABC" w14:textId="07BBBE0C"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Zgodnie z art. 3 ust. 3 rozporządzenia delegowanego Komisji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152/2014 instytucje mogą przypisać ekspozycje zaliczone do portfela handlowego państwu członkowskiemu pochodzenia instytucji, jeżeli łączne ekspozycje zaliczone do </w:t>
            </w:r>
            <w:r>
              <w:rPr>
                <w:rFonts w:ascii="Times New Roman" w:hAnsi="Times New Roman"/>
                <w:sz w:val="24"/>
              </w:rPr>
              <w:lastRenderedPageBreak/>
              <w:t>portfela handlowego nie przekraczają 2 % ich łącznych ogólnych ekspozycji kredytowych, ekspozycji zaliczonych do portfela handlowego i ekspozycji sekurytyzacyjnych.</w:t>
            </w:r>
          </w:p>
          <w:p w14:paraId="035A6DB1" w14:textId="77777777" w:rsidR="006A3A82" w:rsidRPr="002A677E" w:rsidRDefault="006A3A82" w:rsidP="006A3A82">
            <w:pPr>
              <w:rPr>
                <w:rFonts w:ascii="Times New Roman" w:hAnsi="Times New Roman"/>
                <w:sz w:val="24"/>
              </w:rPr>
            </w:pPr>
            <w:r>
              <w:rPr>
                <w:rFonts w:ascii="Times New Roman" w:hAnsi="Times New Roman"/>
                <w:sz w:val="24"/>
              </w:rPr>
              <w:t>Jeżeli instytucja skorzysta z tego odstępstwa, we wzorze dla jurysdykcji odpowiadającej państwu członkowskiemu jej pochodzenia oraz w pozycji „Razem” dla wszystkich państw wpisuje „y”.</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Jeżeli instytucja nie skorzysta z tego odstępstwa, w odpowiedniej komórce wpisuje „n”.</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699DB14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9064835"/>
      <w:r>
        <w:rPr>
          <w:rFonts w:ascii="Times New Roman" w:hAnsi="Times New Roman"/>
          <w:sz w:val="24"/>
          <w:u w:val="none"/>
        </w:rPr>
        <w:t>3.5.</w:t>
      </w:r>
      <w:r>
        <w:tab/>
      </w:r>
      <w:r>
        <w:rPr>
          <w:rFonts w:ascii="Times New Roman" w:hAnsi="Times New Roman"/>
          <w:sz w:val="24"/>
        </w:rPr>
        <w:t xml:space="preserve">C 10.01 i C 10.02 – Ekspozycje kapitałowe, w odniesieniu do których zastosowano metodę wewnętrznych ratingów </w:t>
      </w:r>
      <w:bookmarkEnd w:id="381"/>
      <w:bookmarkEnd w:id="382"/>
      <w:bookmarkEnd w:id="383"/>
      <w:r>
        <w:rPr>
          <w:rFonts w:ascii="Times New Roman" w:hAnsi="Times New Roman"/>
          <w:sz w:val="24"/>
        </w:rPr>
        <w:t>(CR EQU IRB 1 oraz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9064836"/>
      <w:r>
        <w:rPr>
          <w:rFonts w:ascii="Times New Roman" w:hAnsi="Times New Roman"/>
          <w:sz w:val="24"/>
          <w:u w:val="none"/>
        </w:rPr>
        <w:t>3.5.1.</w:t>
      </w:r>
      <w:r>
        <w:tab/>
      </w:r>
      <w:r>
        <w:rPr>
          <w:rFonts w:ascii="Times New Roman" w:hAnsi="Times New Roman"/>
          <w:sz w:val="24"/>
        </w:rPr>
        <w:t>Uwagi ogólne</w:t>
      </w:r>
      <w:bookmarkEnd w:id="386"/>
      <w:bookmarkEnd w:id="387"/>
      <w:bookmarkEnd w:id="388"/>
      <w:bookmarkEnd w:id="389"/>
      <w:bookmarkEnd w:id="390"/>
      <w:bookmarkEnd w:id="391"/>
    </w:p>
    <w:p w14:paraId="76937939" w14:textId="77777777" w:rsidR="00C61FF5" w:rsidRPr="002A677E" w:rsidRDefault="0043455E" w:rsidP="00487A02">
      <w:pPr>
        <w:pStyle w:val="InstructionsText2"/>
        <w:numPr>
          <w:ilvl w:val="0"/>
          <w:numId w:val="0"/>
        </w:numPr>
        <w:ind w:left="1353" w:hanging="360"/>
      </w:pPr>
      <w:fldSimple w:instr=" seq paragraphs ">
        <w:r w:rsidR="008F3052">
          <w:t>92</w:t>
        </w:r>
      </w:fldSimple>
      <w:r w:rsidR="008F3052">
        <w:t>.</w:t>
      </w:r>
      <w:r w:rsidR="008F3052">
        <w:tab/>
        <w:t>Wzór CR EQU IRB składa się z dwóch wzorów: wzór CR EQU IRB 1 zawiera ogólny przegląd ekspozycji według metody IRB w odniesieniu do kategorii ekspozycji kapitałowej i różnych metod obliczania łącznych kwot ekspozycji na ryzyko. Wzór CR EQU IRB 2 zawiera podział ekspozycji całkowitych przypisanych klasom jakości w kontekście metody opartej na PD/LGD. W dalszych instrukcjach wzór „CR EQU IRB” odnosi się w stosownych przypadkach zarówno do „CR EQU IRB 1”, jak i do „CR EQU IRB 2”.</w:t>
      </w:r>
    </w:p>
    <w:p w14:paraId="129E6696" w14:textId="0C9C95CC" w:rsidR="00C61FF5" w:rsidRPr="002A677E" w:rsidRDefault="0043455E" w:rsidP="00487A02">
      <w:pPr>
        <w:pStyle w:val="InstructionsText2"/>
        <w:numPr>
          <w:ilvl w:val="0"/>
          <w:numId w:val="0"/>
        </w:numPr>
        <w:ind w:left="1353" w:hanging="360"/>
      </w:pPr>
      <w:fldSimple w:instr=" seq paragraphs ">
        <w:r w:rsidR="008F3052">
          <w:t>93</w:t>
        </w:r>
      </w:fldSimple>
      <w:r w:rsidR="008F3052">
        <w:t>.</w:t>
      </w:r>
      <w:r w:rsidR="008F3052">
        <w:tab/>
        <w:t xml:space="preserve">Wzór CR EQU IRB zawiera informacje dotyczące obliczania kwot ekspozycji ważonych ryzykiem z tytułu ryzyka kredytowego (art. 92 ust. 3 lit. a) rozporządzenia (UE) </w:t>
      </w:r>
      <w:r w:rsidR="008F3052" w:rsidRPr="0043455E">
        <w:t>nr</w:t>
      </w:r>
      <w:r w:rsidRPr="0043455E">
        <w:t> </w:t>
      </w:r>
      <w:r w:rsidR="008F3052" w:rsidRPr="0043455E">
        <w:t>5</w:t>
      </w:r>
      <w:r w:rsidR="008F3052">
        <w:t xml:space="preserve">75/2013) zgodnie z częścią trzecią tytuł II rozdział 3 rozporządzenia (UE) </w:t>
      </w:r>
      <w:r w:rsidR="008F3052" w:rsidRPr="0043455E">
        <w:t>nr</w:t>
      </w:r>
      <w:r w:rsidRPr="0043455E">
        <w:t> </w:t>
      </w:r>
      <w:r w:rsidR="008F3052" w:rsidRPr="0043455E">
        <w:t>5</w:t>
      </w:r>
      <w:r w:rsidR="008F3052">
        <w:t>75/2013 dla ekspozycji kapitałowych, o których mowa w art. 147 ust. 2 lit. e) tego rozporządzenia.</w:t>
      </w:r>
    </w:p>
    <w:p w14:paraId="61D24B1A" w14:textId="1381095B" w:rsidR="00C61FF5" w:rsidRPr="002A677E" w:rsidRDefault="0043455E" w:rsidP="00487A02">
      <w:pPr>
        <w:pStyle w:val="InstructionsText2"/>
        <w:numPr>
          <w:ilvl w:val="0"/>
          <w:numId w:val="0"/>
        </w:numPr>
        <w:ind w:left="1353" w:hanging="360"/>
      </w:pPr>
      <w:fldSimple w:instr=" seq paragraphs ">
        <w:r w:rsidR="008F3052">
          <w:t>94</w:t>
        </w:r>
      </w:fldSimple>
      <w:r w:rsidR="008F3052">
        <w:t>.</w:t>
      </w:r>
      <w:r w:rsidR="008F3052">
        <w:tab/>
        <w:t xml:space="preserve">Zgodnie z art. 147 ust. 6 rozporządzenia (UE) </w:t>
      </w:r>
      <w:r w:rsidR="008F3052" w:rsidRPr="0043455E">
        <w:t>nr</w:t>
      </w:r>
      <w:r w:rsidRPr="0043455E">
        <w:t> </w:t>
      </w:r>
      <w:r w:rsidR="008F3052" w:rsidRPr="0043455E">
        <w:t>5</w:t>
      </w:r>
      <w:r w:rsidR="008F3052">
        <w:t>75/2013 do kategorii ekspozycji kapitałowych klasyfikuje się następujące ekspozycje:</w:t>
      </w:r>
    </w:p>
    <w:p w14:paraId="5B9810A4" w14:textId="77777777" w:rsidR="00C61FF5" w:rsidRPr="002A677E" w:rsidRDefault="00125707" w:rsidP="00487A02">
      <w:pPr>
        <w:pStyle w:val="InstructionsText2"/>
        <w:numPr>
          <w:ilvl w:val="0"/>
          <w:numId w:val="0"/>
        </w:numPr>
        <w:ind w:left="1353" w:hanging="360"/>
      </w:pPr>
      <w:r>
        <w:t>a)</w:t>
      </w:r>
      <w:r>
        <w:tab/>
        <w:t>ekspozycje niedłużne, z którymi wiążą się podporządkowane roszczenia końcowe wobec kapitału lub dochodów emitenta;</w:t>
      </w:r>
    </w:p>
    <w:p w14:paraId="73C34881" w14:textId="3555FA5A" w:rsidR="00C61FF5" w:rsidRPr="002A677E" w:rsidRDefault="00125707" w:rsidP="00487A02">
      <w:pPr>
        <w:pStyle w:val="InstructionsText2"/>
        <w:numPr>
          <w:ilvl w:val="0"/>
          <w:numId w:val="0"/>
        </w:numPr>
        <w:ind w:left="1353" w:hanging="360"/>
      </w:pPr>
      <w:r>
        <w:t>b)</w:t>
      </w:r>
      <w:r>
        <w:tab/>
        <w:t>ekspozycje dłużne i inne papiery wartościowe, udziały, instrumenty pochodne lub inne instrumenty, pod względem ekonomicznym zbliżone do ekspozycji określonych w lit. a).</w:t>
      </w:r>
    </w:p>
    <w:p w14:paraId="25C17068" w14:textId="4A98B8F5" w:rsidR="00C61FF5" w:rsidRPr="002A677E" w:rsidRDefault="0043455E" w:rsidP="00487A02">
      <w:pPr>
        <w:pStyle w:val="InstructionsText2"/>
        <w:numPr>
          <w:ilvl w:val="0"/>
          <w:numId w:val="0"/>
        </w:numPr>
        <w:ind w:left="1353" w:hanging="360"/>
      </w:pPr>
      <w:fldSimple w:instr=" seq paragraphs ">
        <w:r w:rsidR="008F3052">
          <w:t>95</w:t>
        </w:r>
      </w:fldSimple>
      <w:r w:rsidR="008F3052">
        <w:t>.</w:t>
      </w:r>
      <w:r w:rsidR="008F3052">
        <w:tab/>
        <w:t xml:space="preserve">Przedsiębiorstwa zbiorowego inwestowania traktowane zgodnie z uproszczoną metodą ważenia ryzykiem, o której mowa w </w:t>
      </w:r>
      <w:r w:rsidR="008F3052" w:rsidRPr="0043455E">
        <w:t>art.</w:t>
      </w:r>
      <w:r w:rsidRPr="0043455E">
        <w:t> </w:t>
      </w:r>
      <w:r w:rsidR="008F3052" w:rsidRPr="0043455E">
        <w:t>1</w:t>
      </w:r>
      <w:r w:rsidR="008F3052">
        <w:t xml:space="preserve">52 </w:t>
      </w:r>
      <w:r w:rsidR="008F3052" w:rsidRPr="0043455E">
        <w:t>ust.</w:t>
      </w:r>
      <w:r w:rsidRPr="0043455E">
        <w:t> </w:t>
      </w:r>
      <w:r w:rsidR="008F3052" w:rsidRPr="0043455E">
        <w:t>4</w:t>
      </w:r>
      <w:r w:rsidR="008F3052">
        <w:t xml:space="preserve"> </w:t>
      </w:r>
      <w:r w:rsidR="008F3052" w:rsidRPr="0043455E">
        <w:t>lit.</w:t>
      </w:r>
      <w:r w:rsidRPr="0043455E">
        <w:t> </w:t>
      </w:r>
      <w:r w:rsidR="008F3052" w:rsidRPr="0043455E">
        <w:t>a)</w:t>
      </w:r>
      <w:r w:rsidR="008F3052">
        <w:t xml:space="preserve"> rozporządzenia (UE) </w:t>
      </w:r>
      <w:r w:rsidR="008F3052" w:rsidRPr="0043455E">
        <w:t>nr</w:t>
      </w:r>
      <w:r w:rsidRPr="0043455E">
        <w:t> </w:t>
      </w:r>
      <w:r w:rsidR="008F3052" w:rsidRPr="0043455E">
        <w:t>5</w:t>
      </w:r>
      <w:r w:rsidR="008F3052">
        <w:t xml:space="preserve">75/2013, lub traktowane zgodnie z metodą rezerwową określoną w </w:t>
      </w:r>
      <w:r w:rsidR="008F3052" w:rsidRPr="0043455E">
        <w:t>art.</w:t>
      </w:r>
      <w:r w:rsidRPr="0043455E">
        <w:t> </w:t>
      </w:r>
      <w:r w:rsidR="008F3052" w:rsidRPr="0043455E">
        <w:t>1</w:t>
      </w:r>
      <w:r w:rsidR="008F3052">
        <w:t xml:space="preserve">52 </w:t>
      </w:r>
      <w:r w:rsidR="008F3052" w:rsidRPr="0043455E">
        <w:t>ust.</w:t>
      </w:r>
      <w:r w:rsidRPr="0043455E">
        <w:t> </w:t>
      </w:r>
      <w:r w:rsidR="008F3052" w:rsidRPr="0043455E">
        <w:t>6</w:t>
      </w:r>
      <w:r w:rsidR="008F3052">
        <w:t xml:space="preserve"> tego rozporządzenia zgłasza się również we wzorze CR EQU IRB.</w:t>
      </w:r>
    </w:p>
    <w:p w14:paraId="0901FCDB" w14:textId="3A6FB3B1" w:rsidR="00C61FF5" w:rsidRPr="002A677E" w:rsidRDefault="0043455E" w:rsidP="00487A02">
      <w:pPr>
        <w:pStyle w:val="InstructionsText2"/>
        <w:numPr>
          <w:ilvl w:val="0"/>
          <w:numId w:val="0"/>
        </w:numPr>
        <w:ind w:left="1353" w:hanging="360"/>
      </w:pPr>
      <w:fldSimple w:instr=" seq paragraphs ">
        <w:r w:rsidR="008F3052">
          <w:t>96</w:t>
        </w:r>
      </w:fldSimple>
      <w:r w:rsidR="008F3052">
        <w:t>.</w:t>
      </w:r>
      <w:r w:rsidR="008F3052">
        <w:tab/>
        <w:t xml:space="preserve">Zgodnie z art. 151 ust. 1 rozporządzenia (UE) </w:t>
      </w:r>
      <w:r w:rsidR="008F3052" w:rsidRPr="0043455E">
        <w:t>nr</w:t>
      </w:r>
      <w:r w:rsidRPr="0043455E">
        <w:t> </w:t>
      </w:r>
      <w:r w:rsidR="008F3052" w:rsidRPr="0043455E">
        <w:t>5</w:t>
      </w:r>
      <w:r w:rsidR="008F3052">
        <w:t xml:space="preserve">75/2013 instytucje przekazują wzór CR EQU IRB, jeżeli stosują jedną z trzech metod, o których mowa w art. 155 rozporządzenia (UE) </w:t>
      </w:r>
      <w:r w:rsidR="008F3052" w:rsidRPr="0043455E">
        <w:t>nr</w:t>
      </w:r>
      <w:r w:rsidRPr="0043455E">
        <w:t> </w:t>
      </w:r>
      <w:r w:rsidR="008F3052" w:rsidRPr="0043455E">
        <w:t>5</w:t>
      </w:r>
      <w:r w:rsidR="008F3052">
        <w:t xml:space="preserve">75/2013: </w:t>
      </w:r>
    </w:p>
    <w:p w14:paraId="2C4E2471" w14:textId="77777777" w:rsidR="00C61FF5" w:rsidRPr="002A677E" w:rsidRDefault="00C61FF5" w:rsidP="00487A02">
      <w:pPr>
        <w:pStyle w:val="InstructionsText"/>
      </w:pPr>
      <w:r>
        <w:t>– uproszczoną metodę ważenia ryzykiem;</w:t>
      </w:r>
    </w:p>
    <w:p w14:paraId="4CD8D672" w14:textId="77777777" w:rsidR="00C61FF5" w:rsidRPr="002A677E" w:rsidRDefault="00C61FF5" w:rsidP="00487A02">
      <w:pPr>
        <w:pStyle w:val="InstructionsText"/>
      </w:pPr>
      <w:r>
        <w:t>– metodę opartą na PD/LGD;</w:t>
      </w:r>
    </w:p>
    <w:p w14:paraId="35A7B39F" w14:textId="5F994C21" w:rsidR="00C61FF5" w:rsidRDefault="00C61FF5" w:rsidP="00487A02">
      <w:pPr>
        <w:pStyle w:val="InstructionsText"/>
      </w:pPr>
      <w:r>
        <w:lastRenderedPageBreak/>
        <w:t>– metodę modeli wewnętrznych.</w:t>
      </w:r>
    </w:p>
    <w:p w14:paraId="170A8607" w14:textId="366682A8" w:rsidR="00BB1DFE" w:rsidRPr="002A677E" w:rsidRDefault="00BB1DFE" w:rsidP="001235ED">
      <w:pPr>
        <w:pStyle w:val="InstructionsText"/>
        <w:ind w:left="1386"/>
      </w:pPr>
      <w:r>
        <w:t xml:space="preserve">Zgodnie z art. 155 rozporządzenia (UE) </w:t>
      </w:r>
      <w:r w:rsidRPr="0043455E">
        <w:t>nr</w:t>
      </w:r>
      <w:r w:rsidR="0043455E" w:rsidRPr="0043455E">
        <w:t> </w:t>
      </w:r>
      <w:r w:rsidRPr="0043455E">
        <w:t>5</w:t>
      </w:r>
      <w:r>
        <w:t>75/2013 instytucja może stosować różne metody (uproszczoną metodę ważenia ryzykiem, metodę opartą na PD/LGD, metodę modeli wewnętrznych) w odniesieniu do poszczególnych portfeli, jeżeli instytucja ta stosuje te różne metody do celów wewnętrznych.</w:t>
      </w:r>
    </w:p>
    <w:p w14:paraId="7DA2BD4A" w14:textId="7DDA2DE1" w:rsidR="00C61FF5" w:rsidRPr="002A677E" w:rsidRDefault="00C61FF5" w:rsidP="00487A02">
      <w:pPr>
        <w:pStyle w:val="InstructionsText"/>
        <w:ind w:left="1353"/>
      </w:pPr>
      <w:r>
        <w:t xml:space="preserve">Ponadto instytucje stosujące metodę IRB zgłaszają we wzorze CR EQU IRB również kwoty ekspozycji ważonych ryzykiem dla tych ekspozycji kapitałowych, które wiążą się z przypisaniem stałej wagi ryzyka (chociaż nie są jednoznacznie traktowane według uproszczonej metody ważenia ryzykiem ani nie są w niepełnym zakresie objęte standardową metodą (stosowaną czasowo lub stale) obliczania ryzyka kredytowego), np. ekspozycje kapitałowe wiążące się z wagą ryzyka 250 % – zgodnie z art. 48 ust. 4 rozporządzenia (UE) </w:t>
      </w:r>
      <w:r w:rsidRPr="0043455E">
        <w:t>nr</w:t>
      </w:r>
      <w:r w:rsidR="0043455E" w:rsidRPr="0043455E">
        <w:t> </w:t>
      </w:r>
      <w:r w:rsidRPr="0043455E">
        <w:t>5</w:t>
      </w:r>
      <w:r>
        <w:t>75/2013, a z wagą ryzyka 370 % – zgodnie z art. 471 ust. 2 tego rozporządzenia.</w:t>
      </w:r>
    </w:p>
    <w:p w14:paraId="6744BA9D" w14:textId="77777777" w:rsidR="00C61FF5" w:rsidRPr="002A677E" w:rsidRDefault="0043455E" w:rsidP="00487A02">
      <w:pPr>
        <w:pStyle w:val="InstructionsText2"/>
        <w:numPr>
          <w:ilvl w:val="0"/>
          <w:numId w:val="0"/>
        </w:numPr>
        <w:ind w:left="1353" w:hanging="360"/>
      </w:pPr>
      <w:fldSimple w:instr=" seq paragraphs ">
        <w:r w:rsidR="008F3052">
          <w:t>97</w:t>
        </w:r>
      </w:fldSimple>
      <w:r w:rsidR="008F3052">
        <w:t>.</w:t>
      </w:r>
      <w:r w:rsidR="008F3052">
        <w:tab/>
        <w:t>Następujących należności kapitałowych nie zgłasza się we wzorze CR EQU IRB:</w:t>
      </w:r>
    </w:p>
    <w:p w14:paraId="52B80741" w14:textId="3DB004E6" w:rsidR="00C61FF5" w:rsidRPr="002A677E" w:rsidRDefault="00C61FF5" w:rsidP="00487A02">
      <w:pPr>
        <w:pStyle w:val="InstructionsText"/>
        <w:ind w:left="1353"/>
      </w:pPr>
      <w:r>
        <w:t>– ekspozycji kapitałowych w portfelu handlowym (jeżeli instytucje nie są zwolnione z obowiązku obliczania wymogów w zakresie funduszy własnych dla pozycji zawartych w portfelu handlowym (</w:t>
      </w:r>
      <w:r w:rsidRPr="0043455E">
        <w:t>art.</w:t>
      </w:r>
      <w:r w:rsidR="0043455E" w:rsidRPr="0043455E">
        <w:t> </w:t>
      </w:r>
      <w:r w:rsidRPr="0043455E">
        <w:t>9</w:t>
      </w:r>
      <w:r>
        <w:t xml:space="preserve">4 rozporządzenia (UE) </w:t>
      </w:r>
      <w:r w:rsidRPr="0043455E">
        <w:t>nr</w:t>
      </w:r>
      <w:r w:rsidR="0043455E" w:rsidRPr="0043455E">
        <w:t> </w:t>
      </w:r>
      <w:r w:rsidRPr="0043455E">
        <w:t>5</w:t>
      </w:r>
      <w:r>
        <w:t xml:space="preserve">75/2013)); </w:t>
      </w:r>
    </w:p>
    <w:p w14:paraId="78FB29DE" w14:textId="5DB079ED" w:rsidR="00C61FF5" w:rsidRPr="002A677E" w:rsidRDefault="00C61FF5" w:rsidP="00487A02">
      <w:pPr>
        <w:pStyle w:val="InstructionsText"/>
        <w:ind w:left="1353"/>
      </w:pPr>
      <w:r>
        <w:t xml:space="preserve">– ekspozycji kapitałowych podlegających stosowaniu metody standardowej w niepełnym zakresie (art. 150 rozporządzenia (UE) </w:t>
      </w:r>
      <w:r w:rsidRPr="0043455E">
        <w:t>nr</w:t>
      </w:r>
      <w:r w:rsidR="0043455E" w:rsidRPr="0043455E">
        <w:t> </w:t>
      </w:r>
      <w:r w:rsidRPr="0043455E">
        <w:t>5</w:t>
      </w:r>
      <w:r>
        <w:t>75/2013), w tym:</w:t>
      </w:r>
    </w:p>
    <w:p w14:paraId="56822102" w14:textId="49D92E55" w:rsidR="00C61FF5" w:rsidRPr="002A677E" w:rsidRDefault="00C61FF5" w:rsidP="00487A02">
      <w:pPr>
        <w:pStyle w:val="InstructionsText"/>
        <w:ind w:left="1353"/>
      </w:pPr>
      <w:r>
        <w:t xml:space="preserve">– ekspozycji kapitałowych podlegających zasadzie praw nabytych zgodnie z art. 495 ust. 1 rozporządzenia (UE) </w:t>
      </w:r>
      <w:r w:rsidRPr="0043455E">
        <w:t>nr</w:t>
      </w:r>
      <w:r w:rsidR="0043455E" w:rsidRPr="0043455E">
        <w:t> </w:t>
      </w:r>
      <w:r w:rsidRPr="0043455E">
        <w:t>5</w:t>
      </w:r>
      <w:r>
        <w:t>75/2013;</w:t>
      </w:r>
    </w:p>
    <w:p w14:paraId="59393134" w14:textId="65835162" w:rsidR="00C61FF5" w:rsidRPr="002A677E" w:rsidRDefault="00C61FF5" w:rsidP="00487A02">
      <w:pPr>
        <w:pStyle w:val="InstructionsText"/>
        <w:ind w:left="1353"/>
      </w:pPr>
      <w:r>
        <w:t xml:space="preserve">– ekspozycji kapitałowych wobec podmiotów, których zobowiązaniom kredytowym przypisano zgodnie ze standardową metodą wagę ryzyka równą 0 %, w tym podmiotów otrzymujących środki publiczne, o ile można wobec nich zastosować wagę ryzyka równą 0 % (art. 150 ust. 1 lit. g) rozporządzenia (UE) </w:t>
      </w:r>
      <w:r w:rsidRPr="0043455E">
        <w:t>nr</w:t>
      </w:r>
      <w:r w:rsidR="0043455E" w:rsidRPr="0043455E">
        <w:t> </w:t>
      </w:r>
      <w:r w:rsidRPr="0043455E">
        <w:t>5</w:t>
      </w:r>
      <w:r>
        <w:t>75/2013);</w:t>
      </w:r>
    </w:p>
    <w:p w14:paraId="02216BD0" w14:textId="22C622EB" w:rsidR="00C61FF5" w:rsidRPr="002A677E" w:rsidRDefault="00C61FF5" w:rsidP="00487A02">
      <w:pPr>
        <w:pStyle w:val="InstructionsText"/>
        <w:ind w:left="1353"/>
      </w:pPr>
      <w:r>
        <w:t xml:space="preserve">– ekspozycji kapitałowych utworzonych w ramach programów legislacyjnych wspierających określone sektory gospodarki, które zapewniają znaczne dopłaty inwestycyjne dla instytucji i wiążą się z pewną formą nadzoru rządowego oraz ograniczeniami dotyczącymi inwestycji kapitałowych (art. 150 ust. 1 lit. h) rozporządzenia (UE) </w:t>
      </w:r>
      <w:r w:rsidRPr="0043455E">
        <w:t>nr</w:t>
      </w:r>
      <w:r w:rsidR="0043455E" w:rsidRPr="0043455E">
        <w:t> </w:t>
      </w:r>
      <w:r w:rsidRPr="0043455E">
        <w:t>5</w:t>
      </w:r>
      <w:r>
        <w:t>75/2013);</w:t>
      </w:r>
    </w:p>
    <w:p w14:paraId="5731CED2" w14:textId="10208F47" w:rsidR="00C61FF5" w:rsidRPr="002A677E" w:rsidRDefault="00C61FF5" w:rsidP="00487A02">
      <w:pPr>
        <w:pStyle w:val="InstructionsText"/>
        <w:ind w:left="1353"/>
      </w:pPr>
      <w:r>
        <w:t xml:space="preserve">– ekspozycji kapitałowych wobec przedsiębiorstw usług pomocniczych, których ekspozycja ważona ryzykiem może zostać obliczona zgodnie ze sposobem ujmowania „innych aktywów niegenerujących zobowiązania kredytowego” (art. 155 ust. 1 rozporządzenia (UE) </w:t>
      </w:r>
      <w:r w:rsidRPr="0043455E">
        <w:t>nr</w:t>
      </w:r>
      <w:r w:rsidR="0043455E" w:rsidRPr="0043455E">
        <w:t> </w:t>
      </w:r>
      <w:r w:rsidRPr="0043455E">
        <w:t>5</w:t>
      </w:r>
      <w:r>
        <w:t>75/2013);</w:t>
      </w:r>
    </w:p>
    <w:p w14:paraId="2CD83A57" w14:textId="4C6898B4" w:rsidR="00C61FF5" w:rsidRPr="002A677E" w:rsidRDefault="00C61FF5" w:rsidP="00487A02">
      <w:pPr>
        <w:pStyle w:val="InstructionsText"/>
        <w:ind w:left="1353"/>
      </w:pPr>
      <w:r>
        <w:t xml:space="preserve">– należności kapitałowych odejmowanych od funduszy własnych zgodnie z art. 46 oraz 48 rozporządzenia (UE) </w:t>
      </w:r>
      <w:r w:rsidRPr="0043455E">
        <w:t>nr</w:t>
      </w:r>
      <w:r w:rsidR="0043455E" w:rsidRPr="0043455E">
        <w:t> </w:t>
      </w:r>
      <w:r w:rsidRPr="0043455E">
        <w:t>5</w:t>
      </w:r>
      <w:r>
        <w:t>75/2013.</w:t>
      </w:r>
    </w:p>
    <w:p w14:paraId="7E42E33C" w14:textId="77777777" w:rsidR="00C61FF5" w:rsidRPr="002A677E" w:rsidRDefault="00C61FF5" w:rsidP="00487A02">
      <w:pPr>
        <w:pStyle w:val="InstructionsText"/>
        <w:ind w:left="1353"/>
      </w:pPr>
    </w:p>
    <w:p w14:paraId="67146783" w14:textId="580EE436"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9064837"/>
      <w:r>
        <w:rPr>
          <w:rFonts w:ascii="Times New Roman" w:hAnsi="Times New Roman"/>
          <w:sz w:val="24"/>
          <w:u w:val="none"/>
        </w:rPr>
        <w:lastRenderedPageBreak/>
        <w:t>3.5.2.</w:t>
      </w:r>
      <w:r>
        <w:tab/>
      </w:r>
      <w:r>
        <w:rPr>
          <w:rFonts w:ascii="Times New Roman" w:hAnsi="Times New Roman"/>
          <w:sz w:val="24"/>
        </w:rPr>
        <w:t xml:space="preserve">Instrukcje dotyczące poszczególnych pozycji </w:t>
      </w:r>
      <w:bookmarkEnd w:id="392"/>
      <w:bookmarkEnd w:id="393"/>
      <w:r>
        <w:rPr>
          <w:rFonts w:ascii="Times New Roman" w:hAnsi="Times New Roman"/>
          <w:sz w:val="24"/>
        </w:rPr>
        <w:t>(mające zastosowanie zarówno do CR EQU IRB 1, jak i do CR EQU IRB 2)</w:t>
      </w:r>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F7528">
            <w:pPr>
              <w:keepNext/>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Kolumny</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EF7528">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KLASA JAKOŚCI DŁUŻNIKA (IDENTYFIKATOR WIERSZA)</w:t>
            </w:r>
          </w:p>
          <w:p w14:paraId="75F21236" w14:textId="77777777" w:rsidR="003F05A0" w:rsidRPr="002A677E" w:rsidRDefault="003F05A0" w:rsidP="00EF7528">
            <w:pPr>
              <w:keepNext/>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Klasa jakości dłużnika stanowi identyfikator wiersza i jest niepowtarzalna dla każdego wiersza we wzorze. </w:t>
            </w:r>
            <w:r>
              <w:rPr>
                <w:rFonts w:ascii="Times New Roman" w:hAnsi="Times New Roman"/>
                <w:sz w:val="24"/>
              </w:rPr>
              <w:t>Numeracja następuje w kolejności numerycznej: 1, 2, 3 itd.</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SKALA RATINGU WEWNĘTRZNEGO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PRZYPISANE KLASIE JAKOŚCI DŁUŻNIKA (%)</w:t>
            </w:r>
          </w:p>
          <w:p w14:paraId="24C4A6C8" w14:textId="039AC10E"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Instytucje stosujące metodę opartą na PD/LGD zgłaszają w kolumnie 0010 prawdopodobieństwo niewykonania zobowiązania (PD) obliczone zgodnie z art. 165 ust. 1 rozporządzenia (UE) </w:t>
            </w:r>
            <w:r w:rsidRPr="0043455E">
              <w:rPr>
                <w:rStyle w:val="InstructionsTabelleText"/>
                <w:rFonts w:ascii="Times New Roman" w:hAnsi="Times New Roman"/>
                <w:sz w:val="24"/>
              </w:rPr>
              <w:t>nr</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75/2013.</w:t>
            </w:r>
          </w:p>
          <w:p w14:paraId="273F0287" w14:textId="332E28F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PD przypisane klasie jakości lub puli dłużnika, które należy zgłosić, jest zgodne z wymogami minimalnymi określonymi w części trzeciej tytuł II rozdział 3 sekcja 6 rozporządzenia (UE) </w:t>
            </w:r>
            <w:r w:rsidRPr="0043455E">
              <w:rPr>
                <w:rStyle w:val="InstructionsTabelleText"/>
                <w:rFonts w:ascii="Times New Roman" w:hAnsi="Times New Roman"/>
                <w:sz w:val="24"/>
              </w:rPr>
              <w:t>nr</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75/2013. Dla każdej indywidualnej klasy jakości lub puli dłużnika zgłasza się PD przypisane tej klasie jakości lub puli dłużnika. Wszystkie zgłoszone parametry ryzyka są oparte na parametrach ryzyka wykorzystywanych w skali ratingu wewnętrznego zatwierdzonej przez właściwy organ.</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W przypadku danych liczbowych odpowiadających zagregowaniu klas jakości lub pul dłużnika (np. „ekspozycje całkowite”) zgłasza się średnią wartość PD ważoną ekspozycją, która to wartość jest przypisana zagregowanym klasom jakości lub pulom dłużnika. W celu obliczenia średniej wartości PD ważonej ekspozycją należy wziąć pod uwagę wszystkie ekspozycje, w tym ekspozycje, których dotyczy niewykonanie zobowiązania. Do obliczenia średniej wartości PD ważonej ekspozycją do celów ważenia brana jest wartość ekspozycji z uwzględnieniem ochrony kredytowej nierzeczywistej (kolumna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PIERWOTNA EKSPOZYCJA PRZED UWZGLĘDNIENIEM WSPÓŁCZYNNIKÓW KONWERSJI</w:t>
            </w:r>
          </w:p>
          <w:p w14:paraId="4433C401" w14:textId="1FCD9C60"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Instytucje zgłaszają w kolumnie 0020 wartość pierwotnej ekspozycji (przed uwzględnieniem współczynnika konwersji). Zgodnie z art. 167 rozporządzenia (UE) </w:t>
            </w:r>
            <w:r w:rsidRPr="0043455E">
              <w:rPr>
                <w:rStyle w:val="InstructionsTabelleText"/>
                <w:rFonts w:ascii="Times New Roman" w:hAnsi="Times New Roman"/>
                <w:sz w:val="24"/>
              </w:rPr>
              <w:t>nr</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 xml:space="preserve">75/2013 wartość ekspozycji dla ekspozycji kapitałowych jest równa wartości księgowej pozostałej po dokonaniu korekt z tytułu szczególnego ryzyka kredytowego. </w:t>
            </w:r>
            <w:r>
              <w:rPr>
                <w:rFonts w:ascii="Times New Roman" w:hAnsi="Times New Roman"/>
                <w:sz w:val="24"/>
              </w:rPr>
              <w:t>Wartość pozabilansowych ekspozycji kapitałowych odpowiada ich wartości nominalnej po korektach z tytułu szczególnego ryzyka kredytowego.</w:t>
            </w:r>
          </w:p>
          <w:p w14:paraId="10F33268" w14:textId="21694D06"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kolumnie 0020 instytucje uwzględniają również pozycje pozabilansowe, o których mowa w załączniku I</w:t>
            </w:r>
            <w:r>
              <w:rPr>
                <w:rFonts w:ascii="Times New Roman" w:hAnsi="Times New Roman"/>
                <w:sz w:val="24"/>
              </w:rPr>
              <w:t xml:space="preserve"> do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przypisane do kategorii ekspozycji kapitałowych (np. „niespłacona część częściowo opłaconych akcji i papierów wartościowych”).</w:t>
            </w:r>
          </w:p>
          <w:p w14:paraId="5CE183AA" w14:textId="6C7891B1"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Instytucje stosujące uproszczoną metodę ważenia ryzykiem lub metodę opartą na PD/LGD (o których mowa w art. 165 ust. 1 rozporządzenia (UE) </w:t>
            </w:r>
            <w:r w:rsidRPr="0043455E">
              <w:rPr>
                <w:rStyle w:val="InstructionsTabelleText"/>
                <w:rFonts w:ascii="Times New Roman" w:hAnsi="Times New Roman"/>
                <w:sz w:val="24"/>
              </w:rPr>
              <w:t>nr</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Style w:val="InstructionsTabelleText"/>
                <w:rFonts w:ascii="Times New Roman" w:hAnsi="Times New Roman"/>
                <w:sz w:val="24"/>
              </w:rPr>
              <w:t>75/2013</w:t>
            </w:r>
            <w:r>
              <w:rPr>
                <w:rFonts w:ascii="Times New Roman" w:hAnsi="Times New Roman"/>
                <w:sz w:val="24"/>
              </w:rPr>
              <w:t>)</w:t>
            </w:r>
            <w:r>
              <w:rPr>
                <w:rStyle w:val="InstructionsTabelleText"/>
                <w:rFonts w:ascii="Times New Roman" w:hAnsi="Times New Roman"/>
                <w:sz w:val="24"/>
              </w:rPr>
              <w:t xml:space="preserve"> </w:t>
            </w:r>
            <w:r>
              <w:rPr>
                <w:rStyle w:val="InstructionsTabelleText"/>
                <w:rFonts w:ascii="Times New Roman" w:hAnsi="Times New Roman"/>
                <w:sz w:val="24"/>
              </w:rPr>
              <w:lastRenderedPageBreak/>
              <w:t>uwzględniają również kompensowanie, o którym mowa w art. 155 ust. 2 akapit drugi</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TECHNIKI OGRANICZANIA RYZYKA KREDYTOWEGO Z UWZGLĘDNIENIEM EFEKTÓW SUBSTYTUCYJNYCH W ODNIESIENIU DO EKSPOZYCJI</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OCHRONA KREDYTOWA NIERZECZYWISTA</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GWARANCJE</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KREDYTOWE INSTRUMENTY POCHODNE</w:t>
            </w:r>
          </w:p>
          <w:p w14:paraId="7468EDFA" w14:textId="7CC25365"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Niezależnie od metody przyjętej do obliczania kwot ekspozycji ważonych ryzykiem z tytułu ekspozycji kapitałowych instytucje mogą uznać ochronę kredytową nierzeczywistą uzyskaną dla ekspozycji kapitałowych (art. 155 ust. 2, 3 i 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Instytucje stosujące uproszczoną metodę ważenia ryzykiem lub metodę opartą na PD/LGD zgłaszają w kolumnach 0030 i 0040 kwotę ochrony kredytowej nierzeczywistej w formie gwarancji (kolumna 0030) lub kredytowych instrumentów pochodnych (kolumna 0040) uznanych zgodnie z metodami określonymi w części trzeciej tytuł II rozdział 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TECHNIKI OGRANICZANIA RYZYKA KREDYTOWEGO Z UWZGLĘDNIENIEM EFEKTÓW SUBSTYTUCYJNYCH W ODNIESIENIU DO EKSPOZYCJI</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SUBSTYTUCJA EKSPOZYCJI W WYNIKU OGRANICZANIA RYZYKA KREDYTOWEGO</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WYPŁYWY RAZEM</w:t>
            </w:r>
          </w:p>
          <w:p w14:paraId="7CFF0631" w14:textId="782E6074"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kolumnie 0050 instytucje zgłaszają część pierwotnej ekspozycji przez zastosowaniem współczynników konwersji objętą ochroną kredytową nierzeczywistą uznaną zgodnie z metodami określonymi w części trzeciej tytuł II rozdział 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WARTOŚĆ EKSPOZYCJI</w:t>
            </w:r>
          </w:p>
          <w:p w14:paraId="1BED4297" w14:textId="2EFC32AF"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uproszczoną metodę ważenia ryzykiem lub metodę opartą na PD/LGD zgłaszają w kolumnie 0060 wartość ekspozycji z uwzględnieniem efektów substytucyjnych wynikających z ochrony kredytowej nierzeczywistej (art. 155</w:t>
            </w:r>
            <w:r>
              <w:rPr>
                <w:rFonts w:ascii="Times New Roman" w:hAnsi="Times New Roman"/>
                <w:sz w:val="24"/>
              </w:rPr>
              <w:t xml:space="preserve"> ust. 2 i 3 oraz art. 167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7820688E" w14:textId="2467A736"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przypadku pozabilansowych ekspozycji kapitałowych wartość ekspozycji odpowiada ich wartości nominalnej po korektach z tytułu szczególnego ryzyka kredytowego (art. 167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POZYCJE POZABILANSOWE</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Zob. instrukcje dotyczące wzoru 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ŚREDNIA WARTOŚĆ LGD WAŻONA EKSPOZYCJĄ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Instytucje stosujące metodę opartą na PD/LGD zgłaszają średnią wartość LGD ważoną ekspozycją, która to wartość przypisana jest zagregowanym klasom jakości lub pulom dłużnika.</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Do obliczenia średniej wartości LGD ważonej ekspozycją wykorzystuje się wartość ekspozycji z uwzględnieniem ochrony kredytowej nierzeczywistej (kolumna 0060). </w:t>
            </w:r>
          </w:p>
          <w:p w14:paraId="725024C2" w14:textId="419A6CC6"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biorą pod uwagę art. 165 ust.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KWOTA EKSPOZYCJI WAŻONEJ RYZYKIEM</w:t>
            </w:r>
          </w:p>
          <w:p w14:paraId="4FE463AD" w14:textId="5E44B78B"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zgłaszają kwoty ekspozycji ważone ryzykiem w odniesieniu do ekspozycji kapitałowych, obliczane zgodnie z art. 155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p w14:paraId="07D0BD64" w14:textId="75A3AAEC"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Jeżeli instytucje korzystające z metody opartej na PD/LGD nie posiadają wystarczających informacji, by skorzystać z definicji niewykonania zobowiązania określonej w art. 178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do wag ryzyka przypisuje się współczynnik korygujący w wysokości 1,5 (art. 155 ust. 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p w14:paraId="6DFE5B20" w14:textId="30BE5581"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odniesieniu do parametru wejściowego M (termin zapadalności) w funkcji wagi ryzyka termin zapadalności przypisany do ekspozycji kapitałowych wynosi 5 lat (art. 165 ust. 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POZYCJA UZUPEŁNIAJĄCA: KWOTA OCZEKIWANEJ STRATY</w:t>
            </w:r>
          </w:p>
          <w:p w14:paraId="4F362F35" w14:textId="728D962C"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kolumnie 0090 instytucje zgłaszają kwotę oczekiwanej straty dla ekspozycji kapitałowych, obliczaną zgodnie z art. 158 ust. 4, 7, 8 i 9</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43455E" w:rsidP="00487A02">
      <w:pPr>
        <w:pStyle w:val="InstructionsText2"/>
        <w:numPr>
          <w:ilvl w:val="0"/>
          <w:numId w:val="0"/>
        </w:numPr>
        <w:ind w:left="1353" w:hanging="360"/>
      </w:pPr>
      <w:fldSimple w:instr=" seq paragraphs ">
        <w:r w:rsidR="008F3052">
          <w:t>98</w:t>
        </w:r>
      </w:fldSimple>
      <w:r w:rsidR="008F3052">
        <w:t>.</w:t>
      </w:r>
      <w:r w:rsidR="008F3052">
        <w:tab/>
        <w:t>[skreślone]</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Wiersze</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wiersz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OPARTA NA PD/LGD: RAZEM </w:t>
            </w:r>
          </w:p>
          <w:p w14:paraId="1CA58208" w14:textId="396C46A3" w:rsidR="00745369" w:rsidRPr="002A677E"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metodę opartą na PD/LGD (art. 155 ust. 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zgłaszają wymagane informacje w wierszu 0020 wzoru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wiersze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UPROSZCZONA METODA WAŻENIA RYZYKIEM: RAZEM</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PODZIAŁ EKSPOZYCJI CAŁKOWITYCH ZGODNIE Z UPROSZCZONĄ METODĄ WAŻENIA RYZYKIEM WEDŁUG WAG RYZYKA</w:t>
            </w:r>
          </w:p>
          <w:p w14:paraId="6F14F917" w14:textId="3C5C73B8" w:rsidR="00745369" w:rsidRPr="002A677E"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 wierszach 0050–0090 instytucje stosujące uproszczoną metodę ważenia ryzykiem (art. 155 ust.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zgłaszają wymagane informacje zgodnie z charakterystyką ekspozycji bazowych.</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wiersz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METODA MODELI WEWNĘTRZNYCH</w:t>
            </w:r>
          </w:p>
          <w:p w14:paraId="6C4ED17A" w14:textId="6C66E637" w:rsidR="00C61FF5" w:rsidRPr="002A677E"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Instytucje stosujące metodę modeli wewnętrznych (art. 155 ust. 4</w:t>
            </w:r>
            <w:r>
              <w:t xml:space="preserve"> rozporządzenia (UE) </w:t>
            </w:r>
            <w:r w:rsidRPr="0043455E">
              <w:t>nr</w:t>
            </w:r>
            <w:r w:rsidR="0043455E" w:rsidRPr="0043455E">
              <w:t> </w:t>
            </w:r>
            <w:r w:rsidRPr="0043455E">
              <w:t>5</w:t>
            </w:r>
            <w:r>
              <w:t>75/2013</w:t>
            </w:r>
            <w:r>
              <w:rPr>
                <w:rStyle w:val="FormatvorlageInstructionsTabelleText"/>
                <w:rFonts w:ascii="Times New Roman" w:hAnsi="Times New Roman"/>
                <w:sz w:val="24"/>
              </w:rPr>
              <w:t>) zgłaszają wymagane informacje w wierszu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wiersz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EKSPOZYCJE KAPITAŁOWE PODLEGAJĄCE WAGOM RYZYKA</w:t>
            </w:r>
          </w:p>
          <w:p w14:paraId="0D6FAD77" w14:textId="0016E915" w:rsidR="005C7A65" w:rsidRPr="002A677E" w:rsidRDefault="00C61FF5" w:rsidP="005C7A65">
            <w:pPr>
              <w:rPr>
                <w:rFonts w:ascii="Times New Roman" w:hAnsi="Times New Roman"/>
                <w:sz w:val="24"/>
              </w:rPr>
            </w:pPr>
            <w:r>
              <w:rPr>
                <w:rFonts w:ascii="Times New Roman" w:hAnsi="Times New Roman"/>
                <w:sz w:val="24"/>
              </w:rPr>
              <w:t>Instytucje stosujące metodę IRB zgłaszają kwoty ekspozycji ważonej ryzykiem dla tych ekspozycji kapitałowych, które wiążą się z przypisaniem stałej wagi ryzyka (chociaż nie są jednoznacznie traktowane według uproszczonej metody ważenia ryzykiem ani nie są w niepełnym zakresie objęte standardową metodą (stosowaną czasowo lub stale) obliczania ryzyka kredytowego), w tym następujących ekspozycji:</w:t>
            </w:r>
          </w:p>
          <w:p w14:paraId="1B3BB7B4" w14:textId="47951906"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kwota ekspozycji ważonej ryzykiem w odniesieniu do pozycji w papierach kapitałowych w podmiotach sektora finansowego traktowana zgodnie z art. 48 ust. 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FormatvorlageInstructionsTabelleText"/>
                <w:rFonts w:ascii="Times New Roman" w:hAnsi="Times New Roman"/>
                <w:sz w:val="24"/>
              </w:rPr>
              <w:t>jak również</w:t>
            </w:r>
          </w:p>
          <w:p w14:paraId="5D0336DA" w14:textId="6AB57418" w:rsidR="005C7A65" w:rsidRPr="002A677E" w:rsidRDefault="00C61FF5" w:rsidP="0033476C">
            <w:pPr>
              <w:rPr>
                <w:rStyle w:val="FormatvorlageInstructionsTabelleText"/>
                <w:rFonts w:ascii="Times New Roman" w:hAnsi="Times New Roman"/>
                <w:sz w:val="24"/>
              </w:rPr>
            </w:pPr>
            <w:r>
              <w:t xml:space="preserve">– </w:t>
            </w:r>
            <w:r>
              <w:rPr>
                <w:rStyle w:val="FormatvorlageInstructionsTabelleText"/>
                <w:rFonts w:ascii="Times New Roman" w:hAnsi="Times New Roman"/>
                <w:sz w:val="24"/>
              </w:rPr>
              <w:t>pozycje w papierach kapitałowych ważone ryzykiem o wadze</w:t>
            </w:r>
            <w:r>
              <w:t xml:space="preserve"> </w:t>
            </w:r>
            <w:r>
              <w:rPr>
                <w:rStyle w:val="FormatvorlageInstructionsTabelleText"/>
                <w:rFonts w:ascii="Times New Roman" w:hAnsi="Times New Roman"/>
                <w:sz w:val="24"/>
              </w:rPr>
              <w:t>370 % zgodnie z art. 471 ust.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FormatvorlageInstructionsTabelleText"/>
                <w:rFonts w:ascii="Times New Roman" w:hAnsi="Times New Roman"/>
                <w:sz w:val="24"/>
              </w:rPr>
              <w:t xml:space="preserve"> zgłasza się w wierszu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wiersz 0120</w:t>
            </w:r>
          </w:p>
        </w:tc>
        <w:tc>
          <w:tcPr>
            <w:tcW w:w="7916" w:type="dxa"/>
            <w:tcBorders>
              <w:top w:val="single" w:sz="4" w:space="0" w:color="auto"/>
              <w:left w:val="single" w:sz="4" w:space="0" w:color="auto"/>
              <w:bottom w:val="single" w:sz="4" w:space="0" w:color="auto"/>
              <w:right w:val="single" w:sz="4" w:space="0" w:color="auto"/>
            </w:tcBorders>
          </w:tcPr>
          <w:p w14:paraId="67B895C3" w14:textId="6AE21211"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EKSPOZYCJE W POSTACI JEDNOSTEK UB UDZIAŁÓW W PRZEDSIĘBIORSTWACH ZBIOROWEGO INWESTOWANIA</w:t>
            </w:r>
            <w:r>
              <w:rPr>
                <w:rStyle w:val="FormatvorlageInstructionsTabelleText"/>
                <w:b/>
              </w:rPr>
              <w:t xml:space="preserve"> PODLEGAJĄCE METODZIE REZERWOWEJ</w:t>
            </w:r>
          </w:p>
          <w:p w14:paraId="69A5A4C6" w14:textId="0A12EEC0"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 xml:space="preserve">Ekspozycje w postaci jednostek lub udziałów w przedsiębiorstwach zbiorowego inwestowania traktowane zgodnie z metodą rezerwową określoną w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52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6</w:t>
            </w:r>
            <w:r>
              <w:rPr>
                <w:rStyle w:val="FormatvorlageInstructionsTabelleText"/>
                <w:rFonts w:ascii="Times New Roman" w:hAnsi="Times New Roman"/>
                <w:sz w:val="24"/>
              </w:rPr>
              <w:t xml:space="preserve"> 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 również zgłasza się w tym wierszu.</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PODZIAŁ EKSPOZYCJI CAŁKOWITYCH WEDŁUG METODY OPARTEJ NA PD/LGD WEDŁUG KLAS JAKOŚCI DŁUŻNIKÓW</w:t>
            </w:r>
          </w:p>
          <w:p w14:paraId="51572AE4" w14:textId="147603D7"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Instytucje stosujące metodę opartą na PD/LGD (art. 155 ust. 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zgłaszają wymagane informacje we wzorze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Instytucje stosujące metodę opartą na PD/LGD, które stosują niepowtarzalną skalę ratingu lub które mają możliwość zgłaszania danych zgodnie z wewnętrznym wzorcem, we wzorze CR EQU IRB 2 zgłaszają klasy ratingowe lub pule związane z tym niepowtarzalną skalą ratingu/wzorcem. W każdym innym przypadku łączy się różne skale ratingu i szereguje je zgodnie z następującymi kryteriami: klasy jakości lub pule dłużnika z różnych skali ratingowych łączy się i szereguje od najniższego PD przypisanego każdej klasie jakości lub puli dłużnika do najwyższego.</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9064838"/>
      <w:r>
        <w:rPr>
          <w:rFonts w:ascii="Times New Roman" w:hAnsi="Times New Roman"/>
          <w:sz w:val="24"/>
          <w:u w:val="none"/>
        </w:rPr>
        <w:t>3.6.</w:t>
      </w:r>
      <w:r>
        <w:tab/>
      </w:r>
      <w:r>
        <w:rPr>
          <w:rFonts w:ascii="Times New Roman" w:hAnsi="Times New Roman"/>
          <w:sz w:val="24"/>
        </w:rPr>
        <w:t>C 11.00 – Ryzyko rozliczenia /dostawy</w:t>
      </w:r>
      <w:bookmarkEnd w:id="397"/>
      <w:bookmarkEnd w:id="398"/>
      <w:r>
        <w:rPr>
          <w:rFonts w:ascii="Times New Roman" w:hAnsi="Times New Roman"/>
          <w:sz w:val="24"/>
        </w:rPr>
        <w:t xml:space="preserve"> (CR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9064839"/>
      <w:r>
        <w:rPr>
          <w:rFonts w:ascii="Times New Roman" w:hAnsi="Times New Roman"/>
          <w:sz w:val="24"/>
          <w:u w:val="none"/>
        </w:rPr>
        <w:t>3.6.1.</w:t>
      </w:r>
      <w:r>
        <w:tab/>
      </w:r>
      <w:r>
        <w:rPr>
          <w:rFonts w:ascii="Times New Roman" w:hAnsi="Times New Roman"/>
          <w:sz w:val="24"/>
        </w:rPr>
        <w:t>Uwagi ogólne</w:t>
      </w:r>
      <w:bookmarkEnd w:id="401"/>
      <w:bookmarkEnd w:id="402"/>
      <w:bookmarkEnd w:id="403"/>
      <w:bookmarkEnd w:id="404"/>
      <w:bookmarkEnd w:id="405"/>
      <w:bookmarkEnd w:id="406"/>
    </w:p>
    <w:p w14:paraId="2EF1780C" w14:textId="173811A2" w:rsidR="00612780" w:rsidRPr="002A677E" w:rsidRDefault="0043455E" w:rsidP="00487A02">
      <w:pPr>
        <w:pStyle w:val="InstructionsText2"/>
        <w:numPr>
          <w:ilvl w:val="0"/>
          <w:numId w:val="0"/>
        </w:numPr>
        <w:ind w:left="1353" w:hanging="360"/>
      </w:pPr>
      <w:fldSimple w:instr=" seq paragraphs ">
        <w:r w:rsidR="008F3052">
          <w:t>99</w:t>
        </w:r>
      </w:fldSimple>
      <w:r w:rsidR="008F3052">
        <w:t>.</w:t>
      </w:r>
      <w:r w:rsidR="008F3052">
        <w:tab/>
        <w:t xml:space="preserve">W ten wzór wprowadza się żądane informacje dotyczące zarówno transakcji portfela handlowego, jak i portfela bankowego, które są nierozliczone po ustalonych datach dostawy, a także odpowiadające im wymogi w zakresie funduszy własnych z tytułu ryzyka rozliczenia zgodnie z art. 92 ust. 3 lit. c) pkt (ii) oraz art. 378 rozporządzenia (UE) </w:t>
      </w:r>
      <w:r w:rsidR="008F3052" w:rsidRPr="0043455E">
        <w:t>nr</w:t>
      </w:r>
      <w:r w:rsidRPr="0043455E">
        <w:t> </w:t>
      </w:r>
      <w:r w:rsidR="008F3052" w:rsidRPr="0043455E">
        <w:t>5</w:t>
      </w:r>
      <w:r w:rsidR="008F3052">
        <w:t xml:space="preserve">75/2013. </w:t>
      </w:r>
    </w:p>
    <w:p w14:paraId="0097294C" w14:textId="77777777" w:rsidR="00612780" w:rsidRPr="002A677E" w:rsidRDefault="0043455E" w:rsidP="00487A02">
      <w:pPr>
        <w:pStyle w:val="InstructionsText2"/>
        <w:numPr>
          <w:ilvl w:val="0"/>
          <w:numId w:val="0"/>
        </w:numPr>
        <w:ind w:left="1353" w:hanging="360"/>
      </w:pPr>
      <w:fldSimple w:instr=" seq paragraphs ">
        <w:r w:rsidR="008F3052">
          <w:t>100</w:t>
        </w:r>
      </w:fldSimple>
      <w:r w:rsidR="008F3052">
        <w:t>.</w:t>
      </w:r>
      <w:r w:rsidR="008F3052">
        <w:tab/>
        <w:t xml:space="preserve">Instytucje zgłaszają we wzorze CR SETT informacje dotyczące ryzyka rozliczenia/dostawy w związku z instrumentami dłużnymi, instrumentami kapitałowymi, walutami obcymi i towarami posiadanymi w swoich portfelach handlowych i bankowych. </w:t>
      </w:r>
    </w:p>
    <w:p w14:paraId="42180048" w14:textId="5ECB128B" w:rsidR="00612780" w:rsidRPr="002A677E" w:rsidRDefault="0043455E" w:rsidP="00487A02">
      <w:pPr>
        <w:pStyle w:val="InstructionsText2"/>
        <w:numPr>
          <w:ilvl w:val="0"/>
          <w:numId w:val="0"/>
        </w:numPr>
        <w:ind w:left="1353" w:hanging="360"/>
      </w:pPr>
      <w:fldSimple w:instr=" seq paragraphs ">
        <w:r w:rsidR="008F3052">
          <w:t>101</w:t>
        </w:r>
      </w:fldSimple>
      <w:r w:rsidR="008F3052">
        <w:t>.</w:t>
      </w:r>
      <w:r w:rsidR="008F3052">
        <w:tab/>
        <w:t xml:space="preserve">Zgodnie z art. 378 rozporządzenia (UE) </w:t>
      </w:r>
      <w:r w:rsidR="008F3052" w:rsidRPr="0043455E">
        <w:t>nr</w:t>
      </w:r>
      <w:r w:rsidRPr="0043455E">
        <w:t> </w:t>
      </w:r>
      <w:r w:rsidR="008F3052" w:rsidRPr="0043455E">
        <w:t>5</w:t>
      </w:r>
      <w:r w:rsidR="008F3052">
        <w:t xml:space="preserve">75/2013 transakcje z udzielonym przyrzeczeniem odkupu, transakcje udzielania lub zaciągania pożyczek papierów wartościowych lub towarów w połączeniu z instrumentami dłużnymi, instrumenty kapitałowe, waluty obce i towary nie są objęte wymogami w zakresie funduszy własnych z tytułu ryzyka rozliczenia/dostawy. Należy jednak zauważyć, że instrumenty pochodne i transakcje z długim terminem rozliczenia nierozliczone po ustalonych datach dostawy podlegają wymogom w zakresie funduszy własnych z tytułu ryzyka rozliczenia/dostawy zgodnie z art. 378 rozporządzenia (UE) </w:t>
      </w:r>
      <w:r w:rsidR="008F3052" w:rsidRPr="0043455E">
        <w:t>nr</w:t>
      </w:r>
      <w:r w:rsidRPr="0043455E">
        <w:t> </w:t>
      </w:r>
      <w:r w:rsidR="008F3052" w:rsidRPr="0043455E">
        <w:t>5</w:t>
      </w:r>
      <w:r w:rsidR="008F3052">
        <w:t>75/2013.</w:t>
      </w:r>
    </w:p>
    <w:p w14:paraId="2DCFA26D" w14:textId="77777777" w:rsidR="00612780" w:rsidRPr="002A677E" w:rsidRDefault="0043455E" w:rsidP="00487A02">
      <w:pPr>
        <w:pStyle w:val="InstructionsText2"/>
        <w:numPr>
          <w:ilvl w:val="0"/>
          <w:numId w:val="0"/>
        </w:numPr>
        <w:ind w:left="1353" w:hanging="360"/>
      </w:pPr>
      <w:fldSimple w:instr=" seq paragraphs ">
        <w:r w:rsidR="008F3052">
          <w:t>102</w:t>
        </w:r>
      </w:fldSimple>
      <w:r w:rsidR="008F3052">
        <w:t>.</w:t>
      </w:r>
      <w:r w:rsidR="008F3052">
        <w:tab/>
        <w:t xml:space="preserve">W przypadku transakcji nierozliczonych po ustalonych datach dostawy instytucje obliczają różnicę cenową mogącą stanowić ich stratę. Jest to różnica pomiędzy ustalonym kursem rozliczeniowym danego instrumentu dłużnego, instrumentu kapitałowego, waluty obcej lub towaru a obecną wartością rynkową, jeżeli ta różnica może oznaczać stratę dla instytucji. </w:t>
      </w:r>
    </w:p>
    <w:p w14:paraId="1196ED7E" w14:textId="4171640C" w:rsidR="00612780" w:rsidRPr="002A677E" w:rsidRDefault="0043455E" w:rsidP="00487A02">
      <w:pPr>
        <w:pStyle w:val="InstructionsText2"/>
        <w:numPr>
          <w:ilvl w:val="0"/>
          <w:numId w:val="0"/>
        </w:numPr>
        <w:ind w:left="1353" w:hanging="360"/>
      </w:pPr>
      <w:fldSimple w:instr=" seq paragraphs ">
        <w:r w:rsidR="008F3052">
          <w:t>103</w:t>
        </w:r>
      </w:fldSimple>
      <w:r w:rsidR="008F3052">
        <w:t>.</w:t>
      </w:r>
      <w:r w:rsidR="008F3052">
        <w:tab/>
        <w:t xml:space="preserve">Instytucje mnożą tę różnicę przez odpowiedni współczynnik z tabeli 1 znajdującej się w art. 378 rozporządzenia (UE) </w:t>
      </w:r>
      <w:r w:rsidR="008F3052" w:rsidRPr="0043455E">
        <w:t>nr</w:t>
      </w:r>
      <w:r w:rsidRPr="0043455E">
        <w:t> </w:t>
      </w:r>
      <w:r w:rsidR="008F3052" w:rsidRPr="0043455E">
        <w:t>5</w:t>
      </w:r>
      <w:r w:rsidR="008F3052">
        <w:t>75/2013, aby określić odpowiadające jej wymogi w zakresie funduszy własnych.</w:t>
      </w:r>
    </w:p>
    <w:p w14:paraId="6621AF99" w14:textId="5125855A" w:rsidR="00612780" w:rsidRPr="002A677E" w:rsidRDefault="0043455E" w:rsidP="00487A02">
      <w:pPr>
        <w:pStyle w:val="InstructionsText2"/>
        <w:numPr>
          <w:ilvl w:val="0"/>
          <w:numId w:val="0"/>
        </w:numPr>
        <w:ind w:left="1353" w:hanging="360"/>
      </w:pPr>
      <w:fldSimple w:instr=" seq paragraphs ">
        <w:r w:rsidR="008F3052">
          <w:t>104</w:t>
        </w:r>
      </w:fldSimple>
      <w:r w:rsidR="008F3052">
        <w:t>.</w:t>
      </w:r>
      <w:r w:rsidR="008F3052">
        <w:tab/>
        <w:t xml:space="preserve">Zgodnie z art. 92 ust. 4 lit. b) rozporządzenia (UE) </w:t>
      </w:r>
      <w:r w:rsidR="008F3052" w:rsidRPr="0043455E">
        <w:t>nr</w:t>
      </w:r>
      <w:r w:rsidRPr="0043455E">
        <w:t> </w:t>
      </w:r>
      <w:r w:rsidR="008F3052" w:rsidRPr="0043455E">
        <w:t>5</w:t>
      </w:r>
      <w:r w:rsidR="008F3052">
        <w:t>75/2013 wymogi w zakresie funduszy własnych z tytułu ryzyka rozliczenia/dostawy mnoży się przez 12,5, aby obliczyć kwotę ekspozycji na ryzyko.</w:t>
      </w:r>
    </w:p>
    <w:p w14:paraId="355A5C98" w14:textId="04B4DB10" w:rsidR="00612780" w:rsidRPr="002A677E" w:rsidRDefault="0043455E" w:rsidP="00487A02">
      <w:pPr>
        <w:pStyle w:val="InstructionsText2"/>
        <w:numPr>
          <w:ilvl w:val="0"/>
          <w:numId w:val="0"/>
        </w:numPr>
        <w:ind w:left="1353" w:hanging="360"/>
      </w:pPr>
      <w:fldSimple w:instr=" seq paragraphs ">
        <w:r w:rsidR="008F3052">
          <w:t>105</w:t>
        </w:r>
      </w:fldSimple>
      <w:r w:rsidR="008F3052">
        <w:t>.</w:t>
      </w:r>
      <w:r w:rsidR="008F3052">
        <w:tab/>
        <w:t xml:space="preserve">Należy zauważyć, że wymogi w zakresie funduszy własnych dla dostaw z późniejszym terminem rozliczenia określone w art. 379 rozporządzenia (UE) </w:t>
      </w:r>
      <w:r w:rsidR="008F3052" w:rsidRPr="0043455E">
        <w:t>nr</w:t>
      </w:r>
      <w:r w:rsidRPr="0043455E">
        <w:t> </w:t>
      </w:r>
      <w:r w:rsidR="008F3052" w:rsidRPr="0043455E">
        <w:t>5</w:t>
      </w:r>
      <w:r w:rsidR="008F3052">
        <w:t>75/2013 nie wchodzą w zakres wzoru CR SETT. Te wymogi w zakresie funduszy własnych zgłaszane są we wzorach dotyczących ryzyka kredytowego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119064840"/>
      <w:r>
        <w:rPr>
          <w:rFonts w:ascii="Times New Roman" w:hAnsi="Times New Roman"/>
          <w:sz w:val="24"/>
          <w:u w:val="none"/>
        </w:rPr>
        <w:t>3.6.2.</w:t>
      </w:r>
      <w:r>
        <w:tab/>
      </w:r>
      <w:r>
        <w:rPr>
          <w:rFonts w:ascii="Times New Roman" w:hAnsi="Times New Roman"/>
          <w:sz w:val="24"/>
        </w:rPr>
        <w:t>Instrukcje dotyczące poszczególnych pozycji</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Kolumny</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WEDŁUG KURSU ROZLICZENIOWEGO</w:t>
            </w:r>
          </w:p>
          <w:p w14:paraId="34DCAB1C" w14:textId="47BFCA29"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Instytucje zgłaszają transakcje nierozliczone po ustalonych datach dostawy według odpowiedniego ustalonego kursu rozliczeniowego zgodnie z art. 378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W tej kolumnie uwzględnia się wszystkie transakcje nierozliczone, niezależnie od faktu, czy po terminie rozliczenia stanowią one zysk czy stratę.</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EKSPOZYCJA ZWIĄZANA Z RÓŻNICĄ CENOWĄ WYNIKAJĄCA Z NIEROZLICZONYCH TRANSAKCJI</w:t>
            </w:r>
          </w:p>
          <w:p w14:paraId="3F5B0EE4" w14:textId="67F64CE5"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lastRenderedPageBreak/>
              <w:t xml:space="preserve">Zgodnie z art. 378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instytucje zgłaszają różnicę pomiędzy ustalonym kursem rozliczeniowym a bieżącą wartością rynkową danego instrumentu dłużnego, instrumentu kapitałowego, waluty obcej lub towaru, jeżeli ta różnica może oznaczać stratę dla instytucji.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W tej kolumnie zgłasza się wyłącznie nierozliczone transakcje oznaczające stratę po terminie rozliczenia.</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WYMOGI W ZAKRESIE FUNDUSZY WŁASNYCH</w:t>
            </w:r>
          </w:p>
          <w:p w14:paraId="1A4486D5" w14:textId="2AB65A0A"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 xml:space="preserve">Instytucje zgłaszają wymogi w zakresie funduszy własnych obliczone zgodnie z art. 378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CAŁKOWITA KWOTA EKSPOZYCJI NA RYZYKO ROZLICZENIA</w:t>
            </w:r>
          </w:p>
          <w:p w14:paraId="74FAF790" w14:textId="5D6112B3"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 xml:space="preserve">Zgodnie z art. 92 ust. 4 lit.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instytucje mnożą wymogi w zakresie funduszy własnych zgłoszone w kolumnie 0030 przez 12,5, aby uzyskać kwotę ekspozycji na ryzyko rozliczenia.</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Wiersze</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w portfelu bankowym razem</w:t>
            </w:r>
          </w:p>
          <w:p w14:paraId="3E8F5041" w14:textId="493E4AAD"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Instytucje zgłaszają zagregowane informacje dotyczące ryzyka rozliczenia/dostawy dla pozycji w portfelu bankowym (zgodnie z art. 92 ust. 3 lit. c) pkt (ii) oraz art. 378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Instytucje zgłaszają w wierszu {r0010;c0010} zagregowaną sumę transakcji nierozliczonych po ustalonych datach dostawy według odpowiedniego ustalonego kursu rozliczeniowego.</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Instytucje zgłaszają w wierszu {r0010;c0020} zagregowane informacje dotyczące ekspozycji związanej z różnicą cenową wynikającą z nierozliczonych transakcji oznaczającą stratę.</w:t>
            </w:r>
          </w:p>
          <w:p w14:paraId="11A74A60" w14:textId="68AEB037"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 xml:space="preserve">Instytucje zgłaszają w {r0010;c0030} zagregowane wymogi w zakresie funduszy własnych uzyskane po zsumowaniu wymogów w zakresie funduszy własnych dla nierozliczonych transakcji poprzez pomnożenie „różnicy cenowej” zgłoszonej w kolumnie 0020 przez odpowiedni współczynnik w oparciu o liczbę dni roboczych po terminie rozliczenia (kategorie, o których mowa w tabeli 1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maksymalnie 4 dni (współczynnik 0</w:t>
            </w:r>
            <w:r>
              <w:t> </w:t>
            </w:r>
            <w:r>
              <w:rPr>
                <w:rStyle w:val="InstructionsTabelleberschrift"/>
                <w:rFonts w:ascii="Times New Roman" w:hAnsi="Times New Roman"/>
                <w:sz w:val="24"/>
              </w:rPr>
              <w:t xml:space="preserve">%) </w:t>
            </w:r>
          </w:p>
          <w:p w14:paraId="66BDE090" w14:textId="5742CD8A"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w:t>
            </w:r>
            <w:r w:rsidRPr="0043455E">
              <w:rPr>
                <w:rStyle w:val="InstructionsTabelleberschrift"/>
                <w:rFonts w:ascii="Times New Roman" w:hAnsi="Times New Roman"/>
                <w:sz w:val="24"/>
              </w:rPr>
              <w:t>od</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 xml:space="preserve"> </w:t>
            </w:r>
            <w:r w:rsidRPr="0043455E">
              <w:rPr>
                <w:rStyle w:val="InstructionsTabelleberschrift"/>
                <w:rFonts w:ascii="Times New Roman" w:hAnsi="Times New Roman"/>
                <w:sz w:val="24"/>
              </w:rPr>
              <w:t>do</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5 dni (współczynnik 8 %)</w:t>
            </w:r>
          </w:p>
          <w:p w14:paraId="1D5CEDEC" w14:textId="65D03D2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w:t>
            </w:r>
            <w:r w:rsidRPr="0043455E">
              <w:rPr>
                <w:rStyle w:val="InstructionsTabelleberschrift"/>
                <w:rFonts w:ascii="Times New Roman" w:hAnsi="Times New Roman"/>
                <w:sz w:val="24"/>
              </w:rPr>
              <w:t>od</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 xml:space="preserve">6 </w:t>
            </w:r>
            <w:r w:rsidRPr="0043455E">
              <w:rPr>
                <w:rStyle w:val="InstructionsTabelleberschrift"/>
                <w:rFonts w:ascii="Times New Roman" w:hAnsi="Times New Roman"/>
                <w:sz w:val="24"/>
              </w:rPr>
              <w:t>do</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3</w:t>
            </w:r>
            <w:r>
              <w:rPr>
                <w:rStyle w:val="InstructionsTabelleberschrift"/>
                <w:rFonts w:ascii="Times New Roman" w:hAnsi="Times New Roman"/>
                <w:sz w:val="24"/>
              </w:rPr>
              <w:t>0 dni (współczynnik 50 %)</w:t>
            </w:r>
          </w:p>
          <w:p w14:paraId="11204902" w14:textId="090CC458"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w:t>
            </w:r>
            <w:r w:rsidRPr="0043455E">
              <w:rPr>
                <w:rStyle w:val="InstructionsTabelleberschrift"/>
                <w:rFonts w:ascii="Times New Roman" w:hAnsi="Times New Roman"/>
                <w:sz w:val="24"/>
              </w:rPr>
              <w:t>od</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3</w:t>
            </w:r>
            <w:r>
              <w:rPr>
                <w:rStyle w:val="InstructionsTabelleberschrift"/>
                <w:rFonts w:ascii="Times New Roman" w:hAnsi="Times New Roman"/>
                <w:sz w:val="24"/>
              </w:rPr>
              <w:t xml:space="preserve">1 </w:t>
            </w:r>
            <w:r w:rsidRPr="0043455E">
              <w:rPr>
                <w:rStyle w:val="InstructionsTabelleberschrift"/>
                <w:rFonts w:ascii="Times New Roman" w:hAnsi="Times New Roman"/>
                <w:sz w:val="24"/>
              </w:rPr>
              <w:t>do</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4</w:t>
            </w:r>
            <w:r>
              <w:rPr>
                <w:rStyle w:val="InstructionsTabelleberschrift"/>
                <w:rFonts w:ascii="Times New Roman" w:hAnsi="Times New Roman"/>
                <w:sz w:val="24"/>
              </w:rPr>
              <w:t>5 dni (współczynnik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46 dni i więcej (współczynnik 100 %)</w:t>
            </w:r>
          </w:p>
          <w:p w14:paraId="1E959056" w14:textId="0F1C6026"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W wierszach 0020–0060 instytucje zgłaszają informacje dotyczące ryzyka rozliczenia/dostawy dla pozycji w portfelu bankowym zgodnie z kategoriami, o których mowa w tabeli 1 w art. 378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W przypadku gdy od terminu rozliczenia minęło mniej niż 5 dni roboczych, nie ma wymogów w zakresie funduszy własnych w odniesieniu do ryzyka rozliczenia/dostawy.</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w portfelu handlowym razem</w:t>
            </w:r>
          </w:p>
          <w:p w14:paraId="4E51C129" w14:textId="54544D24"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Instytucje zgłaszają zagregowane informacje dotyczące ryzyka rozliczenia/dostawy dla pozycji w portfelu handlowym (zgodnie z art. 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lit. c) pkt (ii) oraz art. 378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Instytucje zgłaszają w wierszu {r0070;c0010} zagregowaną sumę transakcji nierozliczonych po ustalonych datach dostawy według odpowiedniego ustalonego kursu rozliczeniowego.</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Instytucje zgłaszają w wierszu {r0070;c0020} zagregowane informacje dotyczące ekspozycji związanej z różnicą cenową wynikającą z nierozliczonych transakcji oznaczającą stratę.</w:t>
            </w:r>
          </w:p>
          <w:p w14:paraId="1BCAE8BB" w14:textId="545D7278"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 xml:space="preserve">Instytucje zgłaszają w {r0070;c0030} zagregowane wymogi w zakresie funduszy własnych uzyskane po zsumowaniu wymogów w zakresie funduszy własnych dla nierozliczonych transakcji poprzez pomnożenie „różnicy cenowej” zgłoszonej w kolumnie 0020 przez odpowiedni współczynnik w oparciu o liczbę dni roboczych po terminie rozliczenia (kategorie, o których mowa w tabeli 1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maksymalnie 4 dni (współczynnik 0</w:t>
            </w:r>
            <w:r>
              <w:t> </w:t>
            </w:r>
            <w:r>
              <w:rPr>
                <w:rStyle w:val="InstructionsTabelleberschrift"/>
                <w:rFonts w:ascii="Times New Roman" w:hAnsi="Times New Roman"/>
                <w:sz w:val="24"/>
              </w:rPr>
              <w:t xml:space="preserve">%) </w:t>
            </w:r>
          </w:p>
          <w:p w14:paraId="00E7E63B" w14:textId="1FB43CF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w:t>
            </w:r>
            <w:r w:rsidRPr="0043455E">
              <w:rPr>
                <w:rStyle w:val="InstructionsTabelleberschrift"/>
                <w:rFonts w:ascii="Times New Roman" w:hAnsi="Times New Roman"/>
                <w:sz w:val="24"/>
              </w:rPr>
              <w:t>od</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 xml:space="preserve"> </w:t>
            </w:r>
            <w:r w:rsidRPr="0043455E">
              <w:rPr>
                <w:rStyle w:val="InstructionsTabelleberschrift"/>
                <w:rFonts w:ascii="Times New Roman" w:hAnsi="Times New Roman"/>
                <w:sz w:val="24"/>
              </w:rPr>
              <w:t>do</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5 dni (współczynnik 8 %)</w:t>
            </w:r>
          </w:p>
          <w:p w14:paraId="5B781E9A" w14:textId="33F940AD"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w:t>
            </w:r>
            <w:r w:rsidRPr="0043455E">
              <w:rPr>
                <w:rStyle w:val="InstructionsTabelleberschrift"/>
                <w:rFonts w:ascii="Times New Roman" w:hAnsi="Times New Roman"/>
                <w:sz w:val="24"/>
              </w:rPr>
              <w:t>od</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1</w:t>
            </w:r>
            <w:r>
              <w:rPr>
                <w:rStyle w:val="InstructionsTabelleberschrift"/>
                <w:rFonts w:ascii="Times New Roman" w:hAnsi="Times New Roman"/>
                <w:sz w:val="24"/>
              </w:rPr>
              <w:t xml:space="preserve">6 </w:t>
            </w:r>
            <w:r w:rsidRPr="0043455E">
              <w:rPr>
                <w:rStyle w:val="InstructionsTabelleberschrift"/>
                <w:rFonts w:ascii="Times New Roman" w:hAnsi="Times New Roman"/>
                <w:sz w:val="24"/>
              </w:rPr>
              <w:t>do</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3</w:t>
            </w:r>
            <w:r>
              <w:rPr>
                <w:rStyle w:val="InstructionsTabelleberschrift"/>
                <w:rFonts w:ascii="Times New Roman" w:hAnsi="Times New Roman"/>
                <w:sz w:val="24"/>
              </w:rPr>
              <w:t>0 dni (współczynnik 50 %)</w:t>
            </w:r>
          </w:p>
          <w:p w14:paraId="2A3AEA7E" w14:textId="2911C27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Transakcje nierozliczone za okres </w:t>
            </w:r>
            <w:r w:rsidRPr="0043455E">
              <w:rPr>
                <w:rStyle w:val="InstructionsTabelleberschrift"/>
                <w:rFonts w:ascii="Times New Roman" w:hAnsi="Times New Roman"/>
                <w:sz w:val="24"/>
              </w:rPr>
              <w:t>od</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3</w:t>
            </w:r>
            <w:r>
              <w:rPr>
                <w:rStyle w:val="InstructionsTabelleberschrift"/>
                <w:rFonts w:ascii="Times New Roman" w:hAnsi="Times New Roman"/>
                <w:sz w:val="24"/>
              </w:rPr>
              <w:t xml:space="preserve">1 </w:t>
            </w:r>
            <w:r w:rsidRPr="0043455E">
              <w:rPr>
                <w:rStyle w:val="InstructionsTabelleberschrift"/>
                <w:rFonts w:ascii="Times New Roman" w:hAnsi="Times New Roman"/>
                <w:sz w:val="24"/>
              </w:rPr>
              <w:t>do</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4</w:t>
            </w:r>
            <w:r>
              <w:rPr>
                <w:rStyle w:val="InstructionsTabelleberschrift"/>
                <w:rFonts w:ascii="Times New Roman" w:hAnsi="Times New Roman"/>
                <w:sz w:val="24"/>
              </w:rPr>
              <w:t>5 dni (współczynnik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Transakcje nierozliczone za okres 46 dni i więcej (współczynnik 100 %)</w:t>
            </w:r>
          </w:p>
          <w:p w14:paraId="63665BC6" w14:textId="45D4CB7B"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W wierszach 0080–0120 instytucje zgłaszają informacje dotyczące ryzyka rozliczenia/dostawy dla pozycji w portfelu handlowym zgodnie z kategoriami, o których mowa w tabeli 1 w art. 378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W przypadku gdy od terminu rozliczenia minęło mniej niż 5 dni roboczych, nie ma wymogów w zakresie funduszy własnych w odniesieniu do ryzyka rozliczenia/dostawy.</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119064841"/>
      <w:r>
        <w:rPr>
          <w:rFonts w:ascii="Times New Roman" w:hAnsi="Times New Roman"/>
          <w:sz w:val="24"/>
          <w:u w:val="none"/>
        </w:rPr>
        <w:t>3.7.</w:t>
      </w:r>
      <w:r>
        <w:tab/>
      </w:r>
      <w:r>
        <w:rPr>
          <w:rFonts w:ascii="Times New Roman" w:hAnsi="Times New Roman"/>
          <w:sz w:val="24"/>
        </w:rPr>
        <w:t>C 13.01 – Ryzyko kredytowe – sekurytyzacje (CR SEC)</w:t>
      </w:r>
      <w:bookmarkEnd w:id="411"/>
      <w:bookmarkEnd w:id="412"/>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119064842"/>
      <w:r>
        <w:rPr>
          <w:rFonts w:ascii="Times New Roman" w:hAnsi="Times New Roman"/>
          <w:sz w:val="24"/>
          <w:u w:val="none"/>
        </w:rPr>
        <w:t>3.7.1.</w:t>
      </w:r>
      <w:r>
        <w:tab/>
      </w:r>
      <w:r>
        <w:rPr>
          <w:rFonts w:ascii="Times New Roman" w:hAnsi="Times New Roman"/>
          <w:sz w:val="24"/>
        </w:rPr>
        <w:t>Uwagi ogólne</w:t>
      </w:r>
      <w:bookmarkEnd w:id="413"/>
      <w:bookmarkEnd w:id="414"/>
    </w:p>
    <w:p w14:paraId="484A60BF" w14:textId="77777777" w:rsidR="00E026FB" w:rsidRPr="002A677E" w:rsidRDefault="0043455E" w:rsidP="00487A02">
      <w:pPr>
        <w:pStyle w:val="InstructionsText2"/>
        <w:numPr>
          <w:ilvl w:val="0"/>
          <w:numId w:val="0"/>
        </w:numPr>
        <w:ind w:left="1353" w:hanging="360"/>
      </w:pPr>
      <w:fldSimple w:instr=" seq paragraphs ">
        <w:r w:rsidR="008F3052">
          <w:t>106</w:t>
        </w:r>
      </w:fldSimple>
      <w:r w:rsidR="008F3052">
        <w:t xml:space="preserve">. Jeżeli instytucja jest jednostką inicjującą, w tym wzorze wymagane są informacje na temat wszystkich sekurytyzacji, w odniesieniu do których uznano przeniesienie istotnej części ryzyka. Jeżeli instytucja jest inwestorem, zgłasza się wszystkie ekspozycje. </w:t>
      </w:r>
    </w:p>
    <w:p w14:paraId="686E6583" w14:textId="77777777" w:rsidR="00E026FB" w:rsidRPr="002A677E" w:rsidRDefault="0043455E" w:rsidP="00487A02">
      <w:pPr>
        <w:pStyle w:val="InstructionsText2"/>
        <w:numPr>
          <w:ilvl w:val="0"/>
          <w:numId w:val="0"/>
        </w:numPr>
        <w:ind w:left="1353" w:hanging="360"/>
      </w:pPr>
      <w:fldSimple w:instr=" seq paragraphs ">
        <w:r w:rsidR="008F3052">
          <w:t>107</w:t>
        </w:r>
      </w:fldSimple>
      <w:r w:rsidR="008F3052">
        <w:t>.</w:t>
      </w:r>
      <w:r w:rsidR="008F3052">
        <w:tab/>
        <w:t xml:space="preserve"> Zgłaszane informacje zależą od roli instytucji w kontekście procesu sekurytyzacji. Poszczególne zgłaszane pozycje mają zastosowanie do jednostek inicjujących, jednostek sponsorujących i inwestorów.</w:t>
      </w:r>
    </w:p>
    <w:p w14:paraId="6E394288" w14:textId="77777777" w:rsidR="00E026FB" w:rsidRPr="002A677E" w:rsidRDefault="0043455E" w:rsidP="00487A02">
      <w:pPr>
        <w:pStyle w:val="InstructionsText2"/>
        <w:numPr>
          <w:ilvl w:val="0"/>
          <w:numId w:val="0"/>
        </w:numPr>
        <w:ind w:left="1353" w:hanging="360"/>
      </w:pPr>
      <w:fldSimple w:instr=" seq paragraphs ">
        <w:r w:rsidR="008F3052">
          <w:t>108</w:t>
        </w:r>
      </w:fldSimple>
      <w:r w:rsidR="008F3052">
        <w:t xml:space="preserve">. Wzór ten służy do gromadzenia informacji dotyczących zarówno sekurytyzacji tradycyjnych, jak i syntetycznych znajdujących się w portfelu bankowym.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119064843"/>
      <w:r>
        <w:rPr>
          <w:rFonts w:ascii="Times New Roman" w:hAnsi="Times New Roman"/>
          <w:sz w:val="24"/>
          <w:u w:val="none"/>
        </w:rPr>
        <w:t>3.7.2.</w:t>
      </w:r>
      <w:r>
        <w:tab/>
      </w:r>
      <w:r>
        <w:rPr>
          <w:rFonts w:ascii="Times New Roman" w:hAnsi="Times New Roman"/>
          <w:sz w:val="24"/>
        </w:rPr>
        <w:t>Instrukcje dotyczące poszczególnych pozycji</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Kolumny</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CAŁKOWITA KWOTA UTWORZONYCH EKSPOZYCJI SEKURYTYZACYJNYCH</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Instytucja inicjująca zgłasza kwotę należną na dzień sprawozdawczy w odniesieniu do wszystkich aktualnych ekspozycji sekurytyzacyjnych z tytułu transakcji sekurytyzacyjnych bez względu, kto posiada te pozycje. Zgłasza się zatem bilansowe ekspozycje sekurytyzacyjne (np. obligacje, pożyczki podporządkowane), jak również pozabilansowe ekspozycje i instrumenty pochodne (np. podporządkowane linie kredytowe, instrumenty wsparcia płynności, swapy stopy procentowej, swapy ryzyka kredytowego), które wynikają z sekurytyzacji.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7F86A32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 przypadku tradycyjnej sekurytyzacji, gdzie jednostka inicjująca nie posiada żadnych pozycji, jednostka ta nie uwzględnia tej sekurytyzacji w zgłaszaniu tego wzoru. W tym celu pozycje sekurytyzacyjne posiadane przez jednostkę inicjującą obejmują opcje przedterminowej spłaty należności, zgodnie z definicją zawartą w art. 242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ramach sekurytyzacji ekspozycji odnawialnych.</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SEKURYTYZACJE SYNTETYCZNE: OCHRONA KREDYTOWA EKSPOZYCJI SEKURYTYZACYJNYCH</w:t>
            </w:r>
          </w:p>
          <w:p w14:paraId="17C382B2" w14:textId="77777777" w:rsidR="00E026FB" w:rsidRPr="002A677E" w:rsidRDefault="00E026FB" w:rsidP="00E10B85">
            <w:pPr>
              <w:spacing w:before="0" w:after="0"/>
              <w:jc w:val="left"/>
              <w:rPr>
                <w:rFonts w:ascii="Times New Roman" w:hAnsi="Times New Roman"/>
                <w:sz w:val="24"/>
              </w:rPr>
            </w:pPr>
          </w:p>
          <w:p w14:paraId="4279B27E" w14:textId="42CDBDB8" w:rsidR="00E026FB" w:rsidRPr="002A677E" w:rsidRDefault="00E026FB" w:rsidP="00E10B85">
            <w:pPr>
              <w:spacing w:before="0" w:after="0"/>
              <w:rPr>
                <w:rFonts w:ascii="Times New Roman" w:hAnsi="Times New Roman"/>
                <w:sz w:val="24"/>
              </w:rPr>
            </w:pPr>
            <w:r>
              <w:rPr>
                <w:rFonts w:ascii="Times New Roman" w:hAnsi="Times New Roman"/>
                <w:sz w:val="24"/>
              </w:rPr>
              <w:t xml:space="preserve">Art. 251 i 252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Niedopasowanie terminów zapadalności nie jest uwzględniane w skorygowanej wartości wynikającej z zastosowania technik ograniczania ryzyka kredytowego w ramach programu sekurytyzacyjnego.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OCHRONA KREDYTOWA RZECZYWISTA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51054DD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Szczegółowa procedura obliczania wartości zabezpieczenia skorygowanej o czynnik zmienności (C</w:t>
            </w:r>
            <w:r>
              <w:rPr>
                <w:rFonts w:ascii="Times New Roman" w:hAnsi="Times New Roman"/>
                <w:sz w:val="24"/>
                <w:vertAlign w:val="subscript"/>
              </w:rPr>
              <w:t>VA</w:t>
            </w:r>
            <w:r>
              <w:rPr>
                <w:rFonts w:ascii="Times New Roman" w:hAnsi="Times New Roman"/>
                <w:sz w:val="24"/>
              </w:rPr>
              <w:t xml:space="preserve">), którą to wartość zgłasza się w tej kolumnie, jest określona w art. 223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WYPŁYWY RAZEM: SKORYGOWANE WARTOŚCI NIERZECZYWISTEJ OCHRONY KREDYTOWEJ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Zgodnie z ogólną zasadą dla „wpływów” i „wypływów” kwoty zgłoszone w tej kolumnie pojawiają się jako „wpływy” w odpowiednim wzorze dotyczącym ryzyka kredytowego (CR SA lub CR IRB) oraz w kategorii ekspozycji, do której jednostka sprawozdająca przypisuje dostawcę ochrony kredytowej (tj. stronę trzecią, której przekazywane są transze za pośrednictwem ochrony kredytowej nierzeczywistej).</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529DEB4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Procedura obliczania nominalnej kwoty ochrony kredytowej skorygowanej o „ryzyko walutowe” (G*) jest określona w art. 233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UTRZYMANA LUB WYKUPIONA NOMINALNA KWOTA OCHRONY KREDYTOWEJ</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Wszystkie transze, które zostały utrzymane lub wykupione, np. zachowane pozycje pierwszej straty, są zgłaszane zgodnie z ich wartością nominalną.</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Skutek nadzorczej redukcji wartości ochrony kredytowej nie jest brany pod uwagę przy obliczaniu utrzymanej lub wykupionej kwoty ochrony kredytowej.</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POZYCJE SEKURYTYZACYJNE: PIERWOTNA EKSPOZYCJA PRZED UWZGLĘDNIENIEM WSPÓŁCZYNNIKÓW KONWERSJI </w:t>
            </w:r>
          </w:p>
          <w:p w14:paraId="2A8D2EB1" w14:textId="77777777" w:rsidR="00E026FB" w:rsidRPr="002A677E" w:rsidRDefault="00E026FB" w:rsidP="00E10B85">
            <w:pPr>
              <w:spacing w:before="0" w:after="0"/>
              <w:jc w:val="left"/>
              <w:rPr>
                <w:rFonts w:ascii="Times New Roman" w:hAnsi="Times New Roman"/>
                <w:sz w:val="24"/>
              </w:rPr>
            </w:pPr>
          </w:p>
          <w:p w14:paraId="05450F07" w14:textId="003B55C2"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Niniejsza kolumna zawiera wartości ekspozycji pozycji sekurytyzacyjnych posiadanych przez instytucję sprawozdającą, obliczone zgodnie z art. 248 ust. 1 i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bez stosowania współczynników konwersji kredytowej przed odliczeniem korekt z tytułu ryzyka kredytowego i rezerw oraz wszelkich niepodlegających odliczeniu rabatów cenowych przy zakupie zgodnie z art. 248 ust. 1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 także korekt z tytułu ryzyka kredytowego i rezerw w pozycji sekurytyzacyjnej.</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Kompensowanie ma znaczenie wyłącznie w odniesieniu do złożonych instrumentów pochodnych dotyczących tej samej jednostki specjalnego przeznaczenia do celów sekurytyzacji, które to instrumenty objęte są uznaną umową o kompensowaniu.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W odniesieniu do sekurytyzacji syntetycznych pozycje posiadane przez jednostkę inicjującą w postaci pozycji bilansowych lub udziału inwestora wynikają ze zagregowania kolumn 0010–0040.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KOREKTY WARTOŚCI I REZERWY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14B62786"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 248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Korekty wartości i rezerwy, które należy zgłosić w tej kolumnie, dotyczą wyłącznie pozycji sekurytyzacyjnych. Nie uwzględnia się korekt wartości ekspozycji sekurytyzowanych.</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EKSPOZYCJA PO ODLICZENIU KOREKT WARTOŚCI I REZERW</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880A177"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Niniejsza kolumna zawiera wartości ekspozycji pozycji sekurytyzacyjnych obliczone zgodnie z art. 248 ust. 1 i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po odliczeniu korekt wartości i rezerw, bez stosowania współczynników</w:t>
            </w:r>
            <w:r>
              <w:t xml:space="preserve"> </w:t>
            </w:r>
            <w:r>
              <w:rPr>
                <w:rFonts w:ascii="Times New Roman" w:hAnsi="Times New Roman"/>
                <w:sz w:val="24"/>
              </w:rPr>
              <w:t xml:space="preserve">konwersji oraz przed odliczeniem wszelkich niepodlegających odliczeniu rabatów cenowych przy zakupie zgodnie z art. 248 ust. 1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 także wartości po odliczeniu korekt z tytułu ryzyka kredytowego i rezerw na pozycję sekurytyzacyjną.</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TECHNIKI OGRANICZANIA RYZYKA KREDYTOWEGO Z UWZGLĘDNIENIEM EFEKTÓW SUBSTYTUCYJNYCH W ODNIESIENIU DO EKSPOZYCJI</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626C77A6" w:rsidR="00E026FB" w:rsidRPr="002A677E" w:rsidRDefault="00E026FB" w:rsidP="00E10B85">
            <w:pPr>
              <w:spacing w:before="0" w:after="0"/>
              <w:rPr>
                <w:rFonts w:ascii="Times New Roman" w:hAnsi="Times New Roman"/>
                <w:sz w:val="24"/>
              </w:rPr>
            </w:pPr>
            <w:r>
              <w:rPr>
                <w:rFonts w:ascii="Times New Roman" w:hAnsi="Times New Roman"/>
                <w:sz w:val="24"/>
              </w:rPr>
              <w:t xml:space="preserve">Art. 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 część trzecia tytuł II rozdział 4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49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Instytucje zgłaszają w tych kolumnach informacje na temat technik ograniczania ryzyka, które zmniejszają ryzyko kredytowe z tytułu ekspozycji poprzez substytucję ekspozycji (jak wskazano poniżej w odniesieniu do wpływów i wypływów).</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Zabezpieczenie, które ma wpływ na wartość ekspozycji (np. gdy jest stosowane dla celów technik ograniczania ryzyka kredytowego z uwzględnieniem efektów substytucyjnych w odniesieniu do ekspozycji), jest ograniczone do wartości ekspozycji.</w:t>
            </w:r>
          </w:p>
          <w:p w14:paraId="466A5A4F" w14:textId="77777777" w:rsidR="00E026FB" w:rsidRPr="002A677E" w:rsidRDefault="00E026FB" w:rsidP="00487A02">
            <w:pPr>
              <w:pStyle w:val="InstructionsText"/>
            </w:pPr>
            <w:r>
              <w:t>Należy w tym miejscu zgłosić następujące pozycje:</w:t>
            </w:r>
          </w:p>
          <w:p w14:paraId="79175400" w14:textId="37AC03FE"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 xml:space="preserve">zabezpieczenie włączone zgodnie z art. 222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(uproszczona metoda ujmowania zabezpieczeń finansowych);</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uznaną ochronę kredytową nierzeczywistą.</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OCHRONA KREDYTOWA NIERZECZYWISTA: WARTOŚCI SKORYGOWANE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2A3D90CD"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Ochrona kredytowa nierzeczywista zgodnie z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9,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34–236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OCHRONA KREDYTOWA RZECZYWISTA</w:t>
            </w:r>
          </w:p>
          <w:p w14:paraId="0156BAC9" w14:textId="77777777" w:rsidR="00E026FB" w:rsidRPr="002A677E" w:rsidRDefault="00E026FB" w:rsidP="00E10B85">
            <w:pPr>
              <w:spacing w:before="0" w:after="0"/>
              <w:rPr>
                <w:rFonts w:ascii="Times New Roman" w:hAnsi="Times New Roman"/>
                <w:sz w:val="24"/>
              </w:rPr>
            </w:pPr>
          </w:p>
          <w:p w14:paraId="774858F4" w14:textId="2DEF1AF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Ochrona kredytowa rzeczywista zdefiniowana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zgodnie z art. 249 ust. 2 akapit pierwszy tego rozporządzenia oraz zgodnie z art. 195, 197 i 200 tego rozporządzenia.</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3CE499DB" w:rsidR="00E026FB" w:rsidRPr="002A677E" w:rsidRDefault="00E026FB" w:rsidP="00E10B85">
            <w:pPr>
              <w:spacing w:before="0" w:after="0"/>
              <w:rPr>
                <w:rFonts w:ascii="Times New Roman" w:hAnsi="Times New Roman"/>
                <w:sz w:val="24"/>
              </w:rPr>
            </w:pPr>
            <w:r>
              <w:rPr>
                <w:rFonts w:ascii="Times New Roman" w:hAnsi="Times New Roman"/>
                <w:sz w:val="24"/>
              </w:rPr>
              <w:t xml:space="preserve">Obligacje powiązane z ryzykiem kredytowym oraz kompensowanie pozycji bilansowych zgodnie z art. 218 i 219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traktuje się jak zabezpieczenie gotówkowe.</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SUBSTYTUCJA EKSPOZYCJI W WYNIKU OGRANICZANIA RYZYKA KREDYTOWEGO:</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Zgłasza się wpływy i wypływy w obrębie tych samych kategorii ekspozycji i, w stosownych przypadkach, wag ryzyka lub klas jakości dłużnika.</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WYPŁYWY RAZEM</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69ABE8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 222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35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i 2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36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Wypływy odpowiadają zabezpieczonej części „ekspozycji po odliczeniu korekt wartości i rezerw”, którą to część odlicza się od kategorii ekspozycji dłużnika i, w stosownych przypadkach, od klasy jakości lub puli dłużnika, a następnie przypisuje kategorii ekspozycji dostawcy ochrony kredytowej i, w stosownych przypadkach, wadze ryzyka lub klasie jakości dłużnika.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Kwotę tę uznaje się za wpływ do kategorii ekspozycji dostawcy ochrony kredytowej i, w stosownych przypadkach, do wag ryzyka lub klas jakości dłużnika.</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WPŁYWY RAZEM</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7D7245E5" w:rsidR="00E026FB" w:rsidRPr="002A677E" w:rsidRDefault="00E026FB" w:rsidP="00E10B85">
            <w:pPr>
              <w:spacing w:before="0" w:after="0"/>
              <w:rPr>
                <w:rFonts w:ascii="Times New Roman" w:hAnsi="Times New Roman"/>
                <w:sz w:val="24"/>
              </w:rPr>
            </w:pPr>
            <w:r>
              <w:rPr>
                <w:rFonts w:ascii="Times New Roman" w:hAnsi="Times New Roman"/>
                <w:sz w:val="24"/>
              </w:rPr>
              <w:t xml:space="preserve">Pozycje sekurytyzacyjne, które są dłużnymi papierami wartościowymi i które stosowane są jako uznane zabezpieczenie finansowe zgodnie z art. 197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zgłasza się w tej kolumnie – jeżeli stosowana jest uproszczona metoda ujmowania zabezpieczeń finansowych – jako wpływy.</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EKSPOZYCJA NETTO PO UWZGLĘDNIENIU EFEKTÓW SUBSTYTUCYJNYCH ZWIĄZANYCH Z OGRANICZANIEM RYZYKA KREDYTOWEGO PRZED UWZGLĘDNIENIEM WSPÓŁCZYNNIKÓW KONWERSJI</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W tej kolumnie uwzględnia się ekspozycje przypisane do odpowiadającej im wagi ryzyka oraz kategorię ekspozycji po uwzględnieniu wypływów i wpływów wynikających z „technik ograniczania ryzyka kredytowego z uwzględnieniem efektów substytucyjnych w odniesieniu do ekspozycji”.</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 TECHNIKI OGRANICZANIA RYZYKA KREDYTOWEGO MAJĄCE WPŁYW NA KWOTĘ EKSPOZYCJI: SKORYGOWANA </w:t>
            </w:r>
            <w:r>
              <w:rPr>
                <w:rStyle w:val="InstructionsTabelleberschrift"/>
                <w:rFonts w:ascii="Times New Roman" w:hAnsi="Times New Roman"/>
                <w:sz w:val="24"/>
              </w:rPr>
              <w:lastRenderedPageBreak/>
              <w:t>WARTOŚĆ RZECZYWISTEJ OCHRONY KREDYTOWEJ ZGODNIE Z KOMPLEKSOWĄ METODĄ UJMOWANIA ZABEZPIECZEŃ FINANSOWYCH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55B13FBF" w:rsidR="001E0C80" w:rsidRPr="002A677E" w:rsidRDefault="00E026FB" w:rsidP="00487A02">
            <w:pPr>
              <w:pStyle w:val="InstructionsText"/>
            </w:pPr>
            <w:r>
              <w:t xml:space="preserve">Art. 223–228 rozporządzenia (UE) </w:t>
            </w:r>
            <w:r w:rsidRPr="0043455E">
              <w:t>nr</w:t>
            </w:r>
            <w:r w:rsidR="0043455E" w:rsidRPr="0043455E">
              <w:t> </w:t>
            </w:r>
            <w:r w:rsidRPr="0043455E">
              <w:t>5</w:t>
            </w:r>
            <w:r>
              <w:t xml:space="preserve">75/2013 </w:t>
            </w:r>
          </w:p>
          <w:p w14:paraId="0046A2D9" w14:textId="499E22A4" w:rsidR="00E026FB" w:rsidRPr="002A677E" w:rsidRDefault="00A16FFF" w:rsidP="00487A02">
            <w:pPr>
              <w:pStyle w:val="InstructionsText"/>
            </w:pPr>
            <w:r>
              <w:t xml:space="preserve">Zgłoszona kwota musi obejmować także obligacje powiązane z ryzykiem kredytowym (art. 218 rozporządzenia (UE) </w:t>
            </w:r>
            <w:r w:rsidRPr="0043455E">
              <w:t>nr</w:t>
            </w:r>
            <w:r w:rsidR="0043455E" w:rsidRPr="0043455E">
              <w:t> </w:t>
            </w:r>
            <w:r w:rsidRPr="0043455E">
              <w:t>5</w:t>
            </w:r>
            <w:r>
              <w:t>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W PEŁNI SKORYGOWANA WARTOŚĆ EKSPOZYCJI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72342DE0"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Wartość ekspozycji z tytułu pozycji sekurytyzacyjnych obliczonych zgodnie z art. 248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ale bez stosowania współczynników konwersji określonych w art. 248 ust. 1 lit. b) tego rozporządzenia.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23EA0D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W TYM: WEDŁUG WSPÓŁCZYNNIKA KONWERSJI KREDYTOWEJ WYNOSZĄCEGO </w:t>
            </w:r>
            <w:r w:rsidRPr="0043455E">
              <w:rPr>
                <w:rFonts w:ascii="Times New Roman" w:hAnsi="Times New Roman"/>
                <w:b/>
                <w:sz w:val="24"/>
                <w:u w:val="single"/>
              </w:rPr>
              <w:t>0</w:t>
            </w:r>
            <w:r w:rsidR="0043455E" w:rsidRPr="0043455E">
              <w:t> </w:t>
            </w:r>
            <w:r w:rsidRPr="0043455E">
              <w:rPr>
                <w:rFonts w:ascii="Times New Roman" w:hAnsi="Times New Roman"/>
                <w:b/>
                <w:sz w:val="24"/>
                <w:u w:val="single"/>
              </w:rPr>
              <w: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5D7666EC"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 248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76C2E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 tym kontekście współczynnik konwersji zdefiniowany jest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Dla celów sprawozdawczości w pełni skorygowaną wartość ekspozycji (E*) zgłasza się dla współczynnika konwersji równego 0</w:t>
            </w:r>
            <w:r>
              <w:t> </w:t>
            </w:r>
            <w:r>
              <w:rPr>
                <w:rFonts w:ascii="Times New Roman" w:hAnsi="Times New Roman"/>
                <w:sz w:val="24"/>
              </w:rPr>
              <w:t>%.</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NIEPODLEGAJĄCE ODLICZENIU RABATY OD CENY ZAKUPU</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2AF3C381"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Zgodnie z art. 248 ust. 1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instytucja inicjująca może odliczyć od wartości ekspozycji pozycji sekurytyzacyjnej, której przypisano wagę ryzyka 1 250 %, wszelkie niepodlegające odliczeniu rabaty cenowe przy zakupie związane z takimi ekspozycjami bazowymi w zakresie, w jakim takie odliczenia spowodowały redukcję funduszy własnych.</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KOREKTY Z TYTUŁU SZCZEGÓLNEGO RYZYKA KREDYTOWEGO W ODNIESIENIU DO EKSPOZYCJI BAZOWYCH</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0F8079BE"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Zgodnie z art. 248 ust. 1 lit. d)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instytucja inicjująca może odliczyć od wartości ekspozycji pozycji sekurytyzacyjnej, której przypisano wagę ryzyka 1 250 % lub którą odliczono od kapitału podstawowego Tier I, kwotę korekt z tytułu szczególnego ryzyka kredytowego z tytułu ekspozycji bazowych, jak określono zgodnie z art. 110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WARTOŚĆ EKSPOZYCJI</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13B83E5"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Wartość ekspozycji z tytułu pozycji sekurytyzacyjnych obliczonych zgodnie z art. 248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WARTOŚĆ EKSPOZYCJI POMNIEJSZAJĄCA FUNDUSZE WŁASNE</w:t>
            </w:r>
          </w:p>
          <w:p w14:paraId="272C3315" w14:textId="77777777" w:rsidR="00E026FB" w:rsidRPr="002A677E" w:rsidRDefault="00E026FB" w:rsidP="00E10B85">
            <w:pPr>
              <w:spacing w:before="0" w:after="0"/>
              <w:jc w:val="left"/>
              <w:rPr>
                <w:rFonts w:ascii="Times New Roman" w:hAnsi="Times New Roman"/>
                <w:sz w:val="24"/>
              </w:rPr>
            </w:pPr>
          </w:p>
          <w:p w14:paraId="65B07FF2" w14:textId="7F9055B3" w:rsidR="00E026FB" w:rsidRPr="002A677E" w:rsidRDefault="00BB22D4" w:rsidP="00E10B85">
            <w:pPr>
              <w:spacing w:before="0" w:after="0"/>
              <w:rPr>
                <w:rFonts w:ascii="Times New Roman" w:hAnsi="Times New Roman"/>
                <w:sz w:val="24"/>
              </w:rPr>
            </w:pPr>
            <w:r>
              <w:rPr>
                <w:rFonts w:ascii="Times New Roman" w:hAnsi="Times New Roman"/>
                <w:sz w:val="24"/>
              </w:rPr>
              <w:t xml:space="preserve">Zgodnie z art. 244 </w:t>
            </w:r>
            <w:r>
              <w:rPr>
                <w:rStyle w:val="FormatvorlageInstructionsTabelleText"/>
                <w:rFonts w:ascii="Times New Roman" w:hAnsi="Times New Roman"/>
                <w:sz w:val="24"/>
              </w:rPr>
              <w:t xml:space="preserve">ust. 1 lit. b), </w:t>
            </w:r>
            <w:r w:rsidRPr="0043455E">
              <w:rPr>
                <w:rStyle w:val="FormatvorlageInstructionsTabelleText"/>
                <w:rFonts w:ascii="Times New Roman" w:hAnsi="Times New Roman"/>
                <w:sz w:val="24"/>
              </w:rPr>
              <w:t>art.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2</w:t>
            </w:r>
            <w:r>
              <w:rPr>
                <w:rStyle w:val="FormatvorlageInstructionsTabelleText"/>
                <w:rFonts w:ascii="Times New Roman" w:hAnsi="Times New Roman"/>
                <w:sz w:val="24"/>
              </w:rPr>
              <w:t xml:space="preserve">45 </w:t>
            </w:r>
            <w:r w:rsidRPr="0043455E">
              <w:rPr>
                <w:rStyle w:val="FormatvorlageInstructionsTabelleText"/>
                <w:rFonts w:ascii="Times New Roman" w:hAnsi="Times New Roman"/>
                <w:sz w:val="24"/>
              </w:rPr>
              <w:t>ust.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43455E">
              <w:rPr>
                <w:rStyle w:val="FormatvorlageInstructionsTabelleText"/>
                <w:rFonts w:ascii="Times New Roman" w:hAnsi="Times New Roman"/>
                <w:sz w:val="24"/>
              </w:rPr>
              <w:t>lit.</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b)</w:t>
            </w:r>
            <w:r>
              <w:rPr>
                <w:rStyle w:val="FormatvorlageInstructionsTabelleText"/>
                <w:rFonts w:ascii="Times New Roman" w:hAnsi="Times New Roman"/>
                <w:sz w:val="24"/>
              </w:rPr>
              <w:t xml:space="preserve"> oraz art. 253 ust. 1 rozporządzenia (UE) </w:t>
            </w:r>
            <w:r w:rsidRPr="0043455E">
              <w:rPr>
                <w:rStyle w:val="FormatvorlageInstructionsTabelleText"/>
                <w:rFonts w:ascii="Times New Roman" w:hAnsi="Times New Roman"/>
                <w:sz w:val="24"/>
              </w:rPr>
              <w:t>nr</w:t>
            </w:r>
            <w:r w:rsidR="0043455E" w:rsidRPr="0043455E">
              <w:rPr>
                <w:rStyle w:val="FormatvorlageInstructionsTabelleText"/>
                <w:rFonts w:ascii="Times New Roman" w:hAnsi="Times New Roman"/>
                <w:sz w:val="24"/>
              </w:rPr>
              <w:t> </w:t>
            </w:r>
            <w:r w:rsidRPr="0043455E">
              <w:rPr>
                <w:rStyle w:val="FormatvorlageInstructionsTabelleText"/>
                <w:rFonts w:ascii="Times New Roman" w:hAnsi="Times New Roman"/>
                <w:sz w:val="24"/>
              </w:rPr>
              <w:t>5</w:t>
            </w:r>
            <w:r>
              <w:rPr>
                <w:rStyle w:val="FormatvorlageInstructionsTabelleText"/>
                <w:rFonts w:ascii="Times New Roman" w:hAnsi="Times New Roman"/>
                <w:sz w:val="24"/>
              </w:rPr>
              <w:t>75/2013 w przypadku pozycji sekurytyzacyjnej, której przypisuje się wagę ryzyka równą 1 250</w:t>
            </w:r>
            <w:r>
              <w:rPr>
                <w:rFonts w:ascii="Times New Roman" w:hAnsi="Times New Roman"/>
                <w:sz w:val="24"/>
              </w:rPr>
              <w:t> %, instytucje mogą w ramach rozwiązania alternatywnego w stosunku do uwzględniania danej pozycji przy obliczaniu kwot ekspozycji ważonych ryzykiem odliczyć od funduszy własnych wartość ekspozycji danej pozycji.</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WARTOŚĆ EKSPOZYCJI PODLEGAJĄCA WAGOM RYZYKA</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Wartość ekspozycji pomniejszona o wartość ekspozycji odejmowaną od funduszy własnych.</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18F7660E" w:rsidR="00E026FB" w:rsidRPr="002A677E" w:rsidRDefault="00E026FB" w:rsidP="00E10B85">
            <w:pPr>
              <w:spacing w:before="0" w:after="0"/>
              <w:jc w:val="left"/>
              <w:rPr>
                <w:rFonts w:ascii="Times New Roman" w:hAnsi="Times New Roman"/>
                <w:sz w:val="24"/>
              </w:rPr>
            </w:pPr>
            <w:r>
              <w:rPr>
                <w:rFonts w:ascii="Times New Roman" w:hAnsi="Times New Roman"/>
                <w:sz w:val="24"/>
              </w:rPr>
              <w:t xml:space="preserve">Art. 254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PODZIAŁ WEDŁUG ZAKRESÓW WAG RYZYKA</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Ekspozycje według metody SEC-IRBA według przedziałów wag ryzyka.</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W TYM: OBLICZONE ZGODNIE Z ART. 255 UST. 4 (NABYTE WIERZYTELNOŚCI) </w:t>
            </w:r>
          </w:p>
          <w:p w14:paraId="0C9CD803" w14:textId="77777777" w:rsidR="00E026FB" w:rsidRPr="002A677E" w:rsidRDefault="00E026FB" w:rsidP="00E10B85">
            <w:pPr>
              <w:spacing w:before="0" w:after="0"/>
              <w:jc w:val="left"/>
              <w:rPr>
                <w:rFonts w:ascii="Times New Roman" w:hAnsi="Times New Roman"/>
                <w:sz w:val="24"/>
              </w:rPr>
            </w:pPr>
          </w:p>
          <w:p w14:paraId="7817A65B" w14:textId="4F145659"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Art. 255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Do celów tej kolumny ekspozycje detaliczne traktuje się jako nabyte wierzytelności detaliczne, a ekspozycje niedetaliczne jako nabyte wierzytelności korporacyjne.</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836936" w:rsidRDefault="00E026FB" w:rsidP="00E10B85">
            <w:pPr>
              <w:spacing w:before="0" w:after="0"/>
              <w:jc w:val="left"/>
              <w:rPr>
                <w:rFonts w:ascii="Times New Roman" w:hAnsi="Times New Roman"/>
                <w:b/>
                <w:sz w:val="24"/>
                <w:u w:val="single"/>
              </w:rPr>
            </w:pPr>
          </w:p>
          <w:p w14:paraId="58D171CB" w14:textId="116F5D60"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 xml:space="preserve">Art. 254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6075D12" w14:textId="77777777" w:rsidR="00E026FB" w:rsidRPr="00836936" w:rsidRDefault="00E026FB" w:rsidP="00E10B85">
            <w:pPr>
              <w:spacing w:before="0" w:after="0"/>
              <w:jc w:val="left"/>
              <w:rPr>
                <w:rFonts w:ascii="Times New Roman" w:hAnsi="Times New Roman"/>
                <w:sz w:val="24"/>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PODZIAŁ WEDŁUG ZAKRESÓW WAG RYZYKA</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Ekspozycje SEC-SA według przedziałów wag ryzyka.</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45FD7DF8" w:rsidR="00E026FB" w:rsidRPr="002A677E" w:rsidRDefault="00E026FB" w:rsidP="00E10B85">
            <w:pPr>
              <w:spacing w:before="0" w:after="0"/>
              <w:jc w:val="left"/>
              <w:rPr>
                <w:rFonts w:ascii="Times New Roman" w:hAnsi="Times New Roman"/>
                <w:sz w:val="24"/>
              </w:rPr>
            </w:pPr>
            <w:r>
              <w:rPr>
                <w:rFonts w:ascii="Times New Roman" w:hAnsi="Times New Roman"/>
                <w:sz w:val="24"/>
              </w:rPr>
              <w:t xml:space="preserve">Dla wagi ryzyka równej 1 250 % (waga nieznana), w art. 261 ust. 2 lit. b) akapit czwarty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określono, że pozycji objętej sekurytyzacją przypisuje się wagę ryzyka równą 1 250 %, jeżeli instytucja nie zna stanu zaległości kredytowych w odniesieniu do więcej niż 5 % ekspozycji bazowych w puli.</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43BF9841"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 254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PODZIAŁ WEDŁUG STOPNI JAKOŚCI KREDYTOWEJ (STOPNIE JAKOŚCI KREDYTÓW KRÓTKO- I DŁUGOTERMINOWYCH)</w:t>
            </w:r>
          </w:p>
          <w:p w14:paraId="7E09FFCE" w14:textId="77777777" w:rsidR="00E026FB" w:rsidRPr="002A677E" w:rsidRDefault="00E026FB" w:rsidP="00E10B85">
            <w:pPr>
              <w:spacing w:before="0" w:after="0"/>
              <w:rPr>
                <w:rFonts w:ascii="Times New Roman" w:hAnsi="Times New Roman"/>
                <w:sz w:val="24"/>
              </w:rPr>
            </w:pPr>
          </w:p>
          <w:p w14:paraId="60A78FC0" w14:textId="59B9A2EE" w:rsidR="00E026FB" w:rsidRPr="002A677E" w:rsidRDefault="00E026FB" w:rsidP="00E10B85">
            <w:pPr>
              <w:spacing w:before="0" w:after="0"/>
              <w:rPr>
                <w:rFonts w:ascii="Times New Roman" w:hAnsi="Times New Roman"/>
                <w:sz w:val="24"/>
              </w:rPr>
            </w:pPr>
            <w:r>
              <w:rPr>
                <w:rFonts w:ascii="Times New Roman" w:hAnsi="Times New Roman"/>
                <w:sz w:val="24"/>
              </w:rPr>
              <w:t xml:space="preserve">Art. 263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74293CA" w14:textId="77777777" w:rsidR="00E026FB" w:rsidRPr="002A677E" w:rsidRDefault="00E026FB" w:rsidP="00E10B85">
            <w:pPr>
              <w:spacing w:before="0" w:after="0"/>
              <w:rPr>
                <w:rFonts w:ascii="Times New Roman" w:hAnsi="Times New Roman"/>
                <w:sz w:val="24"/>
              </w:rPr>
            </w:pPr>
          </w:p>
          <w:p w14:paraId="702C7A75" w14:textId="11114EF4" w:rsidR="00E026FB" w:rsidRPr="002A677E" w:rsidRDefault="00E026FB" w:rsidP="00E10B85">
            <w:pPr>
              <w:spacing w:before="0" w:after="0"/>
              <w:rPr>
                <w:rFonts w:ascii="Times New Roman" w:hAnsi="Times New Roman"/>
                <w:sz w:val="24"/>
              </w:rPr>
            </w:pPr>
            <w:r>
              <w:rPr>
                <w:rFonts w:ascii="Times New Roman" w:hAnsi="Times New Roman"/>
                <w:sz w:val="24"/>
              </w:rPr>
              <w:t xml:space="preserve">Pozycje sekurytyzacyjne według metody SEC-ERBA z ratingiem implikowanym zgodnie z art. 254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zgłasza się jako pozycje z ratingiem.</w:t>
            </w:r>
          </w:p>
          <w:p w14:paraId="7562BEAE" w14:textId="77777777" w:rsidR="00E026FB" w:rsidRPr="002A677E" w:rsidRDefault="00E026FB" w:rsidP="00E10B85">
            <w:pPr>
              <w:spacing w:before="0" w:after="0"/>
              <w:rPr>
                <w:rFonts w:ascii="Times New Roman" w:hAnsi="Times New Roman"/>
                <w:sz w:val="24"/>
              </w:rPr>
            </w:pPr>
          </w:p>
          <w:p w14:paraId="683A13DE" w14:textId="2A890A9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Wartości ekspozycji podlegające wagom ryzyka dzieli się według krótko- i długoterminowych kredytów i stopni jakości kredytowej jak określono w tabeli 1 i 2 w art. 263 oraz w tabelach 3 i 4 w art. 264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PODZIAŁ WEDŁUG POWODÓW ZASTOSOWANIA METODY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Dla każdej pozycji sekurytyzacyjnej instytucje uwzględniają w kolumnach 0580–0620 jedną z następujących opcji.</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KREDYTY SAMOCHODOWE, LEASING SAMOCHODOWY I LEASING URZĄDZEŃ</w:t>
            </w:r>
          </w:p>
          <w:p w14:paraId="6E88BBA0" w14:textId="77777777" w:rsidR="00E026FB" w:rsidRPr="0043455E" w:rsidRDefault="00E026FB" w:rsidP="00E10B85">
            <w:pPr>
              <w:spacing w:before="0" w:after="0"/>
              <w:rPr>
                <w:rFonts w:ascii="Times New Roman" w:hAnsi="Times New Roman"/>
                <w:b/>
                <w:sz w:val="24"/>
                <w:u w:val="single"/>
              </w:rPr>
            </w:pPr>
          </w:p>
          <w:p w14:paraId="0E92DEB1" w14:textId="3D563D6D" w:rsidR="001E0C80" w:rsidRPr="002A677E" w:rsidRDefault="001E0C80" w:rsidP="00E10B85">
            <w:pPr>
              <w:spacing w:before="0" w:after="0"/>
              <w:rPr>
                <w:rFonts w:ascii="Times New Roman" w:hAnsi="Times New Roman"/>
                <w:sz w:val="24"/>
              </w:rPr>
            </w:pPr>
            <w:r w:rsidRPr="0043455E">
              <w:rPr>
                <w:rFonts w:ascii="Times New Roman" w:hAnsi="Times New Roman"/>
                <w:sz w:val="24"/>
              </w:rPr>
              <w:t>A</w:t>
            </w:r>
            <w:r>
              <w:rPr>
                <w:rFonts w:ascii="Times New Roman" w:hAnsi="Times New Roman"/>
                <w:sz w:val="24"/>
              </w:rPr>
              <w:t xml:space="preserve">rt. 254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3375DFA1" w14:textId="77777777" w:rsidR="001E0C80" w:rsidRPr="002A677E" w:rsidRDefault="001E0C80" w:rsidP="00E10B85">
            <w:pPr>
              <w:spacing w:before="0" w:after="0"/>
              <w:rPr>
                <w:rFonts w:ascii="Times New Roman" w:hAnsi="Times New Roman"/>
                <w:sz w:val="24"/>
              </w:rPr>
            </w:pPr>
          </w:p>
          <w:p w14:paraId="4C10E739" w14:textId="754FDFEC" w:rsidR="00E026FB" w:rsidRPr="002A677E" w:rsidRDefault="00FC5515" w:rsidP="00247193">
            <w:pPr>
              <w:spacing w:before="0" w:after="0"/>
              <w:rPr>
                <w:rFonts w:ascii="Times New Roman" w:hAnsi="Times New Roman"/>
                <w:b/>
                <w:sz w:val="24"/>
                <w:u w:val="single"/>
              </w:rPr>
            </w:pPr>
            <w:r>
              <w:rPr>
                <w:rFonts w:ascii="Times New Roman" w:hAnsi="Times New Roman"/>
                <w:sz w:val="24"/>
              </w:rPr>
              <w:t xml:space="preserve">Wszystkie kredyty na zakup samochodów oraz umowy leasingu samochodów i sprzętu zgłasza się w tej kolumnie, nawet jeśli kwalifikują się do art. 254 ust. 2 lit. a) lub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WARIANT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110A736F" w:rsidR="00E026FB" w:rsidRPr="00B44FD0" w:rsidRDefault="00E026FB" w:rsidP="00E10B85">
            <w:pPr>
              <w:spacing w:before="0" w:after="0"/>
              <w:rPr>
                <w:rFonts w:ascii="Times New Roman" w:hAnsi="Times New Roman"/>
                <w:sz w:val="24"/>
              </w:rPr>
            </w:pPr>
            <w:r>
              <w:rPr>
                <w:rFonts w:ascii="Times New Roman" w:hAnsi="Times New Roman"/>
                <w:sz w:val="24"/>
              </w:rPr>
              <w:t xml:space="preserve">Art. 254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POZYCJE PODLEGAJĄCE PRZEPISOM ART. 254 UST. 2 LIT. a) ROZPORZĄDZENIA (UE) NR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6D0473F" w:rsidR="00E026FB" w:rsidRPr="002A677E" w:rsidRDefault="00E026FB" w:rsidP="00E10B85">
            <w:pPr>
              <w:spacing w:before="0" w:after="0"/>
              <w:rPr>
                <w:rFonts w:ascii="Times New Roman" w:hAnsi="Times New Roman"/>
                <w:sz w:val="24"/>
              </w:rPr>
            </w:pPr>
            <w:r>
              <w:rPr>
                <w:rFonts w:ascii="Times New Roman" w:hAnsi="Times New Roman"/>
                <w:sz w:val="24"/>
              </w:rPr>
              <w:t xml:space="preserve">Art. 254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POZYCJE PODLEGAJĄCE PRZEPISOM ART. 254 UST. 2 LIT. b) ROZPORZĄDZENIA (UE) NR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3CA271BE" w:rsidR="00E026FB" w:rsidRPr="002A677E" w:rsidRDefault="00247193" w:rsidP="00E10B85">
            <w:pPr>
              <w:spacing w:before="0" w:after="0"/>
              <w:rPr>
                <w:rFonts w:ascii="Times New Roman" w:hAnsi="Times New Roman"/>
                <w:sz w:val="24"/>
              </w:rPr>
            </w:pPr>
            <w:r>
              <w:rPr>
                <w:rFonts w:ascii="Times New Roman" w:hAnsi="Times New Roman"/>
                <w:sz w:val="24"/>
              </w:rPr>
              <w:t xml:space="preserve">Art. 254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POZYCJE PODLEGAJĄCE PRZEPISOM ART. 254 UST. 4 LUB ART. 258 UST. 2 ROZPORZĄDZENIA (UE) NR 575/2013</w:t>
            </w:r>
          </w:p>
          <w:p w14:paraId="2F2EF827" w14:textId="77777777" w:rsidR="00962BBD" w:rsidRPr="002A677E" w:rsidRDefault="00962BBD" w:rsidP="00E10B85">
            <w:pPr>
              <w:spacing w:before="0" w:after="0"/>
              <w:rPr>
                <w:rFonts w:ascii="Times New Roman" w:hAnsi="Times New Roman"/>
                <w:sz w:val="24"/>
              </w:rPr>
            </w:pPr>
          </w:p>
          <w:p w14:paraId="37F2AD29" w14:textId="7296BB7D"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 xml:space="preserve">Pozycje sekurytyzacyjne traktowane według metody SEC-ERBA, jeżeli właściwe organy uniemożliwiły stosowanie metody SEC-IRBA lub SEC-SA zgodnie z art. 254 ust. 4 i 258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ZGODNIE Z HIERARCHIĄ METOD </w:t>
            </w:r>
          </w:p>
          <w:p w14:paraId="630EB1BF" w14:textId="77777777" w:rsidR="00E026FB" w:rsidRPr="002A677E" w:rsidRDefault="00E026FB" w:rsidP="00E10B85">
            <w:pPr>
              <w:spacing w:before="0" w:after="0"/>
              <w:rPr>
                <w:rFonts w:ascii="Times New Roman" w:hAnsi="Times New Roman"/>
                <w:b/>
                <w:sz w:val="24"/>
                <w:u w:val="single"/>
              </w:rPr>
            </w:pPr>
          </w:p>
          <w:p w14:paraId="45C5D104" w14:textId="7148159B" w:rsidR="00E026FB" w:rsidRPr="002A677E" w:rsidRDefault="00E026FB" w:rsidP="00E10B85">
            <w:pPr>
              <w:spacing w:before="0" w:after="0"/>
              <w:rPr>
                <w:rFonts w:ascii="Times New Roman" w:hAnsi="Times New Roman"/>
                <w:sz w:val="24"/>
              </w:rPr>
            </w:pPr>
            <w:r>
              <w:rPr>
                <w:rFonts w:ascii="Times New Roman" w:hAnsi="Times New Roman"/>
                <w:sz w:val="24"/>
              </w:rPr>
              <w:t xml:space="preserve">Pozycje sekurytyzacyjne, w przypadku których zastosowano metodę SEC-ERBA zgodnie z hierarchią metod określoną w art. 254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METODA WEWNĘTRZNYCH OSZACOWAŃ</w:t>
            </w:r>
          </w:p>
          <w:p w14:paraId="61F8B33A" w14:textId="77777777" w:rsidR="00E026FB" w:rsidRPr="002A677E" w:rsidRDefault="00E026FB" w:rsidP="00E10B85">
            <w:pPr>
              <w:spacing w:before="0" w:after="0"/>
              <w:jc w:val="left"/>
              <w:rPr>
                <w:rFonts w:ascii="Times New Roman" w:hAnsi="Times New Roman"/>
                <w:sz w:val="24"/>
              </w:rPr>
            </w:pPr>
          </w:p>
          <w:p w14:paraId="1D009A27" w14:textId="2B442AD2" w:rsidR="00E026FB" w:rsidRPr="002A677E" w:rsidRDefault="008F2C6B" w:rsidP="00E10B85">
            <w:pPr>
              <w:spacing w:before="0" w:after="0"/>
              <w:rPr>
                <w:rFonts w:ascii="Times New Roman" w:hAnsi="Times New Roman"/>
                <w:sz w:val="24"/>
              </w:rPr>
            </w:pPr>
            <w:r>
              <w:rPr>
                <w:rFonts w:ascii="Times New Roman" w:hAnsi="Times New Roman"/>
                <w:sz w:val="24"/>
              </w:rPr>
              <w:t>Art. 254 ust. 5</w:t>
            </w:r>
            <w:bookmarkStart w:id="417" w:name="_Hlk73564575"/>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bookmarkEnd w:id="417"/>
            <w:r>
              <w:rPr>
                <w:rFonts w:ascii="Times New Roman" w:hAnsi="Times New Roman"/>
                <w:sz w:val="24"/>
              </w:rPr>
              <w:t>dotyczący „metody wewnętrznych oszacowań” w odniesieniu do pozycji programów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PODZIAŁ WEDŁUG ZAKRESÓW WAG RYZYKA</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Ekspozycje według metody wewnętrznych oszacowań według przedziałów wag ryzyka</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SZCZEGÓLNE TRAKTOWANIE TRANSZ UPRZYWILEJOWANYCH KWALIFIKUJĄCYCH SIĘ SEKURYTYZACJI EKSPOZYCJI NIEOBSŁUGIWANYCH</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5D3302EE" w:rsidR="00401E48" w:rsidRPr="002A677E" w:rsidRDefault="00401E48" w:rsidP="00E10B85">
            <w:pPr>
              <w:spacing w:before="0" w:after="0"/>
              <w:jc w:val="left"/>
              <w:rPr>
                <w:rFonts w:ascii="Times New Roman" w:hAnsi="Times New Roman"/>
                <w:sz w:val="24"/>
              </w:rPr>
            </w:pPr>
            <w:r>
              <w:rPr>
                <w:rFonts w:ascii="Times New Roman" w:hAnsi="Times New Roman"/>
                <w:sz w:val="24"/>
              </w:rPr>
              <w:t xml:space="preserve">Art. 269a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INNE (WAGA RYZYKA =</w:t>
            </w:r>
            <w:r>
              <w:t xml:space="preserve"> </w:t>
            </w:r>
            <w:r>
              <w:rPr>
                <w:rFonts w:ascii="Times New Roman" w:hAnsi="Times New Roman"/>
                <w:b/>
                <w:sz w:val="24"/>
                <w:u w:val="single"/>
              </w:rPr>
              <w:t>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06E772D5" w:rsidR="00E026FB" w:rsidRPr="002A677E" w:rsidRDefault="00D021AF" w:rsidP="00E10B85">
            <w:pPr>
              <w:spacing w:before="0" w:after="0"/>
              <w:jc w:val="left"/>
              <w:rPr>
                <w:rFonts w:ascii="Times New Roman" w:hAnsi="Times New Roman"/>
                <w:sz w:val="24"/>
              </w:rPr>
            </w:pPr>
            <w:r>
              <w:rPr>
                <w:rFonts w:ascii="Times New Roman" w:hAnsi="Times New Roman"/>
                <w:sz w:val="24"/>
              </w:rPr>
              <w:t xml:space="preserve">Jeżeli nie zastosowano żadnej z poprzednich metod, wagę ryzyka równą 1 250 % przypisuje się pozycjom sekurytyzacyjnym zgodnie z art. 254 ust. 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KWOTA EKSPOZYCJI WAŻONEJ RYZYKIEM</w:t>
            </w:r>
          </w:p>
          <w:p w14:paraId="2E54CEC8" w14:textId="77777777" w:rsidR="00E026FB" w:rsidRPr="002A677E" w:rsidRDefault="00E026FB" w:rsidP="00E10B85">
            <w:pPr>
              <w:spacing w:before="0" w:after="0"/>
              <w:jc w:val="left"/>
              <w:rPr>
                <w:rFonts w:ascii="Times New Roman" w:hAnsi="Times New Roman"/>
                <w:sz w:val="24"/>
              </w:rPr>
            </w:pPr>
          </w:p>
          <w:p w14:paraId="068D9CF6" w14:textId="734F0481" w:rsidR="00E026FB" w:rsidRPr="002A677E" w:rsidRDefault="00E026FB" w:rsidP="00E10B85">
            <w:pPr>
              <w:spacing w:before="0" w:after="0"/>
              <w:rPr>
                <w:rFonts w:ascii="Times New Roman" w:hAnsi="Times New Roman"/>
                <w:sz w:val="24"/>
              </w:rPr>
            </w:pPr>
            <w:r>
              <w:rPr>
                <w:rFonts w:ascii="Times New Roman" w:hAnsi="Times New Roman"/>
                <w:sz w:val="24"/>
              </w:rPr>
              <w:t xml:space="preserve">Całkowita kwota ekspozycji ważonej ryzykiem obliczona zgodnie z częścią trzecią tytuł II rozdział 5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przed korektami wynikającymi z niedopasowania terminów zapadalności lub naruszenia przepisów dotyczących należytej staranności oraz z wyłączeniem jakiekolwiek kwoty ekspozycji ważonej ryzykiem odpowiadającej ekspozycjom przeniesionym do innego wzoru wskutek wypływów.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METODA WEWNĘTRZNYCH OSZACOWAŃ: ŚREDNIA WAGA RYZYKA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W tej kolumnie zgłasza się średnie ważone ekspozycją wagi ryzyka pozycji sekurytyzacyjnych.</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KWOTA EKSPOZYCJI WAŻONEJ RYZYKIEM – W TYM: SEKURYTYZACJE SYNTETYCZNE</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W odniesieniu do sekurytyzacji syntetycznych związanych z niedopasowaniem terminów zapadalności przy zgłaszaniu kwoty w tej kolumnie ignoruje się niedopasowanie terminów zapadalności.</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KOREKTA KWOTY EKSPOZYCJI WAŻONEJ RYZYKIEM WYNIKAJĄCA Z NIEDOPASOWANIA TERMINÓW ZAPADALNOŚCI</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1A008A3E" w:rsidR="00E026FB" w:rsidRPr="002A677E" w:rsidRDefault="008F2C6B" w:rsidP="00E10B85">
            <w:pPr>
              <w:spacing w:before="0" w:after="0"/>
              <w:rPr>
                <w:rFonts w:ascii="Times New Roman" w:hAnsi="Times New Roman"/>
                <w:sz w:val="24"/>
              </w:rPr>
            </w:pPr>
            <w:r>
              <w:rPr>
                <w:rFonts w:ascii="Times New Roman" w:hAnsi="Times New Roman"/>
                <w:sz w:val="24"/>
              </w:rPr>
              <w:t xml:space="preserve">Uwzględnia się niedopasowanie terminów zapadalności w odniesieniu do sekurytyzacji syntetycznych RW*-RW(SP), obliczone zgodnie z art. 252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 wyjątkiem przypadków transz podlegających ważeniu ryzykiem o wadze</w:t>
            </w:r>
            <w:r>
              <w:t xml:space="preserve"> </w:t>
            </w:r>
            <w:r>
              <w:rPr>
                <w:rFonts w:ascii="Times New Roman" w:hAnsi="Times New Roman"/>
                <w:sz w:val="24"/>
              </w:rPr>
              <w:t>1 250 %, w których kwota, którą należy zgłosić, wynosi zero. RW(SP) obejmuje nie tylko kwoty ekspozycji ważone ryzykiem zgłoszone w kolumnie 0650, ale też kwoty ekspozycji ważone ryzykiem odnoszące się do ekspozycji przeniesionych poprzez wypływy do innych wzorów.</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OGÓLNY SKUTEK (KOREKTA) WYNIKAJĄCY Z NARUSZENIA PRZEPISÓW ROZDZIAŁU 2 ROZPORZĄDZENIA (UE)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7279F98D"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Zgodnie z art. 270a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przypadku niespełnienia określonych wymogów przez instytucję właściwe organy nakładają proporcjonalną dodatkową wagę ryzyka w wysokości co najmniej</w:t>
            </w:r>
            <w:r>
              <w:t xml:space="preserve"> </w:t>
            </w:r>
            <w:r>
              <w:rPr>
                <w:rFonts w:ascii="Times New Roman" w:hAnsi="Times New Roman"/>
                <w:sz w:val="24"/>
              </w:rPr>
              <w:t xml:space="preserve">250 % wagi ryzyka (maksymalnie do wysokości 1 250 %), którą zastosuje się do stosownych pozycji sekurytyzacyjnych na mocy części trzeciej tytuł II rozdział 5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PRZED UWZGLĘDNIENIEM PUŁAPU</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1A556E6D"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 xml:space="preserve">Całkowita kwota ekspozycji ważonej ryzykiem obliczona zgodnie z częścią trzecią tytuł II rozdział 5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przed uwzględnieniem pułapów określonych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67 i 268 tego rozporządzenia lub w przypadku kwalifikujących się tradycyjnych sekurytyzacji ekspozycji nieobsługiwanych przed zastosowaniem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69a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ZMNIEJSZENIE ZE WZGLĘDU NA PUŁAP WAGI RYZYKA</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75D59794"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Zgodnie z art. 267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instytucja, która zawsze zna skład ekspozycji bazowych, może przypisać uprzywilejowanej pozycji sekurytyzacyjnej maksymalną wagę ryzyka równą średniej wadze ryzyka ważonej ekspozycją, która miałaby zastosowanie do ekspozycji bazowych, tak jakby nie zostały one objęte sekurytyzacją. W przypadku kwalifikujących się tradycyjnych sekurytyzacji ekspozycji nieobsługiwanych </w:t>
            </w:r>
            <w:r>
              <w:rPr>
                <w:rFonts w:ascii="Times New Roman" w:hAnsi="Times New Roman"/>
                <w:sz w:val="24"/>
              </w:rPr>
              <w:lastRenderedPageBreak/>
              <w:t xml:space="preserve">stosuje się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69a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szczególności jego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i 7.</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ZMNIEJSZENIE ZE WZGLĘDU NA OGÓLNY PUŁAP</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7215B43D"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Zgodnie z art. 268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instytucja inicjująca, instytucja sponsorująca lub inna instytucja stosujące metodę SEC-IRBA, bądź instytucja inicjująca lub instytucja sponsorująca stosujące metodę SEC-SA lub SEC-ERBA mogą stosować w odniesieniu do posiadanej przez siebie pozycji sekurytyzacyjnej maksymalne wymogi kapitałowe równe wymogom kapitałowym, które zostałyby obliczone zgodnie z częścią trzecią tytuł II rozdział 2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odniesieniu do ekspozycji bazowych, tak jakby nie zostały one objęte sekurytyzacją. W przypadku kwalifikujących się tradycyjnych sekurytyzacji ekspozycji nieobsługiwanych stosuje się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69a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szczególności jego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i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1CE87217"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 xml:space="preserve">Całkowita kwota ekspozycji ważonej ryzykiem obliczono zgodnie z częścią trzecią tytuł II rozdział 5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 uwzględnieniem całkowitej kwoty ekspozycji ważonej ryzykiem, jak określono w art. 247 ust. 6 tego rozporządzenia.</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POZYCJA UZUPEŁNIAJĄCA: KWOTA EKSPOZYCJI WAŻONEJ RYZYKIEM ODPOWIADAJĄCA WYPŁYWOM Z SEKURYTYZACJI DO INNYCH KATEGORII EKSPOZYCJI</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Kwota ekspozycji ważona ryzykiem wynikająca z przeniesienia ekspozycji na dostawcę środków ograniczania ryzyka, a tym samym obliczana w odpowiednim wzorze, która uwzględniana jest przy obliczaniu pułapu dla pozycji sekurytyzacyjnych.</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43455E" w:rsidP="00487A02">
      <w:pPr>
        <w:pStyle w:val="InstructionsText2"/>
        <w:numPr>
          <w:ilvl w:val="0"/>
          <w:numId w:val="0"/>
        </w:numPr>
        <w:ind w:left="1353" w:hanging="360"/>
      </w:pPr>
      <w:fldSimple w:instr=" seq paragraphs ">
        <w:r w:rsidR="008F3052">
          <w:t>109</w:t>
        </w:r>
      </w:fldSimple>
      <w:r w:rsidR="008F3052">
        <w:t>.</w:t>
      </w:r>
      <w:r w:rsidR="008F3052">
        <w:tab/>
        <w:t xml:space="preserve"> Wzór podzielony jest na trzy główne zestawienia wierszy. Służy do gromadzenia danych na temat ekspozycji zainicjowanych / sponsorowanych / utrzymanych lub nabytych przez jednostki inicjujące, inwestorów i jednostki sponsorujące. W przypadku każdego z nich informacje podzielone są na pozycje bilansowe i pozabilansowe oraz instrumenty pochodne, a także określa się, czy polegają zróżnicowanemu traktowaniu kapitału, czy też nie.</w:t>
      </w:r>
    </w:p>
    <w:p w14:paraId="3E41D4CD" w14:textId="77777777" w:rsidR="00E026FB" w:rsidRPr="002A677E" w:rsidRDefault="0043455E" w:rsidP="00487A02">
      <w:pPr>
        <w:pStyle w:val="InstructionsText2"/>
        <w:numPr>
          <w:ilvl w:val="0"/>
          <w:numId w:val="0"/>
        </w:numPr>
        <w:ind w:left="1353" w:hanging="360"/>
      </w:pPr>
      <w:fldSimple w:instr=" seq paragraphs ">
        <w:r w:rsidR="008F3052">
          <w:t>110</w:t>
        </w:r>
      </w:fldSimple>
      <w:r w:rsidR="008F3052">
        <w:t>. Pozycje traktowane zgodnie z SEC-ERBA i pozycje bez ratingu (ekspozycje na dzień sprawozdawczy) dzieli się w fazie wstępnej według stopni jakości kredytowej (ostatnie zestawienie wierszy). Informacje te zgłaszają jednostki inicjujące i sponsorujące, jak również inwestorzy.</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F7528">
            <w:pPr>
              <w:keepNext/>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F7528">
            <w:pPr>
              <w:keepNext/>
              <w:autoSpaceDE w:val="0"/>
              <w:autoSpaceDN w:val="0"/>
              <w:adjustRightInd w:val="0"/>
              <w:spacing w:before="0" w:after="0"/>
              <w:rPr>
                <w:rFonts w:ascii="Times New Roman" w:hAnsi="Times New Roman"/>
                <w:b/>
                <w:bCs/>
                <w:sz w:val="24"/>
              </w:rPr>
            </w:pPr>
            <w:r>
              <w:rPr>
                <w:rFonts w:ascii="Times New Roman" w:hAnsi="Times New Roman"/>
                <w:b/>
                <w:sz w:val="24"/>
              </w:rPr>
              <w:t>Wiersze</w:t>
            </w:r>
          </w:p>
          <w:p w14:paraId="17B69C03" w14:textId="77777777" w:rsidR="00E026FB" w:rsidRPr="002A677E" w:rsidRDefault="00E026FB" w:rsidP="00EF7528">
            <w:pPr>
              <w:keepNext/>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EKSPOZYCJE CAŁKOWITE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Ekspozycje całkowite odnoszą się do całkowitej kwoty pozostających sekurytyzacji i resekurytyzacji. W tym wierszu podsumowuje się wszystkie informacje zgłoszone przez jednostki inicjujące, jednostki sponsorujące i inwestorów w kolejnych wierszach.</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SEKURYTYZACYJNE</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3606CCC0"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pozostających pozycji sekurytyzacyjnych, zgodnie z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które nie stanowią resekurytyzacji zgodnie z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KWALIFIKUJĄCE SIĘ DO ZRÓŻNICOWANEGO TRAKTOWANIA KAPITAŁU</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490DF5B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pozycji sekurytyzacyjnych, które spełniają kryteria art. 243, 270 i 494c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 w związku z tym kwalifikują się do zróżnicowanego traktowania kapitału.</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EKSPOZYCJE Z TYTUŁU TRADYCYJNYCH SEKURYTYZACJI STS TYPU ABCP LUB INNYCH NIŻ ABCP</w:t>
            </w:r>
          </w:p>
          <w:p w14:paraId="6DABA773" w14:textId="553FFDEB"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pozycji sekurytyzacyjnych STS, które spełniają wymogi określone w art. 243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UPRZYWILEJOWANE PODLEGAJĄCE ZASADZIE PRAW NABYTYCH W SEKURYTYZACJACH SYNTETYCZNYCH MŚP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0DD2BE65"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syntetycznych pozycji sekurytyzacyjnych podlegających zasadzie praw nabytych w MŚP, które spełniają warunki określone w art. 494c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UPRZYWILEJOWANE W SEKURYTYZACJI BILANSOWYCH STS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4BF2C9CA"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uprzywilejowanych pozycji sekurytyzacyjnych w sekurytyzacjach bilansowych STS, które spełniają wymogi określone w art. 270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i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NIEKWALIFIKUJĄCE SIĘ DO ZRÓŻNICOWANEGO TRAKTOWANIA KAPITAŁU</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3A6B65A2"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254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4, 5 i 6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59, 261, 263, 265, 266 i 269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Całkowita kwota pozycji sekurytyzacyjnych, które nie kwalifikują się do zróżnicowanego traktowania kapitału.</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 0190, 0310 i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RESEKURYTYZACYJNE</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2F29C4A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Całkowita kwota pozostających pozycji resekurytyzacyjnych, zgodnie z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JEDNOSTKA INICJUJĄCA: EKSPOZYCJE CAŁKOWITE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098B15F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Wiersz ten zawiera podsumowanie informacji na temat pozycji bilansowych i pozabilansowych oraz instrumentów pochodnych tych pozycji sekurytyzacyjnych oraz resekurytyzacyjnych, w odniesieniu do których instytucja pełni rolę jednostki inicjującej, zgodnie z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oraz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SEKURYTYZACYJNE: POZYCJE BILANSOWE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62BB34F6"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Zgodnie z art. 248 ust. 1 lit. 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wartością ekspozycji z tytułu bilansowej pozycji sekurytyzacyjnej jest jej wartość księgowa pozostająca po zastosowaniu w odniesieniu do sekurytyzacji zgodnie z art. 110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wszelkich stosownych korekt z tytułu szczególnego ryzyka kredytowego.</w:t>
            </w:r>
          </w:p>
          <w:p w14:paraId="143E9F98" w14:textId="659C7BA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Pozycje bilansowe dzieli się w celu zgromadzenia informacji dotyczących stosowania zróżnicowanego traktowania kapitału, o którym mowa w art. 243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wierszach 0100 i 0120 oraz informacji dotyczących całkowitej kwoty uprzywilejowanych pozycji sekurytyzacyjnych, o których mowa w art. 242 ust. 6 tego rozporządzenia w wierszach 0110 i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oraz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KWALIFIKUJĄCE SIĘ DO ZRÓŻNICOWANEGO TRAKTOWANIA KAPITAŁU</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55FD8E83"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pozycji sekurytyzacyjnych, które spełniają kryteria art. 243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 w związku z tym kwalifikują się do zróżnicowanego traktowania kapitału.</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oraz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 TYM: EKSPOZYCJE UPRZYWILEJOWANE</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6F3084FA"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uprzywilejowanych pozycji sekurytyzacyjnych zdefiniowanych w art. 242 pkt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oraz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EKSPOZYCJE Z TYTUŁU SEKURYTYZACJI EKSPOZYCJI INNYCH NIŻ NIEOBSŁUGIWANE</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2BE401A0"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lastRenderedPageBreak/>
              <w:t xml:space="preserve">Całkowita kwota ekspozycji niespełniających warunków określonych w art. 269a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AEC65F1" w14:textId="09C51B87" w:rsidR="00F530D8" w:rsidRPr="00836936"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0133, 0253 oraz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EKSPOZYCJE Z TYTUŁU SEKURYTYZACJI EKSPOZYCJI NIEOBSŁUGIWANYCH</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3CB5B81" w:rsidR="00086A31" w:rsidRPr="002A677E" w:rsidRDefault="000A6BBC" w:rsidP="007421F4">
            <w:pPr>
              <w:spacing w:before="0" w:after="0"/>
              <w:rPr>
                <w:rFonts w:ascii="Times New Roman" w:hAnsi="Times New Roman"/>
                <w:sz w:val="24"/>
              </w:rPr>
            </w:pPr>
            <w:r>
              <w:rPr>
                <w:rFonts w:ascii="Times New Roman" w:hAnsi="Times New Roman"/>
                <w:sz w:val="24"/>
              </w:rPr>
              <w:t xml:space="preserve">Całkowita kwota ekspozycji spełniających warunki określone w art. 269a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oraz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W TYM: EKSPOZYCJE UPRZYWILEJOWANE W KWALIFIKUJĄCYCH SIĘ TRADYCYJNYCH SEKURYTYZACJACH EKSPOZYCJI NIEOBSŁUGIWANYCH</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48420DB3" w:rsidR="006D2499" w:rsidRPr="002A677E" w:rsidRDefault="000A6BBC" w:rsidP="006D2499">
            <w:pPr>
              <w:spacing w:before="0" w:after="0"/>
              <w:rPr>
                <w:rFonts w:ascii="Times New Roman" w:hAnsi="Times New Roman"/>
                <w:sz w:val="24"/>
              </w:rPr>
            </w:pPr>
            <w:r>
              <w:rPr>
                <w:rFonts w:ascii="Times New Roman" w:hAnsi="Times New Roman"/>
                <w:sz w:val="24"/>
              </w:rPr>
              <w:t xml:space="preserve">Całkowita kwota ekspozycji spełniających warunki określone w art. 269a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oraz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W TYM: EKSPOZYCJE UPRZYWILEJOWANE W NIEKWALIFIKUJĄCYCH SIĘ TRADYCYJNYCH SEKURYTYZACJACH EKSPOZYCJI NIEOBSŁUGIWANYCH</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54937607"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Całkowita kwota ekspozycji niespełniających warunków określonych w art. 269a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A2408D0" w14:textId="31DBB1E9" w:rsidR="00F530D8" w:rsidRPr="00836936"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oraz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W TYM: EKSPOZYCJE INNE NIŻ UPRZYWILEJOWANE W KWALIFIKUJĄCYCH SIĘ TRADYCYJNYCH SEKURYTYZACJACH EKSPOZYCJI NIEOBSŁUGIWANYCH</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75451CFA" w:rsidR="007D0ABB" w:rsidRPr="001235ED" w:rsidRDefault="004B6F60" w:rsidP="00E10B85">
            <w:pPr>
              <w:spacing w:before="0" w:after="0"/>
              <w:rPr>
                <w:rFonts w:ascii="Times New Roman" w:hAnsi="Times New Roman"/>
                <w:sz w:val="24"/>
              </w:rPr>
            </w:pPr>
            <w:r>
              <w:rPr>
                <w:rFonts w:ascii="Times New Roman" w:hAnsi="Times New Roman"/>
                <w:sz w:val="24"/>
              </w:rPr>
              <w:t xml:space="preserve">Całkowita kwota ekspozycji spełniających warunki określone w art. 269a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niespełniających warunków określonych w art. 269a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oraz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POZYCJE SEKURYTYZACYJNE: POZYCJE POZABILANSOWE I INSTRUMENTY POCHODNE</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W wierszach tych gromadzone są informacje o pozycjach pozabilansowych i instrumentach pochodnych dotyczących pozycji sekurytyzacyjnych, wobec których stosuje się współczynnik konwersji w ramach koncepcji sekurytyzacji. Wartością ekspozycji z tytułu pozabilansowej pozycji sekurytyzacyjnej jest jej wartość nominalna pomniejszona o wartość wszelkich korekt z tytułu szczególnego ryzyka kredytowego dotyczących tej pozycji sekurytyzacyjnej i pomnożona przez</w:t>
            </w:r>
            <w:r>
              <w:t xml:space="preserve"> </w:t>
            </w:r>
            <w:r>
              <w:rPr>
                <w:rFonts w:ascii="Times New Roman" w:hAnsi="Times New Roman"/>
                <w:sz w:val="24"/>
              </w:rPr>
              <w:t>100 % wartości współczynnika konwersji, o ile nie przewidziano inaczej.</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5825FED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Pozabilansowe pozycje sekurytyzacyjne wynikające z instrumentu pochodnego wymienionego w załączniku II do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określa się zgodnie z częścią trzecią tytuł II rozdział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Wartość ekspozycji na ryzyko kredytowe kontrahenta z tytułu instrumentu pochodnego wymienionego w załączniku II do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określa się zgodnie z częścią trzecią tytuł II rozdział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W odniesieniu do instrumentów wsparcia płynności, zobowiązań kredytowych i zaliczek gotówkowych jednostki obsługującej instytucje podają niewykorzystane kwoty.</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9BCE96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Jeżeli chodzi o stopę procentową i swapy walutowe, podaje się wartość ekspozycji (obliczaną zgodnie z art. 248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0C9A7C7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Pozycje bilansowe i instrumenty pochodne dzieli się w celu zgromadzenia informacji dotyczących stosowania zróżnicowanego traktowania kapitału, o którym mowa w art. 270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wierszach 0150 i 0170 oraz informacji dotyczących całkowitej kwoty uprzywilejowanych pozycji sekurytyzacyjnych, o których mowa w art. 242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wierszach 0160 i 0180. Takie same odniesienia prawne stosuje się do wierszy 0100–0130.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oraz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KWALIFIKUJĄCE SIĘ DO ZRÓŻNICOWANEGO TRAKTOWANIA KAPITAŁU</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8AEAB4E"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pozycji sekurytyzacyjnych, które spełniają kryteria art. 243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wyłącznie w przypadku jednostek inicjujących,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70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94c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 w związku z tym kwalifikują się do zróżnicowanego traktowania kapitału.</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INWESTOR: EKSPOZYCJE CAŁKOWITE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Wiersz ten zawiera podsumowanie informacji na temat pozycji bilansowych i pozabilansowych oraz instrumentów pochodnych tych pozycji sekurytyzacyjnych</w:t>
            </w:r>
            <w:r>
              <w:rPr>
                <w:rFonts w:ascii="Times New Roman" w:hAnsi="Times New Roman"/>
                <w:sz w:val="24"/>
              </w:rPr>
              <w:t xml:space="preserve"> oraz </w:t>
            </w:r>
            <w:r>
              <w:rPr>
                <w:rStyle w:val="FormatvorlageInstructionsTabelleText"/>
                <w:rFonts w:ascii="Times New Roman" w:hAnsi="Times New Roman"/>
                <w:sz w:val="24"/>
              </w:rPr>
              <w:t xml:space="preserve">resekurytyzacyjnych, w odniesieniu do których instytucja pełni rolę inwestora.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Dla celów tego wzoru inwestora rozumie się jako instytucję, która posiada pozycje sekurytyzacyjne w transakcji sekurytyzacyjnej, w której nie jest ani jednostką inicjującą, ani sponsorującą.</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JEDNOSTKA SPONSORUJĄCA: EKSPOZYCJE CAŁKOWITE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4503CC1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Wiersz ten zawiera podsumowanie informacji na temat pozycji bilansowych i pozabilansowych oraz instrumentów pochodnych tych pozycji sekurytyzacyjnych oraz resekurytyzacyjnych, w odniesieniu do których instytucja pełni rolę jednostki sponsorującej, zgodnie z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Jeżeli jednostka sponsorująca sekurytyzuje również swoje aktywa własne, wypełnia wiersze przeznaczone dla jednostki inicjującej, przedstawiając informacje dotyczące sekurytyzowanych przez siebie aktywów własnych.</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PODZIAŁ POZOSTAJĄCYCH POZYCJI WEDŁUG STOPNIA JAKOŚCI KREDYTOWEJ W MOMENCIE INICJACJI</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70BE7BC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W wierszach tych gromadzi się informacje na temat pozostających pozycji (w dniu sprawozdawczym), w odniesieniu do których w dniu powstania (w fazie wstępnej) wyznaczono stopień jakości kredytowej (jak określono w tabeli 1 i 2 w art. 263 oraz w tabelach 3 i 4 w art. 264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odniesieniu do pozycji sekurytyzacyjnych traktowanych w ramach metody wewnętrznych oszacowań, stopień jakości kredytowej stanowi stopień przypisywany w chwili przyznawania po raz pierwszy ratingu dotyczącego metody wewnętrznych oszacowań. W przypadku braku tych informacji zgłasza się najwcześniejsze dostępne dane równoważne stopniom jakości kredytowej.</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Wiersze te zgłasza się tylko w odniesieniu do kolumn 0180–0210, 0280, 0350–0640, 0700–0720, 0740, 0760–0830 oraz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119064844"/>
      <w:r>
        <w:rPr>
          <w:rFonts w:ascii="Times New Roman" w:hAnsi="Times New Roman"/>
          <w:sz w:val="24"/>
          <w:u w:val="none"/>
        </w:rPr>
        <w:t>3.8.</w:t>
      </w:r>
      <w:r>
        <w:tab/>
      </w:r>
      <w:bookmarkEnd w:id="418"/>
      <w:r>
        <w:rPr>
          <w:rFonts w:ascii="Times New Roman" w:hAnsi="Times New Roman"/>
          <w:sz w:val="24"/>
        </w:rPr>
        <w:t>Szczegółowe informacje na temat sekurytyzacji</w:t>
      </w:r>
      <w:bookmarkEnd w:id="419"/>
      <w:bookmarkEnd w:id="420"/>
      <w:r>
        <w:rPr>
          <w:rFonts w:ascii="Times New Roman" w:hAnsi="Times New Roman"/>
          <w:sz w:val="24"/>
        </w:rPr>
        <w:t xml:space="preserve"> (SEC SZCZEGÓŁY)</w:t>
      </w:r>
      <w:bookmarkEnd w:id="421"/>
      <w:bookmarkEnd w:id="422"/>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119064845"/>
      <w:r>
        <w:rPr>
          <w:rFonts w:ascii="Times New Roman" w:hAnsi="Times New Roman"/>
          <w:sz w:val="24"/>
          <w:u w:val="none"/>
        </w:rPr>
        <w:t>3.8.1.</w:t>
      </w:r>
      <w:r>
        <w:tab/>
      </w:r>
      <w:r>
        <w:rPr>
          <w:rFonts w:ascii="Times New Roman" w:hAnsi="Times New Roman"/>
          <w:sz w:val="24"/>
          <w:u w:val="none"/>
        </w:rPr>
        <w:t>Zakres stosowania wzoru SEC SZCZEGÓŁY</w:t>
      </w:r>
      <w:bookmarkEnd w:id="423"/>
      <w:bookmarkEnd w:id="424"/>
      <w:bookmarkEnd w:id="425"/>
      <w:bookmarkEnd w:id="426"/>
    </w:p>
    <w:bookmarkStart w:id="427" w:name="_Toc310415048"/>
    <w:bookmarkStart w:id="428" w:name="_Toc360188383"/>
    <w:bookmarkStart w:id="429"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W tych wzorach gromadzone są informacje na poziomie poszczególnych transakcji (w przeciwieństwie do informacji zagregowanych zgłaszanych we wzorach CR SEC, MKR SA SEC, MKR SA CTP, CA1 oraz CA2) dotyczące wszystkich sekurytyzacji, w które zaangażowana jest instytucja sprawozdająca. Zgłasza się główne cechy każdej sekurytyzacji, takie jak charakter puli bazowej i wymogi w zakresie funduszy własnych. </w:t>
      </w:r>
    </w:p>
    <w:p w14:paraId="5BAA1CFA" w14:textId="77777777" w:rsidR="00062A1F" w:rsidRPr="002A677E" w:rsidRDefault="0043455E" w:rsidP="00487A02">
      <w:pPr>
        <w:pStyle w:val="InstructionsText2"/>
        <w:numPr>
          <w:ilvl w:val="0"/>
          <w:numId w:val="0"/>
        </w:numPr>
        <w:ind w:left="1353" w:hanging="360"/>
      </w:pPr>
      <w:fldSimple w:instr=" seq paragraphs ">
        <w:r w:rsidR="008F3052">
          <w:t>112</w:t>
        </w:r>
      </w:fldSimple>
      <w:r w:rsidR="008F3052">
        <w:t>.</w:t>
      </w:r>
      <w:r w:rsidR="008F3052">
        <w:tab/>
        <w:t xml:space="preserve"> Wzory te zgłasza się w odniesieniu do:</w:t>
      </w:r>
    </w:p>
    <w:p w14:paraId="2826783E" w14:textId="3DDD72A9" w:rsidR="002409C1" w:rsidRPr="002A677E" w:rsidRDefault="00062A1F" w:rsidP="00487A02">
      <w:pPr>
        <w:pStyle w:val="InstructionsText2"/>
        <w:numPr>
          <w:ilvl w:val="0"/>
          <w:numId w:val="0"/>
        </w:numPr>
        <w:ind w:left="1353" w:hanging="360"/>
      </w:pPr>
      <w:r>
        <w:t>a.</w:t>
      </w:r>
      <w:r>
        <w:tab/>
        <w:t xml:space="preserve">sekurytyzacji utworzonych / sponsorowanych przez instytucję sprawozdającą, w tym w przypadku gdy nie posiada ona żadnej pozycji w danej sekurytyzacji. W przypadkach, w których instytucja posiada co najmniej jedną pozycję w danej sekurytyzacji, niezależnie od tego, czy nastąpiło przeniesienie istotnej części ryzyka, instytucje zgłaszają informacje o wszystkich posiadanych pozycjach (w portfelu bankowym lub handlowym). Posiadane pozycje obejmują pozycje nabyte zgodnie z art. 6 rozporządzenia (UE) 2017/2402 oraz, gdy zastosowanie ma art. 43 ust. 6 tego rozporządzenia, art. 405 rozporządzenia (UE) </w:t>
      </w:r>
      <w:r w:rsidRPr="0043455E">
        <w:t>nr</w:t>
      </w:r>
      <w:r w:rsidR="0043455E" w:rsidRPr="0043455E">
        <w:t> </w:t>
      </w:r>
      <w:r w:rsidRPr="0043455E">
        <w:t>5</w:t>
      </w:r>
      <w:r>
        <w:t>75/2013 w wersji mającej zastosowanie w dniu 31 grudnia 20</w:t>
      </w:r>
      <w:r w:rsidRPr="0043455E">
        <w:t>18</w:t>
      </w:r>
      <w:r w:rsidR="0043455E" w:rsidRPr="0043455E">
        <w:t> </w:t>
      </w:r>
      <w:r w:rsidRPr="0043455E">
        <w:t>r.</w:t>
      </w:r>
    </w:p>
    <w:p w14:paraId="66DF98B2" w14:textId="77777777" w:rsidR="00062A1F" w:rsidRPr="002A677E" w:rsidRDefault="00062A1F" w:rsidP="00487A02">
      <w:pPr>
        <w:pStyle w:val="InstructionsText2"/>
        <w:numPr>
          <w:ilvl w:val="0"/>
          <w:numId w:val="0"/>
        </w:numPr>
        <w:ind w:left="1353" w:hanging="360"/>
      </w:pPr>
      <w:r>
        <w:t>b.</w:t>
      </w:r>
      <w:r>
        <w:tab/>
        <w:t>sekurytyzacji, w ramach których ostateczne instrumenty bazowe są zobowiązaniami finansowymi wyemitowanymi pierwotnie przez instytucję sprawozdającą, a następnie (częściowo) nabytymi przez podmiot sekurytyzacyjny. Te instrumenty bazowe mogą obejmować obligacje zabezpieczone lub inne zobowiązania i są odpowiednio identyfikowane w kolumnie 0160.</w:t>
      </w:r>
    </w:p>
    <w:p w14:paraId="2AF1CB05" w14:textId="3C10AFDB" w:rsidR="00062A1F" w:rsidRPr="002A677E" w:rsidRDefault="002409C1" w:rsidP="00487A02">
      <w:pPr>
        <w:pStyle w:val="InstructionsText2"/>
        <w:numPr>
          <w:ilvl w:val="0"/>
          <w:numId w:val="0"/>
        </w:numPr>
        <w:ind w:left="1353" w:hanging="360"/>
      </w:pPr>
      <w:r>
        <w:t>c.</w:t>
      </w:r>
      <w:r>
        <w:tab/>
        <w:t>posiadanych pozycji w sekurytyzacjach, w przypadku gdy instytucja sprawozdająca nie jest ani jednostką inicjującą, ani jednostką sponsorującą (tj. zalicza się do inwestorów i pierwotnych kredytodawców).</w:t>
      </w:r>
    </w:p>
    <w:p w14:paraId="67373E52" w14:textId="1FEEA6B4" w:rsidR="00B814CA" w:rsidRPr="002A677E" w:rsidRDefault="00B814CA" w:rsidP="001235ED">
      <w:pPr>
        <w:pStyle w:val="InstructionsText2"/>
        <w:numPr>
          <w:ilvl w:val="0"/>
          <w:numId w:val="0"/>
        </w:numPr>
        <w:ind w:left="1353"/>
      </w:pPr>
      <w:r>
        <w:t>Wzór C 14.01 zgłasza się wyłącznie w odniesieniu do pozycji sekurytyzacyjnych traktowanych zgodnie z ramami sekurytyzacji.</w:t>
      </w:r>
    </w:p>
    <w:p w14:paraId="190636F1" w14:textId="77777777" w:rsidR="00062A1F" w:rsidRPr="002A677E" w:rsidRDefault="0043455E" w:rsidP="00487A02">
      <w:pPr>
        <w:pStyle w:val="InstructionsText2"/>
        <w:numPr>
          <w:ilvl w:val="0"/>
          <w:numId w:val="0"/>
        </w:numPr>
        <w:ind w:left="1353" w:hanging="360"/>
      </w:pPr>
      <w:fldSimple w:instr=" seq paragraphs ">
        <w:r w:rsidR="008F3052">
          <w:t>113</w:t>
        </w:r>
      </w:fldSimple>
      <w:r w:rsidR="008F3052">
        <w:t>.</w:t>
      </w:r>
      <w:r w:rsidR="008F3052">
        <w:tab/>
        <w:t xml:space="preserve"> Wzory te są zgłaszane przez grupy skonsolidowane i jednostki samodzielne</w:t>
      </w:r>
      <w:r w:rsidR="008F3052">
        <w:rPr>
          <w:rStyle w:val="FootnoteReference"/>
        </w:rPr>
        <w:footnoteReference w:id="7"/>
      </w:r>
      <w:r w:rsidR="008F3052">
        <w:t xml:space="preserve"> znajdujące się w tym samym państwie, w którym podlegają wymogom w zakresie funduszy własnych. W przypadku sekurytyzacji obejmującej więcej niż jeden podmiot z tej samej grupy skonsolidowanej przedstawia się szczegółowy podział według poszczególnych podmiotów. </w:t>
      </w:r>
    </w:p>
    <w:p w14:paraId="1E7670E7" w14:textId="77777777" w:rsidR="00062A1F" w:rsidRPr="002A677E" w:rsidRDefault="0043455E" w:rsidP="00487A02">
      <w:pPr>
        <w:pStyle w:val="InstructionsText2"/>
        <w:numPr>
          <w:ilvl w:val="0"/>
          <w:numId w:val="0"/>
        </w:numPr>
        <w:ind w:left="1353" w:hanging="360"/>
      </w:pPr>
      <w:fldSimple w:instr=" seq paragraphs ">
        <w:r w:rsidR="008F3052">
          <w:t>114</w:t>
        </w:r>
      </w:fldSimple>
      <w:r w:rsidR="008F3052">
        <w:t>.</w:t>
      </w:r>
      <w:r w:rsidR="008F3052">
        <w:tab/>
        <w:t xml:space="preserve"> W związku z art. 5 rozporządzenia (UE) 2017/2402, który stanowi, że instytucje inwestujące w pozycje sekurytyzacyjne gromadzą wiele informacji na ich temat w celu zapewnienia zgodności z wymogami należytej staranności, zakres sprawozdawczości tego wzoru stosuje się do inwestorów w ograniczonym stopniu. W szczególności zgłaszają oni kolumny 0010-0040; 0070-0110; 0160; 0190; 0290-0300; 0310-0470.</w:t>
      </w:r>
    </w:p>
    <w:p w14:paraId="40D60DFB" w14:textId="77777777" w:rsidR="00062A1F" w:rsidRPr="002A677E" w:rsidRDefault="0043455E" w:rsidP="00487A02">
      <w:pPr>
        <w:pStyle w:val="InstructionsText2"/>
        <w:numPr>
          <w:ilvl w:val="0"/>
          <w:numId w:val="0"/>
        </w:numPr>
        <w:ind w:left="1353" w:hanging="360"/>
      </w:pPr>
      <w:fldSimple w:instr=" seq paragraphs ">
        <w:r w:rsidR="008F3052">
          <w:t>115</w:t>
        </w:r>
      </w:fldSimple>
      <w:r w:rsidR="008F3052">
        <w:t>.</w:t>
      </w:r>
      <w:r w:rsidR="008F3052">
        <w:tab/>
        <w:t xml:space="preserve"> Instytucje pełniące rolę pierwotnych kredytodawców (i niebędące jednocześnie jednostką inicjującą lub jednostką sponsorującą w ramach tej samej sekurytyzacji) na ogół zgłaszają wzór w takim samym zakresie jak inwestorzy.</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119064846"/>
      <w:r>
        <w:rPr>
          <w:rFonts w:ascii="Times New Roman" w:hAnsi="Times New Roman"/>
          <w:sz w:val="24"/>
          <w:u w:val="none"/>
        </w:rPr>
        <w:t>3.8.2 Podział wzoru SEC SZCZEGÓŁY</w:t>
      </w:r>
      <w:bookmarkEnd w:id="430"/>
      <w:bookmarkEnd w:id="431"/>
    </w:p>
    <w:p w14:paraId="1E73B3CF" w14:textId="3FEA1322" w:rsidR="00062A1F" w:rsidRPr="002A677E" w:rsidRDefault="0043455E" w:rsidP="00487A02">
      <w:pPr>
        <w:pStyle w:val="InstructionsText2"/>
        <w:numPr>
          <w:ilvl w:val="0"/>
          <w:numId w:val="0"/>
        </w:numPr>
        <w:ind w:left="1353" w:hanging="360"/>
      </w:pPr>
      <w:fldSimple w:instr=" seq paragraphs ">
        <w:r w:rsidR="008F3052">
          <w:t>116</w:t>
        </w:r>
      </w:fldSimple>
      <w:r w:rsidR="008F3052">
        <w:t xml:space="preserve">. Wzór SEC SZCZEGÓŁY składa się z dwóch wzorów. Wzór SEC SZCZEGÓŁY zawiera ogólny przegląd sekurytyzacji. Wzór SEC SZCZEGÓŁY 2 przedstawia podział pozycji sekurytyzacyjnych podlegających wymogom w zakresie funduszy własnych zgodnie z częścią trzecią tytuł II rozdział 5 sekcja 3 rozporządzenia (UE) </w:t>
      </w:r>
      <w:r w:rsidR="008F3052" w:rsidRPr="0043455E">
        <w:t>nr</w:t>
      </w:r>
      <w:r w:rsidRPr="0043455E">
        <w:t> </w:t>
      </w:r>
      <w:r w:rsidR="008F3052" w:rsidRPr="0043455E">
        <w:t>5</w:t>
      </w:r>
      <w:r w:rsidR="008F3052">
        <w:t xml:space="preserve">75/2013 według zastosowanego podejścia. </w:t>
      </w:r>
    </w:p>
    <w:p w14:paraId="57C5CCB6" w14:textId="0551906E" w:rsidR="00062A1F" w:rsidRPr="002A677E" w:rsidRDefault="0043455E" w:rsidP="00487A02">
      <w:pPr>
        <w:pStyle w:val="InstructionsText2"/>
        <w:numPr>
          <w:ilvl w:val="0"/>
          <w:numId w:val="0"/>
        </w:numPr>
        <w:ind w:left="1353" w:hanging="360"/>
      </w:pPr>
      <w:fldSimple w:instr=" seq paragraphs ">
        <w:r w:rsidR="008F3052">
          <w:t>117</w:t>
        </w:r>
      </w:fldSimple>
      <w:r w:rsidR="008F3052">
        <w:t xml:space="preserve">. Pozycje sekurytyzacyjne w portfelu handlowym zgłasza się wyłącznie w kolumnach 0010-0020, 0420, 0430, 0431, 0432, 0440 oraz 0450-0470. W przypadku kolumn 0420, 0430 i 0440 instytucje uwzględniają RW odpowiadający wymogowi pozycji netto w zakresie funduszy własnych.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2" w:name="_Toc119064847"/>
      <w:r>
        <w:rPr>
          <w:rFonts w:ascii="Times New Roman" w:hAnsi="Times New Roman"/>
          <w:sz w:val="24"/>
          <w:u w:val="none"/>
        </w:rPr>
        <w:t>3.8.3 C 14.00 – Szczegółowe informacje na temat sekurytyzacji (SEC SZCZEGÓŁY)</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Kolumny</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KOD WEWNĘTRZNY</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Wewnętrzny (alfanumeryczny) kod stosowany przez instytucję w celu identyfikacji sekurytyzacji.</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Kod wewnętrzny związany jest z identyfikatorem transakcji sekurytyzacji.</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IDENTYFIKATOR SEKURYTYZACJI</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Kod używany do celów prawnej rejestracji transakcji sekurytyzacji lub, jeśli taki kod nie jest dostępny, nazwa, pod którą dana transakcja sekurytyzacji jest znana na rynku lub w ramach instytucji w przypadku sekurytyzacji wewnętrznej lub prywatnej.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W przypadku gdy dostępny jest Międzynarodowy Numer Identyfikacyjny Papierów Wartościowych (ISIN; np. w odniesieniu do transakcji publicznych), w kolumnie tej zgłasza się znaki wspólne dla wszystkich transz sekurytyzacyjnych.</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SEKURYTYZACJA WEWNĄTRZGRUPOWA, PRYWATNA LUB PUBLICZNA?</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W tej kolumnie identyfikuje się, czy sekurytyzacja jest sekurytyzacją wewnątrzgrupową, prywatną lub publiczną.</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Instytucje zgłaszają jedną z następujących informacji:</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sekurytyzację prywatną;</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sekurytyzację wewnątrzgrupową;</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sekurytyzację publiczną.</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ROLA INSTYTUCJI (JEDNOSTKA INICJUJĄCA / JEDNOSTKA SPONSORUJĄCA / PIERWOTNY KREDYTODAWCA / INWESTOR)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Instytucje zgłaszają jedną z następujących informacji: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jednostkę inicjującą;</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jednostkę sponsorującą;</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inwestora.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pierwotnego kredytodawcę.</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7DD8CBF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Jednostka inicjująca zdefiniowana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jednostka sponsorująca zdefiniowana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 tego rozporządzenia. Zakłada się, że inwestorami są te instytucje, do których stosują się przepisy art. 5 rozporządzenia (UE) 2017/2402. W przypadku art. 43 ust. 5 rozporządzenia (UE) 2017/2402 zastosowanie mają art. 406 i 407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wersji mającej zastosowanie w dniu 31 grudnia 20</w:t>
            </w:r>
            <w:r w:rsidRPr="0043455E">
              <w:rPr>
                <w:rFonts w:ascii="Times New Roman" w:hAnsi="Times New Roman"/>
                <w:sz w:val="24"/>
              </w:rPr>
              <w:t>18</w:t>
            </w:r>
            <w:r w:rsidR="0043455E" w:rsidRPr="0043455E">
              <w:rPr>
                <w:rFonts w:ascii="Times New Roman" w:hAnsi="Times New Roman"/>
                <w:sz w:val="24"/>
              </w:rPr>
              <w:t> </w:t>
            </w:r>
            <w:r w:rsidRPr="0043455E">
              <w:rPr>
                <w:rFonts w:ascii="Times New Roman" w:hAnsi="Times New Roman"/>
                <w:sz w:val="24"/>
              </w:rPr>
              <w:t>r.</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IDENTYFIKATOR JEDNOSTKI INICJUJĄCEJ</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W kolumnie tej podaje się kod LEI mający zastosowanie do jednostki inicjującej, lub jeżeli nie jest dostępny, kod nadany przez organ nadzoru jednostce inicjującej lub, jeżeli taki kod nie jest dostępny, nazwę instytucji.</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W przypadku sekurytyzacji zbywanych przez wiele podmiotów, gdy instytucja sprawozdająca pełni rolę jednostki inicjującej, sponsorującej lub pierwotnego kredytodawcy, instytucja sprawozdająca podaje identyfikator wszystkich podmiotów należących do jej grupy skonsolidowanej, które biorą udział (jako jednostka inicjująca, jednostka sponsorująca lub pierwotny kredytodawca) w transakcji. Jeżeli taki kod jest niedostępny lub nieznany jednostce sprawozdającej, podaje się nazwę instytucji.</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W przypadku sekurytyzacji zbywanych przez wiele podmiotów, gdy instytucja sprawozdająca posiada pozycję w sekurytyzacji w roli inwestora, instytucja spra</w:t>
            </w:r>
            <w:r>
              <w:rPr>
                <w:rFonts w:ascii="Times New Roman" w:hAnsi="Times New Roman"/>
                <w:sz w:val="24"/>
              </w:rPr>
              <w:lastRenderedPageBreak/>
              <w:t>wozdająca podaje identyfikator wszystkim poszczególnym jednostkom inicjującym zaangażowanym w sekurytyzację, a gdy nie jest on dostępny, podaje nazwy poszczególnych jednostek inicjujących. Gdy nazwy nie są znane instytucji sprawozdającej, instytucja sprawozdająca zgłasza, że sekurytyzacja jest „zbywana przez wiele podmiotów”.</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RODZAJ SEKURYTYZACJI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Instytucje zgłaszają jedną z następujących informacji:</w:t>
            </w:r>
            <w:r>
              <w:t xml:space="preserve"> </w:t>
            </w:r>
            <w:r>
              <w:br/>
            </w:r>
            <w:r>
              <w:rPr>
                <w:rFonts w:ascii="Times New Roman" w:hAnsi="Times New Roman"/>
                <w:sz w:val="24"/>
              </w:rPr>
              <w:t>– program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transakcja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tradycyjne sekurytyzacje inne niż sekurytyzacje ekspozycji nieobsługiwanych;</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niekwalifikujące się sekurytyzacje ekspozycji nieobsługiwanych;</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kwalifikujące się sekurytyzacje ekspozycji nieobsługiwanych;</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transakcje syntetyczne;</w:t>
            </w:r>
          </w:p>
          <w:p w14:paraId="487C2FF6" w14:textId="4AB6530D"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Definicje „programu emisji papierów dłużnych przedsiębiorstw zabezpieczonych aktywami”, „transakcji na papierach dłużnych przedsiębiorstw zabezpieczonych aktywami” oraz „sekurytyzacji syntetycznej” zamieszczono w art. 242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1–14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definicje „kwalifikujących się tradycyjnych sekurytyzacji ekspozycji nieobsługiwanych” i „sekurytyzacji ekspozycji nieobsługiwanych” określono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69a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PODEJŚCIE KSIĘGOWE: CZY SEKURYTYZOWANE EKSPOZYCJE SĄ UJMOWANE W BILANSIE CZY SĄ Z NIEGO USUWANE?</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Instytucje pełniące role jednostek inicjujących, jednostek sponsorujących i pierwotnych kredytodawców zgłaszają jeden z poniższych skrótów:</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całkowicie utrzymywane”, jeżeli sekurytyzowane ekspozycje pozostają w całości ujęte;</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częściowo usunięte”, jeżeli częściowo zaprzestano ujmowania sekurytyzowanych ekspozycji;</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całkowicie usunięte”, jeżeli całkowicie zaprzestano ujmowania sekurytyzowanych ekspozycji;</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nie dotyczy”, jeżeli nie dotyczy.</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2051AD2"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 tej kolumnie podsumowuje się podejście księgowe do transakcji. Przeniesienie istotnej części ryzyka na podstawie art. 244 i 245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nie wpływa na podejście księgowe do transakcji w ramach stosownych standardów rachunkowości.</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W przypadku sekurytyzacji zobowiązań jednostki inicjujące nie zgłaszają tej kolumny.</w:t>
            </w:r>
          </w:p>
          <w:p w14:paraId="24E84D84" w14:textId="2150F7B8"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Odpowiedź „P” (częściowo usunięte z bilansu) zgłasza się, gdy aktywa sekurytyzowane są uznawane w bilansie w zakresie trwającego zaangażowania jednostki sprawozdającej zgodnie z przepisami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SPOSÓB UJMOWANIA WYPŁACALNOŚCI: CZY POZYCJE SEKURYTYZACYJNE PODLEGAJĄ WYMOGOM W ZAKRESIE FUNDUSZY WŁASNYCH?</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2DA93A54"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 xml:space="preserve">Art. 109, 244 i 245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Instytucje zgłaszają jedną z następujących informacji: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nie podlegają wymogom w zakresie funduszy własnych;</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portfel bankowy;</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portfel handlowy;</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częściowo w portfelu bankowym i handlowym</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 tej kolumnie podsumowuje się sposób ujmowania przez jednostkę inicjującą wypłacalności w odniesieniu do programu sekurytyzacyjnego. Wskazuje ona, czy wymogi w zakresie funduszy własnych oblicza się na podstawie sekurytyzowanych ekspozycji czy pozycji sekurytyzacyjnych (portfel bankowy/handlowy).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Gdy wymogi w zakresie funduszy własnych są oparte na </w:t>
            </w:r>
            <w:r>
              <w:rPr>
                <w:rFonts w:ascii="Times New Roman" w:hAnsi="Times New Roman"/>
                <w:i/>
                <w:sz w:val="24"/>
              </w:rPr>
              <w:t>sekurytyzowanych ekspozycjach</w:t>
            </w:r>
            <w:r>
              <w:rPr>
                <w:rFonts w:ascii="Times New Roman" w:hAnsi="Times New Roman"/>
                <w:sz w:val="24"/>
              </w:rPr>
              <w:t xml:space="preserve"> (gdyż nie osiągnięto przeniesienia istotnej części ryzyka), obliczenia wymogów w zakresie funduszy własnych z tytułu ryzyka kredytowego zgłasza się we wzorze CR SA w odniesieniu do tych sekurytyzowanych ekspozycji, przypadku których stosuje się metodę standardową, lub w szablonie CR IRB w odniesieniu do tych sekurytyzowanych ekspozycji, przypadku których instytucja stosuje metodę wewnętrznych ratingów.</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Jeśli natomiast wymogi w zakresie funduszy własnych są oparte na </w:t>
            </w:r>
            <w:r>
              <w:rPr>
                <w:rFonts w:ascii="Times New Roman" w:hAnsi="Times New Roman"/>
                <w:i/>
                <w:sz w:val="24"/>
              </w:rPr>
              <w:t>pozycjach sekurytyzacyjnych posiadanych w portfelu bankowym</w:t>
            </w:r>
            <w:r>
              <w:rPr>
                <w:rFonts w:ascii="Times New Roman" w:hAnsi="Times New Roman"/>
                <w:sz w:val="24"/>
              </w:rPr>
              <w:t xml:space="preserve"> (gdy osiągnięto przeniesienie istotnej części ryzyka), informacje dotyczące obliczenia wymogów w zakresie funduszy własnych z tytułu ryzyka kredytowego zgłasza się we wzorze CR SEC. W przypadku </w:t>
            </w:r>
            <w:r>
              <w:rPr>
                <w:rFonts w:ascii="Times New Roman" w:hAnsi="Times New Roman"/>
                <w:i/>
                <w:sz w:val="24"/>
              </w:rPr>
              <w:t>pozycji sekurytyzacyjnych posiadanych w portfelu handlowym</w:t>
            </w:r>
            <w:r>
              <w:rPr>
                <w:rFonts w:ascii="Times New Roman" w:hAnsi="Times New Roman"/>
                <w:sz w:val="24"/>
              </w:rPr>
              <w:t xml:space="preserve"> informacje dotyczące obliczenia wymogów w zakresie funduszy własnych z tytułu ryzyka rynkowego zgłasza się we wzorze MKR SA TDI (znormalizowane ryzyko ogólne z tytułu pozycji) oraz we wzorze MKR SA SEC lub MKR SA CTP (znormalizowane ryzyko szczególne z tytułu pozycji) lub we wzorze MKR IM (modele wewnętrzne).</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W przypadku sekurytyzacji zobowiązań jednostki inicjujące nie zgłaszają tej kolumny.</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PRZENIESIENIE ISTOTNEJ CZĘŚCI RYZYKA</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Następujące informacje podają wyłącznie jednostki inicjujące:</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nie stosuje się do przeniesienia istotnej części ryzyka – jednostka sprawozdawcza dokonuje ważenia ryzyka swoich sekurytyzowanych ekspozycji;</w:t>
            </w:r>
          </w:p>
          <w:p w14:paraId="7437E97F" w14:textId="496C5172"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osiągnięto przeniesienie istotnej części ryzyka w ramach art. 244 ust. 2 lit. a) lub art. 245 ust. 2 lit. 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005A2C7" w14:textId="74B04B1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osiągnięto przeniesienie istotnej części ryzyka w ramach art. 244 ust. 2 lit. b) lub art. 245 ust. 2 lit.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34266AA" w14:textId="4188FA5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osiągnięto przeniesienie istotnej części ryzyka w ramach art. 244 ust. 3 lit. a) lub art. 245 ust. 3 lit. 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5694E56" w14:textId="07F58DF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zastosowanie 1 25</w:t>
            </w:r>
            <w:r w:rsidRPr="0043455E">
              <w:rPr>
                <w:rFonts w:ascii="Times New Roman" w:hAnsi="Times New Roman"/>
                <w:sz w:val="24"/>
              </w:rPr>
              <w:t>0</w:t>
            </w:r>
            <w:r w:rsidR="0043455E" w:rsidRPr="0043455E">
              <w:t> </w:t>
            </w:r>
            <w:r w:rsidRPr="0043455E">
              <w:rPr>
                <w:rFonts w:ascii="Times New Roman" w:hAnsi="Times New Roman"/>
                <w:sz w:val="24"/>
              </w:rPr>
              <w:t>%</w:t>
            </w:r>
            <w:r>
              <w:rPr>
                <w:rFonts w:ascii="Times New Roman" w:hAnsi="Times New Roman"/>
                <w:sz w:val="24"/>
              </w:rPr>
              <w:t xml:space="preserve"> RW lub odjęcie utrzymanych pozycji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44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lub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45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W kolumnie tej podsumowuje się, czy osiągnięto istotne przeniesienie, a jeśli tak, to w jaki sposób. Osiągnięcie przeniesienia istotnej części ryzyka określi stosowny sposób ujmowania wypłacalności przez jednostkę inicjującą.</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SEKURYTYZACJA CZY RESEKURYTYZACJA?</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4018E3FA"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Zgodnie z definicją „sekurytyzacji” zamieszczoną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definicją „resekurytyzacji” zamieszczoną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zgłasza się rodzaj sekurytyzacji przy wykorzystaniu następujących skrótów:</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sekurytyzacje;</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resekurytyzacje.</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SEKURYTYZACJA STS CZY SEKURYTYZACJA INNA NIŻ STS?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 18 rozporządzenia (UE)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Instytucje zgłaszają jeden z następujących skrótów:</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T – Tak;</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Nie.</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CZY SEKURYTYZACJA KWALIFIKUJE SIĘ DO ZRÓŻNICOWANEGO TRAKTOWANIA KAPITAŁU?</w:t>
            </w:r>
          </w:p>
          <w:p w14:paraId="3EFF71E8" w14:textId="77777777" w:rsidR="00C55547" w:rsidRPr="002A677E" w:rsidRDefault="00C55547" w:rsidP="00E10B85">
            <w:pPr>
              <w:spacing w:before="0" w:after="0"/>
              <w:jc w:val="left"/>
              <w:rPr>
                <w:rFonts w:ascii="Times New Roman" w:hAnsi="Times New Roman"/>
                <w:sz w:val="24"/>
              </w:rPr>
            </w:pPr>
          </w:p>
          <w:p w14:paraId="68C1A007" w14:textId="04BEEC73" w:rsidR="00554261" w:rsidRPr="002A677E" w:rsidRDefault="00C55547" w:rsidP="006418A0">
            <w:pPr>
              <w:spacing w:before="0"/>
              <w:jc w:val="left"/>
              <w:rPr>
                <w:rFonts w:ascii="Times New Roman" w:hAnsi="Times New Roman"/>
                <w:sz w:val="24"/>
              </w:rPr>
            </w:pPr>
            <w:r>
              <w:rPr>
                <w:rFonts w:ascii="Times New Roman" w:hAnsi="Times New Roman"/>
                <w:sz w:val="24"/>
              </w:rPr>
              <w:t xml:space="preserve">Art. 243, 270 i 494c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Instytucje zgłaszają jeden z następujących skrótów:</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T</w:t>
            </w:r>
            <w:r>
              <w:tab/>
            </w:r>
            <w:r>
              <w:rPr>
                <w:rFonts w:ascii="Times New Roman" w:hAnsi="Times New Roman"/>
                <w:sz w:val="24"/>
              </w:rPr>
              <w:t>– Tak;</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Nie.</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„TAK” zgłasza się w następujących przypadkach:</w:t>
            </w:r>
          </w:p>
          <w:p w14:paraId="0A85D908" w14:textId="2876EF95"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Sekurytyzacje STS kwalifikujące się do zróżnicowanego traktowania kapitału zgodnie z art. 243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1434E575" w14:textId="0F1839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Uprzywilejowane pozycje w sekurytyzacjach bilansowych STS kwalifikujące się do tego traktowania zgodnie z art. 270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545768C" w14:textId="71605EDB"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Syntetyczne pozycje sekurytyzacyjne dot. ekspozycji MŚP podlegające zasadzie praw nabytych zgodnie z art. 494c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RODZAJ MARŻY NADWYŻKOWEJ</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10E827FE"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9 rozporządzenia (UE)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Instytucje zgłaszają jedną z następujących informacji:</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brak marży nadwyżkowej</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marża nadwyżkowa, kwota stała – mechanizm oparty na zasadzie „wykorzystaj lub strać”</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marża nadwyżkowa, stała kwota – mechanizm zatrzymania</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marża nadwyżkowa, kwota zmienna – mechanizm oparty na zasadzie „wykorzystaj lub strać”</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marża nadwyżkowa, kwota zmienna – mechanizm zatrzymania.</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SYSTEM SPŁAT</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Instytucje zgłaszają jedną z następujących informacji:</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spłata sekwencyjna</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spłata proporcjonalna</w:t>
            </w:r>
          </w:p>
          <w:p w14:paraId="20A064B5" w14:textId="4384DACA"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spłata proporcjonalna przechodząca na spłatę sekwencyjną. Zgodność z kryteriami STS dla sekurytyzacji bilansowych</w:t>
            </w:r>
            <w:r>
              <w:br/>
            </w:r>
            <w:r>
              <w:rPr>
                <w:rFonts w:ascii="Times New Roman" w:hAnsi="Times New Roman"/>
                <w:sz w:val="24"/>
              </w:rPr>
              <w:t>(</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rozporządzenia (UE) 2017/2402). </w:t>
            </w:r>
          </w:p>
          <w:p w14:paraId="44442548" w14:textId="0865863C"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spłata proporcjonalna przechodząca na spłatę sekwencyjną. Zgodność z kryteriami STS dla transakcji niebędących transakcjami ABCP</w:t>
            </w:r>
            <w:r>
              <w:t xml:space="preserve"> </w:t>
            </w:r>
            <w:r>
              <w:rPr>
                <w:rFonts w:ascii="Times New Roman" w:hAnsi="Times New Roman"/>
                <w:sz w:val="24"/>
              </w:rPr>
              <w:t xml:space="preserve">(Wytyczne dotyczące kryteriów STS dla transakcji niebędących transakcjami ABCP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1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rozporządzenia (UE)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spłata proporcjonalna przechodząca na spłatę sekwencyjną. Brak zgodności</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inny system spłat</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OPCJE ZABEZPIECZENIA</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 26e rozporządzenia (UE)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Instytucje zgłaszają jedną z następujących opcji zabezpieczenia umowy dotyczącej ochrony kredytowej:</w:t>
            </w:r>
          </w:p>
          <w:p w14:paraId="1EC5B888" w14:textId="77777777" w:rsidR="00D5668A" w:rsidRPr="002A677E" w:rsidRDefault="00D5668A" w:rsidP="00D5668A"/>
          <w:p w14:paraId="22450011" w14:textId="31D7E51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zabezpieczenie w formie dłużnych papierów wartościowych, którym przypisuje się wagę ryzyka równą </w:t>
            </w:r>
            <w:r w:rsidRPr="0043455E">
              <w:rPr>
                <w:rFonts w:ascii="Times New Roman" w:hAnsi="Times New Roman"/>
                <w:sz w:val="24"/>
              </w:rPr>
              <w:t>0</w:t>
            </w:r>
            <w:r w:rsidR="0043455E" w:rsidRPr="0043455E">
              <w:rPr>
                <w:rFonts w:ascii="Times New Roman" w:hAnsi="Times New Roman"/>
                <w:sz w:val="24"/>
              </w:rPr>
              <w:t> </w:t>
            </w:r>
            <w:r w:rsidRPr="0043455E">
              <w:rPr>
                <w:rFonts w:ascii="Times New Roman" w:hAnsi="Times New Roman"/>
                <w:sz w:val="24"/>
              </w:rPr>
              <w:t>%</w:t>
            </w:r>
            <w:r>
              <w:rPr>
                <w:rFonts w:ascii="Times New Roman" w:hAnsi="Times New Roman"/>
                <w:sz w:val="24"/>
              </w:rPr>
              <w:t>,</w:t>
            </w:r>
            <w: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 akapit pierwszy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2017/2402</w:t>
            </w:r>
          </w:p>
          <w:p w14:paraId="4C204AAA" w14:textId="56D26E4A"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zabezpieczenie w formie środków pieniężnych przechowywanych w instytucji kredytowej będącej osobą trzecią ze stopniem jakości kredytowej równym 3 lub więcej,</w:t>
            </w:r>
            <w:r>
              <w:t xml:space="preserve"> </w:t>
            </w:r>
            <w:r>
              <w:br/>
            </w:r>
            <w:r>
              <w:rPr>
                <w:rFonts w:ascii="Times New Roman" w:hAnsi="Times New Roman"/>
                <w:sz w:val="24"/>
              </w:rPr>
              <w:t xml:space="preserve">Art. 26e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 akapit pierwszy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2017/2402</w:t>
            </w:r>
          </w:p>
          <w:p w14:paraId="0DDD4855" w14:textId="1C27D38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zabezpieczenie w formie środków pieniężnych deponowanych w jednostce inicjującej lub w jednym z jej podmiotów powiązanych, jeżeli stopień jakości kredytowej tej jednostki lub tego podmiotu wynosi co najmniej 2</w:t>
            </w:r>
            <w:r>
              <w:t xml:space="preserve"> </w:t>
            </w:r>
            <w:r>
              <w:br/>
            </w:r>
            <w:r>
              <w:rPr>
                <w:rFonts w:ascii="Times New Roman" w:hAnsi="Times New Roman"/>
                <w:sz w:val="24"/>
              </w:rPr>
              <w:t xml:space="preserve">Art. 26e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0 akapit drugi rozporządzenia (UE) 2017/2402</w:t>
            </w:r>
          </w:p>
          <w:p w14:paraId="7D2C9FEB" w14:textId="2B64CFD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zabezpieczenie w formie środków pieniężnych deponowanych w jednostce inicjującej lub w jednym z jej podmiotów powiązanych, jeżeli stopień jakości kredytowej tej jednostki lub tego podmiotu wynosi co najmniej 3</w:t>
            </w:r>
            <w:r>
              <w:t xml:space="preserve"> </w:t>
            </w:r>
            <w:r>
              <w:br/>
            </w:r>
            <w:r>
              <w:rPr>
                <w:rFonts w:ascii="Times New Roman" w:hAnsi="Times New Roman"/>
                <w:sz w:val="24"/>
              </w:rPr>
              <w:t xml:space="preserve">Art. 26e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0 akapit trzeci rozporządzenia (UE) 2017/2402</w:t>
            </w:r>
          </w:p>
          <w:p w14:paraId="33FFFFAB" w14:textId="7369F23C"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wymóg spełniony w przypadku inwestycji w obligacje powiązane z ryzykiem kredytowym wyemitowane przez jednostkę inicjującą</w:t>
            </w:r>
            <w:r>
              <w:t xml:space="preserve"> </w:t>
            </w:r>
            <w:r>
              <w:br/>
            </w:r>
            <w:r>
              <w:rPr>
                <w:rFonts w:ascii="Times New Roman" w:hAnsi="Times New Roman"/>
                <w:sz w:val="24"/>
              </w:rPr>
              <w:t xml:space="preserve">Art. 26e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0 akapit czwarty rozporządzenia (UE) 2017/2402</w:t>
            </w:r>
          </w:p>
          <w:p w14:paraId="7F00225A" w14:textId="44461285"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brak zabezpieczenia, inwestorowi przypisuje się wagę ryzyka równą </w:t>
            </w:r>
            <w:r w:rsidRPr="0043455E">
              <w:rPr>
                <w:rFonts w:ascii="Times New Roman" w:hAnsi="Times New Roman"/>
                <w:sz w:val="24"/>
              </w:rPr>
              <w:t>0</w:t>
            </w:r>
            <w:r w:rsidR="0043455E" w:rsidRPr="0043455E">
              <w:t> </w:t>
            </w:r>
            <w:r w:rsidRPr="0043455E">
              <w:rPr>
                <w:rFonts w:ascii="Times New Roman" w:hAnsi="Times New Roman"/>
                <w:sz w:val="24"/>
              </w:rPr>
              <w:t>%</w:t>
            </w:r>
            <w:r>
              <w:t xml:space="preserve"> </w:t>
            </w:r>
            <w:r>
              <w:br/>
            </w:r>
            <w:r>
              <w:rPr>
                <w:rFonts w:ascii="Times New Roman" w:hAnsi="Times New Roman"/>
                <w:sz w:val="24"/>
              </w:rPr>
              <w:t xml:space="preserve">Art. 26e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2017/2402</w:t>
            </w:r>
          </w:p>
          <w:p w14:paraId="4332D1BA" w14:textId="427F21D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brak zabezpieczenia, inwestor korzysta z kontrgwarancji podmiotu, który kwalifikuje się do wagi ryzyka równej </w:t>
            </w:r>
            <w:r w:rsidRPr="0043455E">
              <w:rPr>
                <w:rFonts w:ascii="Times New Roman" w:hAnsi="Times New Roman"/>
                <w:sz w:val="24"/>
              </w:rPr>
              <w:t>0</w:t>
            </w:r>
            <w:r w:rsidR="0043455E" w:rsidRPr="0043455E">
              <w:rPr>
                <w:rFonts w:ascii="Times New Roman" w:hAnsi="Times New Roman"/>
                <w:sz w:val="24"/>
              </w:rPr>
              <w:t> </w:t>
            </w:r>
            <w:r w:rsidRPr="0043455E">
              <w:rPr>
                <w:rFonts w:ascii="Times New Roman" w:hAnsi="Times New Roman"/>
                <w:sz w:val="24"/>
              </w:rPr>
              <w:t>%</w:t>
            </w:r>
            <w:r>
              <w:t xml:space="preserve"> </w:t>
            </w:r>
            <w:r>
              <w:br/>
            </w:r>
            <w:r>
              <w:rPr>
                <w:rFonts w:ascii="Times New Roman" w:hAnsi="Times New Roman"/>
                <w:sz w:val="24"/>
              </w:rPr>
              <w:t xml:space="preserve">Art. 26e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2017/2402</w:t>
            </w:r>
          </w:p>
          <w:p w14:paraId="0FA4B04E" w14:textId="4B6C4210"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inne rodzaje zabezpieczeń: dłużne papiery wartościowe niezgodne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6e rozporządzenia (UE) 2017/2402 </w:t>
            </w:r>
          </w:p>
          <w:p w14:paraId="3C0C4ABF" w14:textId="18FC883A"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inne rodzaje zabezpieczeń: środki pieniężne niezgodne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6e rozporządzenia (UE) 2017/2402 </w:t>
            </w:r>
          </w:p>
          <w:p w14:paraId="7F664E2F" w14:textId="0F91FAC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brak zabezpieczenia, brak zgodności z kryteriami STS dla sekurytyzacji bilansowych</w:t>
            </w:r>
            <w:r>
              <w:t xml:space="preserve"> </w:t>
            </w:r>
            <w:r>
              <w:br/>
            </w:r>
            <w:r>
              <w:rPr>
                <w:rFonts w:ascii="Times New Roman" w:hAnsi="Times New Roman"/>
                <w:sz w:val="24"/>
              </w:rPr>
              <w:t xml:space="preserve">Przypadki inne niż brak zabezpieczenia, ale inwestor kwalifikuje się do wagi ryzyka równej </w:t>
            </w:r>
            <w:r w:rsidRPr="0043455E">
              <w:rPr>
                <w:rFonts w:ascii="Times New Roman" w:hAnsi="Times New Roman"/>
                <w:sz w:val="24"/>
              </w:rPr>
              <w:t>0</w:t>
            </w:r>
            <w:r w:rsidR="0043455E" w:rsidRPr="0043455E">
              <w:t> </w:t>
            </w:r>
            <w:r w:rsidRPr="0043455E">
              <w:rPr>
                <w:rFonts w:ascii="Times New Roman" w:hAnsi="Times New Roman"/>
                <w:sz w:val="24"/>
              </w:rPr>
              <w:t>%</w:t>
            </w:r>
            <w:r>
              <w:rPr>
                <w:rFonts w:ascii="Times New Roman" w:hAnsi="Times New Roman"/>
                <w:sz w:val="24"/>
              </w:rPr>
              <w:t xml:space="preserve"> lub korzysta on z kontrgwarancji podmiotu, który kwalifikuje się do wagi ryzyka równej </w:t>
            </w:r>
            <w:r w:rsidRPr="0043455E">
              <w:rPr>
                <w:rFonts w:ascii="Times New Roman" w:hAnsi="Times New Roman"/>
                <w:sz w:val="24"/>
              </w:rPr>
              <w:t>0</w:t>
            </w:r>
            <w:r w:rsidR="0043455E" w:rsidRPr="0043455E">
              <w:t> </w:t>
            </w:r>
            <w:r w:rsidRPr="0043455E">
              <w:rPr>
                <w:rFonts w:ascii="Times New Roman" w:hAnsi="Times New Roman"/>
                <w:sz w:val="24"/>
              </w:rPr>
              <w:t>%</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Kolumnę tę zgłasza się wyłącznie w przypadku, gdy kolumna 0040 jest zgłaszana jako „Transakcja syntetyczna”.</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UTRZYMANIE</w:t>
            </w:r>
          </w:p>
          <w:p w14:paraId="433972A4" w14:textId="77777777" w:rsidR="007421F4" w:rsidRPr="002A677E" w:rsidRDefault="007421F4" w:rsidP="007421F4">
            <w:pPr>
              <w:spacing w:before="0" w:after="0"/>
              <w:rPr>
                <w:rFonts w:ascii="Times New Roman" w:hAnsi="Times New Roman"/>
                <w:sz w:val="24"/>
              </w:rPr>
            </w:pPr>
          </w:p>
          <w:p w14:paraId="0DEFE8E1" w14:textId="12D1177E" w:rsidR="007421F4" w:rsidRPr="002A677E" w:rsidRDefault="007421F4" w:rsidP="007421F4">
            <w:pPr>
              <w:spacing w:before="0"/>
              <w:rPr>
                <w:rFonts w:ascii="Times New Roman" w:hAnsi="Times New Roman"/>
                <w:sz w:val="24"/>
              </w:rPr>
            </w:pPr>
            <w:r>
              <w:rPr>
                <w:rFonts w:ascii="Times New Roman" w:hAnsi="Times New Roman"/>
                <w:sz w:val="24"/>
              </w:rPr>
              <w:t xml:space="preserve">Art. 6 rozporządzenia (UE) 2017/2402; w przypadku art. 43 ust. 6 rozporządzenia (UE) 2017/2402 zastosowanie ma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05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wersji tego rozporządzenia mającej zastosowanie w dniu 31 grudnia 20</w:t>
            </w:r>
            <w:r w:rsidRPr="0043455E">
              <w:rPr>
                <w:rFonts w:ascii="Times New Roman" w:hAnsi="Times New Roman"/>
                <w:sz w:val="24"/>
              </w:rPr>
              <w:t>18</w:t>
            </w:r>
            <w:r w:rsidR="0043455E" w:rsidRPr="0043455E">
              <w:rPr>
                <w:rFonts w:ascii="Times New Roman" w:hAnsi="Times New Roman"/>
                <w:sz w:val="24"/>
              </w:rPr>
              <w:t> </w:t>
            </w:r>
            <w:r w:rsidRPr="0043455E">
              <w:rPr>
                <w:rFonts w:ascii="Times New Roman" w:hAnsi="Times New Roman"/>
                <w:sz w:val="24"/>
              </w:rPr>
              <w:t>r.</w:t>
            </w:r>
            <w:r>
              <w:rPr>
                <w:rFonts w:ascii="Times New Roman" w:hAnsi="Times New Roman"/>
                <w:sz w:val="24"/>
              </w:rPr>
              <w:t xml:space="preserve">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RODZAJ STOSOWANEGO UTRZYMANIA</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W odniesieniu do każdego zainicjowanego programu sekurytyzacyjnego zgłasza się odpowiedni rodzaj utrzymywania udziału gospodarczego netto, jak przewidziano w art. 6 rozporządzenia (UE) 2017/2402:</w:t>
            </w:r>
          </w:p>
          <w:p w14:paraId="2BDB4145" w14:textId="77777777" w:rsidR="007421F4" w:rsidRPr="002A677E" w:rsidRDefault="007421F4" w:rsidP="007421F4">
            <w:pPr>
              <w:spacing w:before="0" w:after="0"/>
              <w:rPr>
                <w:rFonts w:ascii="Times New Roman" w:hAnsi="Times New Roman"/>
                <w:sz w:val="24"/>
              </w:rPr>
            </w:pPr>
          </w:p>
          <w:p w14:paraId="1563AD9D" w14:textId="71B9E598" w:rsidR="007421F4" w:rsidRPr="002A677E" w:rsidRDefault="007421F4" w:rsidP="007421F4">
            <w:pPr>
              <w:spacing w:before="0" w:after="0"/>
              <w:rPr>
                <w:rFonts w:ascii="Times New Roman" w:hAnsi="Times New Roman"/>
                <w:sz w:val="24"/>
              </w:rPr>
            </w:pPr>
            <w:r>
              <w:rPr>
                <w:rFonts w:ascii="Times New Roman" w:hAnsi="Times New Roman"/>
                <w:sz w:val="24"/>
              </w:rPr>
              <w:t xml:space="preserve">A – pionowy segment (pozycje sekurytyzacyjne): </w:t>
            </w:r>
            <w:r>
              <w:rPr>
                <w:rFonts w:ascii="Times New Roman" w:hAnsi="Times New Roman"/>
                <w:i/>
                <w:sz w:val="24"/>
              </w:rPr>
              <w:t xml:space="preserve">„utrzymywanie nie mniej niż </w:t>
            </w:r>
            <w:r w:rsidRPr="0043455E">
              <w:rPr>
                <w:rFonts w:ascii="Times New Roman" w:hAnsi="Times New Roman"/>
                <w:i/>
                <w:sz w:val="24"/>
              </w:rPr>
              <w:t>5</w:t>
            </w:r>
            <w:r w:rsidR="0043455E" w:rsidRPr="0043455E">
              <w:rPr>
                <w:rFonts w:ascii="Times New Roman" w:hAnsi="Times New Roman"/>
                <w:i/>
                <w:sz w:val="24"/>
              </w:rPr>
              <w:t> </w:t>
            </w:r>
            <w:r w:rsidRPr="0043455E">
              <w:rPr>
                <w:rFonts w:ascii="Times New Roman" w:hAnsi="Times New Roman"/>
                <w:i/>
                <w:sz w:val="24"/>
              </w:rPr>
              <w:t>%</w:t>
            </w:r>
            <w:r>
              <w:rPr>
                <w:rFonts w:ascii="Times New Roman" w:hAnsi="Times New Roman"/>
                <w:i/>
                <w:sz w:val="24"/>
              </w:rPr>
              <w:t xml:space="preserve"> wartości nominalnej każdej transzy sprzedanej lub przekazanej inwestorom”;</w:t>
            </w:r>
          </w:p>
          <w:p w14:paraId="2C0826B2" w14:textId="77777777" w:rsidR="007421F4" w:rsidRPr="002A677E" w:rsidRDefault="007421F4" w:rsidP="007421F4">
            <w:pPr>
              <w:spacing w:before="0" w:after="0"/>
              <w:rPr>
                <w:rFonts w:ascii="Times New Roman" w:hAnsi="Times New Roman"/>
                <w:sz w:val="24"/>
              </w:rPr>
            </w:pPr>
          </w:p>
          <w:p w14:paraId="4FC13927" w14:textId="27E3390E" w:rsidR="007421F4" w:rsidRPr="002A677E" w:rsidRDefault="007421F4" w:rsidP="007421F4">
            <w:pPr>
              <w:spacing w:before="0" w:after="0"/>
              <w:rPr>
                <w:rFonts w:ascii="Times New Roman" w:hAnsi="Times New Roman"/>
                <w:sz w:val="24"/>
              </w:rPr>
            </w:pPr>
            <w:r>
              <w:rPr>
                <w:rFonts w:ascii="Times New Roman" w:hAnsi="Times New Roman"/>
                <w:sz w:val="24"/>
              </w:rPr>
              <w:t xml:space="preserve">V – pionowy segment (sekurytyzowane ekspozycje): utrzymywanie nie mniej niż </w:t>
            </w:r>
            <w:r w:rsidRPr="0043455E">
              <w:rPr>
                <w:rFonts w:ascii="Times New Roman" w:hAnsi="Times New Roman"/>
                <w:sz w:val="24"/>
              </w:rPr>
              <w:t>5</w:t>
            </w:r>
            <w:r w:rsidR="0043455E" w:rsidRPr="0043455E">
              <w:rPr>
                <w:rFonts w:ascii="Times New Roman" w:hAnsi="Times New Roman"/>
                <w:sz w:val="24"/>
              </w:rPr>
              <w:t> </w:t>
            </w:r>
            <w:r w:rsidRPr="0043455E">
              <w:rPr>
                <w:rFonts w:ascii="Times New Roman" w:hAnsi="Times New Roman"/>
                <w:sz w:val="24"/>
              </w:rPr>
              <w:t>%</w:t>
            </w:r>
            <w:r>
              <w:rPr>
                <w:rFonts w:ascii="Times New Roman" w:hAnsi="Times New Roman"/>
                <w:sz w:val="24"/>
              </w:rPr>
              <w:t xml:space="preserve"> ryzyka kredytowego w odniesieniu do każdej sekurytyzowanej ekspozycji, gdy ryzyko kredytowe utrzymywane w ten sposób w odniesieniu do tych ekspozycji zawsze jest równe ryzyku kredytowemu sekurytyzowanemu w odniesieniu do tych samych ekspozycji lub niższe;</w:t>
            </w:r>
          </w:p>
          <w:p w14:paraId="42BA79BD" w14:textId="77777777" w:rsidR="007421F4" w:rsidRPr="002A677E" w:rsidRDefault="007421F4" w:rsidP="007421F4">
            <w:pPr>
              <w:spacing w:before="0" w:after="0"/>
              <w:rPr>
                <w:rFonts w:ascii="Times New Roman" w:hAnsi="Times New Roman"/>
                <w:sz w:val="24"/>
              </w:rPr>
            </w:pPr>
          </w:p>
          <w:p w14:paraId="06DD2912" w14:textId="3FF02D50" w:rsidR="007421F4" w:rsidRPr="002A677E" w:rsidRDefault="007421F4" w:rsidP="007421F4">
            <w:pPr>
              <w:spacing w:before="0" w:after="0"/>
              <w:rPr>
                <w:rFonts w:ascii="Times New Roman" w:hAnsi="Times New Roman"/>
                <w:sz w:val="24"/>
              </w:rPr>
            </w:pPr>
            <w:r>
              <w:rPr>
                <w:rFonts w:ascii="Times New Roman" w:hAnsi="Times New Roman"/>
                <w:sz w:val="24"/>
              </w:rPr>
              <w:t>B – ekspozycje odnawialne: „</w:t>
            </w:r>
            <w:r>
              <w:rPr>
                <w:rFonts w:ascii="Times New Roman" w:hAnsi="Times New Roman"/>
                <w:i/>
                <w:sz w:val="24"/>
              </w:rPr>
              <w:t xml:space="preserve">w przypadku sekurytyzacji ekspozycji odnawialnych – utrzymywanie przez jednostkę inicjującą udziału wynoszącego co najmniej </w:t>
            </w:r>
            <w:r w:rsidRPr="0043455E">
              <w:rPr>
                <w:rFonts w:ascii="Times New Roman" w:hAnsi="Times New Roman"/>
                <w:i/>
                <w:sz w:val="24"/>
              </w:rPr>
              <w:t>5</w:t>
            </w:r>
            <w:r w:rsidR="0043455E" w:rsidRPr="0043455E">
              <w:rPr>
                <w:rFonts w:ascii="Times New Roman" w:hAnsi="Times New Roman"/>
                <w:i/>
                <w:sz w:val="24"/>
              </w:rPr>
              <w:t> </w:t>
            </w:r>
            <w:r w:rsidRPr="0043455E">
              <w:rPr>
                <w:rFonts w:ascii="Times New Roman" w:hAnsi="Times New Roman"/>
                <w:i/>
                <w:sz w:val="24"/>
              </w:rPr>
              <w:t>%</w:t>
            </w:r>
            <w:r>
              <w:rPr>
                <w:rFonts w:ascii="Times New Roman" w:hAnsi="Times New Roman"/>
                <w:i/>
                <w:sz w:val="24"/>
              </w:rPr>
              <w:t xml:space="preserve"> wartości nominalnej sekurytyzowanych ekspozycji</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3D1E4790" w:rsidR="007421F4" w:rsidRPr="002A677E" w:rsidRDefault="007421F4" w:rsidP="007421F4">
            <w:pPr>
              <w:spacing w:before="0" w:after="0"/>
              <w:rPr>
                <w:rFonts w:ascii="Times New Roman" w:hAnsi="Times New Roman"/>
                <w:sz w:val="24"/>
              </w:rPr>
            </w:pPr>
            <w:r>
              <w:rPr>
                <w:rFonts w:ascii="Times New Roman" w:hAnsi="Times New Roman"/>
                <w:sz w:val="24"/>
              </w:rPr>
              <w:t>C – pozycje bilansowe: „</w:t>
            </w:r>
            <w:r>
              <w:rPr>
                <w:rFonts w:ascii="Times New Roman" w:hAnsi="Times New Roman"/>
                <w:i/>
                <w:sz w:val="24"/>
              </w:rPr>
              <w:t xml:space="preserve">utrzymywanie losowo wybranych ekspozycji odpowiadających nie mniej niż </w:t>
            </w:r>
            <w:r w:rsidRPr="0043455E">
              <w:rPr>
                <w:rFonts w:ascii="Times New Roman" w:hAnsi="Times New Roman"/>
                <w:i/>
                <w:sz w:val="24"/>
              </w:rPr>
              <w:t>5</w:t>
            </w:r>
            <w:r w:rsidR="0043455E" w:rsidRPr="0043455E">
              <w:rPr>
                <w:rFonts w:ascii="Times New Roman" w:hAnsi="Times New Roman"/>
                <w:i/>
                <w:sz w:val="24"/>
              </w:rPr>
              <w:t> </w:t>
            </w:r>
            <w:r w:rsidRPr="0043455E">
              <w:rPr>
                <w:rFonts w:ascii="Times New Roman" w:hAnsi="Times New Roman"/>
                <w:i/>
                <w:sz w:val="24"/>
              </w:rPr>
              <w:t>%</w:t>
            </w:r>
            <w:r>
              <w:rPr>
                <w:rFonts w:ascii="Times New Roman" w:hAnsi="Times New Roman"/>
                <w:i/>
                <w:sz w:val="24"/>
              </w:rPr>
              <w:t xml:space="preserve"> wartości nominalnej sekurytyzowanych ekspozycji, </w:t>
            </w:r>
            <w:r>
              <w:rPr>
                <w:rFonts w:ascii="Times New Roman" w:hAnsi="Times New Roman"/>
                <w:i/>
                <w:sz w:val="24"/>
              </w:rPr>
              <w:lastRenderedPageBreak/>
              <w:t>jeżeli w przeciwnym wypadku ekspozycje takie byłyby sekurytyzowane w danej sekurytyzacji, pod warunkiem że liczba potencjalnych sekurytyzowanych ekspozycji jest pierwotnie nie mniejsza niż 100</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6072FD5C" w:rsidR="007421F4" w:rsidRPr="002A677E" w:rsidRDefault="007421F4" w:rsidP="007421F4">
            <w:pPr>
              <w:spacing w:before="0" w:after="0"/>
              <w:rPr>
                <w:rFonts w:ascii="Times New Roman" w:hAnsi="Times New Roman"/>
                <w:sz w:val="24"/>
              </w:rPr>
            </w:pPr>
            <w:r>
              <w:rPr>
                <w:rFonts w:ascii="Times New Roman" w:hAnsi="Times New Roman"/>
                <w:sz w:val="24"/>
              </w:rPr>
              <w:t>D – pierwsza strata: „</w:t>
            </w:r>
            <w:r>
              <w:rPr>
                <w:rFonts w:ascii="Times New Roman" w:hAnsi="Times New Roman"/>
                <w:i/>
                <w:sz w:val="24"/>
              </w:rPr>
              <w:t xml:space="preserve">utrzymywanie transzy pierwszej straty oraz w razie potrzeby innych transzy o takim samym lub wyższym profilu ryzyka niż transze przekazane lub sprzedane inwestorom i których termin zapadalności nie jest wcześniejszy niż transzy przekazanych lub sprzedanych inwestorom, tak aby utrzymana wartość wynosiła ogółem nie mniej niż </w:t>
            </w:r>
            <w:r w:rsidRPr="0043455E">
              <w:rPr>
                <w:rFonts w:ascii="Times New Roman" w:hAnsi="Times New Roman"/>
                <w:i/>
                <w:sz w:val="24"/>
              </w:rPr>
              <w:t>5</w:t>
            </w:r>
            <w:r w:rsidR="0043455E" w:rsidRPr="0043455E">
              <w:rPr>
                <w:rFonts w:ascii="Times New Roman" w:hAnsi="Times New Roman"/>
                <w:i/>
                <w:sz w:val="24"/>
              </w:rPr>
              <w:t> </w:t>
            </w:r>
            <w:r w:rsidRPr="0043455E">
              <w:rPr>
                <w:rFonts w:ascii="Times New Roman" w:hAnsi="Times New Roman"/>
                <w:i/>
                <w:sz w:val="24"/>
              </w:rPr>
              <w:t>%</w:t>
            </w:r>
            <w:r>
              <w:rPr>
                <w:rFonts w:ascii="Times New Roman" w:hAnsi="Times New Roman"/>
                <w:i/>
                <w:sz w:val="24"/>
              </w:rPr>
              <w:t xml:space="preserve"> wartości nominalnej sekurytyzowanych ekspozycji</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wyłączone. Kod ten zgłasza się w przypadku sekurytyzacji objętych zastosowaniem art. 6 ust. 6 rozporządzenia (UE)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naruszenie lub dane nieznane. Kod ten zgłasza się, gdy instytucja sprawozdająca nie wie z całą pewnością, jaki rodzaj utrzymywania jest stosowany, lub w przypadku niezgodności z przepisami.</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UTRZYMANIA W DNIU SPRAWOZDAWCZYM</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Utrzymywany </w:t>
            </w:r>
            <w:r>
              <w:rPr>
                <w:rFonts w:ascii="Times New Roman" w:hAnsi="Times New Roman"/>
                <w:i/>
                <w:sz w:val="24"/>
              </w:rPr>
              <w:t>istotny udział gospodarczy netto jednostki inicjującej, jednostki sponsorującej lub pierwotnego kredytodawcy</w:t>
            </w:r>
            <w:r>
              <w:rPr>
                <w:rFonts w:ascii="Times New Roman" w:hAnsi="Times New Roman"/>
                <w:sz w:val="24"/>
              </w:rPr>
              <w:t xml:space="preserve"> jest nie mniejszy niż 5 % (w dniu powstania).</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Kolumny tej nie zgłasza się, gdy w kolumnie 0080 (Rodzaj stosowanego utrzymania) zgłoszono kod „E” (wyłączone).</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ZGODNOŚĆ Z WYMOGIEM DOTYCZĄCYM UTRZYMANIA?</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Instytucje zgłaszają następujące skróty:</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T</w:t>
            </w:r>
            <w:r>
              <w:tab/>
            </w:r>
            <w:r>
              <w:rPr>
                <w:rFonts w:ascii="Times New Roman" w:hAnsi="Times New Roman"/>
                <w:sz w:val="24"/>
              </w:rPr>
              <w:t>-</w:t>
            </w:r>
            <w:r>
              <w:tab/>
            </w:r>
            <w:r>
              <w:rPr>
                <w:rFonts w:ascii="Times New Roman" w:hAnsi="Times New Roman"/>
                <w:sz w:val="24"/>
              </w:rPr>
              <w:t>Tak;</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Nie.</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Kolumny tej nie zgłasza się, gdy w kolumnie 0080 (Rodzaj stosowanego utrzymania) zgłoszono kod „E” (wyłączone).</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PROGRAMY INNE NIŻ PROGRAM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4BFBE18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Z uwagi na szczególną naturę programów ABCP wynikającą z faktu, że składają się z kilku pojedynczych pozycji sekurytyzacyjnych, programy ABCP (jak określono w art. 242 ust. 11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wyłączone są z obowiązku zgłaszania informacji w kolumnach 0120, 0121 i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DZIEŃ POWSTANIA (rrrr-mm-dd)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Miesiąc i rok dnia powstania (np. data graniczna lub data zamknięcia puli) sekurytyzacji zgłasza w następującym formacie: „mm/rrrr”.</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W przypadku każdego programu sekurytyzacyjnego dzień powstania nie może ulec zmianie między poszczególnymi dniami sprawozdawczymi. W szczególnym przypadku programów sekurytyzacyjnych opartych na pulach otwartych dniem powstania jest data pierwszej emisji papierów wartościowych.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 w ramach danej sekurytyzacji.</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DATA OSTATNIEJ EMISJI (rrrr-mm-dd)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Miesiąc i rok dnia ostatniej emisji papierów wartościowych w ramach sekurytyzacji zgłasza się w następującym formacie: „rrrr-mm-dd”.</w:t>
            </w:r>
          </w:p>
          <w:p w14:paraId="3608A4ED" w14:textId="77777777" w:rsidR="007421F4" w:rsidRPr="002A677E" w:rsidRDefault="007421F4" w:rsidP="007421F4">
            <w:pPr>
              <w:spacing w:before="0" w:after="0"/>
              <w:jc w:val="left"/>
              <w:rPr>
                <w:rFonts w:ascii="Times New Roman" w:hAnsi="Times New Roman"/>
                <w:sz w:val="24"/>
              </w:rPr>
            </w:pPr>
          </w:p>
          <w:p w14:paraId="04ABE31B" w14:textId="4101D431" w:rsidR="007421F4" w:rsidRPr="002A677E" w:rsidRDefault="007421F4" w:rsidP="007421F4">
            <w:pPr>
              <w:spacing w:before="0" w:after="0"/>
              <w:jc w:val="left"/>
              <w:rPr>
                <w:rFonts w:ascii="Times New Roman" w:hAnsi="Times New Roman"/>
                <w:sz w:val="24"/>
              </w:rPr>
            </w:pPr>
            <w:r>
              <w:rPr>
                <w:rFonts w:ascii="Times New Roman" w:hAnsi="Times New Roman"/>
                <w:sz w:val="24"/>
              </w:rPr>
              <w:t>Rozporządzenie (UE) 2017/2402 ma zastosowanie wyłącznie do sekurytyzacji papierów wartościowych emitowanych w lub po dniu 1 stycznia 20</w:t>
            </w:r>
            <w:r w:rsidRPr="0043455E">
              <w:rPr>
                <w:rFonts w:ascii="Times New Roman" w:hAnsi="Times New Roman"/>
                <w:sz w:val="24"/>
              </w:rPr>
              <w:t>19</w:t>
            </w:r>
            <w:r w:rsidR="0043455E" w:rsidRPr="0043455E">
              <w:rPr>
                <w:rFonts w:ascii="Times New Roman" w:hAnsi="Times New Roman"/>
                <w:sz w:val="24"/>
              </w:rPr>
              <w:t> </w:t>
            </w:r>
            <w:r w:rsidRPr="0043455E">
              <w:rPr>
                <w:rFonts w:ascii="Times New Roman" w:hAnsi="Times New Roman"/>
                <w:sz w:val="24"/>
              </w:rPr>
              <w:t>r.</w:t>
            </w:r>
            <w:r>
              <w:rPr>
                <w:rFonts w:ascii="Times New Roman" w:hAnsi="Times New Roman"/>
                <w:sz w:val="24"/>
              </w:rPr>
              <w:t xml:space="preserve"> Dzień ostatniej emisji papierów wartościowych określa, czy każdy program sekurytyzacyjny wchodzi w zakres rozporządzenia (UE)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Informację tę zgłasza się, nawet gdy jednostka sprawozdająca nie posiada pozycji w ramach danej sekurytyzacji.</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CAŁKOWITA KWOTA SEKURYTYZOWANYCH EKSPOZYCJI W DNIU POWSTANIA</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W kolumnie tej przedstawia się kwotę (obliczoną na podstawie pierwotnych ekspozycji przed uwzględnieniem współczynników konwersji) sekurytyzowanego portfela w dniu powstania.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W przypadku programów sekurytyzacyjnych opartych na pulach otwartych zgłasza się kwotę odnoszącą się do dnia powstania pierwszej emisji papierów wartościowych. W przypadku sekurytyzacji tradycyjnych nie uwzględnia się żadnych innych aktywów puli sekurytyzacyjnej. W przypadku programów sekurytyzacyjnych z wieloma zbywającymi (tj. z więcej niż jedną jednostką inicjującą) zgłasza się tylko kwotę odpowiadającą wkładowi jednostki sprawozdającej w sekurytyzowany portfel. W przypadku sekurytyzacji zobowiązań zgłasza się tylko kwoty wyemitowane przez jednostkę sprawozdającą.</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 w ramach danej sekurytyzacji.</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SEKURYTYZOWANE EKSPOZYCJE</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W kolumnach 0140–0225 jednostka sprawozdająca musi zgłosić informacje na temat kilku właściwości sekurytyzowanego portfela.</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KWOTA CAŁKOWITA</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Instytucje zgłaszają wartość sekurytyzowanego portfela na dzień sprawozdawczy, tj. pozostającą kwotę należną sekurytyzowanych ekspozycji. W przypadku </w:t>
            </w:r>
            <w:r>
              <w:rPr>
                <w:rFonts w:ascii="Times New Roman" w:hAnsi="Times New Roman"/>
                <w:sz w:val="24"/>
              </w:rPr>
              <w:lastRenderedPageBreak/>
              <w:t>sekurytyzacji tradycyjnych nie uwzględnia się żadnych innych aktywów puli sekurytyzacyjnej. W przypadku programów sekurytyzacyjnych z wieloma zbywającymi (tj. z więcej niż jedną jednostką inicjującą) zgłasza się tylko kwotę odpowiadającą wkładowi jednostki sprawozdającej w sekurytyzowany portfel. W przypadku programów sekurytyzacyjnych opartych na pulach zamkniętych (tj. gdy portfela aktywów sekurytyzowanych nie można powiększyć po dniu powstania) kwota będzie stopniowo zmniejszana.</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 w ramach danej sekurytyzacji.</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UDZIAŁ INSTYTUCJI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Udział instytucji w sekurytyzowanym portfelu (w ujęciu procentowym z dwoma miejscami po przecinku) na dzień sprawozdawczy. Wartością domyślnie zgłaszaną w tej kolumnie jest 100</w:t>
            </w:r>
            <w:r>
              <w:t> </w:t>
            </w:r>
            <w:r>
              <w:rPr>
                <w:rFonts w:ascii="Times New Roman" w:hAnsi="Times New Roman"/>
                <w:sz w:val="24"/>
              </w:rPr>
              <w:t>%, z wyjątkiem programów sekurytyzacyjnych z wieloma zbywającymi. W takim przypadku jednostka sprawozdająca zgłasza swój aktualny wkład w sekurytyzowany portfel (odpowiadający wartości w kolumnie 0140).</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 w ramach danej sekurytyzacji.</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RODZAJ</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W kolumnie tej gromadzi się informacje na temat rodzaju aktywów („Zabezpieczenia hipoteczne na nieruchomości mieszkalnej” do „Inne ekspozycje obrotu hurtowego”) lub zobowiązań („Obligacje zabezpieczone” i „Inne zobowiązania”) w ramach sekurytyzowanego portfela. Instytucje zgłaszają jedną z następujących opcji, biorąc pod uwagę najwyższą wartość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Ekspozycje detaliczne:</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kredyty hipoteczne;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należności z tytułu kart kredytowych;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kredyty konsumenckie;</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kredyty dla MŚP (traktowanych jako ekspozycje detaliczne);</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inne ekspozycje detaliczne.</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Handel hurtowy:</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komercyjne kredyty hipoteczne;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kredyty dla przedsiębiorstw;</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kredyty dla MŚP (traktowanych jako przedsiębiorstwa);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należności z tytułu dostaw i usług;</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inne ekspozycje handlu hurtowego.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Zobowiązania:</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obligacje zabezpieczone;</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inne zobowiązania.</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W przypadku gdy pula sekurytyzowanych ekspozycji stanowi kombinację wymienionych wyżej rodzajów aktywów i zobowiązań, instytucja wskazuje najważniejszy rodzaj. W przypadku resekurytyzacji instytucja odnosi się do ostatecznej bazowej puli aktywów.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W przypadku programów sekurytyzacyjnych opartych na pulach zamkniętych rodzaj nie może ulec zmianie między poszczególnymi dniami sprawozdawczymi.</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4F71E49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Zobowiązania należy rozumieć jako zobowiązania pierwotnie wyemitowane przez instytucję sprawozdającą (zob. sekcja 3.2.1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12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niniejszego załącznika).</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IRB W ZASTOSOWANEJ METODZIE</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W kolumnie tej gromadzone są informacje na temat metody lub metod, które w dniu sprawozdawczym instytucja zastosowałaby do sekurytyzowanych ekspozycji.</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Instytucje zgłaszają odsetek sekurytyzowanych ekspozycji, mierzony za pomocą wartości ekspozycji, do którego zastosowanie w dniu sprawozdawczym ma metoda wewnętrznych ratingów.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Informację tę zgłasza się, nawet gdy jednostka sprawozdająca nie posiada pozycji w ramach danej sekurytyzacji. Kolumna ta nie dotyczy jednak sekurytyzacji zobowiązań.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LICZBA EKSPOZYCJI</w:t>
            </w:r>
          </w:p>
          <w:p w14:paraId="51D64C70" w14:textId="77777777" w:rsidR="007421F4" w:rsidRPr="002A677E" w:rsidRDefault="007421F4" w:rsidP="007421F4">
            <w:pPr>
              <w:spacing w:before="0" w:after="0"/>
              <w:jc w:val="left"/>
              <w:rPr>
                <w:rFonts w:ascii="Times New Roman" w:hAnsi="Times New Roman"/>
                <w:sz w:val="24"/>
              </w:rPr>
            </w:pPr>
          </w:p>
          <w:p w14:paraId="253F5130" w14:textId="06E97E9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259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Ta kolumna jest obowiązkowa dla instytucji stosujących metodę SEC-IRBA do pozycji sekurytyzacyjnych (a zatem zgłaszających co najmniej 95 % w kolumnie 171). Instytucja zgłasza rzeczywistą liczbę ekspozycji.</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Kolumny tej nie zgłasza się w przypadku sekurytyzacji zobowiązań ani gdy wymogi w zakresie funduszy własnych są oparte na sekurytyzowanych ekspozycjach (w przypadku sekurytyzacji aktywów). Kolumny tej nie zgłasza się, gdy instytucja sprawozdająca nie posiada pozycji w ramach danej sekurytyzacji. Kolumny tej nie zgłaszają inwestorzy.</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EKSPOZYCJE, KTÓRYCH DOTYCZY NIEWYKONANIE ZOBOWIĄZANIA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0109F0DB"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Art. 261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958B7F"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Nawet gdy instytucja nie stosuje metody SEC-SA w odniesieniu do pozycji sekurytyzacyjnych, instytucja zgłasza czynnik „W” (dotyczący ekspozycji bazowych, których dotyczy niewykonanie zobowiązania), który oblicza się w sposób określony w art. 261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PAŃSTWO</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Instytucje zgłaszają kod (ISO 3166-1 alfa-2) państwa pochodzenia ostatecznego instrumentu bazowego transakcji, tj. państwa bezpośredniego dłużnika sekurytyzowanych pierwotnych ekspozycji (według metody pełnego przeglądu). W przypadku gdy pula sekurytyzacji dotyczy różnych państw, instytucja wskazuje najważniejsze państwo. Gdy żadne państwo nie przekracza progu 20 % w oparciu o kwotę aktywów/zobowiązań, zgłasza się pozycję „inne państwa”.</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6160776"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Średnią stratę z tytułu niewykonania zobowiązania ważoną ekspozycją (LGD) zgłaszają tylko instytucje stosujące metodę SEC-IRBA (a zatem zgłaszające co najmniej 95 % w kolumnie 0170). LGD oblicza się w sposób określony w art. 259 ust.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Kolumny tej nie zgłasza się w przypadku sekurytyzacji zobowiązań ani gdy wymogi w zakresie funduszy własnych są oparte na sekurytyzowanych ekspozycjach (w przypadku sekurytyzacji aktywów).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192E13D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Średnią oczekiwaną stratę aktywów sekurytyzowanych ważoną ekspozycją (EL) zgłaszają tylko instytucje stosujące metodę SEC-IRBA (a zatem zgłaszające co najmniej 95 % w kolumnie 0171). W przypadku aktywów sekurytyzowanych SA, zgłaszana EL jest konkretna dla konkretnych korekt ryzyka kredytowego, o których mowa w art. 111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EL oblicza się zgodnie z częścią trzecią tytuł II rozdział 3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Kolumny tej nie zgłasza się w przypadku sekurytyzacji zobowiązań ani gdy wymogi w zakresie funduszy własnych są oparte na sekurytyzowanych ekspozycjach (w przypadku sekurytyzacji aktywów).</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4A62D44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Średnią nieoczekiwaną stratę aktywów sekurytyzowanych ważoną ekspozycją (UL) zgłaszają tylko instytucje stosujące metodę SEC-IRBA (a zatem zgłaszające co najmniej 95 % w kolumnie 0170). UL aktywów jest równe kwocie ekspozycji ważonej ryzykiem pomnożonej przez 8 %. Kwotę ekspozycji ważonej ryzykiem oblicza się zgodnie z częścią trzecią tytuł II rozdział 3 sekcja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Kolumny tej nie zgłasza się w przypadku sekurytyzacji zobowiązań ani gdy wymogi w zakresie funduszy własnych są oparte na sekurytyzowanych ekspozycjach (w przypadku sekurytyzacji aktywów).</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ŚREDNI TERMIN ZAPADALNOŚCI AKTYWÓW WAŻONY EKSPOZYCJĄ</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55D6CE7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 xml:space="preserve">Średni termin zapadalności aktywów sekurytyzowanych ważony ekspozycją w dniu sprawozdawczym zgłaszają wszystkie instytucje bez względu na stosowane podejście obliczania wymogów kapitałowych. Instytucje obliczają termin zapadalności poszczególnych aktywów zgodnie z art. 162 ust. 2 lit. a) i f)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bez zastosowania pięcioletniego pułapu.</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KOREKTY WARTOŚCI I REZERWY</w:t>
            </w:r>
          </w:p>
          <w:p w14:paraId="3715145E" w14:textId="77777777" w:rsidR="007421F4" w:rsidRPr="002A677E" w:rsidRDefault="007421F4" w:rsidP="007421F4">
            <w:pPr>
              <w:spacing w:before="0" w:after="0"/>
              <w:jc w:val="left"/>
              <w:rPr>
                <w:rFonts w:ascii="Times New Roman" w:hAnsi="Times New Roman"/>
                <w:sz w:val="24"/>
              </w:rPr>
            </w:pPr>
          </w:p>
          <w:p w14:paraId="3EBB2D8B" w14:textId="2D4A89D1"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Korekty wartości i rezerwy (art. 159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na wypadek strat kredytowych dokonane zgodnie ze standardami rachunkowości mającymi zastosowanie do jednostki sprawozdającej. Korekty wartości obejmują każdą kwotę uznaną w rachunku zysków i strat jako strata kredytowa aktywów finansowych od czasu ich początkowego ujęcia w bilansie (w tym straty wynikające z ryzyka kredytowego aktywów finansowych wycenione według wartości godziwej, których nie odejmuje się od wartości ekspozycji) plus dyskonto z tytułu aktywów nabytych w przypadku niewykonania zobowiązania, o których mowa w art. 166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Rezerwy obejmują skumulowane kwoty strat kredytowych w pozycjach pozabilansowych.</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W kolumnie tej gromadzone są informacje na temat korekt wartości i rezerw stosowanych do sekurytyzowanych ekspozycji. Niniejszej kolumny nie zgłasza się w przypadku sekurytyzacji zobowiązań.</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Informację tę zgłasza się, nawet gdy jednostka sprawozdająca nie posiada pozycji w ramach danej sekurytyzacji.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WYMOGI W ZAKRESIE FUNDUSZY WŁASNYCH PRZED SEKURYTYZACJĄ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550BEED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Tę kolumnę zgłaszają tylko instytucje stosujące metodę SEC-IRBA (a zatem zgłaszające co najmniej 95 % w kolumnie 171); gromadzi się w niej informacje na temat K</w:t>
            </w:r>
            <w:r>
              <w:rPr>
                <w:rFonts w:ascii="Times New Roman" w:hAnsi="Times New Roman"/>
                <w:sz w:val="24"/>
                <w:vertAlign w:val="subscript"/>
              </w:rPr>
              <w:t>IRB</w:t>
            </w:r>
            <w:r>
              <w:rPr>
                <w:rFonts w:ascii="Times New Roman" w:hAnsi="Times New Roman"/>
                <w:sz w:val="24"/>
              </w:rPr>
              <w:t xml:space="preserve">, zgodnie z art. 255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w:t>
            </w:r>
            <w:r>
              <w:rPr>
                <w:rFonts w:ascii="Times New Roman" w:hAnsi="Times New Roman"/>
                <w:sz w:val="24"/>
                <w:vertAlign w:val="subscript"/>
              </w:rPr>
              <w:t>IRB</w:t>
            </w:r>
            <w:r>
              <w:rPr>
                <w:rFonts w:ascii="Times New Roman" w:hAnsi="Times New Roman"/>
                <w:sz w:val="24"/>
              </w:rPr>
              <w:t xml:space="preserve"> wyraża się jako wartość procentową (z dwoma miejscami po przecinku).</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Niniejszej kolumny nie zgłasza się w przypadku sekurytyzacji zobowiązań. W przypadku sekurytyzacji aktywów informację tę zgłasza się, nawet gdy jednostka sprawozdająca nie posiada pozycji w ramach danej sekurytyzacji.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EKSPOZYCJI DETALICZNYCH W PULACH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0FFB010A"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Pule IRB, zgodnie z definicją w art. 242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pod warunkiem że instytucja jest w stanie obliczyć K</w:t>
            </w:r>
            <w:r>
              <w:rPr>
                <w:rFonts w:ascii="Times New Roman" w:hAnsi="Times New Roman"/>
                <w:sz w:val="24"/>
                <w:vertAlign w:val="subscript"/>
              </w:rPr>
              <w:t>IRB</w:t>
            </w:r>
            <w:r>
              <w:rPr>
                <w:rFonts w:ascii="Times New Roman" w:hAnsi="Times New Roman"/>
                <w:sz w:val="24"/>
              </w:rPr>
              <w:t xml:space="preserve"> zgodnie z częścią trzecią tytuł II rozdział 6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odniesieniu do co najmniej 95 % kwoty ekspozycji bazowych (art. 259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WYMOGI W ZAKRESIE FUNDUSZY WŁASNYCH PRZED SEKURYTYZACJĄ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24CD5D2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Nawet gdy instytucja nie stosuje metody SEC-SA w odniesieniu do pozycji sekurytyzacyjnych, instytucja zgłasza niniejszą kolumnę. W niniejszej kolumnie gromadzi się informacje na temat K</w:t>
            </w:r>
            <w:r>
              <w:rPr>
                <w:rFonts w:ascii="Times New Roman" w:hAnsi="Times New Roman"/>
                <w:sz w:val="24"/>
                <w:vertAlign w:val="subscript"/>
              </w:rPr>
              <w:t>SA</w:t>
            </w:r>
            <w:r>
              <w:rPr>
                <w:rFonts w:ascii="Times New Roman" w:hAnsi="Times New Roman"/>
                <w:sz w:val="24"/>
              </w:rPr>
              <w:t xml:space="preserve">, o którym mowa w art. 255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w:t>
            </w:r>
            <w:r>
              <w:rPr>
                <w:rFonts w:ascii="Times New Roman" w:hAnsi="Times New Roman"/>
                <w:sz w:val="24"/>
                <w:vertAlign w:val="subscript"/>
              </w:rPr>
              <w:t>SA</w:t>
            </w:r>
            <w:r>
              <w:rPr>
                <w:rFonts w:ascii="Times New Roman" w:hAnsi="Times New Roman"/>
                <w:sz w:val="24"/>
              </w:rPr>
              <w:t xml:space="preserve"> wyraża się jako wartość procentową (z dwoma miejscami po przecinku).</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Niniejszej kolumny nie zgłasza się w przypadku sekurytyzacji zobowiązań. W przypadku sekurytyzacji aktywów informację tę zgłasza się, nawet gdy jednostka sprawozdająca nie posiada pozycji w ramach danej sekurytyzacji.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UZUPEŁNIAJĄCE: KOREKTY Z TYTUŁU RYZYKA KREDYTOWEGO W BIEŻĄCYM OKRESIE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21525D8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110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PROGRAM SEKURYTYZACYJNY</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W tym zestawieniu sześciu kolumn gromadzone są informacje na temat struktury sekurytyzacji na podstawie pozycji bilansowych/pozabilansowych, transz (uprzywilejowane/typu mezzanine/pierwszej straty) oraz terminu zapadalności w dniu sprawozdawczym.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W przypadku programów sekurytyzacyjnych z wieloma zbywającymi zgłasza się tylko kwotę odpowiadającą lub przypisywaną instytucji sprawozdającej.</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BILANSOWE</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W tym zestawieniu sześciu kolumn gromadzone są informacje na temat pozycji bilansowych z podziałem na transze (uprzywilejowane/typu mezzanine/pierwszej straty).</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UPRZYWILEJOWANE</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KWOTA</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58A21DA9"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Kwota uprzywilejowanych pozycji sekurytyzacyjnych zdefiniowana w art. 242 pkt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PUNKT INICJUJĄCY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1030C0FC"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Punkt inicjujący (%), o którym mowa w art. 256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i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E47708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Stopnie jakości kredytowej przewidziane dla instytucji stosujących metodę SEC-ERBA (tabela 1 i 2 w art. 263 oraz tabele 3 i 4 w art. 264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Kolumny te zgłasza się w odniesieniu do wszystkich ocenianych transakcji, niezależnie od zastosowanej metody.</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TYPU 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KWOTA</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Zgłaszana kwota obejmuje:</w:t>
            </w:r>
          </w:p>
          <w:p w14:paraId="109FB3F3" w14:textId="3D82A271"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pozycje sekurytyzacyjne typu mezzanine zdefiniowane w art. 242 pkt 18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9C73862" w14:textId="7F328AE1"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dodatkowe pozycje sekurytyzacyjne, które nie stanowią pozycji określonych w art. 242 pkt 6, 17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LICZBA TRANSZ</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Liczba transz typu mezzanine.</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NAJBARDZIEJ PODPORZĄDKOWANEJ TRANSZY</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0561A3B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określone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63 tabela 2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64 tabela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najbardziej podporządkowanej transzy typu mezzanine.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PIERWSZEJ STRATY</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KWOTA</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023420F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Kwota transzy pierwszej straty zdefiniowana w art. 242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PUNKT KOŃCZĄCY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6B2A820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Punkt kończący (%), o którym mowa w art. 256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NADZABEZPIECZENIE I RACHUNKI REZERW RZECZYWISTYCH</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021C5325"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256 ust.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6C9CCBD2"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Kwoty zabezpieczenia i rachunki rezerw rzeczywistych niespełniające definicji „transzy” zawartej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2017/2402, ale uznawane za transze do celów obliczenia punktu inicjującego i punktu kończącego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56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KWOTA</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 TYM: (-) NIEPODLEGAJĄCE ODLICZENIU DYSKONTO CENOWE PRZY ZAKUPIE</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103D2387"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1 rozporządzenia (UE)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1CAD826E"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Instytucje zgłaszają niepodlegające odliczeniu dyskonto cenowe przy zakupie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69a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na dzień sprawozdawczy, które jest korygowane w dół z uwzględnieniem zrealizowanych strat, jak wskazano w akapicie drugim. Kolumnę tę zgłasza się wyłącznie w przypadku, gdy kolumna 0040 jest zgłaszana jako „Kwalifikująca się sekurytyzacja </w:t>
            </w:r>
            <w:r>
              <w:rPr>
                <w:rFonts w:ascii="Times New Roman" w:hAnsi="Times New Roman"/>
                <w:sz w:val="24"/>
              </w:rPr>
              <w:lastRenderedPageBreak/>
              <w:t>ekspozycji nieobsługiwanych” lub „Niekwalifikująca się sekurytyzacja ekspozycji nieobsługiwanych”,</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W tym zestawieniu sześciu kolumn gromadzone są informacje na temat pozycji pozabilansowych i instrumentów pochodnych przed zastosowaniem współczynników konwersji z podziałem na transze (uprzywilejowane/typu mezzanine/pierwszej straty).</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UPRZYWILEJOWANE / TYPU MEZZANINE / PIERWSZEJ STRATY</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W tym miejscu stosuje się te same kryteria klasyfikacji transz i identyfikacji punktu inicjującego, liczby transz i punktu kończącego, które stosuje się w odniesieniu do pozycji bilansowych (zob. instrukcje dotyczące kolumn 0230–0252).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SYNTETYCZNA MARŻA NADWYŻKOWA</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6F476A52"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242 pkt 20, art. 248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e)</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56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177D346" w14:textId="77777777" w:rsidR="00512CC7" w:rsidRPr="00836936"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Kolumnę tę zgłasza się wyłącznie w przypadku, gdy kolumna 0110 jest zgłaszana jako „Jednostka inicjująca”.</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TERMIN ZAPADALNOŚCI</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PIERWSZY PRZEWIDYWALNY TERMIN ROZWIĄZANIA UMOWY</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Prawdopodobny termin rozwiązania umowy w odniesieniu do całej sekurytyzacji w świetle klauzul umownych i aktualnie przewidywanych warunków finansowych. Zwykle będzie to najwcześniejsza z następujących dat: </w:t>
            </w:r>
          </w:p>
          <w:p w14:paraId="01D6BF76" w14:textId="77777777" w:rsidR="007421F4" w:rsidRPr="002A677E" w:rsidRDefault="007421F4" w:rsidP="007421F4">
            <w:pPr>
              <w:spacing w:before="0" w:after="0"/>
              <w:jc w:val="left"/>
              <w:rPr>
                <w:rFonts w:ascii="Times New Roman" w:hAnsi="Times New Roman"/>
                <w:sz w:val="24"/>
              </w:rPr>
            </w:pPr>
          </w:p>
          <w:p w14:paraId="267BBF47" w14:textId="66F3FC53"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termin, w którym można po raz pierwszy skorzystać z opcji odkupu końcowego (określonej w art. 242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biorąc pod uwagę termin zapadalności ekspozycji bazowej oraz oczekiwany współczynnik wcześniejszej spłaty lub potencjalne działania renegocjacyjne;</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termin, w którym jednostka inicjująca może po raz pierwszy skorzystać z jakiejkolwiek innej opcji kupna przewidzianej w klauzulach umownych sekurytyzacji, co spowodowałoby całkowity wykup sekurytyzacji.</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Zgłasza się dzień, miesiąc i rok pierwszego oczekiwanego terminu rozwiązania umowy sekurytyzacji.</w:t>
            </w:r>
            <w:r>
              <w:rPr>
                <w:rFonts w:ascii="Times New Roman" w:hAnsi="Times New Roman"/>
              </w:rPr>
              <w:t xml:space="preserve"> </w:t>
            </w:r>
            <w:r>
              <w:rPr>
                <w:rFonts w:ascii="Times New Roman" w:hAnsi="Times New Roman"/>
                <w:sz w:val="24"/>
              </w:rPr>
              <w:t>Konkretny dzień zgłasza się, gdy te informacje są dostępne, w przeciwnym razie zgłasza się pierwszy dzień miesiąca.</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ZAWARTE W TRANSAKCJI OPCJE KUPNA PRZYSŁUGUJĄCE JEDNOSTCE INICJUJĄCEJ</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Rodzaj opcji kupna stosownej dla pierwszego oczekiwanego terminu rozwiązania umowy sekurytyzacji:</w:t>
            </w:r>
          </w:p>
          <w:p w14:paraId="4BC62F1E" w14:textId="32D494E8"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opcja odkupu końcowego spełniająca wymogi art. 244 ust. 4 lit. g)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inna opcja odkupu końcowego;</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inny rodzaj opcji kupna.</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USTAWOWY OSTATECZNY TERMIN ZAPADALNOŚCI</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Termin, w którym zgodnie z prawem należy spłacić całość kwoty głównej sekurytyzacji oraz odsetki (na podstawie dokumentacji transakcji).</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Zgłasza się dzień, miesiąc i rok ustawowego ostatecznego terminu zapadalności.</w:t>
            </w:r>
            <w:r>
              <w:rPr>
                <w:rFonts w:ascii="Times New Roman" w:hAnsi="Times New Roman"/>
              </w:rPr>
              <w:t xml:space="preserve"> </w:t>
            </w:r>
            <w:r>
              <w:rPr>
                <w:rFonts w:ascii="Times New Roman" w:hAnsi="Times New Roman"/>
                <w:sz w:val="24"/>
              </w:rPr>
              <w:t>Konkretny dzień zgłasza się, gdy te informacje są dostępne, w przeciwnym razie zgłasza się pierwszy dzień miesiąca.</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POZYCJE UZUPEŁNIAJĄCE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PUNKT INICJUJĄCY SPRZEDANEGO RYZYKA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Jednostki inicjujące zgłaszają wyłącznie punkt inicjujący najbardziej podporządkowanej transzy sprzedanej na rzecz tradycyjnych sekurytyzacji lub chronionej przez osoby trzecie w przypadku sekurytyzacji syntetycznych.</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PUNKT KOŃCZĄCY SPRZEDANEGO RYZYKA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Jednostki inicjujące zgłaszają wyłącznie punkt kończący najstarszej transzy sprzedanej na rzecz tradycyjnych sekurytyzacji lub chronionej przez osoby trzecie w przypadku sekurytyzacji syntetycznych.</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TRANSFER RYZYKA DEKLAROWANY PRZEZ INSTYTUCJĘ INICJUJĄCĄ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Jednostki inicjujące zgłaszają wyłącznie oczekiwaną stratę (EL) plus nieoczekiwaną stratę (UL) aktywów sekurytyzowanych przekazanych stronom trzecim jako odsetek całkowitej EL plus UL. Zgłasza się EL I UL ekspozycji bazowych, które następnie przypisuje się poprzez sekurytyzację kaskadową do odpowiednich transz sekurytyzacyjnych. W odniesieniu do banków SA EL stanowi konkretną korektę ryzyka kredytowego aktywów sekurytyzowanych, a UL stanowi wymóg kapitałowy sekurytyzowanych ekspozycji.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119064848"/>
      <w:r>
        <w:rPr>
          <w:rFonts w:ascii="Times New Roman" w:hAnsi="Times New Roman"/>
          <w:sz w:val="24"/>
          <w:u w:val="none"/>
        </w:rPr>
        <w:t>3.8.4.</w:t>
      </w:r>
      <w:r>
        <w:tab/>
      </w:r>
      <w:r>
        <w:rPr>
          <w:rFonts w:ascii="Times New Roman" w:hAnsi="Times New Roman"/>
          <w:sz w:val="24"/>
        </w:rPr>
        <w:t>C 14.01 – Szczegółowe informacje na temat sekurytyzacji według metody (SEC Szczegóły 2)</w:t>
      </w:r>
      <w:bookmarkEnd w:id="433"/>
      <w:bookmarkEnd w:id="434"/>
    </w:p>
    <w:bookmarkStart w:id="435"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Wzór SEC Szczegóły 2 zgłasza się osobno w odniesieniu do następujących metod:</w:t>
      </w:r>
    </w:p>
    <w:p w14:paraId="02743D9E" w14:textId="77777777" w:rsidR="00CA4EB2" w:rsidRPr="00836936" w:rsidRDefault="00CA4EB2" w:rsidP="00487A02">
      <w:pPr>
        <w:pStyle w:val="InstructionsText2"/>
        <w:numPr>
          <w:ilvl w:val="0"/>
          <w:numId w:val="0"/>
        </w:numPr>
        <w:ind w:left="1353" w:hanging="360"/>
        <w:rPr>
          <w:lang w:val="fr-BE"/>
        </w:rPr>
      </w:pPr>
      <w:r w:rsidRPr="00836936">
        <w:rPr>
          <w:lang w:val="fr-BE"/>
        </w:rPr>
        <w:t>1) SEC-IRBA;</w:t>
      </w:r>
    </w:p>
    <w:p w14:paraId="406C7FE9" w14:textId="77777777" w:rsidR="00CA4EB2" w:rsidRPr="00836936" w:rsidRDefault="00CA4EB2" w:rsidP="00487A02">
      <w:pPr>
        <w:pStyle w:val="InstructionsText2"/>
        <w:numPr>
          <w:ilvl w:val="0"/>
          <w:numId w:val="0"/>
        </w:numPr>
        <w:ind w:left="1353" w:hanging="360"/>
        <w:rPr>
          <w:lang w:val="fr-BE"/>
        </w:rPr>
      </w:pPr>
      <w:r w:rsidRPr="00836936">
        <w:rPr>
          <w:lang w:val="fr-BE"/>
        </w:rPr>
        <w:lastRenderedPageBreak/>
        <w:t>2) SEC-SA;</w:t>
      </w:r>
    </w:p>
    <w:p w14:paraId="21228F8E" w14:textId="3F2CF048" w:rsidR="006A7EC8" w:rsidRPr="00836936" w:rsidRDefault="00CA4EB2" w:rsidP="00487A02">
      <w:pPr>
        <w:pStyle w:val="InstructionsText2"/>
        <w:numPr>
          <w:ilvl w:val="0"/>
          <w:numId w:val="0"/>
        </w:numPr>
        <w:ind w:left="1353" w:hanging="360"/>
        <w:rPr>
          <w:lang w:val="fr-BE"/>
        </w:rPr>
      </w:pPr>
      <w:r w:rsidRPr="00836936">
        <w:rPr>
          <w:lang w:val="fr-BE"/>
        </w:rPr>
        <w:t>3) SEC-ERBA;</w:t>
      </w:r>
    </w:p>
    <w:p w14:paraId="0062414C" w14:textId="518861BF" w:rsidR="00CA4EB2" w:rsidRDefault="00CA4EB2" w:rsidP="00487A02">
      <w:pPr>
        <w:pStyle w:val="InstructionsText2"/>
        <w:numPr>
          <w:ilvl w:val="0"/>
          <w:numId w:val="0"/>
        </w:numPr>
        <w:ind w:left="1353" w:hanging="360"/>
      </w:pPr>
      <w:r>
        <w:t>4) 1 25</w:t>
      </w:r>
      <w:r w:rsidRPr="0043455E">
        <w:t>0</w:t>
      </w:r>
      <w:r w:rsidR="0043455E" w:rsidRPr="0043455E">
        <w:t> </w:t>
      </w:r>
      <w:r w:rsidRPr="0043455E">
        <w:t>%</w:t>
      </w:r>
      <w:r>
        <w:t>;</w:t>
      </w:r>
    </w:p>
    <w:p w14:paraId="6F7C4A1C" w14:textId="1FE96360" w:rsidR="00B12E10" w:rsidRDefault="00B12E10" w:rsidP="00487A02">
      <w:pPr>
        <w:pStyle w:val="InstructionsText2"/>
        <w:numPr>
          <w:ilvl w:val="0"/>
          <w:numId w:val="0"/>
        </w:numPr>
        <w:ind w:left="1353" w:hanging="360"/>
      </w:pPr>
      <w:r>
        <w:t>5) Metoda wewnętrznych oszacowań</w:t>
      </w:r>
    </w:p>
    <w:p w14:paraId="1F10A4FD" w14:textId="4DA46199" w:rsidR="00855EAC" w:rsidRPr="002A677E" w:rsidRDefault="00B12E10" w:rsidP="00487A02">
      <w:pPr>
        <w:pStyle w:val="InstructionsText2"/>
        <w:numPr>
          <w:ilvl w:val="0"/>
          <w:numId w:val="0"/>
        </w:numPr>
        <w:ind w:left="1353" w:hanging="360"/>
      </w:pPr>
      <w:r>
        <w:t>6) Szczególne traktowanie transz uprzywilejowanych kwalifikujących się sekurytyzacji ekspozycji nieobsługiwanych.</w:t>
      </w: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Kolumny</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KOD WEWNĘTRZNY</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Wewnętrzny (alfanumeryczny) kod stosowany przez instytucję w celu identyfikacji sekurytyzacji. Kod wewnętrzny związany jest z identyfikatorem transakcji sekurytyzacji.</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IDENTYFIKATOR SEKURYTYZACJI</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Kod używany do celów prawnej rejestracji pozycji sekurytyzacyjnych lub transakcji sekurytyzacji w przypadku gdy w tym samym wierszu można zgłosić kilka pozycji lub, jeśli taki kod nie jest dostępny, nazwa, pod którą dana pozycja sekurytyzacyjna lub transakcja sekurytyzacji jest znana na rynku lub w ramach instytucji w przypadku sekurytyzacji wewnętrznej lub prywatnej. W przypadku gdy dostępny jest Międzynarodowy Numer Identyfikacyjny Papierów Wartościowych (ISIN; np. w odniesieniu do transakcji publicznych), w kolumnie tej zgłasza się znaki wspólne dla wszystkich transz sekurytyzacyjnych.</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POZYCJE SEKURYTYZACYJNE: PIERWOTNA EKSPOZYCJA PRZED UWZGLĘDNIENIEM WSPÓŁCZYNNIKÓW KONWERSJI</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W tym zestawieniu kolumn gromadzone są informacje na temat pozycji sekurytyzacyjnych podzielone według pozycji bilansowych/pozabilansowych oraz transz (uprzywilejowane/typu mezzanine/pierwszej straty) na dzień sprawozdawczy.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POZYCJE BILANSOWE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Stosuje się te same kryteria klasyfikacji transz jak zastosowane w przypadku kolumn 0230, 0240 i 0250 we wzorze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Stosuje się te same kryteria klasyfikacji transz jak zastosowane w przypadku kolumn 0260–0287 we wzorze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0351 i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ODPOWIADAJĄCA DOSTAWCY OCHRONY KREDYTOWEJ / INSTRUMENTOWI ZAPEWNIAJĄCEMU OCHRONĘ</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F4F341F"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RW kwalifikowalnego gwaranta lub % RW odpowiadającego instrumentu, który zapewnia ochronę kredytową zgodnie z art. 249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SYNTETYCZNA MARŻA NADWYŻKOWA</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5A534E64"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242 pkt 20, art. 248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e)</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56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Kolumnę tę zgłasza się wyłącznie w przypadku, gdy kolumna 0110 jest zgłaszana jako „Jednostka inicjująca”.</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UZUPEŁNIAJĄCE: POZYCJE POZABILANSOWE I INSTRUMENTY POCHODNE PRZED UWZGLĘDNIENIEM WSPÓŁCZYNNIKÓW KONWERSJI</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W tym zestawieniu kolumn gromadzone są dodatkowe informacje na temat sumy pozycji pozabilansowych i instrumentów pochodnych (które są już zgłoszone w ramach innego podziału w kolumnach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BEZPOŚREDNIE SUBSTYTUTY KREDYTU</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Kolumna ta ma zastosowanie do pozycji sekurytyzacyjnych posiadanych przez jednostkę inicjującą i gwarantowanych bezpośrednimi substytutami kredytu.</w:t>
            </w:r>
          </w:p>
          <w:p w14:paraId="4846C8B3" w14:textId="77777777" w:rsidR="00FC6275" w:rsidRPr="002A677E" w:rsidRDefault="00FC6275" w:rsidP="00E10B85">
            <w:pPr>
              <w:spacing w:before="0" w:after="0"/>
              <w:rPr>
                <w:rFonts w:ascii="Times New Roman" w:hAnsi="Times New Roman"/>
                <w:sz w:val="24"/>
              </w:rPr>
            </w:pPr>
          </w:p>
          <w:p w14:paraId="5E8E5F5B" w14:textId="358A83EF" w:rsidR="00FC6275" w:rsidRPr="002A677E" w:rsidRDefault="00BB22D4" w:rsidP="00E10B85">
            <w:pPr>
              <w:spacing w:before="0" w:after="0"/>
              <w:rPr>
                <w:rFonts w:ascii="Times New Roman" w:hAnsi="Times New Roman"/>
                <w:sz w:val="24"/>
              </w:rPr>
            </w:pPr>
            <w:r>
              <w:rPr>
                <w:rFonts w:ascii="Times New Roman" w:hAnsi="Times New Roman"/>
                <w:sz w:val="24"/>
              </w:rPr>
              <w:t xml:space="preserve">Zgodnie z załącznikiem I do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następujące pozycje pozabilansowe pełnego ryzyka traktuje się jak bezpośrednie substytuty kredytu:</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gwarancje mające charakter substytutu kredytu;</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nieodwołalne akredytywy „standby” mające charakter substytutu kredytu.</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BA529AB" w:rsidR="00FC6275" w:rsidRPr="002A677E" w:rsidRDefault="00FC6275" w:rsidP="00E10B85">
            <w:pPr>
              <w:spacing w:before="0" w:after="0"/>
              <w:rPr>
                <w:rFonts w:ascii="Times New Roman" w:hAnsi="Times New Roman"/>
                <w:sz w:val="24"/>
              </w:rPr>
            </w:pPr>
            <w:r>
              <w:rPr>
                <w:rFonts w:ascii="Times New Roman" w:hAnsi="Times New Roman"/>
                <w:sz w:val="24"/>
              </w:rPr>
              <w:t xml:space="preserve">Skrót IRS oznacza swapy stopy procentowej, natomiast skrót CRS oznacza swapy walutowe. Te instrumenty pochodne wymieniono w załączniku II do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INSTRUMENTY WSPARCIA PŁYNNOŚCI</w:t>
            </w:r>
          </w:p>
          <w:p w14:paraId="0F06BD7B" w14:textId="77777777" w:rsidR="00FC6275" w:rsidRPr="002A677E" w:rsidRDefault="00FC6275" w:rsidP="00E10B85">
            <w:pPr>
              <w:spacing w:before="0" w:after="0"/>
              <w:jc w:val="left"/>
              <w:rPr>
                <w:rFonts w:ascii="Times New Roman" w:hAnsi="Times New Roman"/>
                <w:sz w:val="24"/>
              </w:rPr>
            </w:pPr>
          </w:p>
          <w:p w14:paraId="109FDB46" w14:textId="06C0CFD0" w:rsidR="00FC6275" w:rsidRPr="002A677E" w:rsidRDefault="00FC6275" w:rsidP="00E10B85">
            <w:pPr>
              <w:spacing w:before="0" w:after="0"/>
              <w:rPr>
                <w:rFonts w:ascii="Times New Roman" w:hAnsi="Times New Roman"/>
                <w:sz w:val="24"/>
              </w:rPr>
            </w:pPr>
            <w:r>
              <w:rPr>
                <w:rFonts w:ascii="Times New Roman" w:hAnsi="Times New Roman"/>
                <w:sz w:val="24"/>
              </w:rPr>
              <w:t xml:space="preserve">Instrumenty wsparcia płynności zdefiniowane w art. 242 pkt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INNE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Pozostające pozycje pozabilansowe.</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WARTOŚĆ EKSPOZYCJI</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Informacje te są ściśle związane z kolumną 0180 we wzorze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WARTOŚĆ EKSPOZYCJI POMNIEJSZAJĄCA FUNDUSZE WŁASNE</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Informacje te są ściśle związane z kolumną 0190 we wzorze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W kolumnie tej zgłasza się wartość ujemną.</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 PRZED UWZGLĘDNIENIEM PUŁAPU</w:t>
            </w:r>
          </w:p>
          <w:p w14:paraId="4EC7433C" w14:textId="77777777" w:rsidR="00FC6275" w:rsidRPr="002A677E" w:rsidRDefault="00FC6275" w:rsidP="00E10B85">
            <w:pPr>
              <w:spacing w:before="0" w:after="0"/>
              <w:jc w:val="left"/>
              <w:rPr>
                <w:rFonts w:ascii="Times New Roman" w:hAnsi="Times New Roman"/>
                <w:sz w:val="24"/>
              </w:rPr>
            </w:pPr>
          </w:p>
          <w:p w14:paraId="253665E3" w14:textId="15986C6F" w:rsidR="00FC6275" w:rsidRPr="002A677E" w:rsidRDefault="00FC6275" w:rsidP="001235ED">
            <w:pPr>
              <w:spacing w:before="0" w:after="0"/>
              <w:rPr>
                <w:rFonts w:ascii="Times New Roman" w:hAnsi="Times New Roman"/>
                <w:sz w:val="24"/>
              </w:rPr>
            </w:pPr>
            <w:r>
              <w:rPr>
                <w:rFonts w:ascii="Times New Roman" w:hAnsi="Times New Roman"/>
                <w:sz w:val="24"/>
              </w:rPr>
              <w:t xml:space="preserve">W kolumnie tej gromadzone są informacje na temat kwoty ekspozycji ważonej ryzykiem przed uwzględnieniem pułapu mającego zastosowanie do pozycji sekurytyzacyjnych, obliczonej zgodnie z częścią trzecią tytuł II rozdział 5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W przypadku sekurytyzacji w portfelu handlowym, zgłasza się kwotę ekspozycji ważonej ryzykiem dotyczącą konkretnego ryzyka. Zob. odpowiednio kolumna 0570 we wzorze MKR SA SEC lub kolumna 0410 i 0420 (stosowna dla wymogu dotyczącego funduszy własnych) we wzorze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ZMNIEJSZENIE ZE WZGLĘDU NA PUŁAP WAGI RYZYKA</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63806D1D"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 267 i 269a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ZMNIEJSZENIE ZE WZGLĘDU NA OGÓLNY PUŁAP</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41850E81"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 268 i 269a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 PO UWZGLĘDNIENIU PUŁAPU</w:t>
            </w:r>
          </w:p>
          <w:p w14:paraId="6DD24E89" w14:textId="77777777" w:rsidR="00FC6275" w:rsidRPr="002A677E" w:rsidRDefault="00FC6275" w:rsidP="00E10B85">
            <w:pPr>
              <w:spacing w:before="0" w:after="0"/>
              <w:jc w:val="left"/>
              <w:rPr>
                <w:rFonts w:ascii="Times New Roman" w:hAnsi="Times New Roman"/>
                <w:sz w:val="24"/>
              </w:rPr>
            </w:pPr>
          </w:p>
          <w:p w14:paraId="4B0679F7" w14:textId="5A526C62" w:rsidR="00FC6275" w:rsidRPr="002A677E" w:rsidRDefault="00FC6275" w:rsidP="00E10B85">
            <w:pPr>
              <w:spacing w:before="0" w:after="0"/>
              <w:rPr>
                <w:rFonts w:ascii="Times New Roman" w:hAnsi="Times New Roman"/>
                <w:sz w:val="24"/>
              </w:rPr>
            </w:pPr>
            <w:r>
              <w:rPr>
                <w:rFonts w:ascii="Times New Roman" w:hAnsi="Times New Roman"/>
                <w:sz w:val="24"/>
              </w:rPr>
              <w:t xml:space="preserve">W kolumnie tej gromadzone są informacje na temat kwoty ekspozycji ważonej ryzykiem po uwzględnieniu pułapu mającego zastosowanie do pozycji sekurytyzacyjnych, obliczonej zgodnie z częścią trzecią tytuł II rozdział 5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W przypadku sekurytyzacji w portfelu handlowym, zgłasza się kwotę ekspozycji ważonej ryzykiem dotyczącą konkretnego ryzyka. Zob. odpowiednio kolumna 0601 we wzorze MKR SA SEC lub kolumna 0450 we wzorze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POZYCJE UZUPEŁNIAJĄCE</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KWOTA EKSPOZYCJI WAŻONEJ RYZYKIEM WEDŁUG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6334EE3B" w:rsidR="00FC6275" w:rsidRPr="002A677E" w:rsidRDefault="00FC6275" w:rsidP="00E10B85">
            <w:pPr>
              <w:spacing w:before="0" w:after="0"/>
              <w:jc w:val="left"/>
              <w:rPr>
                <w:rFonts w:ascii="Times New Roman" w:hAnsi="Times New Roman"/>
                <w:sz w:val="24"/>
              </w:rPr>
            </w:pPr>
            <w:r>
              <w:rPr>
                <w:rFonts w:ascii="Times New Roman" w:hAnsi="Times New Roman"/>
                <w:sz w:val="24"/>
              </w:rPr>
              <w:lastRenderedPageBreak/>
              <w:t xml:space="preserve">Art. 263 i 264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Niniejszą kolumnę zgłasza się wyłącznie w odniesieniu do ocenianych transakcji przed zastosowaniem ograniczenia i nie zgłasza się jej w odniesieniu do transakcji w ramach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KWOTA EKSPOZYCJI WAŻONEJ RYZYKIEM WEDŁUG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3504D44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 261 i 262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Niniejszą kolumnę zgłasza się przed zastosowaniem ograniczenia i nie zgłasza się jej w odniesieniu do transakcji w ramach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POZYCJE SEKURYTYZACYJNE – PORTFEL HANDLOWY</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UJĘTE W KORELACYJNYM PORTFELU HANDLOWYM CZY NIEUJĘTE W KORELACYJNYM PORTFELU HANDLOWYM?</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Instytucje zgłaszają jeden z następujących skrótów:</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ujęte w korelacyjnym portfelu handlowym;</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„Non-CPT” – nieujęte w korelacyjnym portfelu handlowym.</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POZYCJE NETTO – DŁUGIE/KRÓTKIE</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Zob. kolumny 0050 / 0060 odpowiednio we wzorze MKR SA SEC lub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119064849"/>
      <w:r>
        <w:rPr>
          <w:rFonts w:ascii="Times New Roman" w:hAnsi="Times New Roman"/>
          <w:sz w:val="24"/>
        </w:rPr>
        <w:t>Ryzyko kredytowe kontrahenta</w:t>
      </w:r>
      <w:bookmarkEnd w:id="436"/>
      <w:bookmarkEnd w:id="437"/>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119064850"/>
      <w:bookmarkEnd w:id="438"/>
      <w:bookmarkEnd w:id="439"/>
      <w:bookmarkEnd w:id="440"/>
      <w:bookmarkEnd w:id="441"/>
      <w:bookmarkEnd w:id="442"/>
      <w:bookmarkEnd w:id="443"/>
      <w:r>
        <w:rPr>
          <w:rFonts w:ascii="Times New Roman" w:hAnsi="Times New Roman"/>
          <w:sz w:val="24"/>
        </w:rPr>
        <w:t>Zakres stosowania wzorów dotyczących ryzyka kredytowego kontrahenta</w:t>
      </w:r>
      <w:bookmarkEnd w:id="444"/>
      <w:bookmarkEnd w:id="445"/>
      <w:bookmarkEnd w:id="446"/>
    </w:p>
    <w:p w14:paraId="16DF9742" w14:textId="532CD498" w:rsidR="00595FAD" w:rsidRPr="002A677E" w:rsidRDefault="0043455E" w:rsidP="00487A02">
      <w:pPr>
        <w:pStyle w:val="InstructionsText2"/>
        <w:numPr>
          <w:ilvl w:val="0"/>
          <w:numId w:val="0"/>
        </w:numPr>
        <w:ind w:left="1353" w:hanging="360"/>
      </w:pPr>
      <w:fldSimple w:instr=" seq paragraphs ">
        <w:r w:rsidR="008F3052">
          <w:t>119</w:t>
        </w:r>
      </w:fldSimple>
      <w:r w:rsidR="008F3052">
        <w:t xml:space="preserve">. Wzory dotyczące ryzyka kredytowego kontrahenta obejmują informacje na temat ekspozycji podlegających ryzyku kredytowemu kontrahenta w zastosowaniu części trzeciej tytuł II rozdziały 4 i 6 rozporządzenia (UE) </w:t>
      </w:r>
      <w:r w:rsidR="008F3052" w:rsidRPr="0043455E">
        <w:t>nr</w:t>
      </w:r>
      <w:r w:rsidRPr="0043455E">
        <w:t> </w:t>
      </w:r>
      <w:r w:rsidR="008F3052" w:rsidRPr="0043455E">
        <w:t>5</w:t>
      </w:r>
      <w:r w:rsidR="008F3052">
        <w:t>75/2013.</w:t>
      </w:r>
    </w:p>
    <w:p w14:paraId="1ABA71A1" w14:textId="52F1F9C7" w:rsidR="00595FAD" w:rsidRPr="002A677E" w:rsidRDefault="0043455E" w:rsidP="00487A02">
      <w:pPr>
        <w:pStyle w:val="InstructionsText2"/>
        <w:numPr>
          <w:ilvl w:val="0"/>
          <w:numId w:val="0"/>
        </w:numPr>
        <w:ind w:left="1353" w:hanging="360"/>
      </w:pPr>
      <w:fldSimple w:instr=" seq paragraphs ">
        <w:r w:rsidR="008F3052">
          <w:t>120</w:t>
        </w:r>
      </w:fldSimple>
      <w:r w:rsidR="008F3052">
        <w:t xml:space="preserve">. Wzory te nie obejmują wymogów w zakresie funduszy własnych w odniesieniu do ryzyka korekty wyceny kredytowej (art. 92 ust. 3 lit. d) oraz część trzecia tytuł VI rozporządzenia (UE) </w:t>
      </w:r>
      <w:r w:rsidR="008F3052" w:rsidRPr="0043455E">
        <w:t>nr</w:t>
      </w:r>
      <w:r w:rsidRPr="0043455E">
        <w:t> </w:t>
      </w:r>
      <w:r w:rsidR="008F3052" w:rsidRPr="0043455E">
        <w:t>5</w:t>
      </w:r>
      <w:r w:rsidR="008F3052">
        <w:t xml:space="preserve">75/2013), które zgłasza się we wzorze ryzyka korekty wyceny kredytowej. </w:t>
      </w:r>
    </w:p>
    <w:p w14:paraId="7DA5FF3B" w14:textId="475CCF46" w:rsidR="00595FAD" w:rsidRPr="002A677E" w:rsidRDefault="0043455E" w:rsidP="00487A02">
      <w:pPr>
        <w:pStyle w:val="InstructionsText2"/>
        <w:numPr>
          <w:ilvl w:val="0"/>
          <w:numId w:val="0"/>
        </w:numPr>
        <w:ind w:left="1353" w:hanging="360"/>
      </w:pPr>
      <w:fldSimple w:instr=" seq paragraphs ">
        <w:r w:rsidR="008F3052">
          <w:t>121</w:t>
        </w:r>
      </w:fldSimple>
      <w:r w:rsidR="008F3052">
        <w:t xml:space="preserve">. Ekspozycje na ryzyko kredytowe kontrahenta wobec kontrahentów centralnych (część trzecia tytuł II rozdział 4 i rozdział 6 sekcja 9 rozporządzenia (UE) </w:t>
      </w:r>
      <w:r w:rsidR="008F3052" w:rsidRPr="0043455E">
        <w:t>nr</w:t>
      </w:r>
      <w:r w:rsidRPr="0043455E">
        <w:t> </w:t>
      </w:r>
      <w:r w:rsidR="008F3052" w:rsidRPr="0043455E">
        <w:t>5</w:t>
      </w:r>
      <w:r w:rsidR="008F3052">
        <w:t xml:space="preserve">75/2013) należy uwzględnić w danych liczbowych dotyczących CCR, chyba że określono inaczej. Składek na rzecz funduszu na wypadek niewykonania zobowiązania obliczonych zgodnie z art. 307–310 rozporządzenia (UE) </w:t>
      </w:r>
      <w:r w:rsidR="008F3052" w:rsidRPr="0043455E">
        <w:t>nr</w:t>
      </w:r>
      <w:r w:rsidRPr="0043455E">
        <w:t> </w:t>
      </w:r>
      <w:r w:rsidR="008F3052" w:rsidRPr="0043455E">
        <w:t>5</w:t>
      </w:r>
      <w:r w:rsidR="008F3052">
        <w:t>75/2013 nie ujmuje się jednak we wzorach dotyczących ryzyka kredytowego kontrahenta, z wyjątkiem wzoru C 34.10, w szczególności w odpowiednich wierszach. Ogólnie rzecz biorąc, kwoty ekspozycji ważonych ryzykiem w przypadku składek na rzecz funduszu na wypadek niewykonania zobowiązania zgłasza się bezpośrednio w wierszu 0460 we wzorze C 02.00.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16210659"/>
      <w:bookmarkStart w:id="449" w:name="_Toc119064851"/>
      <w:r>
        <w:rPr>
          <w:rFonts w:ascii="Times New Roman" w:hAnsi="Times New Roman"/>
          <w:sz w:val="24"/>
        </w:rPr>
        <w:lastRenderedPageBreak/>
        <w:t>C 34.01 – Wielkość działalności dotyczącej instrumentów pochodnych</w:t>
      </w:r>
      <w:bookmarkEnd w:id="447"/>
      <w:bookmarkEnd w:id="449"/>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119064852"/>
      <w:r>
        <w:rPr>
          <w:rFonts w:ascii="Times New Roman" w:hAnsi="Times New Roman"/>
          <w:sz w:val="24"/>
        </w:rPr>
        <w:t>Uwagi ogólne</w:t>
      </w:r>
      <w:bookmarkEnd w:id="448"/>
      <w:bookmarkEnd w:id="450"/>
      <w:bookmarkEnd w:id="451"/>
    </w:p>
    <w:p w14:paraId="1634EA16" w14:textId="20CAE8A4" w:rsidR="00595FAD" w:rsidRPr="002A677E" w:rsidRDefault="0043455E" w:rsidP="00487A02">
      <w:pPr>
        <w:pStyle w:val="InstructionsText2"/>
        <w:numPr>
          <w:ilvl w:val="0"/>
          <w:numId w:val="0"/>
        </w:numPr>
        <w:ind w:left="1353" w:hanging="360"/>
      </w:pPr>
      <w:fldSimple w:instr=" seq paragraphs ">
        <w:r w:rsidR="008F3052">
          <w:t>122</w:t>
        </w:r>
      </w:fldSimple>
      <w:r w:rsidR="008F3052">
        <w:t xml:space="preserve">. Zgodnie z art. 273a rozporządzenia (UE) </w:t>
      </w:r>
      <w:r w:rsidR="008F3052" w:rsidRPr="0043455E">
        <w:t>nr</w:t>
      </w:r>
      <w:r w:rsidRPr="0043455E">
        <w:t> </w:t>
      </w:r>
      <w:r w:rsidR="008F3052" w:rsidRPr="0043455E">
        <w:t>5</w:t>
      </w:r>
      <w:r w:rsidR="008F3052">
        <w:t xml:space="preserve">75/2013 instytucja może obliczyć wartość ekspozycji dla swoich pozycji w instrumentach pochodnych zgodnie z metodą określoną w części trzeciej tytuł II rozdział 6 sekcje 4 </w:t>
      </w:r>
      <w:r w:rsidR="008F3052" w:rsidRPr="0043455E">
        <w:t>lub</w:t>
      </w:r>
      <w:r w:rsidRPr="0043455E">
        <w:t> </w:t>
      </w:r>
      <w:r w:rsidR="008F3052" w:rsidRPr="0043455E">
        <w:t>5</w:t>
      </w:r>
      <w:r w:rsidR="008F3052">
        <w:t xml:space="preserve"> rozporządzenia (UE) </w:t>
      </w:r>
      <w:r w:rsidR="008F3052" w:rsidRPr="0043455E">
        <w:t>nr</w:t>
      </w:r>
      <w:r w:rsidRPr="0043455E">
        <w:t> </w:t>
      </w:r>
      <w:r w:rsidR="008F3052" w:rsidRPr="0043455E">
        <w:t>5</w:t>
      </w:r>
      <w:r w:rsidR="008F3052">
        <w:t>75/2013, pod warunkiem że wielkość prowadzonej przez nią działalności dotyczącej, odpowiednio, bilansowych i pozabilansowych instrumentów pochodnych nie przekracza zdefiniowanych wcześniej progów. Odpowiednią ocenę przeprowadza się co miesiąc na podstawie danych z ostatniego dnia miesiąca. Wzór ten zawiera informacje na temat przestrzegania tych progów oraz, bardziej ogólnie, ważne informacje na temat wielkości działalności dotyczącej instrumentów pochodnych.</w:t>
      </w:r>
    </w:p>
    <w:p w14:paraId="07050E36" w14:textId="26C70639" w:rsidR="00595FAD" w:rsidRPr="002A677E" w:rsidRDefault="0043455E" w:rsidP="00487A02">
      <w:pPr>
        <w:pStyle w:val="InstructionsText2"/>
        <w:numPr>
          <w:ilvl w:val="0"/>
          <w:numId w:val="0"/>
        </w:numPr>
        <w:ind w:left="1353" w:hanging="360"/>
      </w:pPr>
      <w:fldSimple w:instr=" seq paragraphs ">
        <w:r w:rsidR="008F3052">
          <w:t>123</w:t>
        </w:r>
      </w:fldSimple>
      <w:r w:rsidR="008F3052">
        <w:t>. Miesiąc 1, miesiąc 2 i miesiąc 3 odnoszą się odpowiednio do pierwszego, drugiego i ostatniego miesiąca kwartału, którego dotyczy sprawozdanie. Informacje zgłasza się wyłącznie według stanu na koniec miesiąca po dniu 28 czerwca 20</w:t>
      </w:r>
      <w:r w:rsidR="008F3052" w:rsidRPr="0043455E">
        <w:t>21</w:t>
      </w:r>
      <w:r w:rsidRPr="0043455E">
        <w:t> </w:t>
      </w:r>
      <w:r w:rsidR="008F3052" w:rsidRPr="0043455E">
        <w:t>r.</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119064853"/>
      <w:r>
        <w:rPr>
          <w:rFonts w:ascii="Times New Roman" w:hAnsi="Times New Roman"/>
          <w:sz w:val="24"/>
        </w:rPr>
        <w:t>Instrukcje dotyczące poszczególnych pozycji</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Kolumny</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POZYCJE DŁUGIE W INSTRUMENTACH POCHODNYCH</w:t>
            </w:r>
          </w:p>
          <w:p w14:paraId="0BA1473A" w14:textId="49953E03"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 273a </w:t>
            </w:r>
            <w:r w:rsidRPr="0043455E">
              <w:rPr>
                <w:rStyle w:val="InstructionsTabelleberschrift"/>
                <w:rFonts w:ascii="Times New Roman" w:hAnsi="Times New Roman"/>
                <w:sz w:val="24"/>
              </w:rPr>
              <w:t>ust.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3</w:t>
            </w:r>
            <w:r>
              <w:rPr>
                <w:rStyle w:val="InstructionsTabelleberschrift"/>
                <w:rFonts w:ascii="Times New Roman" w:hAnsi="Times New Roman"/>
                <w:sz w:val="24"/>
              </w:rPr>
              <w:t xml:space="preserve">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Należy podać sumę bezwzględnych wartości rynkowych pozycji długich w instrumentach pochodnych na ostatni dzień miesiąca.</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POZYCJE KRÓTKIE W INSTRUMENTACH POCHODNYCH</w:t>
            </w:r>
          </w:p>
          <w:p w14:paraId="0EA49292" w14:textId="59F49446"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 273a </w:t>
            </w:r>
            <w:r w:rsidRPr="0043455E">
              <w:rPr>
                <w:rStyle w:val="InstructionsTabelleberschrift"/>
                <w:rFonts w:ascii="Times New Roman" w:hAnsi="Times New Roman"/>
                <w:sz w:val="24"/>
              </w:rPr>
              <w:t>ust.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3</w:t>
            </w:r>
            <w:r>
              <w:rPr>
                <w:rStyle w:val="InstructionsTabelleberschrift"/>
                <w:rFonts w:ascii="Times New Roman" w:hAnsi="Times New Roman"/>
                <w:sz w:val="24"/>
              </w:rPr>
              <w:t xml:space="preserve"> rozporządzenia (UE) </w:t>
            </w:r>
            <w:r w:rsidRPr="0043455E">
              <w:rPr>
                <w:rStyle w:val="InstructionsTabelleberschrift"/>
                <w:rFonts w:ascii="Times New Roman" w:hAnsi="Times New Roman"/>
                <w:sz w:val="24"/>
              </w:rPr>
              <w:t>nr</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5</w:t>
            </w:r>
            <w:r>
              <w:rPr>
                <w:rStyle w:val="InstructionsTabelleberschrift"/>
                <w:rFonts w:ascii="Times New Roman" w:hAnsi="Times New Roman"/>
                <w:sz w:val="24"/>
              </w:rPr>
              <w:t>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Należy podać sumę bezwzględnych wartości rynkowych pozycji krótkich w instrumentach pochodnych na ostatni dzień miesiąca.</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RAZEM</w:t>
            </w:r>
          </w:p>
          <w:p w14:paraId="24A5169F" w14:textId="4CE65923"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273a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Suma wartości bezwzględnej pozycji długich w instrumentach pochodnych i wartości bezwzględnej pozycji krótkich w instrumentach pochodnych.</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Wiersze</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Wielkość działalności dotyczącej instrumentów pochodnych</w:t>
            </w:r>
          </w:p>
          <w:p w14:paraId="1B0B6D13" w14:textId="495A2BD6"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Art. 273a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Uwzględnia się wszystkie bilansowe i pozabilansowe instrumenty pochodne oprócz kredytowych instrumentów pochodnych, które uznaje się za wewnętrzne instrumenty zabezpieczające przed ekspozycjami na ryzyko kredytowe zaliczonymi do portfela bankowego.</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Bilansowe i pozabilansowe instrumenty pochodne</w:t>
            </w:r>
          </w:p>
          <w:p w14:paraId="4AAF371E" w14:textId="5B60B5B9"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273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 i 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Należy podać łączną wartość rynkową bilansowych i pozabilansowych pozycji w instrumentach pochodnych na ostatni dzień miesiąca.</w:t>
            </w:r>
            <w:r>
              <w:rPr>
                <w:rFonts w:ascii="Times New Roman" w:hAnsi="Times New Roman"/>
                <w:sz w:val="24"/>
              </w:rPr>
              <w:t xml:space="preserve"> Jeżeli wartość rynkowa pozycji nie jest dostępna w tym dniu, instytucje stosują wartość godziwą dla tej pozycji w danym dniu; w przypadku gdy wartość rynkowa i wartość godziwa pozycji nie są dostępne w tym dniu, instytucje stosują ostatnią dostępną wartość rynkową lub ostatnią dostępną wartość godziwą dla tej pozycji.</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Kredytowe instrumenty pochodne, które uznaje się za wewnętrzne instrumenty zabezpieczające przed ekspozycjami na ryzyko kredytowe zaliczonymi do portfela bankowego</w:t>
            </w:r>
          </w:p>
          <w:p w14:paraId="6E790CFD" w14:textId="294D13C4"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273a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43455E">
              <w:rPr>
                <w:rStyle w:val="InstructionsTabelleberschrift"/>
                <w:rFonts w:ascii="Times New Roman" w:hAnsi="Times New Roman"/>
                <w:b w:val="0"/>
                <w:sz w:val="24"/>
                <w:u w:val="none"/>
              </w:rPr>
              <w:t>lit.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Łączna wartość rynkowa kredytowych instrumentów pochodnych uznawanych za wewnętrzne instrumenty zabezpieczające przed ekspozycjami na ryzyko kredytowe zaliczonymi portfela bankowego.</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Całkowite aktywa</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Całkowite aktywa zgodnie z mającymi zastosowanie standardami rachunkowości.</w:t>
            </w:r>
          </w:p>
          <w:p w14:paraId="58E58DA9" w14:textId="3D43F03E"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W przypadku sprawozdawczości skonsolidowanej instytucja zgłasza całkowite aktywa z zastosowaniem zakresu konsolidacji ostrożnościowej zgodnie z częścią pierwszą tytuł II rozdział 2 sekcja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 całkowitych aktywów</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Stosunek, który oblicza się dzieląc wielkość działalności dotyczącej instrumentów pochodnych (wiersz 0010) przez całkowite aktywa (wiersz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ODSTĘPSTWO ZGODNIE Z ART. 273a UST. 4 </w:t>
            </w:r>
            <w:r>
              <w:rPr>
                <w:rFonts w:ascii="Times New Roman" w:hAnsi="Times New Roman"/>
                <w:b/>
                <w:sz w:val="24"/>
                <w:u w:val="single"/>
              </w:rPr>
              <w:t xml:space="preserve">ROZPORZĄDZENIA (UE) NR </w:t>
            </w:r>
            <w:r>
              <w:rPr>
                <w:rFonts w:ascii="Times New Roman" w:hAnsi="Times New Roman"/>
                <w:b/>
                <w:sz w:val="24"/>
              </w:rPr>
              <w:t>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51F87C53"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Czy spełniono warunki określone w </w:t>
            </w:r>
            <w:r w:rsidRPr="0043455E">
              <w:rPr>
                <w:rStyle w:val="InstructionsTabelleberschrift"/>
                <w:rFonts w:ascii="Times New Roman" w:hAnsi="Times New Roman"/>
                <w:sz w:val="24"/>
              </w:rPr>
              <w:t>art.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2</w:t>
            </w:r>
            <w:r>
              <w:rPr>
                <w:rStyle w:val="InstructionsTabelleberschrift"/>
                <w:rFonts w:ascii="Times New Roman" w:hAnsi="Times New Roman"/>
                <w:sz w:val="24"/>
              </w:rPr>
              <w:t xml:space="preserve">73a </w:t>
            </w:r>
            <w:r w:rsidRPr="0043455E">
              <w:rPr>
                <w:rStyle w:val="InstructionsTabelleberschrift"/>
                <w:rFonts w:ascii="Times New Roman" w:hAnsi="Times New Roman"/>
                <w:sz w:val="24"/>
              </w:rPr>
              <w:t>ust.</w:t>
            </w:r>
            <w:r w:rsidR="0043455E" w:rsidRPr="0043455E">
              <w:rPr>
                <w:rStyle w:val="InstructionsTabelleberschrift"/>
                <w:rFonts w:ascii="Times New Roman" w:hAnsi="Times New Roman"/>
                <w:sz w:val="24"/>
              </w:rPr>
              <w:t> </w:t>
            </w:r>
            <w:r w:rsidRPr="0043455E">
              <w:rPr>
                <w:rStyle w:val="InstructionsTabelleberschrift"/>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sz w:val="24"/>
              </w:rPr>
              <w:t>włącznie z uzyskaniem zgody właściwego organu?</w:t>
            </w:r>
          </w:p>
          <w:p w14:paraId="4520D45D" w14:textId="279F158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273a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77FD8A4" w14:textId="78C6DF0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które przekraczają progi umożliwiające stosowanie uproszczonej metody w odniesieniu do ryzyka kredytowego kontrahenta, ale które nadal stosują jedną z nich na podstawie art. 273a ust. 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b w:val="0"/>
                <w:sz w:val="24"/>
                <w:u w:val="none"/>
              </w:rPr>
              <w:t>wskazują (zaznaczając Tak/Nie), czy spełniają wszystkie warunki zawarte w tym artykule.</w:t>
            </w:r>
          </w:p>
          <w:p w14:paraId="1EA6D1CA" w14:textId="02851AD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lastRenderedPageBreak/>
              <w:t>Pozycja ta jest zgłaszana wyłącznie przez instytucje stosujące odstępstwo zgodnie z art. 273a</w:t>
            </w:r>
            <w:r>
              <w:rPr>
                <w:rFonts w:ascii="Times New Roman" w:hAnsi="Times New Roman"/>
                <w:sz w:val="24"/>
              </w:rPr>
              <w:t xml:space="preserve">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obliczania wartości ekspozycji na poziomie skonsolidowanym</w:t>
            </w:r>
          </w:p>
          <w:p w14:paraId="6F2748DF" w14:textId="2AA7C99C"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273a </w:t>
            </w:r>
            <w:r w:rsidRPr="0043455E">
              <w:rPr>
                <w:rStyle w:val="InstructionsTabelleberschrift"/>
                <w:rFonts w:ascii="Times New Roman" w:hAnsi="Times New Roman"/>
                <w:b w:val="0"/>
                <w:sz w:val="24"/>
                <w:u w:val="none"/>
              </w:rPr>
              <w:t>ust.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12381BC" w14:textId="29B1712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Metoda obliczania wartości ekspozycji dla pozycji w instrumentach pochodnych w ujęciu skonsolidowanym, którą stosuje się również na poziomie pojedynczego podmiotu zgodnie z art. 273a ust. 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wyceny pierwotnej ekspozycji</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uproszczona metoda standardowa dotycząca CCR: uproszczona metoda standardowa dotycząca ryzyka kredytowego kontrahenta </w:t>
            </w:r>
          </w:p>
          <w:p w14:paraId="09C704BF" w14:textId="506ABDF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Pozycja ta jest zgłaszana wyłącznie przez instytucje stosujące odstępstwo zgodnie z art. 273a</w:t>
            </w:r>
            <w:r>
              <w:rPr>
                <w:rFonts w:ascii="Times New Roman" w:hAnsi="Times New Roman"/>
                <w:sz w:val="24"/>
              </w:rPr>
              <w:t xml:space="preserve">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119064854"/>
      <w:r>
        <w:rPr>
          <w:rFonts w:ascii="Times New Roman" w:hAnsi="Times New Roman"/>
          <w:sz w:val="24"/>
        </w:rPr>
        <w:t>C 34.02 - Ekspozycje na ryzyko kredytowe kontrahenta według metod</w:t>
      </w:r>
      <w:bookmarkEnd w:id="455"/>
      <w:bookmarkEnd w:id="456"/>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119064855"/>
      <w:r>
        <w:rPr>
          <w:rFonts w:ascii="Times New Roman" w:hAnsi="Times New Roman"/>
          <w:sz w:val="24"/>
        </w:rPr>
        <w:t>Uwagi ogólne</w:t>
      </w:r>
      <w:bookmarkEnd w:id="457"/>
      <w:bookmarkEnd w:id="458"/>
    </w:p>
    <w:p w14:paraId="3C9ADBCC" w14:textId="77777777" w:rsidR="00595FAD" w:rsidRPr="002A677E" w:rsidRDefault="0043455E" w:rsidP="00487A02">
      <w:pPr>
        <w:pStyle w:val="InstructionsText2"/>
        <w:numPr>
          <w:ilvl w:val="0"/>
          <w:numId w:val="0"/>
        </w:numPr>
        <w:ind w:left="1353" w:hanging="360"/>
      </w:pPr>
      <w:fldSimple w:instr=" seq paragraphs ">
        <w:r w:rsidR="008F3052">
          <w:t>124</w:t>
        </w:r>
      </w:fldSimple>
      <w:r w:rsidR="008F3052">
        <w:t>. Instytucje zgłaszają wzór oddzielnie dla wszystkich ekspozycja na ryzyko kredytowe kontrahenta i dla wszystkich ekspozycji na ryzyko kredytowe kontrahenta z wyłączeniem ekspozycji wobec kontrahentów centralnych (CCP), zdefiniowanych na potrzeby wzoru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119064856"/>
      <w:r>
        <w:rPr>
          <w:rFonts w:ascii="Times New Roman" w:hAnsi="Times New Roman"/>
          <w:sz w:val="24"/>
        </w:rPr>
        <w:t>Instrukcje dotyczące poszczególnych pozycji</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Kolumny</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LICZBA KONTRAHENTÓW</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Liczba pojedynczych kontrahentów, wobec których instytucja posiada ekspozycje na ryzyko kredytowe kontrahenta.</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LICZBA TRANSAKCJI</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 xml:space="preserve">Liczba transakcji podlegających ryzyku kredytowemu kontrahenta na dzień sprawozdawczy. Należy zwrócić uwagę, że w przypadku transakcji z kontrahentami centralnymi liczba transakcji nie powinna uwzględniać wpływów ani wypływów, lecz całość pozycji w portfelu ekspozycji na ryzyko kredytowe kontrahenta na dzień sprawozdawczy. Ponadto instrument pochodny lub transakcję finansowaną z użyciem papierów wartościowych, które do celów </w:t>
            </w:r>
            <w:r>
              <w:rPr>
                <w:rFonts w:ascii="Times New Roman" w:hAnsi="Times New Roman"/>
                <w:sz w:val="24"/>
              </w:rPr>
              <w:lastRenderedPageBreak/>
              <w:t>związanych z modelowaniem podzielono na co najmniej dwa składniki, nadal uznaje się za jedną transakcję.</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KWOTY REFERENCYJNE</w:t>
            </w:r>
          </w:p>
          <w:p w14:paraId="0B46A207" w14:textId="76F5952C"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Suma kwot referencyjnych dla instrumentów pochodnych i transakcji finansowanych z użyciem papierów wartościowych przed kompensowaniem i bez żadnych korekt zgodnie z art. 279b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WARTOŚĆ RYNKOWA (CMV), DODATNIA</w:t>
            </w:r>
          </w:p>
          <w:p w14:paraId="79360CA5" w14:textId="14566C2D"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9900CC8" w14:textId="0978F659"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Suma bieżących wartości rynkowych wszystkich pakietów kompensowania z dodatnią bieżącą wartością rynkową w rozumieniu art. 272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WARTOŚĆ RYNKOWA (CMV), UJEMNA</w:t>
            </w:r>
          </w:p>
          <w:p w14:paraId="210EBD30" w14:textId="016993EB"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D7CA4B1" w14:textId="385F3BB0"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Suma bezwzględnych bieżących wartości rynkowych wszystkich pakietów kompensowania z ujemną bieżącą wartością rynkową w rozumieniu art. 272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OTRZYMANY ZMIENNY DEPOZYT ZABEZPIECZAJĄCY (VM)</w:t>
            </w:r>
          </w:p>
          <w:p w14:paraId="015D10EA" w14:textId="613A6BB4"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275 ust. 2, art. 275 ust. 3 i art. 276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A5EA232" w14:textId="332E9FE5"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Suma kwot zmiennego depozytu zabezpieczającego (VM) dla wszystkich umów o dostarczeniu zabezpieczenia, dla których otrzymuje się VM, obliczona zgodnie z art. 276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WNIESIONY ZMIENNY DEPOZYT ZABEZPIECZAJĄCY (VM)</w:t>
            </w:r>
          </w:p>
          <w:p w14:paraId="3F504C92" w14:textId="3465DF0D"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275 ust. 2, art. 275 ust. 3 i art. 276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6964A72" w14:textId="5847C893"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 xml:space="preserve">Suma kwot zmiennego depozytu zabezpieczającego (VM) dla wszystkich umów o dostarczeniu zabezpieczenia, dla których wnosi się VM, obliczona zgodnie z art. 276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OTRZYMANA WARTOŚĆ NIEZALEŻNEGO ZABEZPIECZENIA NETTO (NICA) </w:t>
            </w:r>
          </w:p>
          <w:p w14:paraId="165A1C24" w14:textId="2E287ECC"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272 ust. 12a, art. 275 ust. 3 i art. 276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9F63CEA" w14:textId="0D4BAFC0"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Suma wartości niezależnego zabezpieczenia netto (NICA) dla wszystkich umów o dostarczeniu zabezpieczenia, dla których otrzymuje się NICA, obliczona zgodnie z art. 276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WNIESIONA WARTOŚĆ NIEZALEŻNEGO ZABEZPIECZENIA NETTO (NICA) </w:t>
            </w:r>
          </w:p>
          <w:p w14:paraId="6CA198FD" w14:textId="03F81085"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272 ust. 12a, art. 275 ust. 3 i art. 276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E770C03" w14:textId="007D3F0B"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Suma wartości niezależnego zabezpieczenia netto (NICA) dla wszystkich umów o dostarczeniu zabezpieczenia, dla których wnosi się NICA, obliczona zgodnie z art. 276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KOSZT ODTWORZENIA (RC) </w:t>
            </w:r>
          </w:p>
          <w:p w14:paraId="4518A585" w14:textId="68B89E68"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Art. 275, 281 i 282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Koszt odtworzenia (RC) pakietu kompensowania oblicza się zgodnie z następującymi wymogami: </w:t>
            </w:r>
          </w:p>
          <w:p w14:paraId="61547F83" w14:textId="19752DEC" w:rsidR="00595FAD" w:rsidRPr="002A677E" w:rsidRDefault="00595FAD" w:rsidP="00FF15C6">
            <w:pPr>
              <w:spacing w:before="60"/>
              <w:rPr>
                <w:rFonts w:ascii="Times New Roman" w:hAnsi="Times New Roman"/>
                <w:sz w:val="24"/>
              </w:rPr>
            </w:pPr>
            <w:r>
              <w:rPr>
                <w:rFonts w:ascii="Times New Roman" w:hAnsi="Times New Roman"/>
                <w:sz w:val="24"/>
              </w:rPr>
              <w:t xml:space="preserve">– art. 282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przypadku metody wyceny pierwotnej ekspozycji, </w:t>
            </w:r>
          </w:p>
          <w:p w14:paraId="01ACA879" w14:textId="308C8851" w:rsidR="00595FAD" w:rsidRPr="002A677E" w:rsidRDefault="00595FAD" w:rsidP="00FF15C6">
            <w:pPr>
              <w:spacing w:before="60"/>
              <w:rPr>
                <w:rFonts w:ascii="Times New Roman" w:hAnsi="Times New Roman"/>
                <w:sz w:val="24"/>
              </w:rPr>
            </w:pPr>
            <w:r>
              <w:rPr>
                <w:rFonts w:ascii="Times New Roman" w:hAnsi="Times New Roman"/>
                <w:sz w:val="24"/>
              </w:rPr>
              <w:t xml:space="preserve">– art. 281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przypadku metody standardowej dotyczącej ryzyka kredytowego kontrahenta,</w:t>
            </w:r>
          </w:p>
          <w:p w14:paraId="57C7E24D" w14:textId="7CB1B351" w:rsidR="00595FAD" w:rsidRPr="002A677E" w:rsidRDefault="00595FAD" w:rsidP="00FF15C6">
            <w:pPr>
              <w:spacing w:before="60"/>
              <w:rPr>
                <w:rFonts w:ascii="Times New Roman" w:hAnsi="Times New Roman"/>
                <w:sz w:val="24"/>
              </w:rPr>
            </w:pPr>
            <w:r>
              <w:rPr>
                <w:rFonts w:ascii="Times New Roman" w:hAnsi="Times New Roman"/>
                <w:sz w:val="24"/>
              </w:rPr>
              <w:t xml:space="preserve">– art. 275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przypadku metody standardowej dotyczącej 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Instytucja zgłasza sumę wszystkich kosztów odtworzenia pakietów kompensowania w odpowiednim wierszu.</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POTENCJALNA PRZYSZŁA EKSPOZYCJA (PFE)</w:t>
            </w:r>
          </w:p>
          <w:p w14:paraId="6EEEA3EF" w14:textId="5164F3FE"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Art. 278, 281 i 282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Potencjalną przyszłą ekspozycję (PFE) pakietu kompensowania oblicza się zgodnie z następującymi wymogami: </w:t>
            </w:r>
          </w:p>
          <w:p w14:paraId="1ACD7C9C" w14:textId="4BCFEAD9" w:rsidR="00595FAD" w:rsidRPr="002A677E" w:rsidRDefault="00595FAD" w:rsidP="00FF15C6">
            <w:pPr>
              <w:spacing w:before="60"/>
              <w:rPr>
                <w:rFonts w:ascii="Times New Roman" w:hAnsi="Times New Roman"/>
                <w:sz w:val="24"/>
              </w:rPr>
            </w:pPr>
            <w:r>
              <w:rPr>
                <w:rFonts w:ascii="Times New Roman" w:hAnsi="Times New Roman"/>
                <w:sz w:val="24"/>
              </w:rPr>
              <w:t xml:space="preserve">– art. 282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przypadku metody wyceny pierwotnej ekspozycji, </w:t>
            </w:r>
          </w:p>
          <w:p w14:paraId="58322B29" w14:textId="53684EB7" w:rsidR="00595FAD" w:rsidRPr="002A677E" w:rsidRDefault="00595FAD" w:rsidP="00FF15C6">
            <w:pPr>
              <w:spacing w:before="60"/>
              <w:rPr>
                <w:rFonts w:ascii="Times New Roman" w:hAnsi="Times New Roman"/>
                <w:sz w:val="24"/>
              </w:rPr>
            </w:pPr>
            <w:r>
              <w:rPr>
                <w:rFonts w:ascii="Times New Roman" w:hAnsi="Times New Roman"/>
                <w:sz w:val="24"/>
              </w:rPr>
              <w:t xml:space="preserve">– art. 281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przypadku metody standardowej dotyczącej ryzyka kredytowego kontrahenta,</w:t>
            </w:r>
          </w:p>
          <w:p w14:paraId="17AEB078" w14:textId="247174C4" w:rsidR="00595FAD" w:rsidRPr="002A677E" w:rsidRDefault="00595FAD" w:rsidP="00FF15C6">
            <w:pPr>
              <w:spacing w:before="60"/>
              <w:rPr>
                <w:rFonts w:ascii="Times New Roman" w:hAnsi="Times New Roman"/>
                <w:sz w:val="24"/>
              </w:rPr>
            </w:pPr>
            <w:r>
              <w:rPr>
                <w:rFonts w:ascii="Times New Roman" w:hAnsi="Times New Roman"/>
                <w:sz w:val="24"/>
              </w:rPr>
              <w:t xml:space="preserve">– art. 278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przypadku metody standardowej dotyczącej 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Instytucja zgłasza sumę wszystkich potencjalnych przyszłych ekspozycji pakietów kompensowania w odpowiednim wierszu.</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BIEŻĄCA EKSPOZYCJA</w:t>
            </w:r>
          </w:p>
          <w:p w14:paraId="2B7F62AA" w14:textId="466CC52F" w:rsidR="00595FAD" w:rsidRPr="002A677E" w:rsidRDefault="00595FAD" w:rsidP="00FF15C6">
            <w:pPr>
              <w:spacing w:before="60"/>
              <w:rPr>
                <w:rFonts w:ascii="Times New Roman" w:hAnsi="Times New Roman"/>
                <w:sz w:val="24"/>
              </w:rPr>
            </w:pPr>
            <w:r>
              <w:rPr>
                <w:rFonts w:ascii="Times New Roman" w:hAnsi="Times New Roman"/>
                <w:sz w:val="24"/>
              </w:rPr>
              <w:t xml:space="preserve">Art. 272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0F8D638" w14:textId="202DD462" w:rsidR="00595FAD" w:rsidRPr="002A677E" w:rsidRDefault="00595FAD" w:rsidP="00FF15C6">
            <w:pPr>
              <w:spacing w:before="60"/>
              <w:rPr>
                <w:rFonts w:ascii="Times New Roman" w:hAnsi="Times New Roman"/>
                <w:sz w:val="24"/>
              </w:rPr>
            </w:pPr>
            <w:r>
              <w:rPr>
                <w:rFonts w:ascii="Times New Roman" w:hAnsi="Times New Roman"/>
                <w:sz w:val="24"/>
              </w:rPr>
              <w:t xml:space="preserve">Bieżąca ekspozycja z tytułu każdego pakietu kompensowania jest wartością określoną zgodnie z art. 272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Instytucja zgłasza sumę wszystkich bieżących ekspozycji pakietów kompensowania w odpowiednim wierszu.</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EFEKTYWNA DODATNIA EKSPOZYCJA OCZEKIWANA (EFEKTYWNA EPE)</w:t>
            </w:r>
          </w:p>
          <w:p w14:paraId="2AEF26BB" w14:textId="4A4E1AC6"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Art. 272 pkt 22, art. 284 ust. 3 i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3ADAC33" w14:textId="0401E25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 xml:space="preserve">Efektywną EPE pakietu kompensowania zdefiniowano w art. 272 </w:t>
            </w:r>
            <w:r w:rsidRPr="0043455E">
              <w:rPr>
                <w:rFonts w:ascii="Times New Roman" w:hAnsi="Times New Roman"/>
                <w:color w:val="auto"/>
              </w:rPr>
              <w:t>pkt</w:t>
            </w:r>
            <w:r w:rsidR="0043455E" w:rsidRPr="0043455E">
              <w:rPr>
                <w:rFonts w:ascii="Times New Roman" w:hAnsi="Times New Roman"/>
                <w:color w:val="auto"/>
              </w:rPr>
              <w:t> </w:t>
            </w:r>
            <w:r w:rsidRPr="0043455E">
              <w:rPr>
                <w:rFonts w:ascii="Times New Roman" w:hAnsi="Times New Roman"/>
                <w:color w:val="auto"/>
              </w:rPr>
              <w:t>2</w:t>
            </w:r>
            <w:r>
              <w:rPr>
                <w:rFonts w:ascii="Times New Roman" w:hAnsi="Times New Roman"/>
                <w:color w:val="auto"/>
              </w:rPr>
              <w:t xml:space="preserve">2 rozporządzenia (UE) </w:t>
            </w:r>
            <w:r w:rsidRPr="0043455E">
              <w:rPr>
                <w:rFonts w:ascii="Times New Roman" w:hAnsi="Times New Roman"/>
                <w:color w:val="auto"/>
              </w:rPr>
              <w:t>nr</w:t>
            </w:r>
            <w:r w:rsidR="0043455E" w:rsidRPr="0043455E">
              <w:rPr>
                <w:rFonts w:ascii="Times New Roman" w:hAnsi="Times New Roman"/>
                <w:color w:val="auto"/>
              </w:rPr>
              <w:t> </w:t>
            </w:r>
            <w:r w:rsidRPr="0043455E">
              <w:rPr>
                <w:rFonts w:ascii="Times New Roman" w:hAnsi="Times New Roman"/>
                <w:color w:val="auto"/>
              </w:rPr>
              <w:t>5</w:t>
            </w:r>
            <w:r>
              <w:rPr>
                <w:rFonts w:ascii="Times New Roman" w:hAnsi="Times New Roman"/>
                <w:color w:val="auto"/>
              </w:rPr>
              <w:t xml:space="preserve">75/2013 i oblicza się ją zgodnie z art. 284 ust. 6 rozporządzenia (UE) </w:t>
            </w:r>
            <w:r w:rsidRPr="0043455E">
              <w:rPr>
                <w:rFonts w:ascii="Times New Roman" w:hAnsi="Times New Roman"/>
                <w:color w:val="auto"/>
              </w:rPr>
              <w:t>nr</w:t>
            </w:r>
            <w:r w:rsidR="0043455E" w:rsidRPr="0043455E">
              <w:rPr>
                <w:rFonts w:ascii="Times New Roman" w:hAnsi="Times New Roman"/>
                <w:color w:val="auto"/>
              </w:rPr>
              <w:t> </w:t>
            </w:r>
            <w:r w:rsidRPr="0043455E">
              <w:rPr>
                <w:rFonts w:ascii="Times New Roman" w:hAnsi="Times New Roman"/>
                <w:color w:val="auto"/>
              </w:rPr>
              <w:t>5</w:t>
            </w:r>
            <w:r>
              <w:rPr>
                <w:rFonts w:ascii="Times New Roman" w:hAnsi="Times New Roman"/>
                <w:color w:val="auto"/>
              </w:rPr>
              <w:t>75/2013.</w:t>
            </w:r>
          </w:p>
          <w:p w14:paraId="28B3F952" w14:textId="07EFB9B9" w:rsidR="00595FAD" w:rsidRPr="002A677E" w:rsidRDefault="00595FAD" w:rsidP="00BC3A29">
            <w:pPr>
              <w:spacing w:before="60"/>
              <w:rPr>
                <w:rFonts w:ascii="Times New Roman" w:eastAsia="Calibri" w:hAnsi="Times New Roman"/>
                <w:sz w:val="24"/>
              </w:rPr>
            </w:pPr>
            <w:r>
              <w:rPr>
                <w:rFonts w:ascii="Times New Roman" w:hAnsi="Times New Roman"/>
                <w:sz w:val="24"/>
              </w:rPr>
              <w:t xml:space="preserve">Instytucja zgłasza sumę wszystkich efektywnych EPE zastosowanych w celu określenia wymogów w zakresie funduszy własnych zgodnie z art. 284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tj. albo efektywną EPE obliczoną na pod</w:t>
            </w:r>
            <w:r>
              <w:rPr>
                <w:rFonts w:ascii="Times New Roman" w:hAnsi="Times New Roman"/>
                <w:sz w:val="24"/>
              </w:rPr>
              <w:lastRenderedPageBreak/>
              <w:t>stawie bieżących danych rynkowych, albo efektywną EPE obliczoną przy zastosowaniu kalibracji dla warunków skrajnych, w zależności od tego, która z tych wartości prowadzi do wyższego wymogu w zakresie funduszy własnych.</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WARTOŚĆ ALFA STOSOWANA DO OBLICZANIA REGULACYJNEJ WARTOŚCI EKSPOZYCJI </w:t>
            </w:r>
          </w:p>
          <w:p w14:paraId="32F3C046" w14:textId="4BC8E7B2" w:rsidR="00595FAD" w:rsidRPr="002A677E" w:rsidRDefault="00595FAD" w:rsidP="00FF15C6">
            <w:pPr>
              <w:spacing w:before="60"/>
              <w:rPr>
                <w:rFonts w:ascii="Times New Roman" w:hAnsi="Times New Roman"/>
                <w:i/>
                <w:sz w:val="24"/>
              </w:rPr>
            </w:pPr>
            <w:r>
              <w:rPr>
                <w:rFonts w:ascii="Times New Roman" w:hAnsi="Times New Roman"/>
                <w:sz w:val="24"/>
              </w:rPr>
              <w:t xml:space="preserve">Art. 274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82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81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84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i 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C241D56" w14:textId="3509E590" w:rsidR="00595FAD" w:rsidRPr="002A677E" w:rsidRDefault="00595FAD" w:rsidP="007172B2">
            <w:pPr>
              <w:spacing w:before="60"/>
              <w:rPr>
                <w:rFonts w:ascii="Times New Roman" w:eastAsia="Calibri" w:hAnsi="Times New Roman"/>
                <w:i/>
                <w:sz w:val="24"/>
              </w:rPr>
            </w:pPr>
            <w:r>
              <w:rPr>
                <w:rFonts w:ascii="Times New Roman" w:hAnsi="Times New Roman"/>
                <w:sz w:val="24"/>
              </w:rPr>
              <w:t xml:space="preserve">Jako wartość α przyjmuje </w:t>
            </w:r>
            <w:r w:rsidRPr="0043455E">
              <w:rPr>
                <w:rFonts w:ascii="Times New Roman" w:hAnsi="Times New Roman"/>
                <w:sz w:val="24"/>
              </w:rPr>
              <w:t>się</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 w wierszach dotyczących metody wyceny pierwotnej ekspozycji, uproszczonej metody standardowej dotyczącej ryzyka kredytowego kontrahenta i metody standardowej dotyczącej ryzyka kredytowego kontrahenta zgodnie z art. 282 ust. 2, art. 281 ust. 1 i art. 274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Do celów IMM wartość α może być wartością domyślną wynoszącą 1,4 albo inną wartością, gdy właściwe organy wymagają wyższej wartości α zgodnie z art. 284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lub zezwalają instytucjom na stosowanie własnych oszacowań zgodnie z art. 284 ust. 9 tego rozporządzenia.</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WARTOŚĆ EKSPOZYCJI PRZED OGRANICZENIEM RYZYKA KREDYTOWEGO </w:t>
            </w:r>
          </w:p>
          <w:p w14:paraId="6B2C35EB" w14:textId="5E99658A"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Wartość ekspozycji przed ograniczeniem ryzyka kredytowego dla pakietów kompensowania ryzyka kredytowego kontrahenta oblicza się zgodnie z metodami określonymi w części trzeciej tytuł II rozdziały 4 i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biorąc pod uwagę skutki kompensowania, lecz pomijając wszelkie inne techniki ograniczania ryzyka kredytowego (np. zabezpieczenie w postaci depozytu zabezpieczającego).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W przypadku transakcji finansowanych z użyciem papierów wartościowych część transakcji obejmująca papiery wartościowe nie jest brana pod uwagę przy ustalaniu wartości ekspozycji przed ograniczeniem ryzyka kredytowego, w przypadku gdy otrzymywane jest zabezpieczenie, i dlatego nie może zmniejszać wartości ekspozycji. Część transakcji obejmującą papiery wartościowe wykorzystywane w ramach transakcji finansowanej z użyciem papierów wartościowych należy natomiast w normalny sposób brać pod uwagę przy ustalaniu wartości ekspozycji przed ograniczeniem ryzyka kredytowego, w przypadku gdy wnoszone jest zabezpieczenie.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Ponadto zabezpieczoną działalność należy traktować jako niezabezpieczoną, tzn. nie mają zastosowania skutki uzupełniania zabezpieczenia. </w:t>
            </w:r>
          </w:p>
          <w:p w14:paraId="2B8CF7B6" w14:textId="5453F8A2" w:rsidR="00595FAD" w:rsidRPr="002A677E" w:rsidRDefault="00595FAD" w:rsidP="00FF15C6">
            <w:pPr>
              <w:spacing w:before="60"/>
              <w:rPr>
                <w:rFonts w:ascii="Times New Roman" w:hAnsi="Times New Roman"/>
                <w:sz w:val="24"/>
              </w:rPr>
            </w:pPr>
            <w:r>
              <w:rPr>
                <w:rFonts w:ascii="Times New Roman" w:hAnsi="Times New Roman"/>
                <w:sz w:val="24"/>
              </w:rPr>
              <w:t xml:space="preserve">Wartość ekspozycji przed ograniczeniem ryzyka kredytowego dla transakcji, w których stwierdzono szczególne ryzyko korelacji, należy określić zgodnie z art. 291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A07BE7B" w14:textId="375E04FB" w:rsidR="00595FAD" w:rsidRPr="002A677E" w:rsidRDefault="00595FAD" w:rsidP="00FF15C6">
            <w:pPr>
              <w:spacing w:before="60"/>
              <w:rPr>
                <w:rFonts w:ascii="Times New Roman" w:hAnsi="Times New Roman"/>
                <w:sz w:val="24"/>
              </w:rPr>
            </w:pPr>
            <w:r>
              <w:rPr>
                <w:rFonts w:ascii="Times New Roman" w:hAnsi="Times New Roman"/>
                <w:sz w:val="24"/>
              </w:rPr>
              <w:t xml:space="preserve">W wartości ekspozycji przed ograniczeniem ryzyka kredytowego nie uwzględnia się odliczenia poniesionej straty z tytułu korekty wyceny kredytowej zgodnie z art. 273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Instytucja zgłasza sumę wszystkich wartości ekspozycji sprzed ograniczenia ryzyka kredytowego w odpowiednim wierszu.</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WARTOŚĆ EKSPOZYCJI PO OGRANICZENIU RYZYKA KREDYTOWEGO </w:t>
            </w:r>
          </w:p>
          <w:p w14:paraId="796EAF43" w14:textId="5700404B"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Wartość ekspozycji po ograniczeniu ryzyka kredytowego dla pakietów kompensowania ryzyka kredytowego kontrahenta oblicza się zgodnie z metodami określonymi w części trzeciej tytuł II rozdziały 4 i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po zastosowaniu technik ograniczenia ryzyka kredytowego stosowanych zgodnie z częścią trzecią tytuł II rozdziały 4 i 6 tego rozporządzenia.</w:t>
            </w:r>
          </w:p>
          <w:p w14:paraId="26468FAF" w14:textId="43B2A3EA" w:rsidR="00595FAD" w:rsidRPr="002A677E" w:rsidRDefault="00595FAD" w:rsidP="00FF15C6">
            <w:pPr>
              <w:spacing w:before="60"/>
              <w:rPr>
                <w:rFonts w:ascii="Times New Roman" w:hAnsi="Times New Roman"/>
                <w:sz w:val="24"/>
              </w:rPr>
            </w:pPr>
            <w:r>
              <w:rPr>
                <w:rFonts w:ascii="Times New Roman" w:hAnsi="Times New Roman"/>
                <w:sz w:val="24"/>
              </w:rPr>
              <w:t xml:space="preserve">Wartość ekspozycji po ograniczeniu ryzyka kredytowego dla transakcji, w których stwierdzono szczególne ryzyko korelacji, należy określić zgodnie z art. 291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C02E73D" w14:textId="40D5DD64" w:rsidR="00595FAD" w:rsidRPr="002A677E" w:rsidRDefault="00595FAD" w:rsidP="00FF15C6">
            <w:pPr>
              <w:spacing w:before="60"/>
              <w:rPr>
                <w:rFonts w:ascii="Times New Roman" w:hAnsi="Times New Roman"/>
                <w:sz w:val="24"/>
              </w:rPr>
            </w:pPr>
            <w:r>
              <w:rPr>
                <w:rFonts w:ascii="Times New Roman" w:hAnsi="Times New Roman"/>
                <w:sz w:val="24"/>
              </w:rPr>
              <w:t xml:space="preserve">W wartości ekspozycji po ograniczeniu ryzyka kredytowego nie uwzględnia się odliczenia poniesionej straty z tytułu korekty wyceny kredytowej zgodnie z art. 273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Instytucja zgłasza sumę wszystkich wartości ekspozycji po ograniczeniu ryzyka kredytowego w odpowiednim wierszu.</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WARTOŚĆ EKSPOZYCJI</w:t>
            </w:r>
          </w:p>
          <w:p w14:paraId="0B56A478" w14:textId="27306D0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Wartość ekspozycji dla pakietów kompensowania ryzyka kredytowego kontrahenta obliczona zgodnie z metodami określonymi w części trzeciej tytuł II rozdziały 4 i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która jest kwotą istotną dla obliczenia kwot ekspozycji ważonych ryzykiem, tj. po zastosowaniu technik ograniczenia ryzyka kredytowego stosowanych zgodnie z częścią trzecią tytuł II rozdziały 4 i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uwzględniając odliczenie poniesionej straty z tytułu korekty wyceny kredytowej zgodnie z art. 273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15F03715" w14:textId="03D748EF" w:rsidR="00595FAD" w:rsidRPr="002A677E" w:rsidRDefault="00595FAD" w:rsidP="00FF15C6">
            <w:pPr>
              <w:rPr>
                <w:rFonts w:ascii="Times New Roman" w:hAnsi="Times New Roman"/>
                <w:sz w:val="24"/>
              </w:rPr>
            </w:pPr>
            <w:r>
              <w:rPr>
                <w:rFonts w:ascii="Times New Roman" w:hAnsi="Times New Roman"/>
                <w:sz w:val="24"/>
              </w:rPr>
              <w:t xml:space="preserve">Wartość ekspozycji dla transakcji, w których stwierdzono szczególne ryzyko korelacji, należy określić zgodnie z art. 291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W przypadkach, w których stosuje się więcej niż jedną metodę obliczania ryzyka kredytowego kontrahenta w odniesieniu do jednego kontrahenta, poniesioną stratę z tytułu korekty wyceny kredytowej, którą odlicza się na poziomie kontrahenta, przypisuje się do wartości ekspozycji poszczególnych pakietów kompensowania w każdej metodzie obliczania ryzyka kredytowego kontrahenta, odzwierciedlając stosunek wartości ekspozycji po ograniczeniu ryzyka kredytowego odpowiednich pakietów kompensowania do całkowitej wartości ekspozycji po ograniczeniu ryzyka kredytowego kontrahenta.</w:t>
            </w:r>
          </w:p>
          <w:p w14:paraId="69695180" w14:textId="77777777" w:rsidR="00595FAD" w:rsidRPr="002A677E" w:rsidRDefault="00595FAD" w:rsidP="00FF15C6">
            <w:r>
              <w:rPr>
                <w:rFonts w:ascii="Times New Roman" w:hAnsi="Times New Roman"/>
                <w:sz w:val="24"/>
              </w:rPr>
              <w:t>Instytucja zgłasza sumę wszystkich wartości ekspozycji w odpowiednim wierszu.</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Pozycje traktowane zgodnie z metodą standardową dotyczącą ryzyka kredytowego</w:t>
            </w:r>
          </w:p>
          <w:p w14:paraId="4A2A1C4A" w14:textId="590A53F7" w:rsidR="00595FAD" w:rsidRPr="002A677E" w:rsidRDefault="00595FAD" w:rsidP="00F02E37">
            <w:pPr>
              <w:spacing w:before="60"/>
              <w:rPr>
                <w:rFonts w:ascii="Times New Roman" w:hAnsi="Times New Roman"/>
                <w:i/>
                <w:sz w:val="24"/>
              </w:rPr>
            </w:pPr>
            <w:r>
              <w:rPr>
                <w:rFonts w:ascii="Times New Roman" w:hAnsi="Times New Roman"/>
                <w:sz w:val="24"/>
              </w:rPr>
              <w:t xml:space="preserve">Wartość ekspozycji dla ryzyka kredytowego kontrahenta dla pozycji, które są traktowane zgodnie z metodą standardową dotyczącą ryzyka kredytowego zgodnie z częścią trzecią tytuł II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lastRenderedPageBreak/>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Pozycje traktowane zgodnie z metodą IRB dotyczącą ryzyka kredytowego</w:t>
            </w:r>
          </w:p>
          <w:p w14:paraId="1C71423D" w14:textId="5B670491" w:rsidR="00595FAD" w:rsidRPr="002A677E" w:rsidRDefault="00595FAD" w:rsidP="00F02E37">
            <w:pPr>
              <w:rPr>
                <w:rFonts w:ascii="Times New Roman" w:hAnsi="Times New Roman"/>
                <w:sz w:val="24"/>
              </w:rPr>
            </w:pPr>
            <w:r>
              <w:rPr>
                <w:rFonts w:ascii="Times New Roman" w:hAnsi="Times New Roman"/>
                <w:sz w:val="24"/>
              </w:rPr>
              <w:t xml:space="preserve">Wartość ekspozycji dla ryzyka kredytowego kontrahenta dla pozycji, które są traktowane zgodnie z metodą IRB dotyczącą ryzyka kredytowego zgodnie z częścią trzecią tytuł II rozdział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KWOTY EKSPOZYCJI WAŻONEJ RYZYKIEM</w:t>
            </w:r>
          </w:p>
          <w:p w14:paraId="3829F8D1" w14:textId="6A21D7B9"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Kwoty ekspozycji ważonych ryzykiem dla ryzyka kredytowego kontrahenta określone w art. 92 ust.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obliczane zgodnie z metodami określonymi w części trzeciej tytuł II rozdziały 2 i 3.</w:t>
            </w:r>
          </w:p>
          <w:p w14:paraId="3D3B43D7" w14:textId="38F907E0" w:rsidR="00595FAD" w:rsidRPr="002A677E" w:rsidRDefault="00595FAD" w:rsidP="003F19BA">
            <w:pPr>
              <w:rPr>
                <w:rFonts w:ascii="Times New Roman" w:hAnsi="Times New Roman"/>
                <w:sz w:val="24"/>
              </w:rPr>
            </w:pPr>
            <w:r>
              <w:rPr>
                <w:rFonts w:ascii="Times New Roman" w:hAnsi="Times New Roman"/>
                <w:sz w:val="24"/>
              </w:rPr>
              <w:t xml:space="preserve">Bierze się pod uwagę współczynniki wsparcia MŚP oraz infrastruktury określone w art. 501 i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Pozycje traktowane zgodnie z metodą standardową dotyczącą ryzyka kredytowego</w:t>
            </w:r>
          </w:p>
          <w:p w14:paraId="371B5529" w14:textId="2CE474E5" w:rsidR="00595FAD" w:rsidRPr="002A677E" w:rsidRDefault="00595FAD" w:rsidP="00FF15C6">
            <w:pPr>
              <w:spacing w:before="60"/>
              <w:rPr>
                <w:rFonts w:ascii="Times New Roman" w:hAnsi="Times New Roman"/>
                <w:sz w:val="24"/>
              </w:rPr>
            </w:pPr>
            <w:r>
              <w:rPr>
                <w:rFonts w:ascii="Times New Roman" w:hAnsi="Times New Roman"/>
                <w:sz w:val="24"/>
              </w:rPr>
              <w:t xml:space="preserve">Kwoty ekspozycji ważonych ryzykiem dla ekspozycji na ryzyko kredytowe kontrahenta, które są traktowane zgodnie z metodą standardową dotyczącą ryzyka kredytowego zgodnie z częścią trzecią tytuł II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Kwota ta odpowiada kwocie, którą należy uwzględnić w kolumnie 0220 wzoru C 07.00 dla pozycji ryzyka kredytowego kontrahenta.</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Pozycje traktowane zgodnie z metodą IRB dotyczącą ryzyka kredytowego</w:t>
            </w:r>
          </w:p>
          <w:p w14:paraId="10F8DAC4" w14:textId="709B775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Kwoty ekspozycji ważonych ryzykiem dla ekspozycji na ryzyko kredytowe kontrahenta, które są traktowane zgodnie z metodą IRB dotyczącą ryzyka kredytowego zgodnie z częścią trzecią tytuł II rozdział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Kwota ta odpowiada kwocie, którą należy uwzględnić w kolumnie 0260 wzoru C 08.01 dla pozycji ryzyka kredytowego kontrahenta.</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Wiersz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METODA WYCENY PIERWOTNEJ EKSPOZYCJI (W ODNIESIENIU DO INSTRUMENTÓW POCHODNYCH) </w:t>
            </w:r>
          </w:p>
          <w:p w14:paraId="3300C734" w14:textId="36B2EF1E"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 xml:space="preserve">Instrumenty pochodne i transakcje z długim terminem rozliczenia, dla których instytucja oblicza wartość ekspozycji zgodnie z częścią trzecią tytuł II rozdział 6 sekcja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Tę uproszczoną metodę obliczania wartości ekspozycji mogą stosować wyłącznie instytucje spełniające warunki określone w art. 273a ust. 2 lub art. 273a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UPROSZCZONA METODA STANDARDOWA DOTYCZĄCA RYZYKA KREDYTOWEGO KONTRAHENTA (W ODNIESIENIU DO INSTRUMENTÓW POCHODNYCH)</w:t>
            </w:r>
          </w:p>
          <w:p w14:paraId="1C5BD740" w14:textId="43A704B0"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 xml:space="preserve">Instrumenty pochodne i transakcje z długim terminem rozliczenia, dla których instytucja oblicza wartość ekspozycji zgodnie z częścią trzecią tytuł II rozdział 6 sekcja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Tę uproszczoną metodę standardową obliczania wartości ekspozycji mogą stosować wyłącznie instytucje spełniające warunki określone w art. 273a ust. 1 lub art. 273a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METODA STANDARDOWA DOTYCZĄCA RYZYKA KREDYTOWEGO KONTRAHENTA (W ODNIESIENIU DO INSTRUMENTÓW POCHODNYCH)</w:t>
            </w:r>
          </w:p>
          <w:p w14:paraId="598AFC1F" w14:textId="32B45FF1"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 xml:space="preserve">Instrumenty pochodne i transakcje z długim terminem rozliczenia, dla których instytucja oblicza wartość ekspozycji zgodnie z częścią trzecią tytuł II rozdział 6 sekcja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METODA MODELI WEWNĘTRZNYCH (W ODNIESIENIU DO INSTRUMENTÓW POCHODNYCH I TRANSAKCJI FINANSOWANYCH Z UŻYCIEM PAPIERÓW WARTOŚCIOWYCH)</w:t>
            </w:r>
          </w:p>
          <w:p w14:paraId="12D47B35" w14:textId="1837C3B2"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 xml:space="preserve">Instrumenty pochodne, transakcje z długim terminem rozliczenia i transakcje finansowane z użyciem papierów wartościowych, dla których instytucji pozwolono na obliczenie wartość ekspozycji z użyciem metody modeli wewnętrznych (IMM) zgodnie z częścią trzecią tytuł II rozdział 6 sekcja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Pakiety kompensowania transakcji finansowanych z użyciem papierów wartościowych</w:t>
            </w:r>
          </w:p>
          <w:p w14:paraId="30F5BD13" w14:textId="56E3916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Pakiety kompensowania zawierające wyłącznie transakcje finansowane z użyciem papierów wartościowych</w:t>
            </w:r>
            <w:r>
              <w:t xml:space="preserve"> </w:t>
            </w:r>
            <w:r>
              <w:rPr>
                <w:rFonts w:ascii="Times New Roman" w:hAnsi="Times New Roman"/>
                <w:sz w:val="24"/>
              </w:rPr>
              <w:t xml:space="preserve">zdefiniowane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dla których instytucji pozwolono na obliczanie wartość ekspozycji z użyciem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W wierszu tym nie zgłasza się transakcji finansowanych z użyciem papierów wartościowych, które uwzględniono w pakiecie kompensowania, dla którego istnieje umowa o kompensowaniu międzyproduktowym, i dlatego zgłoszono je w wierszu 0070.</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Pakiety kompensowania instrumentów pochodnych i transakcji z długim terminem rozliczenia</w:t>
            </w:r>
          </w:p>
          <w:p w14:paraId="29F5D331" w14:textId="6024359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Pakiety kompensowania zawierające wyłącznie instrumenty pochodne wymienione w załączniku II do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oraz transakcje z długim terminem rozliczenia</w:t>
            </w:r>
            <w:r>
              <w:t xml:space="preserve"> </w:t>
            </w:r>
            <w:r>
              <w:rPr>
                <w:rFonts w:ascii="Times New Roman" w:hAnsi="Times New Roman"/>
                <w:sz w:val="24"/>
              </w:rPr>
              <w:t xml:space="preserve">zdefiniowane w art. 272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dla których instytucji pozwolono na obliczenie wartość ekspozycji z użyciem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W wierszu tym nie zgłasza się instrumentów pochodnych oraz transakcji z długim terminem rozliczenia, które uwzględniono w pakiecie kompensowania, dla którego istnieje umowa o kompensowaniu międzyproduktowym, i dlatego zgłoszono je w wierszu 0070.</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Pakiety kompensowania, dla których istnieją umowy o kompensowaniu międzyproduktowym</w:t>
            </w:r>
          </w:p>
          <w:p w14:paraId="3081A4FE" w14:textId="236FBACE" w:rsidR="00595FAD" w:rsidRPr="002A677E" w:rsidRDefault="00595FAD" w:rsidP="00FF15C6">
            <w:pPr>
              <w:rPr>
                <w:rFonts w:ascii="Times New Roman" w:hAnsi="Times New Roman"/>
                <w:sz w:val="24"/>
              </w:rPr>
            </w:pPr>
            <w:r>
              <w:rPr>
                <w:rFonts w:ascii="Times New Roman" w:hAnsi="Times New Roman"/>
                <w:sz w:val="24"/>
              </w:rPr>
              <w:t xml:space="preserve">Art. 272 pkt 11 i 25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8A36A41" w14:textId="5675680B"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Pakiety kompensowania zawierające transakcje dotyczące różnych kategorii produktów (art. 272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tj. instrumenty pochodne i transakcje finansowane z użyciem papierów wartościowych, dla których istnieje umowa o kompensowaniu międzyproduktowym zdefiniowana w art. 272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dla których instytucji pozwolono na obliczanie wartość ekspozycji z użyciem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UPROSZCZONA METODA UJMOWANIA ZABEZPIECZEŃ FINANSOWYCH (W ODNIESIENIU DO TRANSAKCJI FINANSOWANYCH Z UŻYCIEM PAPIERÓW WARTOŚCIOWYCH) </w:t>
            </w:r>
          </w:p>
          <w:p w14:paraId="0173687C" w14:textId="3FAEBDFD" w:rsidR="00595FAD" w:rsidRPr="002A677E" w:rsidRDefault="00595FAD" w:rsidP="00FF15C6">
            <w:pPr>
              <w:rPr>
                <w:rFonts w:ascii="Times New Roman" w:hAnsi="Times New Roman"/>
                <w:sz w:val="24"/>
              </w:rPr>
            </w:pPr>
            <w:r>
              <w:rPr>
                <w:rFonts w:ascii="Times New Roman" w:hAnsi="Times New Roman"/>
                <w:sz w:val="24"/>
              </w:rPr>
              <w:t xml:space="preserve">Art. 222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37C0FD9" w14:textId="0C477C68"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 xml:space="preserve">Transakcje odkupu, transakcje udzielania lub zaciągania pożyczek papierów wartościowych lub towarów, transakcje z długim terminem rozliczenia i transakcje z obowiązkiem uzupełnienia zabezpieczenia kredytowego, dla których instytucja postanowiła określić wartość ekspozycji zgodnie z art. 222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zamiast częścią trzecią tytuł II rozdział 6 tego rozporządzenia, zgodnie z art. 271 ust. 2 tego samego rozporządzenia.</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KOMPLEKSOWA METODA UJMOWANIA ZABEZPIECZEŃ FINANSOWYCH (W ODNIESIENIU DO TRANSAKCJI FINANSOWANYCH Z UŻYCIEM PAPIERÓW WARTOŚCIOWYCH)</w:t>
            </w:r>
          </w:p>
          <w:p w14:paraId="33716D0C" w14:textId="151C1F72" w:rsidR="00595FAD" w:rsidRPr="002A677E" w:rsidRDefault="00595FAD" w:rsidP="00FF15C6">
            <w:pPr>
              <w:rPr>
                <w:rFonts w:ascii="Times New Roman" w:hAnsi="Times New Roman"/>
                <w:sz w:val="24"/>
              </w:rPr>
            </w:pPr>
            <w:r>
              <w:rPr>
                <w:rFonts w:ascii="Times New Roman" w:hAnsi="Times New Roman"/>
                <w:sz w:val="24"/>
              </w:rPr>
              <w:t xml:space="preserve">Art. 220 i 223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1713DED" w14:textId="5957281A"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Transakcje odkupu, transakcje udzielania lub zaciągania pożyczek papierów wartościowych lub towarów, transakcje z długim terminem rozliczenia i transakcje z obowiązkiem uzupełnienia zabezpieczenia kredytowego, dla których instytucja postanowiła określić wartość ekspozycji zgodnie z art. 223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zamiast częścią trzecią tytuł II rozdział 6 tego rozporządzenia, zgodnie z art. 271 ust. 2 tego samego rozporządzenia.</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WARTOŚĆ ZAGROŻONA W PRZYPADKU TRANSAKCJI FINANSOWANYCH Z UŻYCIEM PAPIERÓW WARTOŚCIOWYCH</w:t>
            </w:r>
          </w:p>
          <w:p w14:paraId="55681F10" w14:textId="41C59578" w:rsidR="00595FAD" w:rsidRPr="002A677E" w:rsidRDefault="00595FAD" w:rsidP="00FF15C6">
            <w:pPr>
              <w:rPr>
                <w:rFonts w:ascii="Times New Roman" w:hAnsi="Times New Roman"/>
                <w:sz w:val="24"/>
              </w:rPr>
            </w:pPr>
            <w:r>
              <w:rPr>
                <w:rFonts w:ascii="Times New Roman" w:hAnsi="Times New Roman"/>
                <w:sz w:val="24"/>
              </w:rPr>
              <w:t xml:space="preserve">Art. 221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67C79D0" w14:textId="364E5ACB"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Transakcje odkupu, transakcje udzielania lub zaciągania pożyczek papierów wartościowych lub towarów lub transakcje z obowiązkiem uzupełnienia zabezpieczenia kredytowego bądź inne transakcje oparte na rynku kapitałowym inne niż transakcje na instrumentach pochodnych, dla których zgodnie z art. 221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pod warunkiem uzyskania zgody właściwego organu wartość ekspozycji oblicza się przy zastosowaniu metody modeli wewnętrznej uwzględniającej skutki korelacji pomiędzy pozycjami sekurytyzacyjnymi objętymi umową ramową o kompensowaniu zobowiązań oraz płynność danych instrumentów.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RAZEM</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 tym: pozycje charakteryzujące się szczególnym ryzykiem korelacji</w:t>
            </w:r>
          </w:p>
          <w:p w14:paraId="0AD5CB2F" w14:textId="03FF75FC"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291 </w:t>
            </w:r>
            <w:r>
              <w:rPr>
                <w:rFonts w:ascii="Times New Roman" w:hAnsi="Times New Roman"/>
                <w:sz w:val="24"/>
              </w:rPr>
              <w:t xml:space="preserve">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6E07203" w14:textId="0148D822"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Ekspozycje na ryzyko kredytowe kontrahenta, w przypadku których zgodnie z art. 291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zidentyfikowano szczególne ryzyko korelacji</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Działalność podlegająca dostarczeniu zabezpieczenia</w:t>
            </w:r>
          </w:p>
          <w:p w14:paraId="037CFAFD" w14:textId="3152AD2B"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 272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CB57CF2" w14:textId="205037B7"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Ekspozycje na ryzyko kredytowe kontrahenta podlegające dostarczeniu zabezpieczenia, tj. pakiety kompensowania objęte umową o dostarczeniu zabezpieczenia zgodnie z art. 272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Działalność niepodlegająca dostarczeniu zabezpieczenia</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Ekspozycje na ryzyko kredytowe kontrahenta nieujęte w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119064857"/>
      <w:r>
        <w:rPr>
          <w:rFonts w:ascii="Times New Roman" w:hAnsi="Times New Roman"/>
          <w:sz w:val="24"/>
        </w:rPr>
        <w:t>C 34.03 – Ekspozycje na ryzyko kredytowe kontrahenta, w odniesieniu do których zastosowano metody standardowe: metoda standardowa dotycząca ryzyka kredytowego kontrahenta i uproszczona metoda standardowa dotycząca ryzyka kredytowego kontrahenta</w:t>
      </w:r>
      <w:bookmarkEnd w:id="461"/>
      <w:bookmarkEnd w:id="462"/>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119064858"/>
      <w:r>
        <w:rPr>
          <w:rFonts w:ascii="Times New Roman" w:hAnsi="Times New Roman"/>
          <w:sz w:val="24"/>
        </w:rPr>
        <w:t>Uwagi ogólne</w:t>
      </w:r>
      <w:bookmarkEnd w:id="463"/>
      <w:bookmarkEnd w:id="464"/>
    </w:p>
    <w:p w14:paraId="0771AD5D" w14:textId="77777777" w:rsidR="00595FAD" w:rsidRPr="002A677E" w:rsidRDefault="0043455E" w:rsidP="00487A02">
      <w:pPr>
        <w:pStyle w:val="InstructionsText2"/>
        <w:numPr>
          <w:ilvl w:val="0"/>
          <w:numId w:val="0"/>
        </w:numPr>
        <w:ind w:left="1353" w:hanging="360"/>
      </w:pPr>
      <w:fldSimple w:instr=" seq paragraphs ">
        <w:r w:rsidR="008F3052">
          <w:t>125</w:t>
        </w:r>
      </w:fldSimple>
      <w:r w:rsidR="008F3052">
        <w:t>. Wzór ten stosuje się oddzielnie do zgłaszania ekspozycji na ryzyko kredytowe kontrahenta obliczonych odpowiednio z zastosowaniem metody standardowej dotyczącej ryzyka kredytowego kontrahenta lub uproszczonej metody standardowej dotyczącej ryzyka kredytowego kontrahenta.</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119064859"/>
      <w:r>
        <w:rPr>
          <w:rFonts w:ascii="Times New Roman" w:hAnsi="Times New Roman"/>
          <w:sz w:val="24"/>
        </w:rPr>
        <w:t>Instrukcje dotyczące poszczególnych pozycji</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Kolumny</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WALUTA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W przypadku transakcji przyporządkowanych do kategorii ryzyka stopy procentowej podaje się walutę, w której jest denominowana transakcja.</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W przypadku transakcji przyporządkowanych do kategorii ryzyka walutowego podaje się walutę, w której jest denominowana jedna z dwóch części transakcji. Instytucje podają waluty z pary walutowej w porządku alfabetycznym, np. w przypadku pary dolar amerykański/euro należy w tej kolumnie wpisać EUR, a w kolumnie 0020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Należy zastosować</w:t>
            </w:r>
            <w:r>
              <w:t xml:space="preserve"> </w:t>
            </w:r>
            <w:hyperlink r:id="rId13" w:history="1">
              <w:r>
                <w:rPr>
                  <w:rFonts w:ascii="Times New Roman" w:hAnsi="Times New Roman"/>
                  <w:sz w:val="24"/>
                </w:rPr>
                <w:t>kody</w:t>
              </w:r>
            </w:hyperlink>
            <w:r>
              <w:rPr>
                <w:rFonts w:ascii="Times New Roman" w:hAnsi="Times New Roman"/>
                <w:sz w:val="24"/>
              </w:rPr>
              <w:t xml:space="preserve"> ISO walut.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lastRenderedPageBreak/>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DRUGA WALUTA W PARZE</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W przypadku transakcji przyporządkowanych do kategorii ryzyka walutowego podaje się walutę, w której jest denominowana druga części transakcji (z uwzględnieniem tej rozważanej w kolumnie 0010). Instytucje podają waluty z pary walutowej w porządku alfabetycznym, np. w przypadku pary dolar amerykański/euro należy w tej kolumnie wpisać USD, a w kolumnie 0010 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Należy zastosować</w:t>
            </w:r>
            <w:r>
              <w:t xml:space="preserve"> </w:t>
            </w:r>
            <w:hyperlink r:id="rId14" w:history="1">
              <w:r>
                <w:rPr>
                  <w:rFonts w:ascii="Times New Roman" w:hAnsi="Times New Roman"/>
                  <w:sz w:val="24"/>
                </w:rPr>
                <w:t>kody</w:t>
              </w:r>
            </w:hyperlink>
            <w:r>
              <w:rPr>
                <w:rFonts w:ascii="Times New Roman" w:hAnsi="Times New Roman"/>
                <w:sz w:val="24"/>
              </w:rPr>
              <w:t xml:space="preserve"> ISO walut.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LICZBA TRANSAKCJI</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Zob. instrukcje dla kolumny 0020 we wzorze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KWOTY REFERENCYJNE</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Zob. instrukcje dla kolumny 0030 we wzorze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WARTOŚĆ RYNKOWA (CMV), DODATNIA</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bieżących wartości rynkowych wszystkich pakietów zabezpieczających z dodatnią bieżącą wartością rynkową w danej kategorii ryzyka.</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Bieżącą wartość rynkową na poziomie pakietu zabezpieczającego ustala się poprzez kompensowanie dodatnich i ujemnych wartości rynkowych transakcji w ramach jednego pakietu zabezpieczającego brutto z wszelkimi posiadanymi lub wniesionymi zabezpieczeniami.</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WARTOŚĆ RYNKOWA (CMV), UJEMNA</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bezwzględnych bieżących wartości rynkowych wszystkich pakietów zabezpieczających z negatywną bieżącą wartością rynkową w danej kategorii ryzyka.</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Bieżącą wartość rynkową na poziomie pakietu zabezpieczającego ustala się poprzez kompensowanie dodatnich i ujemnych wartości rynkowych transakcji w ramach jednego pakietu zabezpieczającego brutto z wszelkimi posiadanymi lub wniesionymi zabezpieczeniami.</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NARZUT</w:t>
            </w:r>
            <w:r>
              <w:rPr>
                <w:rFonts w:ascii="Times New Roman" w:hAnsi="Times New Roman"/>
                <w:sz w:val="24"/>
              </w:rPr>
              <w:t xml:space="preserve"> </w:t>
            </w:r>
          </w:p>
          <w:p w14:paraId="5C38D8C1" w14:textId="7A0638D4"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280a–280f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81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Instytucja zgłasza sumę wszystkich narzutów w odpowiednim pakiecie zabezpieczającym/odpowiedniej kategorii ryzyka. </w:t>
            </w:r>
          </w:p>
          <w:p w14:paraId="38CEBC1C" w14:textId="551CD0EB" w:rsidR="00595FAD" w:rsidRPr="002A677E" w:rsidRDefault="00595FAD" w:rsidP="00F02E37">
            <w:pPr>
              <w:keepNext/>
              <w:spacing w:before="60"/>
              <w:rPr>
                <w:rFonts w:ascii="Times New Roman" w:hAnsi="Times New Roman"/>
                <w:sz w:val="24"/>
              </w:rPr>
            </w:pPr>
            <w:r>
              <w:rPr>
                <w:rFonts w:ascii="Times New Roman" w:hAnsi="Times New Roman"/>
                <w:sz w:val="24"/>
              </w:rPr>
              <w:t xml:space="preserve">Narzut na kategorię ryzyka stosowany do określenia potencjalnej przyszłej ekspozycji pakietu kompensowania zgodnie z art. 278 ust. 1 lub art. 281 ust. 2 lit. f)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oblicza się zgodnie z art. 280a–280f tego rozporządzenia. W przypadku metody standardowej dotyczącej ryzyka kredytowego kontrahenta zastosowanie mają przepisy określone w art. 281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Wiersze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KATEGORIE RYZYKA</w:t>
            </w:r>
          </w:p>
          <w:p w14:paraId="034B189F" w14:textId="69A4AABE"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277 i 277a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2FC3A4A" w14:textId="75C64CD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Transakcje klasyfikuje się według kategorii ryzyka, do której należą zgodnie z art. 277 ust. 1–4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155215E" w14:textId="441C6704"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Przypisanie do pakietu zabezpieczającego według kategorii ryzyka odbywa się zgodnie z art. 277a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9EE0710" w14:textId="376DAB8D"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W przypadku metody standardowej dotyczącej ryzyka kredytowego kontrahenta zastosowanie mają przepisy określone w art. 281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 tym przyporządkowane do więcej niż jednej kategorii ryzyka</w:t>
            </w:r>
          </w:p>
          <w:p w14:paraId="0EB158AA" w14:textId="710317CF"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4A31AAB" w14:textId="2D2C592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Transakcje na instrumentach pochodnych z więcej niż jednym istotnym czynnikiem ryzyka przyporządkowane do dwóch (0020), trzech (0030) lub więcej niż trzech (0040) kategorii ryzyka na podstawie najbardziej istotnego czynnika ryzyka w każdej kategorii ryzyka, zgodnie z art. 277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regulacyjnymi standardami technicznymi EUNB, o których mowa w art. 277 ust. 5 tego rozporządzenia.</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i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Najwyższa waluta i para walutowa</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Klasyfikacji tej dokonuje się na podstawie bieżącej wartości rynkowej portfela instytucji odpowiednio w ramach metody standardowej dotyczącej ryzyka kredytowego kontrahenta lub uproszczonej metody standardowej dotyczącej ryzyka kredytowego kontrahenta dla transakcji przyporządkowanych odpowiednio do kategorii ryzyka stopy procentowej i ryzyka walutowego.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Do celów tej klasyfikacji sumuje się</w:t>
            </w:r>
            <w:r>
              <w:rPr>
                <w:rFonts w:ascii="inherit" w:hAnsi="inherit"/>
                <w:sz w:val="24"/>
              </w:rPr>
              <w:t xml:space="preserve"> wartość bezwzględną bieżącej wartości rynkowej pozycji.</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Przyporządkowywanie wyłączne</w:t>
            </w:r>
          </w:p>
          <w:p w14:paraId="326783F1" w14:textId="665473E1"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277 ust. 1 i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83D7E94" w14:textId="666F2D6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Transakcje na instrumentach pochodnych przyporządkowane wyłącznie do jednej kategorii ryzyka zgodnie z art. 277 ust. 1 i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A2DDF49" w14:textId="41E6686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Nie uwzględnia się transakcji przyporządkowanych do różnych kategorii ryzyka zgodnie z art. 277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Transakcje jednopodmiotowe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Transakcje jednopodmiotowe przyporządkowane odpowiednio do kategorii ryzyka kredytowego i ryzyka cen akcji.</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lastRenderedPageBreak/>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Transakcje wielopodmiotowe</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Transakcje wielopodmiotowe przyporządkowane odpowiednio do kategorii ryzyka kredytowego i ryzyka cen akcji.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Pakiet zabezpieczający z tytułu kategorii ryzyka cen towarów</w:t>
            </w:r>
          </w:p>
          <w:p w14:paraId="3D5DB3DA" w14:textId="057B969E" w:rsidR="00595FAD" w:rsidRPr="002A677E" w:rsidRDefault="00595FAD" w:rsidP="00070518">
            <w:pPr>
              <w:keepNext/>
              <w:spacing w:before="60"/>
              <w:rPr>
                <w:rFonts w:ascii="Times New Roman" w:hAnsi="Times New Roman"/>
                <w:sz w:val="24"/>
              </w:rPr>
            </w:pPr>
            <w:r>
              <w:rPr>
                <w:rFonts w:ascii="Times New Roman" w:hAnsi="Times New Roman"/>
                <w:sz w:val="24"/>
              </w:rPr>
              <w:t xml:space="preserve">Transakcje na instrumentach pochodnych przypisane do pakietów zabezpieczających z tytułu kategorii ryzyka cen towarów wymienionych w art. 277a ust. 1 lit. 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119064860"/>
      <w:r>
        <w:rPr>
          <w:rFonts w:ascii="Times New Roman" w:hAnsi="Times New Roman"/>
          <w:sz w:val="24"/>
        </w:rPr>
        <w:t>C 34.04 – Ekspozycje na ryzyko kredytowe kontrahenta, w odniesieniu do których zastosowano metodę wyceny pierwotnej ekspozycji</w:t>
      </w:r>
      <w:bookmarkEnd w:id="467"/>
      <w:bookmarkEnd w:id="468"/>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119064861"/>
      <w:r>
        <w:rPr>
          <w:rFonts w:ascii="Times New Roman" w:hAnsi="Times New Roman"/>
          <w:sz w:val="24"/>
        </w:rPr>
        <w:t>Instrukcje dotyczące poszczególnych pozycji</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Kolumny</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Instrukcje dla kolumn 0010 i 0020 są takie same jak te, które podano dla wzoru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WARTOŚĆ RYNKOWA (CMV), DODATNIA</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bieżących wartości rynkowych wszystkich transakcji z dodatnią bieżącą wartością rynkową w danej kategorii ryzyka.</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WARTOŚĆ RYNKOWA (CMV), UJEMNA</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Suma bezwzględnych bieżących wartości rynkowych wszystkich transakcji z negatywną bieżącą wartością rynkową w danej kategorii ryzyka.</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POTENCJALNA PRZYSZŁA EKSPOZYCJA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Instytucja zgłasza sumę potencjalnych przyszłych ekspozycji dla wszystkich transakcji należących do tej samej kategorii ryzyka.</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Wiersze</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KATEGORIE RYZYKA</w:t>
            </w:r>
          </w:p>
          <w:p w14:paraId="1FE53BE2" w14:textId="53B9A58E" w:rsidR="00595FAD" w:rsidRPr="002A677E" w:rsidRDefault="00595FAD" w:rsidP="00070518">
            <w:pPr>
              <w:keepNext/>
              <w:spacing w:before="60"/>
              <w:rPr>
                <w:rFonts w:ascii="Times New Roman" w:hAnsi="Times New Roman"/>
                <w:sz w:val="24"/>
              </w:rPr>
            </w:pPr>
            <w:r>
              <w:rPr>
                <w:rFonts w:ascii="Times New Roman" w:hAnsi="Times New Roman"/>
                <w:sz w:val="24"/>
              </w:rPr>
              <w:t xml:space="preserve">Transakcje na instrumentach pochodnych przyporządkowane do kategorii ryzyka wymienionych w art. 282 ust. 4 lit.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119064862"/>
      <w:r>
        <w:rPr>
          <w:rFonts w:ascii="Times New Roman" w:hAnsi="Times New Roman"/>
          <w:sz w:val="24"/>
        </w:rPr>
        <w:t>C 34.05 – Ekspozycje na ryzyko kredytowe kontrahenta, w odniesieniu do których zastosowano metodę modeli wewnętrznych (IMM)</w:t>
      </w:r>
      <w:bookmarkEnd w:id="471"/>
      <w:bookmarkEnd w:id="472"/>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119064863"/>
      <w:r>
        <w:rPr>
          <w:rFonts w:ascii="Times New Roman" w:hAnsi="Times New Roman"/>
          <w:sz w:val="24"/>
        </w:rPr>
        <w:t>Instrukcje dotyczące poszczególnych pozycji</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Kolumny</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lastRenderedPageBreak/>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PODLEGAJĄCE OBOWIĄZKOWI DOSTARCZENIA ZABEZPIECZENIA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Zob. instrukcje dla wiersza 0130 we wzorze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NIEPODLEGAJĄCE OBOWIĄZKOWI DOSTARCZENIA ZABEZPIECZENIA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Zob. instrukcje dla wiersza 0140 we wzorze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LICZBA TRANSAKCJI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Zob. instrukcje dla kolumny 0020 we wzorze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KWOTY REFERENCYJNE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Zob. instrukcje dla kolumny 0030 we wzorze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WARTOŚĆ RYNKOWA (CMV), DODATNIA</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bieżących wartości rynkowych wszystkich transakcji z dodatnią bieżącą wartością rynkową należących do tej samej klasy aktywów.</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WARTOŚĆ RYNKOWA (CMV), UJEMNA</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Suma bezwzględnych bieżących wartości rynkowych wszystkich transakcji z ujemną bieżącą wartością rynkową należących do tej samej klasy aktywów.</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BIEŻĄCA EKSPOZYCJA</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Zob. instrukcje dla kolumny 0120 we wzorze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EFEKTYWNA DODATNIA EKSPOZYCJA OCZEKIWANA (EFEKTYWNA 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Zob. instrukcje dla kolumny 0130 we wzorze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EFEKTYWNA EPE W WARUNKACH SKRAJNYCH</w:t>
            </w:r>
          </w:p>
          <w:p w14:paraId="76285FE0" w14:textId="4F8510F6"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 284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5F2F928" w14:textId="154A46F5" w:rsidR="00595FAD" w:rsidRPr="002A677E" w:rsidRDefault="00595FAD" w:rsidP="00FF15C6">
            <w:pPr>
              <w:keepNext/>
              <w:spacing w:before="60"/>
              <w:rPr>
                <w:rFonts w:ascii="Times New Roman" w:hAnsi="Times New Roman"/>
                <w:sz w:val="24"/>
              </w:rPr>
            </w:pPr>
            <w:r>
              <w:rPr>
                <w:rFonts w:ascii="Times New Roman" w:hAnsi="Times New Roman"/>
                <w:sz w:val="24"/>
              </w:rPr>
              <w:t xml:space="preserve">Efektywną EPE w warunkach skrajnych oblicza się analogicznie do efektywnej EPE (art. 284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ale z zastosowaniem kalibracji dla warunków skrajnych zgodnie z art. 292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WARTOŚĆ EKSPOZYCJI</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Zob. instrukcje dla kolumny 0170 we wzorze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6D47DD">
            <w:pPr>
              <w:pStyle w:val="Applicationdirecte"/>
              <w:keepNext/>
              <w:spacing w:before="0"/>
              <w:jc w:val="left"/>
              <w:rPr>
                <w:b/>
              </w:rPr>
            </w:pPr>
            <w:r>
              <w:rPr>
                <w:b/>
              </w:rPr>
              <w:lastRenderedPageBreak/>
              <w:t xml:space="preserve">Wiersz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6D47DD">
            <w:pPr>
              <w:pStyle w:val="TableMainHeading"/>
              <w:keepNext/>
              <w:spacing w:before="60"/>
              <w:rPr>
                <w:rFonts w:ascii="Times New Roman" w:hAnsi="Times New Roman"/>
                <w:b/>
                <w:sz w:val="24"/>
                <w:szCs w:val="24"/>
              </w:rPr>
            </w:pPr>
            <w:r>
              <w:rPr>
                <w:rFonts w:ascii="Times New Roman" w:hAnsi="Times New Roman"/>
                <w:b/>
                <w:sz w:val="24"/>
              </w:rPr>
              <w:t xml:space="preserve">Wyjaśnienie </w:t>
            </w:r>
          </w:p>
        </w:tc>
      </w:tr>
      <w:tr w:rsidR="00595FAD" w:rsidRPr="002A677E" w14:paraId="4CB54F09" w14:textId="77777777" w:rsidTr="00FF15C6">
        <w:trPr>
          <w:trHeight w:val="426"/>
        </w:trPr>
        <w:tc>
          <w:tcPr>
            <w:tcW w:w="1384" w:type="dxa"/>
          </w:tcPr>
          <w:p w14:paraId="619B4EAC" w14:textId="77777777" w:rsidR="00595FAD" w:rsidRPr="002A677E" w:rsidRDefault="00595FAD" w:rsidP="006D47DD">
            <w:pPr>
              <w:pStyle w:val="Applicationdirecte"/>
              <w:keepNext/>
              <w:spacing w:before="0" w:after="0"/>
            </w:pPr>
            <w:r>
              <w:t>0010</w:t>
            </w:r>
          </w:p>
        </w:tc>
        <w:tc>
          <w:tcPr>
            <w:tcW w:w="7655" w:type="dxa"/>
          </w:tcPr>
          <w:p w14:paraId="1E260C6E" w14:textId="77777777" w:rsidR="00595FAD" w:rsidRPr="002A677E" w:rsidRDefault="00595FAD" w:rsidP="006D47DD">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RAZEM </w:t>
            </w:r>
          </w:p>
          <w:p w14:paraId="34B799AD" w14:textId="1C572F9F" w:rsidR="00595FAD" w:rsidRPr="002A677E" w:rsidRDefault="00595FAD" w:rsidP="006D47DD">
            <w:pPr>
              <w:keepNext/>
              <w:spacing w:before="60"/>
              <w:rPr>
                <w:sz w:val="24"/>
              </w:rPr>
            </w:pPr>
            <w:r>
              <w:rPr>
                <w:rFonts w:ascii="Times New Roman" w:hAnsi="Times New Roman"/>
                <w:sz w:val="24"/>
              </w:rPr>
              <w:t xml:space="preserve">Art. 283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28F40CB" w14:textId="13693DE0" w:rsidR="00595FAD" w:rsidRPr="002A677E" w:rsidRDefault="00595FAD" w:rsidP="006D47DD">
            <w:pPr>
              <w:keepNext/>
              <w:rPr>
                <w:sz w:val="24"/>
              </w:rPr>
            </w:pPr>
            <w:r>
              <w:rPr>
                <w:rFonts w:ascii="Times New Roman" w:hAnsi="Times New Roman"/>
                <w:sz w:val="24"/>
              </w:rPr>
              <w:t xml:space="preserve">Instytucja zgłasza istotne informacje dotyczące instrumentów pochodnych, transakcji z długim terminem rozliczenia i transakcji finansowanych z użyciem papierów wartościowych, dla których pozwolono jej na określenie wartości ekspozycji z użyciem metody modeli wewnętrznych (IMM) zgodnie z art. 283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 tym: pozycje charakteryzujące się szczególnym ryzykiem korelacji</w:t>
            </w:r>
          </w:p>
          <w:p w14:paraId="6B266C36" w14:textId="77777777" w:rsidR="00595FAD" w:rsidRPr="002A677E" w:rsidRDefault="00595FAD" w:rsidP="00FF15C6">
            <w:pPr>
              <w:rPr>
                <w:rFonts w:ascii="Times New Roman" w:hAnsi="Times New Roman"/>
                <w:sz w:val="24"/>
              </w:rPr>
            </w:pPr>
            <w:r>
              <w:rPr>
                <w:rFonts w:ascii="Times New Roman" w:hAnsi="Times New Roman"/>
                <w:sz w:val="24"/>
              </w:rPr>
              <w:t>Zob. instrukcje dla wiersza 0120 we wzorze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Pakiety kompensowania traktowane zgodnie z metodą standardową dotyczącą ryzyka kredytowego</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Zob. instrukcje dla kolumny 0180 we wzorze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Pakiety kompensowania traktowane zgodnie z metodą IRB dotyczącą ryzyka kredytowego</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Zob. instrukcje dla kolumny 0190 we wzorze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INSTRUMENTY POCHODNE BĘDĄCE PRZEDMIOTEM OBROTU POZA RYNKIEM REGULOWANYM</w:t>
            </w:r>
          </w:p>
          <w:p w14:paraId="0977FBD8" w14:textId="77777777" w:rsidR="00595FAD" w:rsidRPr="002A677E" w:rsidRDefault="00595FAD" w:rsidP="00FF15C6">
            <w:pPr>
              <w:rPr>
                <w:rFonts w:ascii="Times New Roman" w:hAnsi="Times New Roman"/>
                <w:sz w:val="24"/>
              </w:rPr>
            </w:pPr>
            <w:r>
              <w:rPr>
                <w:rFonts w:ascii="Times New Roman" w:hAnsi="Times New Roman"/>
                <w:sz w:val="24"/>
              </w:rPr>
              <w:t>Instytucja zgłasza istotne informacje dotyczące pakietów kompensowania zawierających wyłącznie instrumenty pochodne będące przedmiotem obrotu poza rynkiem regulowanym lub transakcje z długim terminem rozliczenia, dla których zezwolono jej na określenie wartości ekspozycji za pomocą IMM w podziale na poszczególne klasy aktywów w odniesieniu do instrumentu bazowego (stopa procentowa, kurs walutowy, kredyty, akcje, towary lub inne).</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GIEŁDOWE INSTRUMENTY POCHODNE</w:t>
            </w:r>
          </w:p>
          <w:p w14:paraId="555913AF" w14:textId="77777777" w:rsidR="00595FAD" w:rsidRPr="002A677E" w:rsidRDefault="00595FAD" w:rsidP="00FF15C6">
            <w:pPr>
              <w:rPr>
                <w:rFonts w:ascii="Times New Roman" w:hAnsi="Times New Roman"/>
                <w:sz w:val="24"/>
              </w:rPr>
            </w:pPr>
            <w:r>
              <w:rPr>
                <w:rFonts w:ascii="Times New Roman" w:hAnsi="Times New Roman"/>
                <w:sz w:val="24"/>
              </w:rPr>
              <w:t>Instytucja zgłasza istotne informacje dotyczące pakietów kompensowania zawierających wyłącznie giełdowe instrumenty pochodne lub transakcje z długim terminem rozliczenia, dla których zezwolono jej na określenie wartości ekspozycji za pomocą IMM w podziale na poszczególne klasy aktywów w odniesieniu do instrumentu bazowego (stopa procentowa, kurs walutowy, kredyty, akcje, towary lub inne).</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TRANSAKCJE FINANSOWANE Z UŻYCIEM PAPIERÓW WARTOŚCIOWYCH</w:t>
            </w:r>
          </w:p>
          <w:p w14:paraId="36B18F3F" w14:textId="77777777" w:rsidR="00595FAD" w:rsidRPr="002A677E" w:rsidRDefault="00595FAD" w:rsidP="00FF15C6">
            <w:pPr>
              <w:rPr>
                <w:rFonts w:ascii="Times New Roman" w:hAnsi="Times New Roman"/>
                <w:sz w:val="24"/>
              </w:rPr>
            </w:pPr>
            <w:r>
              <w:rPr>
                <w:rFonts w:ascii="Times New Roman" w:hAnsi="Times New Roman"/>
                <w:sz w:val="24"/>
              </w:rPr>
              <w:t>Instytucja zgłasza istotne informacje dotyczące pakietów kompensowania zawierających wyłącznie transakcje finansowane z użyciem papierów wartościowych, dla których zezwolono jej na określenie wartości ekspozycji za pomocą IMM w podziale na rodzaj instrumentu bazowego w części transakcji obejmującej papiery wartościowe wykorzystywane w ramach transakcji finansowanej z użyciem papierów wartościowych (obligacje, akcje lub inne).</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lastRenderedPageBreak/>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PAKIETY KOMPENSOWANIA, DLA KTÓRYCH ISTNIEJĄ UMOWY O KOMPENSOWANIU MIĘDZYPRODUKTOWYM</w:t>
            </w:r>
          </w:p>
          <w:p w14:paraId="0239B755" w14:textId="77777777" w:rsidR="00595FAD" w:rsidRPr="002A677E" w:rsidRDefault="00595FAD" w:rsidP="00FF15C6">
            <w:pPr>
              <w:rPr>
                <w:rFonts w:ascii="Times New Roman" w:hAnsi="Times New Roman"/>
                <w:sz w:val="24"/>
              </w:rPr>
            </w:pPr>
            <w:r>
              <w:rPr>
                <w:rFonts w:ascii="Times New Roman" w:hAnsi="Times New Roman"/>
                <w:sz w:val="24"/>
              </w:rPr>
              <w:t>Zob. instrukcje dla wiersza 0070 we wzorze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119064864"/>
      <w:r>
        <w:rPr>
          <w:rFonts w:ascii="Times New Roman" w:hAnsi="Times New Roman"/>
          <w:sz w:val="24"/>
        </w:rPr>
        <w:t>C 34.06 – Dwudziestu największych kontrahentów</w:t>
      </w:r>
      <w:bookmarkEnd w:id="475"/>
      <w:bookmarkEnd w:id="476"/>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119064865"/>
      <w:r>
        <w:rPr>
          <w:rFonts w:ascii="Times New Roman" w:hAnsi="Times New Roman"/>
          <w:sz w:val="24"/>
        </w:rPr>
        <w:t>Uwagi ogólne</w:t>
      </w:r>
      <w:bookmarkEnd w:id="477"/>
      <w:bookmarkEnd w:id="478"/>
    </w:p>
    <w:p w14:paraId="0CFF0B63" w14:textId="4FDD0667" w:rsidR="00595FAD" w:rsidRPr="002A677E" w:rsidRDefault="0043455E" w:rsidP="00487A02">
      <w:pPr>
        <w:pStyle w:val="InstructionsText2"/>
        <w:numPr>
          <w:ilvl w:val="0"/>
          <w:numId w:val="0"/>
        </w:numPr>
        <w:ind w:left="1353" w:hanging="360"/>
      </w:pPr>
      <w:fldSimple w:instr=" seq paragraphs ">
        <w:r w:rsidR="008F3052">
          <w:t>126</w:t>
        </w:r>
      </w:fldSimple>
      <w:r w:rsidR="008F3052">
        <w:t xml:space="preserve">. Instytucje zgłaszają informacje dotyczące 20 największych kontrahentów, wobec których posiadają najwyższe ekspozycje na ryzyko kredytowe kontrahenta. Ranking sporządza się z wykorzystaniem podanych w kolumnie 0120 tego wzoru wartości ekspozycji na ryzyko kredytowe kontrahenta dla wszystkich pakietów kompensowania z odpowiednimi kontrahentami. Ekspozycje wewnątrzgrupowe lub inne ekspozycje, które generują ryzyko kredytowe kontrahenta, ale którym instytucje przypisują wagę ryzyka równą zero przy obliczaniu wymogów w zakresie funduszy własnych, zgodnie z art. 113 ust. 6 i 7 rozporządzenia (UE) </w:t>
      </w:r>
      <w:r w:rsidR="008F3052" w:rsidRPr="0043455E">
        <w:t>nr</w:t>
      </w:r>
      <w:r w:rsidRPr="0043455E">
        <w:t> </w:t>
      </w:r>
      <w:r w:rsidR="008F3052" w:rsidRPr="0043455E">
        <w:t>5</w:t>
      </w:r>
      <w:r w:rsidR="008F3052">
        <w:t>75/2013, nadal uwzględnia się przy ustalaniu listy dwudziestu największych kontrahentów.</w:t>
      </w:r>
    </w:p>
    <w:p w14:paraId="2F649BA0" w14:textId="0A618A5D" w:rsidR="00595FAD" w:rsidRPr="002A677E" w:rsidRDefault="0043455E" w:rsidP="00487A02">
      <w:pPr>
        <w:pStyle w:val="InstructionsText2"/>
        <w:numPr>
          <w:ilvl w:val="0"/>
          <w:numId w:val="0"/>
        </w:numPr>
        <w:ind w:left="1353" w:hanging="360"/>
      </w:pPr>
      <w:fldSimple w:instr=" seq paragraphs ">
        <w:r w:rsidR="008F3052">
          <w:t>127</w:t>
        </w:r>
      </w:fldSimple>
      <w:r w:rsidR="008F3052">
        <w:t xml:space="preserve">. Instytucje stosujące metodę standardową (metoda standardowa dotycząca ryzyka kredytowego kontrahenta) lub metodę modeli wewnętrznych (IMM) do obliczania ekspozycji na ryzyko kredytowe kontrahenta zgodnie z częścią trzecią tytuł II rozdział 6 sekcje 3 i 6 rozporządzenia (UE) </w:t>
      </w:r>
      <w:r w:rsidR="008F3052" w:rsidRPr="0043455E">
        <w:t>nr</w:t>
      </w:r>
      <w:r w:rsidRPr="0043455E">
        <w:t> </w:t>
      </w:r>
      <w:r w:rsidR="008F3052" w:rsidRPr="0043455E">
        <w:t>5</w:t>
      </w:r>
      <w:r w:rsidR="008F3052">
        <w:t xml:space="preserve">75/2013 wypełniają ten wzór co kwartał. Instytucje stosujące uproszczoną metodę standardową lub metodę wyceny pierwotnej ekspozycji do obliczania ekspozycji na ryzyko kredytowe kontrahenta zgodnie z częścią trzecią tytuł II rozdział 6 sekcje 4 i 5 rozporządzenia (UE) </w:t>
      </w:r>
      <w:r w:rsidR="008F3052" w:rsidRPr="0043455E">
        <w:t>nr</w:t>
      </w:r>
      <w:r w:rsidRPr="0043455E">
        <w:t> </w:t>
      </w:r>
      <w:r w:rsidR="008F3052" w:rsidRPr="0043455E">
        <w:t>5</w:t>
      </w:r>
      <w:r w:rsidR="008F3052">
        <w:t xml:space="preserve">75/2013 wypełniają ten wzór co pół roku. </w:t>
      </w:r>
      <w:bookmarkStart w:id="479" w:name="_Toc19715818"/>
      <w:r w:rsidR="008F3052">
        <w:t>Instrukcje dotyczące poszczególnych pozycji</w:t>
      </w:r>
      <w:bookmarkEnd w:id="479"/>
      <w:r w:rsidR="008F3052">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0" w:name="_Toc119064866"/>
      <w:r>
        <w:rPr>
          <w:rFonts w:ascii="Times New Roman" w:hAnsi="Times New Roman"/>
          <w:sz w:val="24"/>
        </w:rPr>
        <w:t>Instrukcje dotyczące poszczególnych pozycji</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Kolumny</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NAZWA</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Nazwa kontrahenta</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Kod jest częścią identyfikatora wiersza i musi być unikatowy dla każdego zgłoszonego podmiotu. W przypadku instytucji i zakładów ubezpieczeń kodem tym jest kod LEI. W przypadku innych podmiotów kodem jest kod LEI lub – jeżeli kod taki jest niedostępny – kod inny niż kod LEI. Kod jest unikatowy i konsekwentnie stosowany w czasie i we wszystkich wzorach. Kod zawsze posiada wartość</w:t>
            </w:r>
            <w:r>
              <w:rPr>
                <w:i/>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RODZAJ KODU</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Instytucja określa rodzaj kodu podany w kolumnie 0020 </w:t>
            </w:r>
            <w:r>
              <w:rPr>
                <w:rStyle w:val="FormatvorlageInstructionsTabelleText"/>
                <w:rFonts w:ascii="Times New Roman" w:hAnsi="Times New Roman"/>
                <w:sz w:val="24"/>
              </w:rPr>
              <w:t>jako „kod LEI” lub „kod krajowy”.</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lastRenderedPageBreak/>
              <w:t>Zawsze zgłasza się rodzaj kodu.</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lastRenderedPageBreak/>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 KRAJOWY</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Instytucja może dodatkowo zgłosić kod krajowy, jeżeli zgłosi kod LEI jako identyfikator w kolumnie 0020 „Kod”.</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SEKTOR KONTRAHENTA</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Każdemu kontrahentowi przydziela się jeden sektor na podstawie następujących klas sektora gospodarki FINREP (zob. załącznik V część 3 do niniejszego rozporządzenia wykonawczego):</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banki centralne;</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sektor instytucji rządowych i samorządowych;</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instytucje kredytowe;</w:t>
            </w:r>
          </w:p>
          <w:p w14:paraId="52782673" w14:textId="5306CD81"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 xml:space="preserve">firmy inwestycyjne zdefiniowane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pozostałe instytucje sektora finansowego (z wyłączeniem firm inwestycyjnych);</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przedsiębiorstwa niefinansowe.</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RODZAJ KONTRAHENTA</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Instytucja wskazuje rodzaj kontrahenta, którym może być:</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kwalifikujący się kontrahent centralny: gdy kontrahentem jest kwalifikujący się CCP;</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niekwalifikujący się kontrahent centralny: gdy kontrahentem jest niekwalifikujący się CCP;</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kontrahent inny niż centralny: gdy kontrahentem nie jest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SIEDZIBA KONTRAHENTA</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Stosuje się kod kraju założenia kontrahenta określony w normie ISO 3166-1-alfa-2 (w tym pseudokody ISO przeznaczone dla organizacji międzynarodowych dostępne w „Vademecum bilansu płatności” publikowanym przez Eurostat, ze zm.).</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LICZBA TRANSAKCJI</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Zob. instrukcje dla kolumny 0020 we wzorze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KWOTY REFERENCYJNE</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Zob. instrukcje dla kolumny 0030 we wzorze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lastRenderedPageBreak/>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BIEŻĄCA WARTOŚĆ RYNKOWA (CMV), dodatnia</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Zob. instrukcje dla kolumny 0040 we wzorze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Instytucja zgłasza sumę pakietów kompensowania o dodatniej bieżącej wartości rynkowej, jeżeli istnieje kilka pakietów kompensowania dla tego samego kontrahenta.</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BIEŻĄCA WARTOŚĆ RYNKOWA (CMV), ujemna</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Zob. instrukcje dla kolumny 0040 we wzorze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Instytucja zgłasza bezwzględną sumę pakietów kompensowania o ujemnej bieżącej wartości rynkowej, jeżeli istnieje kilka pakietów kompensowania dla tego samego kontrahenta.</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WARTOŚĆ EKSPOZYCJI PO OGRANICZENIU RYZYKA KREDYTOWEGO</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Zob. instrukcje dla kolumny 0160 we wzorze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Instytucja zgłasza sumę wartości ekspozycji po ograniczeniu ryzyka kredytowego dla pakietów kompensowania, jeżeli istnieje kilka pakietów kompensowania dla tego samego kontrahenta.</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WARTOŚĆ EKSPOZYCJI</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Zob. instrukcje dla kolumny 0170 we wzorze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KWOTY EKSPOZYCJI WAŻONEJ RYZYKIEM</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Zob. instrukcje dla kolumny 0200 we wzorze C 34.02.</w:t>
            </w:r>
          </w:p>
        </w:tc>
      </w:tr>
    </w:tbl>
    <w:p w14:paraId="146A1A16" w14:textId="77777777" w:rsidR="00595FAD" w:rsidRPr="00836936"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119064867"/>
      <w:r>
        <w:rPr>
          <w:rFonts w:ascii="Times New Roman" w:hAnsi="Times New Roman"/>
          <w:sz w:val="24"/>
        </w:rPr>
        <w:t>C 34.07 – Metoda IRB – ekspozycje na ryzyko kredytowe kontrahenta według kategorii ekspozycji i skali PD</w:t>
      </w:r>
      <w:bookmarkEnd w:id="481"/>
      <w:bookmarkEnd w:id="482"/>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119064868"/>
      <w:r>
        <w:rPr>
          <w:rFonts w:ascii="Times New Roman" w:hAnsi="Times New Roman"/>
          <w:sz w:val="24"/>
        </w:rPr>
        <w:t>Uwagi ogólne</w:t>
      </w:r>
      <w:bookmarkEnd w:id="483"/>
      <w:bookmarkEnd w:id="484"/>
    </w:p>
    <w:p w14:paraId="682CD351" w14:textId="5FA9AF0E" w:rsidR="00595FAD" w:rsidRPr="002A677E" w:rsidRDefault="0043455E" w:rsidP="00487A02">
      <w:pPr>
        <w:pStyle w:val="InstructionsText2"/>
        <w:numPr>
          <w:ilvl w:val="0"/>
          <w:numId w:val="0"/>
        </w:numPr>
        <w:ind w:left="1353" w:hanging="360"/>
      </w:pPr>
      <w:fldSimple w:instr=" seq paragraphs ">
        <w:r w:rsidR="008F3052">
          <w:t>128</w:t>
        </w:r>
      </w:fldSimple>
      <w:r w:rsidR="008F3052">
        <w:t xml:space="preserve">. Wzór ten wypełniają instytucje stosujące zaawansowaną albo podstawową metodę IRB do obliczania kwot ekspozycji ważonych ryzykiem dla wszystkich lub części ich ekspozycji na ryzyko kredytowe kontrahenta zgodnie z art. 107 rozporządzenia (UE) </w:t>
      </w:r>
      <w:r w:rsidR="008F3052" w:rsidRPr="0043455E">
        <w:t>nr</w:t>
      </w:r>
      <w:r w:rsidRPr="0043455E">
        <w:t> </w:t>
      </w:r>
      <w:r w:rsidR="008F3052" w:rsidRPr="0043455E">
        <w:t>5</w:t>
      </w:r>
      <w:r w:rsidR="008F3052">
        <w:t xml:space="preserve">75/2013, niezależnie od metody dotyczącej ryzyka kredytowego kontrahenta stosowanej do określania wartości ekspozycji zgodnie z częścią trzecią tytuł II rozdziały 4 i 6 rozporządzenia (UE) </w:t>
      </w:r>
      <w:r w:rsidR="008F3052" w:rsidRPr="0043455E">
        <w:t>nr</w:t>
      </w:r>
      <w:r w:rsidRPr="0043455E">
        <w:t> </w:t>
      </w:r>
      <w:r w:rsidR="008F3052" w:rsidRPr="0043455E">
        <w:t>5</w:t>
      </w:r>
      <w:r w:rsidR="008F3052">
        <w:t xml:space="preserve">75/2013. </w:t>
      </w:r>
    </w:p>
    <w:p w14:paraId="1AB3B979" w14:textId="1C78D571" w:rsidR="00595FAD" w:rsidRPr="002A677E" w:rsidRDefault="0043455E" w:rsidP="00487A02">
      <w:pPr>
        <w:pStyle w:val="InstructionsText2"/>
        <w:numPr>
          <w:ilvl w:val="0"/>
          <w:numId w:val="0"/>
        </w:numPr>
        <w:ind w:left="1353" w:hanging="360"/>
      </w:pPr>
      <w:fldSimple w:instr=" seq paragraphs ">
        <w:r w:rsidR="008F3052">
          <w:t>129</w:t>
        </w:r>
      </w:fldSimple>
      <w:r w:rsidR="008F3052">
        <w:t xml:space="preserve">. Wzór ten wypełnia się oddzielnie dla sumy wszystkich kategorii ekspozycji, jak również oddzielnie dla każdej z kategorii ekspozycji wymienionych w art. 147 rozporządzenia (UE) </w:t>
      </w:r>
      <w:r w:rsidR="008F3052" w:rsidRPr="0043455E">
        <w:t>nr</w:t>
      </w:r>
      <w:r w:rsidRPr="0043455E">
        <w:t> </w:t>
      </w:r>
      <w:r w:rsidR="008F3052" w:rsidRPr="0043455E">
        <w:t>5</w:t>
      </w:r>
      <w:r w:rsidR="008F3052">
        <w:t xml:space="preserve">75/2013. Wzór nie obejmuje ekspozycji rozliczanych przez kontrahenta centralnego. </w:t>
      </w:r>
    </w:p>
    <w:p w14:paraId="7BDF11C6" w14:textId="77777777" w:rsidR="00595FAD" w:rsidRPr="002A677E" w:rsidRDefault="0043455E" w:rsidP="00487A02">
      <w:pPr>
        <w:pStyle w:val="InstructionsText2"/>
        <w:numPr>
          <w:ilvl w:val="0"/>
          <w:numId w:val="0"/>
        </w:numPr>
        <w:ind w:left="1353" w:hanging="360"/>
      </w:pPr>
      <w:fldSimple w:instr=" seq paragraphs ">
        <w:r w:rsidR="008F3052">
          <w:t>130</w:t>
        </w:r>
      </w:fldSimple>
      <w:r w:rsidR="008F3052">
        <w:t>. Aby wyjaśnić, czy instytucja korzysta ze swoich własnych oszacowań LGD lub współczynników konwersji kredytowej, w odniesieniu do każdej kategorii ekspozycji podaje się następujące informacje:</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lastRenderedPageBreak/>
        <w:t>„NIE” = w przypadku stosowania oszacowań LGD według metody nadzorczej oraz współczynników konwersji kredytowej (podstawowa metoda 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„TAK” = w przypadku niestosowania oszacowań LGD według metody nadzorczej oraz współczynników konwersji kredytowej (zaawansowana metoda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119064869"/>
      <w:r>
        <w:rPr>
          <w:rFonts w:ascii="Times New Roman" w:hAnsi="Times New Roman"/>
          <w:sz w:val="24"/>
        </w:rPr>
        <w:t>Instrukcje dotyczące poszczególnych pozycji</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Kolumny</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Wartość ekspozycji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Wartość ekspozycji (zob. instrukcje do kolumny 0170 we wzorze C 34.02)</w:t>
            </w:r>
            <w:r>
              <w:rPr>
                <w:rFonts w:ascii="Times New Roman" w:hAnsi="Times New Roman"/>
                <w:i/>
                <w:sz w:val="24"/>
              </w:rPr>
              <w:t>,</w:t>
            </w:r>
            <w:r>
              <w:rPr>
                <w:rFonts w:ascii="Times New Roman" w:hAnsi="Times New Roman"/>
                <w:sz w:val="24"/>
              </w:rPr>
              <w:t xml:space="preserve"> w podziale według podanej skali PD</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Średnia wartość PD ważona ekspozycją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Średnia wartości PD poszczególnych klas jakości dłużników ważona odpowiadającą im wartością ekspozycji określoną dla kolumny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Liczba dłużników </w:t>
            </w:r>
          </w:p>
          <w:p w14:paraId="4A437284" w14:textId="77777777" w:rsidR="00595FAD" w:rsidRPr="002A677E" w:rsidRDefault="00595FAD" w:rsidP="00FF15C6">
            <w:pPr>
              <w:rPr>
                <w:rFonts w:ascii="Times New Roman" w:hAnsi="Times New Roman"/>
                <w:sz w:val="24"/>
              </w:rPr>
            </w:pPr>
            <w:r>
              <w:rPr>
                <w:rFonts w:ascii="Times New Roman" w:hAnsi="Times New Roman"/>
                <w:sz w:val="24"/>
              </w:rPr>
              <w:t>Liczba podmiotów prawnych lub dłużników przypisanych do każdego koszyka na stałej skali PD, których oceniono oddzielnie, niezależnie od liczby różnych przyznanych pożyczek lub ekspozycji.</w:t>
            </w:r>
          </w:p>
          <w:p w14:paraId="188D1310" w14:textId="597AFC66" w:rsidR="00595FAD" w:rsidRPr="002A677E" w:rsidRDefault="00595FAD" w:rsidP="00070518">
            <w:pPr>
              <w:rPr>
                <w:rFonts w:ascii="Times New Roman" w:hAnsi="Times New Roman"/>
                <w:sz w:val="24"/>
              </w:rPr>
            </w:pPr>
            <w:r>
              <w:rPr>
                <w:rFonts w:ascii="Times New Roman" w:hAnsi="Times New Roman"/>
                <w:sz w:val="24"/>
              </w:rPr>
              <w:t xml:space="preserve">Jeżeli różne ekspozycje wobec tego samego dłużnika ocenia się oddzielnie, należy je liczyć oddzielnie. Taka sytuacja może mieć miejsce, jeżeli odrębne ekspozycje wobec tego samego dłużnika są przypisane do różnych klas jakości dłużników zgodnie z art. 172 ust. 1 lit. e) zdanie drugie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Średnia wartość LGD ważona ekspozycją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Średnia wartości LGD klas dłużników ważona odpowiadającą im wartością ekspozycji określoną dla kolumny 0010</w:t>
            </w:r>
          </w:p>
          <w:p w14:paraId="06DF21CC" w14:textId="2659791B" w:rsidR="00595FAD" w:rsidRPr="002A677E" w:rsidRDefault="00595FAD" w:rsidP="00FF15C6">
            <w:pPr>
              <w:rPr>
                <w:rFonts w:ascii="Times New Roman" w:hAnsi="Times New Roman"/>
                <w:sz w:val="24"/>
              </w:rPr>
            </w:pPr>
            <w:r>
              <w:rPr>
                <w:rFonts w:ascii="Times New Roman" w:hAnsi="Times New Roman"/>
                <w:sz w:val="24"/>
              </w:rPr>
              <w:t xml:space="preserve">Zgłoszona LGD odpowiada ostatecznemu szacunkowi LGD wykorzystanemu do obliczenia kwot ekspozycji ważonych ryzykiem, otrzymanemu po uwzględnieniu, stosownie do przypadku, wszelkich skutków ograniczenia ryzyka kredytowego i warunków pogorszenia koniunktury, jak określono w części trzeciej tytuł II rozdziały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szczególności w przypadku instytucji stosujących metodę IRB, ale niestosujących własnych oszacowań LGD, skutki technik ograniczania ryzyka wynikające z zabezpieczenia finansowego są odzwierciedlone w E* – w pełni skorygowanej wartości ekspozycji – a następnie odzwierciedlane w LGD* zgodnie z art. 228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przypadku stosowania własnych oszacowań LGD uwzględnia się art. 175 oraz art. 181 ust. 1 i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9204E33" w14:textId="60E5061E" w:rsidR="00595FAD" w:rsidRPr="002A677E" w:rsidRDefault="00595FAD" w:rsidP="00FF15C6">
            <w:pPr>
              <w:rPr>
                <w:rFonts w:ascii="Times New Roman" w:hAnsi="Times New Roman"/>
                <w:sz w:val="24"/>
              </w:rPr>
            </w:pPr>
            <w:r>
              <w:rPr>
                <w:rFonts w:ascii="Times New Roman" w:hAnsi="Times New Roman"/>
                <w:sz w:val="24"/>
              </w:rPr>
              <w:t xml:space="preserve">W przypadku ekspozycji z uwzględnieniem ujęcia podwójnego niewykonania zobowiązania LGD, które należy zgłosić, odpowiada temu wybranemu zgodnie z art. 161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764D21F" w14:textId="28C57B50" w:rsidR="00595FAD" w:rsidRPr="002A677E" w:rsidRDefault="00595FAD" w:rsidP="00070518">
            <w:pPr>
              <w:spacing w:before="60" w:after="240"/>
              <w:rPr>
                <w:rFonts w:ascii="Times New Roman" w:hAnsi="Times New Roman"/>
                <w:strike/>
                <w:sz w:val="24"/>
              </w:rPr>
            </w:pPr>
            <w:r>
              <w:rPr>
                <w:rFonts w:ascii="Times New Roman" w:hAnsi="Times New Roman"/>
                <w:sz w:val="24"/>
              </w:rPr>
              <w:lastRenderedPageBreak/>
              <w:t xml:space="preserve">W odniesieniu do ekspozycji objętych metodą IRB-A, których dotyczy niewykonanie zobowiązania, uwzględnia się przepisy określone w art. 181 ust. 1 lit. h)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Zgłoszona LGD odpowiada szacunkowej LGD, której dotyczy niewykonanie zobowiązania.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Średni termin zapadalności ważony ekspozycją (lata)</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Średnia</w:t>
            </w:r>
            <w:r>
              <w:rPr>
                <w:rFonts w:ascii="Times New Roman" w:hAnsi="Times New Roman"/>
                <w:sz w:val="24"/>
              </w:rPr>
              <w:t xml:space="preserve"> wartość terminów zapadalności dla dłużników w latach ważona odpowiadającą im wartością ekspozycji określoną dla kolumny 0010</w:t>
            </w:r>
          </w:p>
          <w:p w14:paraId="1B91C0EA" w14:textId="36124963" w:rsidR="00595FAD" w:rsidRPr="002A677E" w:rsidRDefault="00595FAD" w:rsidP="00837612">
            <w:pPr>
              <w:rPr>
                <w:rFonts w:ascii="Times New Roman" w:hAnsi="Times New Roman"/>
                <w:sz w:val="24"/>
              </w:rPr>
            </w:pPr>
            <w:r>
              <w:rPr>
                <w:rFonts w:ascii="Times New Roman" w:hAnsi="Times New Roman"/>
                <w:sz w:val="24"/>
              </w:rPr>
              <w:t xml:space="preserve">Termin zapadalności określa się zgodnie z art. 162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Kwoty ekspozycji ważonej ryzykiem</w:t>
            </w:r>
            <w:r>
              <w:rPr>
                <w:rFonts w:ascii="Times New Roman" w:hAnsi="Times New Roman"/>
                <w:i/>
                <w:sz w:val="24"/>
              </w:rPr>
              <w:t xml:space="preserve"> </w:t>
            </w:r>
          </w:p>
          <w:p w14:paraId="6FDAB7AE" w14:textId="043DCA4D" w:rsidR="00595FAD" w:rsidRPr="002A677E" w:rsidRDefault="00595FAD" w:rsidP="00FF15C6">
            <w:pPr>
              <w:spacing w:before="60"/>
              <w:rPr>
                <w:rFonts w:ascii="Times New Roman" w:hAnsi="Times New Roman"/>
                <w:sz w:val="24"/>
              </w:rPr>
            </w:pPr>
            <w:r>
              <w:rPr>
                <w:rFonts w:ascii="Times New Roman" w:hAnsi="Times New Roman"/>
                <w:sz w:val="24"/>
              </w:rPr>
              <w:t xml:space="preserve">Kwoty ekspozycji ważone ryzykiem, określone w art. 92 ust.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pozycji, których wagi ryzyka szacuje się na podstawie wymogów określonych w części trzeciej tytuł II rozdział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dla których wartość ekspozycji dla działalności związanej z ryzykiem kredytowym kontrahenta oblicza się zgodnie z częścią trzecią tytuł II rozdziały 4 i 6 tego rozporządzenia. </w:t>
            </w:r>
          </w:p>
          <w:p w14:paraId="34C5741D" w14:textId="34E1ED7A"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Bierze się pod uwagę współczynniki wsparcia MŚP oraz infrastruktury określone w art. 501 i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Stosunek kwot ekspozycji ważonych ryzykiem do wartości ekspozycji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Stosunek łącznych kwot ekspozycji ważonych ryzykiem (podanych w kolumnie 0060) do wartości ekspozycji (podanej w kolumnie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Wiersze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Skala 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Ekspozycje na ryzyko kredytowe kontrahenta (określone na poziomie kontrahenta) przypisuje się do odpowiedniego koszyka na stałej skali PD na podstawie PD oszacowanego dla każdego dłużnika przyporządkowanego do danej kategorii ekspozycji (bez uwzględniania jakiejkolwiek substytucji ze względu na istnienie gwarancji lub kredytowego instrumentu pochodnego). Instytucje przyporządkowują każdą ekspozycję do skali PD podanej w niniejszym wzorze, uwzględniając również skale ciągłe. Wszystkie ekspozycje, których dotyczy niewykonanie zobowiązania, ujmuje się w koszyku odpowiadającym PD w wysokości 100</w:t>
            </w:r>
            <w:r>
              <w:t> </w:t>
            </w:r>
            <w:r>
              <w:rPr>
                <w:rFonts w:ascii="Times New Roman" w:hAnsi="Times New Roman"/>
                <w:sz w:val="24"/>
              </w:rPr>
              <w:t>%.</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119064870"/>
      <w:r>
        <w:rPr>
          <w:rFonts w:ascii="Times New Roman" w:hAnsi="Times New Roman"/>
          <w:sz w:val="24"/>
        </w:rPr>
        <w:t>C 34.08 – Skład zabezpieczeń ekspozycji na ryzyko kredytowe kontrahenta</w:t>
      </w:r>
      <w:bookmarkEnd w:id="487"/>
      <w:bookmarkEnd w:id="488"/>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119064871"/>
      <w:r>
        <w:rPr>
          <w:rFonts w:ascii="Times New Roman" w:hAnsi="Times New Roman"/>
          <w:sz w:val="24"/>
        </w:rPr>
        <w:t>Uwagi ogólne</w:t>
      </w:r>
      <w:bookmarkEnd w:id="489"/>
      <w:bookmarkEnd w:id="490"/>
    </w:p>
    <w:p w14:paraId="3A799621" w14:textId="77777777" w:rsidR="00595FAD" w:rsidRPr="002A677E" w:rsidRDefault="0043455E" w:rsidP="00487A02">
      <w:pPr>
        <w:pStyle w:val="InstructionsText2"/>
        <w:numPr>
          <w:ilvl w:val="0"/>
          <w:numId w:val="0"/>
        </w:numPr>
        <w:ind w:left="1353" w:hanging="360"/>
      </w:pPr>
      <w:fldSimple w:instr=" seq paragraphs ">
        <w:r w:rsidR="008F3052">
          <w:t>131</w:t>
        </w:r>
      </w:fldSimple>
      <w:r w:rsidR="008F3052">
        <w:t xml:space="preserve">. W przedmiotowym wzorze podaje się wartości godziwe zabezpieczenia (wniesionego lub otrzymanego) zastosowane do obliczenia ekspozycji na ryzyko kredytowe kontrahenta związanych z transakcjami na instrumentach pochodnych, </w:t>
      </w:r>
      <w:r w:rsidR="008F3052">
        <w:lastRenderedPageBreak/>
        <w:t xml:space="preserve">transakcją z długim terminem rozliczenia lub transakcjami finansowanymi z użyciem papierów wartościowych, niezależnie od tego, czy zostały one rozliczone za pośrednictwem kontrahenta centralnego oraz czy wniesiono zabezpieczenie na rzecz kontrahenta centralnego.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119064872"/>
      <w:r>
        <w:rPr>
          <w:rFonts w:ascii="Times New Roman" w:hAnsi="Times New Roman"/>
          <w:sz w:val="24"/>
        </w:rPr>
        <w:t>Instrukcje dotyczące poszczególnych pozycji</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Kolumny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Zabezpieczenie stosowane w transakcjach na instrumentach pochodnych </w:t>
            </w:r>
          </w:p>
          <w:p w14:paraId="07E6C99C" w14:textId="48700951"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Instytucje zgłaszają zabezpieczenie (uwzględniając zabezpieczenie w postaci początkowego depozytu zabezpieczającego i zabezpieczenie w postaci zmiennego depozytu zabezpieczającego) stosowane do obliczenia ekspozycji na ryzyko kredytowe kontrahenta związanych z dowolnym instrumentem pochodnym wymienionym w załączniku II do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z transakcją z długim terminem rozliczenia w rozumieniu art.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72 tego samego rozporządzenia, która nie kwalifikuje się do uznania jej za transakcję finansowaną z użyciem papierów wartościowych.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Zabezpieczenie stosowane w transakcjach finansowanych z użyciem papierów wartościowych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Instytucje zgłaszają zabezpieczenie (uwzględniając zabezpieczenie w postaci początkowego depozytu zabezpieczającego i zabezpieczenie w postaci zmiennego depozytu zabezpieczającego, jak również zabezpieczenie w postaci papieru wartościowego wykorzystywanego jako zabezpieczenie w transakcji finansowanej z użyciem papierów wartościowych) stosowane do obliczenia ekspozycji na ryzyko kredytowe kontrahenta związanych z dowolną transakcją finansowaną z użyciem papierów wartościowych lub transakcją z długim terminem rozliczenia, która nie kwalifikuje się do uznania jej za instrument pochodny.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Wyodrębnione</w:t>
            </w:r>
          </w:p>
          <w:p w14:paraId="6A03815D" w14:textId="2F76D6EA"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 300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386BF34" w14:textId="40391A0D" w:rsidR="00595FAD" w:rsidRPr="002A677E" w:rsidRDefault="00CF4C30" w:rsidP="00FF15C6">
            <w:pPr>
              <w:spacing w:before="60"/>
              <w:rPr>
                <w:rFonts w:ascii="Times New Roman" w:hAnsi="Times New Roman"/>
                <w:sz w:val="24"/>
              </w:rPr>
            </w:pPr>
            <w:r>
              <w:rPr>
                <w:rFonts w:ascii="Times New Roman" w:hAnsi="Times New Roman"/>
                <w:sz w:val="24"/>
              </w:rPr>
              <w:t xml:space="preserve">Instytucje zgłaszają zabezpieczenie utrzymywane na zasadzie wyłączenia z masy upadłościowej zgodnie z definicją ustanowioną w art. 300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które dzieli się następnie na zabezpieczenie w postaci początkowego lub zmiennego depozytu zabezpieczającego.</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Niewyodrębnione </w:t>
            </w:r>
          </w:p>
          <w:p w14:paraId="7060A85A" w14:textId="165F470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 300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7277071" w14:textId="647F607D" w:rsidR="00595FAD" w:rsidRPr="002A677E" w:rsidRDefault="00CF4C30" w:rsidP="00CF4C30">
            <w:pPr>
              <w:rPr>
                <w:rFonts w:ascii="Times New Roman" w:hAnsi="Times New Roman"/>
                <w:sz w:val="24"/>
              </w:rPr>
            </w:pPr>
            <w:r>
              <w:rPr>
                <w:rFonts w:ascii="Times New Roman" w:hAnsi="Times New Roman"/>
                <w:sz w:val="24"/>
              </w:rPr>
              <w:t xml:space="preserve">Instytucje zgłaszają zabezpieczenie, które nie jest utrzymywane na zasadzie wyłączenia z masy upadłościowej zgodnie z definicją w art. 300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które dalej dzieli się na zabezpieczenie w postaci początkowego depozytu zabezpieczającego, zabezpieczenie w postaci zmiennego depozytu zabezpieczającego oraz zabezpieczenie w postaci papieru wartościowego wykorzystywanego w ramach transakcji finansowanej z użyciem papierów wartościowych.</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lastRenderedPageBreak/>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Początkowy depozyt zabezpieczający</w:t>
            </w:r>
          </w:p>
          <w:p w14:paraId="32E34D38" w14:textId="2FAD173A" w:rsidR="00595FAD" w:rsidRPr="002A677E" w:rsidRDefault="004134E6" w:rsidP="00FF15C6">
            <w:pPr>
              <w:spacing w:before="60"/>
              <w:rPr>
                <w:rFonts w:ascii="Times New Roman" w:hAnsi="Times New Roman"/>
                <w:sz w:val="24"/>
              </w:rPr>
            </w:pPr>
            <w:r>
              <w:rPr>
                <w:rFonts w:ascii="Times New Roman" w:hAnsi="Times New Roman"/>
                <w:sz w:val="24"/>
              </w:rPr>
              <w:t xml:space="preserve">Art. 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5161B15" w14:textId="51B38ED4" w:rsidR="00595FAD" w:rsidRPr="002A677E" w:rsidRDefault="00595FAD" w:rsidP="00070518">
            <w:pPr>
              <w:spacing w:before="60"/>
              <w:rPr>
                <w:rFonts w:ascii="Times New Roman" w:hAnsi="Times New Roman"/>
                <w:sz w:val="24"/>
              </w:rPr>
            </w:pPr>
            <w:r>
              <w:rPr>
                <w:rFonts w:ascii="Times New Roman" w:hAnsi="Times New Roman"/>
                <w:sz w:val="24"/>
              </w:rPr>
              <w:t xml:space="preserve">Instytucje zgłaszają wartości godziwe zabezpieczenia otrzymanego lub wniesionego w postaci początkowego depozytu zabezpieczającego (zgodnie z definicją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Zmienny depozyt zabezpieczający</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Instytucje zgłaszają wartości godziwe zabezpieczenia otrzymanego lub wniesionego w postaci zmiennego depozytu zabezpieczającego.</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Papier wartościowy wykorzystywany jako zabezpieczenie w transakcji finansowanej z użyciem papierów wartościowych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Instytucje zgłaszają wartości godziwe zabezpieczenia w postaci papieru wartościowego wykorzystywanego jako zabezpieczenie w ramach transakcji finansowanych z użyciem papierów wartościowych (np. część transakcji obejmująca papiery wartościowe wykorzystywane w ramach transakcji finansowanej z użyciem papierów wartościowych, które otrzymano na potrzeby kolumny 0130 lub które wniesiono na potrzeby kolumny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Wiersze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Rodzaj zabezpieczenia</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Podział według różnych rodzajów zabezpieczenia</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119064873"/>
      <w:r>
        <w:rPr>
          <w:rFonts w:ascii="Times New Roman" w:hAnsi="Times New Roman"/>
          <w:sz w:val="24"/>
        </w:rPr>
        <w:t>C 34.09 – Ekspozycje kredytowe z tytułu instrumentów pochodnych</w:t>
      </w:r>
      <w:bookmarkEnd w:id="493"/>
      <w:bookmarkEnd w:id="494"/>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119064874"/>
      <w:r>
        <w:rPr>
          <w:rFonts w:ascii="Times New Roman" w:hAnsi="Times New Roman"/>
          <w:sz w:val="24"/>
        </w:rPr>
        <w:t>Instrukcje dotyczące poszczególnych pozycji</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Kolumny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OCHRONA W POSTACI KREDYTOWEGO INSTRUMENTU POCHODNEGO</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Zakupiona lub sprzedana ochrona w postaci kredytowego instrumentu pochodnego</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KWOTY REFERENCYJNE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Suma kwot referencyjnych instrumentu pochodnego przed jakimkolwiek kompensowaniem, w podziale na rodzaj produktu</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WARTOŚCI GODZIWE</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Suma wartości godziwych w podziale na zakupioną i sprzedaną ochronę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Wiersze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Rodzaj produktu</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Podział według rodzajów produktów – kredytowe instrumenty pochodne</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Ogółem</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wszystkich rodzajów produktów</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Wartości godziwe</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Wartości godziwe w podziale na rodzaje produktów, a także aktywa (dodatnie wartości godziwe) i zobowiązania (ujemne wartości godziwe)</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119064875"/>
      <w:r>
        <w:rPr>
          <w:rFonts w:ascii="Times New Roman" w:hAnsi="Times New Roman"/>
          <w:sz w:val="24"/>
        </w:rPr>
        <w:t>C 34.10 – Ekspozycje wobec CCP</w:t>
      </w:r>
      <w:bookmarkEnd w:id="497"/>
      <w:bookmarkEnd w:id="498"/>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119064876"/>
      <w:r>
        <w:rPr>
          <w:rFonts w:ascii="Times New Roman" w:hAnsi="Times New Roman"/>
          <w:sz w:val="24"/>
        </w:rPr>
        <w:t>Uwagi ogólne</w:t>
      </w:r>
      <w:bookmarkEnd w:id="499"/>
      <w:bookmarkEnd w:id="500"/>
    </w:p>
    <w:p w14:paraId="1E6FD5A9" w14:textId="714A3030" w:rsidR="00595FAD" w:rsidRPr="002A677E" w:rsidRDefault="0043455E" w:rsidP="00487A02">
      <w:pPr>
        <w:pStyle w:val="InstructionsText2"/>
        <w:numPr>
          <w:ilvl w:val="0"/>
          <w:numId w:val="0"/>
        </w:numPr>
        <w:ind w:left="1353" w:hanging="360"/>
      </w:pPr>
      <w:fldSimple w:instr=" seq paragraphs ">
        <w:r w:rsidR="008F3052">
          <w:t>132</w:t>
        </w:r>
      </w:fldSimple>
      <w:r w:rsidR="008F3052">
        <w:t xml:space="preserve">. Instytucje zgłaszają informacje na temat ekspozycji wobec CCP, tj. z tytułu umów i transakcji wymienionych w art. 301 ust. 1 rozporządzenia (UE) </w:t>
      </w:r>
      <w:r w:rsidR="008F3052" w:rsidRPr="0043455E">
        <w:t>nr</w:t>
      </w:r>
      <w:r w:rsidRPr="0043455E">
        <w:t> </w:t>
      </w:r>
      <w:r w:rsidR="008F3052" w:rsidRPr="0043455E">
        <w:t>5</w:t>
      </w:r>
      <w:r w:rsidR="008F3052">
        <w:t xml:space="preserve">75/2013 przez cały okres, gdy pozostają one nierozliczone z CCP, i ekspozycji z tytułu transakcji związanych z kontrahentami centralnymi w rozumieniu art. 300 </w:t>
      </w:r>
      <w:r w:rsidR="008F3052" w:rsidRPr="0043455E">
        <w:t>pkt</w:t>
      </w:r>
      <w:r w:rsidRPr="0043455E">
        <w:t> </w:t>
      </w:r>
      <w:r w:rsidR="008F3052" w:rsidRPr="0043455E">
        <w:t>2</w:t>
      </w:r>
      <w:r w:rsidR="008F3052">
        <w:t xml:space="preserve"> tego rozporządzenia, w przypadku których wymogi w zakresie funduszy własnych oblicza się zgodnie z częścią trzecią tytuł II rozdział 6 sekcja 9 tego rozporządzenia.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119064877"/>
      <w:r>
        <w:rPr>
          <w:rFonts w:ascii="Times New Roman" w:hAnsi="Times New Roman"/>
          <w:sz w:val="24"/>
        </w:rPr>
        <w:t>Instrukcje dotyczące poszczególnych pozycji</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Kolumny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WARTOŚĆ EKSPOZYCJI </w:t>
            </w:r>
          </w:p>
          <w:p w14:paraId="008FB3E7" w14:textId="792BE56D" w:rsidR="00595FAD" w:rsidRPr="002A677E" w:rsidRDefault="00595FAD" w:rsidP="00FF15C6">
            <w:pPr>
              <w:keepNext/>
              <w:spacing w:before="60"/>
              <w:rPr>
                <w:rFonts w:ascii="Times New Roman" w:hAnsi="Times New Roman"/>
                <w:sz w:val="24"/>
              </w:rPr>
            </w:pPr>
            <w:r>
              <w:rPr>
                <w:rFonts w:ascii="Times New Roman" w:hAnsi="Times New Roman"/>
                <w:sz w:val="24"/>
              </w:rPr>
              <w:t xml:space="preserve">Wartość ekspozycji dla transakcji wchodzących w zakres części trzeciej tytuł II rozdział 6 sekcja 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oblicza się zgodnie z odpowiednimi metodami opisanymi w tym rozdziale, w szczególności w jego sekcji 9.</w:t>
            </w:r>
          </w:p>
          <w:p w14:paraId="23F54896" w14:textId="348668FA" w:rsidR="00595FAD" w:rsidRPr="002A677E" w:rsidRDefault="00595FAD" w:rsidP="00FF15C6">
            <w:pPr>
              <w:keepNext/>
              <w:spacing w:before="60"/>
              <w:rPr>
                <w:rFonts w:ascii="Times New Roman" w:hAnsi="Times New Roman"/>
                <w:sz w:val="24"/>
              </w:rPr>
            </w:pPr>
            <w:r>
              <w:rPr>
                <w:rFonts w:ascii="Times New Roman" w:hAnsi="Times New Roman"/>
                <w:sz w:val="24"/>
              </w:rPr>
              <w:t xml:space="preserve">Zgłoszona wartość ekspozycji odpowiada kwocie istotnej z punktu widzenia obliczeń wymogów w zakresie funduszy własnych przeprowadzanych zgodnie z częścią trzecią tytuł II rozdział 6 sekcja 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biorąc pod uwagę wymogi ustanowione w art. 497 tego rozporządzenia obowiązujące w okresie przejściowym wskazanym w tym artykule.</w:t>
            </w:r>
          </w:p>
          <w:p w14:paraId="13EE67A8" w14:textId="6AF04498" w:rsidR="00595FAD" w:rsidRPr="002A677E" w:rsidRDefault="00595FAD" w:rsidP="00070518">
            <w:pPr>
              <w:keepNext/>
              <w:spacing w:before="60"/>
              <w:rPr>
                <w:rFonts w:ascii="Times New Roman" w:hAnsi="Times New Roman"/>
                <w:sz w:val="24"/>
              </w:rPr>
            </w:pPr>
            <w:r>
              <w:rPr>
                <w:rFonts w:ascii="Times New Roman" w:hAnsi="Times New Roman"/>
                <w:sz w:val="24"/>
              </w:rPr>
              <w:t xml:space="preserve">Ekspozycja może być ekspozycją z tytułu transakcji zdefiniowaną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9</w:t>
            </w:r>
            <w:r>
              <w:rPr>
                <w:rFonts w:ascii="Times New Roman" w:hAnsi="Times New Roman"/>
                <w:sz w:val="24"/>
              </w:rPr>
              <w:t xml:space="preserve">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lastRenderedPageBreak/>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KWOTY EKSPOZYCJI WAŻONEJ RYZYKIEM</w:t>
            </w:r>
          </w:p>
          <w:p w14:paraId="1C095850" w14:textId="5A68DC99" w:rsidR="00595FAD" w:rsidRPr="002A677E" w:rsidRDefault="00595FAD" w:rsidP="00070518">
            <w:pPr>
              <w:keepNext/>
              <w:spacing w:before="60"/>
              <w:rPr>
                <w:rFonts w:ascii="Times New Roman" w:hAnsi="Times New Roman"/>
                <w:strike/>
                <w:sz w:val="24"/>
              </w:rPr>
            </w:pPr>
            <w:r>
              <w:rPr>
                <w:rFonts w:ascii="Times New Roman" w:hAnsi="Times New Roman"/>
                <w:sz w:val="24"/>
              </w:rPr>
              <w:t xml:space="preserve">Kwoty ekspozycji ważonej ryzykiem ustalone zgodnie z częścią trzecią tytuł II rozdział 6 sekcja 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biorąc pod uwagę wymogi ustanowione w art. 497 tego rozporządzenia obowiązujące w okresie przejściowym wskazanym w tym artykule.</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Wiersze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Kwalifikujący się kontrahent centralny (kwalifikujący się CCP)</w:t>
            </w:r>
            <w:r>
              <w:rPr>
                <w:rFonts w:ascii="Times New Roman" w:hAnsi="Times New Roman"/>
                <w:sz w:val="24"/>
              </w:rPr>
              <w:t xml:space="preserve"> </w:t>
            </w:r>
          </w:p>
          <w:p w14:paraId="6C197069" w14:textId="568FDCCD"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Kwalifikujący się kontrahent centralny lub „kwalifikujący się CCP” zdefiniowany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Początkowy depozyt zabezpieczający</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Zob. instrukcje dla wzoru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Do celów tego wzoru początkowy depozyt zabezpieczający nie obejmuje wkładów na rzecz CCP wnoszonych na potrzeby uzgodnień dotyczących wzajemnego podziału strat (tj. w przypadkach, gdy CCP wykorzystuje początkowy depozyt zabezpieczający do wzajemnego podziału strat między uczestnikami rozliczającym, taki wkład traktuje się jako ekspozycję wobec funduszu na wypadek niewykonania zobowiązania).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Wniesione z góry wkłady do funduszu na wypadek niewykonania zobowiązania</w:t>
            </w:r>
          </w:p>
          <w:p w14:paraId="43979D70" w14:textId="6D9D9032" w:rsidR="00595FAD" w:rsidRPr="002A677E" w:rsidRDefault="00C85EAB" w:rsidP="00070518">
            <w:pPr>
              <w:keepNext/>
              <w:spacing w:before="60"/>
              <w:rPr>
                <w:rFonts w:ascii="Times New Roman" w:hAnsi="Times New Roman"/>
                <w:sz w:val="24"/>
              </w:rPr>
            </w:pPr>
            <w:r>
              <w:rPr>
                <w:rFonts w:ascii="Times New Roman" w:hAnsi="Times New Roman"/>
                <w:sz w:val="24"/>
              </w:rPr>
              <w:t xml:space="preserve">Art. 308 i 309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fundusz na wypadek niewykonania zobowiązania zdefiniowany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wkład do funduszu CCP na wypadek niewykonania zobowiązania wnoszony przez instytucję.</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Niewniesione wkłady do funduszu na wypadek niewykonania zobowiązania</w:t>
            </w:r>
          </w:p>
          <w:p w14:paraId="085CBB74" w14:textId="4B257083"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 xml:space="preserve">Art. 309 i 310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fundusz na wypadek niewykonania zobowiązania zdefiniowany w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Instytucje zgłaszają wkłady, które instytucja pełniąca rolę uczestnika rozliczającego na mocy umowy zobowiązała się przekazać na rzecz CCP po wyczerpaniu przez CCP swojego funduszu na wypadek niewykonania zobowiązania w celu pokrycia strat, które CCP poniósł w wyniku niewykonania zobowiązania przez jednego ze swoich uczestników rozliczających lub przez większą liczbę swoich uczestników rozliczających.</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Wyodrębnione</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Zob. instrukcje dla wzoru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lastRenderedPageBreak/>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Niewyodrębnione</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Zob. instrukcje dla wzoru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119064878"/>
      <w:r>
        <w:rPr>
          <w:rFonts w:ascii="Times New Roman" w:hAnsi="Times New Roman"/>
          <w:sz w:val="24"/>
        </w:rPr>
        <w:t>C 34.11 – Rachunki przepływów kwot ekspozycji ważonych ryzykiem (RWEA) dla ekspozycji na ryzyko kredytowe kontrahenta obliczonych zgodnie z IMM</w:t>
      </w:r>
      <w:bookmarkEnd w:id="503"/>
      <w:bookmarkEnd w:id="504"/>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119064879"/>
      <w:r>
        <w:rPr>
          <w:rFonts w:ascii="Times New Roman" w:hAnsi="Times New Roman"/>
          <w:sz w:val="24"/>
        </w:rPr>
        <w:t>Uwagi ogólne</w:t>
      </w:r>
      <w:bookmarkEnd w:id="505"/>
      <w:bookmarkEnd w:id="506"/>
    </w:p>
    <w:p w14:paraId="301F1925" w14:textId="7BD6916A" w:rsidR="00595FAD" w:rsidRPr="002A677E" w:rsidRDefault="0043455E" w:rsidP="00487A02">
      <w:pPr>
        <w:pStyle w:val="InstructionsText2"/>
        <w:numPr>
          <w:ilvl w:val="0"/>
          <w:numId w:val="0"/>
        </w:numPr>
        <w:ind w:left="1353" w:hanging="360"/>
      </w:pPr>
      <w:fldSimple w:instr=" seq paragraphs ">
        <w:r w:rsidR="008F3052">
          <w:t>133</w:t>
        </w:r>
      </w:fldSimple>
      <w:r w:rsidR="008F3052">
        <w:t xml:space="preserve">. Instytucje stosujące IMM do obliczania kwot ekspozycji ważonych ryzykiem dla wszystkich swoich ekspozycji na ryzyko kredytowe kontrahenta lub dla części tych ekspozycji zgodnie z częścią trzecią tytuł II rozdział 6 rozporządzenia (UE) </w:t>
      </w:r>
      <w:r w:rsidR="008F3052" w:rsidRPr="0043455E">
        <w:t>nr</w:t>
      </w:r>
      <w:r w:rsidRPr="0043455E">
        <w:t> </w:t>
      </w:r>
      <w:r w:rsidR="008F3052" w:rsidRPr="0043455E">
        <w:t>5</w:t>
      </w:r>
      <w:r w:rsidR="008F3052">
        <w:t>75/2013, niezależnie od podejścia do ryzyka kredytowego zastosowanego w celu ustalenia odpowiednich wag ryzyka, zgłaszają ten wzór wraz z rachunkiem przepływów wyjaśniającym zmiany wysokości kwot ekspozycji ważonych ryzykiem dla instrumentów pochodnych i transakcji finansowanych z użyciem papierów wartościowych wchodzących w zakres IMM zróżnicowanych na podstawie kluczowych czynników w oparciu o wiarygodne szacunki.</w:t>
      </w:r>
    </w:p>
    <w:p w14:paraId="34147E07" w14:textId="77777777" w:rsidR="00595FAD" w:rsidRPr="002A677E" w:rsidRDefault="0043455E" w:rsidP="00487A02">
      <w:pPr>
        <w:pStyle w:val="InstructionsText2"/>
        <w:numPr>
          <w:ilvl w:val="0"/>
          <w:numId w:val="0"/>
        </w:numPr>
        <w:ind w:left="1353" w:hanging="360"/>
      </w:pPr>
      <w:fldSimple w:instr=" seq paragraphs ">
        <w:r w:rsidR="008F3052">
          <w:t>134</w:t>
        </w:r>
      </w:fldSimple>
      <w:r w:rsidR="008F3052">
        <w:t xml:space="preserve">. Instytucje zgłaszające ten wzór z częstotliwością kwartalną wypełniają wyłącznie kolumnę 0010. Instytucje zgłaszające ten wzór z częstotliwością roczną wypełniają wyłącznie kolumnę 0020. </w:t>
      </w:r>
    </w:p>
    <w:p w14:paraId="1133A75D" w14:textId="11834D32" w:rsidR="00595FAD" w:rsidRPr="002A677E" w:rsidRDefault="0043455E" w:rsidP="00487A02">
      <w:pPr>
        <w:pStyle w:val="InstructionsText2"/>
        <w:numPr>
          <w:ilvl w:val="0"/>
          <w:numId w:val="0"/>
        </w:numPr>
        <w:ind w:left="1353" w:hanging="360"/>
      </w:pPr>
      <w:fldSimple w:instr=" seq paragraphs ">
        <w:r w:rsidR="008F3052">
          <w:t>135</w:t>
        </w:r>
      </w:fldSimple>
      <w:r w:rsidR="008F3052">
        <w:t xml:space="preserve">. We wzorze tym nie uwzględnia się kwot ekspozycji ważonych ryzykiem dla ekspozycji wobec kontrahenta centralnego (część trzecia tytuł II rozdział 6 sekcja 9 rozporządzenia (UE) </w:t>
      </w:r>
      <w:r w:rsidR="008F3052" w:rsidRPr="0043455E">
        <w:t>nr</w:t>
      </w:r>
      <w:r w:rsidRPr="0043455E">
        <w:t> </w:t>
      </w:r>
      <w:r w:rsidR="008F3052" w:rsidRPr="0043455E">
        <w:t>5</w:t>
      </w:r>
      <w:r w:rsidR="008F3052">
        <w:t>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119064880"/>
      <w:r>
        <w:rPr>
          <w:rFonts w:ascii="Times New Roman" w:hAnsi="Times New Roman"/>
          <w:sz w:val="24"/>
        </w:rPr>
        <w:t>Instrukcje dotyczące poszczególnych pozycji</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Kolumny</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KWOTY EKSPOZYCJI WAŻONEJ RYZYKIEM</w:t>
            </w:r>
          </w:p>
          <w:p w14:paraId="466A3378" w14:textId="144CE045" w:rsidR="00595FAD" w:rsidRPr="002A677E" w:rsidRDefault="00595FAD" w:rsidP="00FF15C6">
            <w:pPr>
              <w:rPr>
                <w:rFonts w:ascii="Times New Roman" w:hAnsi="Times New Roman"/>
                <w:sz w:val="24"/>
              </w:rPr>
            </w:pPr>
            <w:r>
              <w:rPr>
                <w:rFonts w:ascii="Times New Roman" w:hAnsi="Times New Roman"/>
                <w:sz w:val="24"/>
              </w:rPr>
              <w:t xml:space="preserve">Kwoty ekspozycji ważonych ryzykiem, o których mowa w art. 92 ust. 3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pozycji, w przypadku których wagi ryzyka szacuje się na podstawie wymogów określonych w części trzeciej tytuł II rozdziały 2 i 3 tego rozporządzenia i w odniesieniu do których instytucji udzielono zgodę na obliczanie wartości ekspozycji przy zastosowaniu IMM zgodnie z częścią trzecią tytuł II rozdział 6 sekcja 6 tego rozporządzenia. </w:t>
            </w:r>
          </w:p>
          <w:p w14:paraId="73454D98" w14:textId="30CC1BC1" w:rsidR="00595FAD" w:rsidRPr="002A677E" w:rsidRDefault="00595FAD" w:rsidP="003F19BA">
            <w:pPr>
              <w:spacing w:before="60"/>
              <w:rPr>
                <w:rFonts w:ascii="Times New Roman" w:hAnsi="Times New Roman"/>
                <w:i/>
                <w:sz w:val="24"/>
              </w:rPr>
            </w:pPr>
            <w:r>
              <w:rPr>
                <w:rFonts w:ascii="Times New Roman" w:hAnsi="Times New Roman"/>
                <w:sz w:val="24"/>
              </w:rPr>
              <w:t xml:space="preserve">Bierze się pod uwagę współczynniki wsparcia MŚP oraz infrastruktury określone w art. 501 i 501a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Wiersze</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Kwoty ekspozycji ważonych ryzykiem na koniec poprzedniego okresu sprawozdawczego</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lastRenderedPageBreak/>
              <w:t>Kwoty ekspozycji ważonych ryzykiem dla ekspozycji na ryzyko kredytowe kontrahenta obliczanych zgodnie z IMM na koniec poprzedniego okresu sprawozdawczego</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Wielkość aktywów</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Zmiany (dodatnie lub ujemne) wysokości kwoty ekspozycji ważonej ryzykiem spowodowane zmianami wielkości i składu portfela wynikającymi z normalnej działalności gospodarczej (m.in. wskutek powstawania nowych przedsiębiorstw i upływu terminów zapadalności ekspozycji), z wyłączeniem zmian wielkości portfela wynikających z nabywania i zbywania podmiotów</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Jakość kredytowa kontrahentów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Zmiany (dodatnie lub ujemne) wysokości kwoty ekspozycji ważonej ryzykiem spowodowane zmianami wynikającej z oceny jakości kredytowej kontrahentów instytucji mierzonej zgodnie z ramami ryzyka kredytowego, niezależnie od podejścia stosowanego przez instytucję. W tym wierszu zamieszcza się również informacje o potencjalnych zmianach kwoty ekspozycji ważonej ryzykiem wynikających ze stosowania modeli IRB, jeżeli instytucja stosuje metodę IRB.</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Aktualizacje modeli (wyłącznie metoda modeli wewnętrznych)</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Zmiany (dodatnie lub ujemne) wysokości kwoty ekspozycji ważonej ryzykiem spowodowane wdrożeniem modelu, zmianami w zakresie modelu lub wszelkimi zmianami służącymi wyeliminowaniu słabych punktów modelu.</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Ten wiersz odnosi się wyłącznie do zmian modelu IMM.</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Metodyka i polityka (wyłącznie metoda modeli wewnętrznych)</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Zmiany (dodatnie lub ujemne) wysokości kwoty ekspozycji ważonej ryzykiem spowodowane zmianami metody dokonywania obliczeń w wyniku zmian polityki regulacyjnej, np. wskutek przyjęcia nowych przepisów (wyłącznie w odniesieniu do modelu IMM).</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Nabycia i zbycia</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Zmiany (dodatnie lub ujemne) wysokości kwoty ekspozycji ważonej ryzykiem spowodowane organicznymi zmianami wielkości portfela spowodowanymi nabyciami i zbyciami podmiotów.</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Wahania kursów wymiany walut</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Zmiany (dodatnie lub ujemne) wysokości kwoty ekspozycji ważonej ryzykiem spowodowane zmianami wynikającymi z wahań związanych z przeliczaniem waluty obcej.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Inne</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Tę kategorię wykorzystuje się do ujmowania zmian (dodatnich lub ujemnych) wysokości kwoty ekspozycji ważonej ryzykiem, których nie można przypisać do żadnej z powyższych kategorii.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Kwoty ekspozycji ważonych ryzykiem na koniec bieżącego okresu sprawozdawczego</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Kwoty ekspozycji ważonych ryzykiem dla ekspozycji na ryzyko kredytowe kontrahenta obliczanych zgodnie z IMM na koniec bieżącego okresu sprawozdawczego.</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260157223"/>
      <w:bookmarkStart w:id="516" w:name="_Toc262566417"/>
      <w:bookmarkStart w:id="517" w:name="_Toc264038462"/>
      <w:bookmarkStart w:id="518" w:name="_Toc295829988"/>
      <w:bookmarkStart w:id="519" w:name="_Toc310415050"/>
      <w:bookmarkStart w:id="520" w:name="_Toc119064881"/>
      <w:r>
        <w:rPr>
          <w:rFonts w:ascii="Times New Roman" w:hAnsi="Times New Roman"/>
          <w:sz w:val="24"/>
        </w:rPr>
        <w:t>4.</w:t>
      </w:r>
      <w:r>
        <w:tab/>
      </w:r>
      <w:r>
        <w:rPr>
          <w:rFonts w:ascii="Times New Roman" w:hAnsi="Times New Roman"/>
          <w:sz w:val="24"/>
        </w:rPr>
        <w:t>Wzory dotyczące ryzyka operacyjnego</w:t>
      </w:r>
      <w:bookmarkEnd w:id="509"/>
      <w:bookmarkEnd w:id="510"/>
      <w:bookmarkEnd w:id="511"/>
      <w:bookmarkEnd w:id="512"/>
      <w:bookmarkEnd w:id="513"/>
      <w:bookmarkEnd w:id="514"/>
      <w:bookmarkEnd w:id="520"/>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1" w:name="_Toc360188385"/>
      <w:bookmarkStart w:id="522" w:name="_Toc473560936"/>
      <w:bookmarkStart w:id="523" w:name="_Toc119064882"/>
      <w:r>
        <w:rPr>
          <w:rFonts w:ascii="Times New Roman" w:hAnsi="Times New Roman"/>
          <w:sz w:val="24"/>
        </w:rPr>
        <w:t>4.1</w:t>
      </w:r>
      <w:r>
        <w:tab/>
      </w:r>
      <w:r>
        <w:tab/>
      </w:r>
      <w:r>
        <w:rPr>
          <w:rFonts w:ascii="Times New Roman" w:hAnsi="Times New Roman"/>
          <w:sz w:val="24"/>
        </w:rPr>
        <w:t>C 16.00 – Ryzyko operacyjne</w:t>
      </w:r>
      <w:bookmarkEnd w:id="515"/>
      <w:bookmarkEnd w:id="516"/>
      <w:bookmarkEnd w:id="517"/>
      <w:bookmarkEnd w:id="518"/>
      <w:bookmarkEnd w:id="519"/>
      <w:bookmarkEnd w:id="521"/>
      <w:r>
        <w:rPr>
          <w:rFonts w:ascii="Times New Roman" w:hAnsi="Times New Roman"/>
          <w:sz w:val="24"/>
        </w:rPr>
        <w:t xml:space="preserve"> (OPR)</w:t>
      </w:r>
      <w:bookmarkEnd w:id="522"/>
      <w:bookmarkEnd w:id="523"/>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0157224"/>
      <w:bookmarkStart w:id="525" w:name="_Toc262566418"/>
      <w:bookmarkStart w:id="526" w:name="_Toc264038463"/>
      <w:bookmarkStart w:id="527" w:name="_Toc295829989"/>
      <w:bookmarkStart w:id="528" w:name="_Toc310415051"/>
      <w:bookmarkStart w:id="529" w:name="_Toc360188386"/>
      <w:bookmarkStart w:id="530" w:name="_Toc473560937"/>
      <w:bookmarkStart w:id="531" w:name="_Toc119064883"/>
      <w:r>
        <w:rPr>
          <w:rFonts w:ascii="Times New Roman" w:hAnsi="Times New Roman"/>
          <w:sz w:val="24"/>
          <w:u w:val="none"/>
        </w:rPr>
        <w:t>4.1.1</w:t>
      </w:r>
      <w:r>
        <w:tab/>
      </w:r>
      <w:r>
        <w:rPr>
          <w:rFonts w:ascii="Times New Roman" w:hAnsi="Times New Roman"/>
          <w:sz w:val="24"/>
          <w:u w:val="none"/>
        </w:rPr>
        <w:t>Uwagi</w:t>
      </w:r>
      <w:bookmarkEnd w:id="524"/>
      <w:r>
        <w:rPr>
          <w:rFonts w:ascii="Times New Roman" w:hAnsi="Times New Roman"/>
          <w:sz w:val="24"/>
          <w:u w:val="none"/>
        </w:rPr>
        <w:t xml:space="preserve"> ogólne</w:t>
      </w:r>
      <w:bookmarkEnd w:id="525"/>
      <w:bookmarkEnd w:id="526"/>
      <w:bookmarkEnd w:id="527"/>
      <w:bookmarkEnd w:id="528"/>
      <w:bookmarkEnd w:id="529"/>
      <w:bookmarkEnd w:id="530"/>
      <w:bookmarkEnd w:id="531"/>
      <w:r>
        <w:rPr>
          <w:rFonts w:ascii="Times New Roman" w:hAnsi="Times New Roman"/>
          <w:sz w:val="24"/>
          <w:u w:val="none"/>
        </w:rPr>
        <w:t xml:space="preserve"> </w:t>
      </w:r>
    </w:p>
    <w:p w14:paraId="1DB1CCA4" w14:textId="4FEEFBC8" w:rsidR="00AC6255" w:rsidRPr="002A677E" w:rsidRDefault="0043455E" w:rsidP="00487A02">
      <w:pPr>
        <w:pStyle w:val="InstructionsText2"/>
        <w:numPr>
          <w:ilvl w:val="0"/>
          <w:numId w:val="0"/>
        </w:numPr>
        <w:ind w:left="1353" w:hanging="360"/>
      </w:pPr>
      <w:fldSimple w:instr=" seq paragraphs ">
        <w:r w:rsidR="008F3052">
          <w:t>136</w:t>
        </w:r>
      </w:fldSimple>
      <w:r w:rsidR="008F3052">
        <w:t>.</w:t>
      </w:r>
      <w:r w:rsidR="008F3052">
        <w:tab/>
        <w:t xml:space="preserve"> Niniejszy wzór zawiera informacje na temat obliczania wymogów w zakresie funduszy własnych zgodnie z art. 312–324 rozporządzenia (UE) </w:t>
      </w:r>
      <w:r w:rsidR="008F3052" w:rsidRPr="0043455E">
        <w:t>nr</w:t>
      </w:r>
      <w:r w:rsidRPr="0043455E">
        <w:t> </w:t>
      </w:r>
      <w:r w:rsidR="008F3052" w:rsidRPr="0043455E">
        <w:t>5</w:t>
      </w:r>
      <w:r w:rsidR="008F3052">
        <w:t>75/2013 z tytułu ryzyka operacyjnego według metody wskaźnika bazowego, metody standardowej, alternatywnej metody standardowej i metod zaawansowanego pomiaru. Instytucja nie może stosować metody standardowej i alternatywnej metody standardowej dla linii biznesowych „bankowość detaliczna” i „bankowość komercyjna” w tym samym czasie na poziomie jednostkowym.</w:t>
      </w:r>
    </w:p>
    <w:p w14:paraId="4904781C" w14:textId="77777777" w:rsidR="00AC6255" w:rsidRPr="002A677E" w:rsidRDefault="0043455E" w:rsidP="00487A02">
      <w:pPr>
        <w:pStyle w:val="InstructionsText2"/>
        <w:numPr>
          <w:ilvl w:val="0"/>
          <w:numId w:val="0"/>
        </w:numPr>
        <w:ind w:left="1353" w:hanging="360"/>
      </w:pPr>
      <w:fldSimple w:instr=" seq paragraphs ">
        <w:r w:rsidR="008F3052">
          <w:t>137</w:t>
        </w:r>
      </w:fldSimple>
      <w:r w:rsidR="008F3052">
        <w:t xml:space="preserve">. Instytucje korzystające z metody wskaźnika bazowego, metody standardowej lub alternatywnej metody standardowej obliczają swoje wymogi w zakresie funduszy własnych w oparciu o informacje przedstawione na koniec roku obrotowego. Jeżeli dane zweryfikowane przez biegłego rewidenta nie są dostępne, instytucja może wykorzystać dane szacunkowe. Jeśli wykorzystywane są dane zweryfikowane przez biegłego rewidenta, instytucje zgłaszają te dane, przy czym powinny one pozostać niezmienione. Odstępstwa od tej zasady niezmieniania danych są możliwe, na przykład jeżeli w danym okresie zaistnieją wyjątkowe okoliczności, takie jak niedawne nabycie lub zbycie podmiotów lub działalności. </w:t>
      </w:r>
    </w:p>
    <w:p w14:paraId="4B809D6B" w14:textId="0F1CF0AC" w:rsidR="00AC6255" w:rsidRPr="002A677E" w:rsidRDefault="0043455E" w:rsidP="00487A02">
      <w:pPr>
        <w:pStyle w:val="InstructionsText2"/>
        <w:numPr>
          <w:ilvl w:val="0"/>
          <w:numId w:val="0"/>
        </w:numPr>
        <w:ind w:left="1353" w:hanging="360"/>
      </w:pPr>
      <w:fldSimple w:instr=" seq paragraphs ">
        <w:r w:rsidR="008F3052">
          <w:t>138</w:t>
        </w:r>
      </w:fldSimple>
      <w:r w:rsidR="008F3052">
        <w:t>.</w:t>
      </w:r>
      <w:r w:rsidR="008F3052">
        <w:tab/>
        <w:t xml:space="preserve"> Jeżeli instytucja może udowodnić swojemu właściwemu organowi, że ze względu na wyjątkowe okoliczności, takie jako połączenie, nabycie lub zbycie podmiotów lub działalności, wykorzystanie średniej z trzech lat do obliczenia odpowiedniego wskaźnika prowadziłoby do błędnego oszacowania wymogu w zakresie funduszy własnych z tytułu ryzyka operacyjnego, właściwy organ może zezwolić instytucji na zmianę sposobu obliczania, tak aby uwzględnić takie sytuacje. Właściwy organ może z własnej inicjatywy nałożyć również na instytucję wymóg zmiany sposobu obliczenia. W przypadku gdy instytucja prowadzi działalność przez okres krótszy niż trzy lata, może do obliczania odpowiedniego wskaźnika wykorzystać prognozowane dane szacunkowe, pod warunkiem że zacznie stosować dane historyczne, gdy tylko dane te będą dostępne.</w:t>
      </w:r>
    </w:p>
    <w:p w14:paraId="2023E425" w14:textId="77777777" w:rsidR="00AC6255" w:rsidRPr="002A677E" w:rsidRDefault="0043455E" w:rsidP="00487A02">
      <w:pPr>
        <w:pStyle w:val="InstructionsText2"/>
        <w:numPr>
          <w:ilvl w:val="0"/>
          <w:numId w:val="0"/>
        </w:numPr>
        <w:ind w:left="1353" w:hanging="360"/>
      </w:pPr>
      <w:fldSimple w:instr=" seq paragraphs ">
        <w:r w:rsidR="008F3052">
          <w:t>139</w:t>
        </w:r>
      </w:fldSimple>
      <w:r w:rsidR="008F3052">
        <w:t>.</w:t>
      </w:r>
      <w:r w:rsidR="008F3052">
        <w:tab/>
        <w:t xml:space="preserve"> W kolumnach tego wzoru przedstawia się informacje dotyczące wysokości odpowiedniego wskaźnika działalności bankowej objętej ryzykiem operacyjnym oraz kwoty kredytów i zaliczek (tych ostatnich tylko w przypadku stosowania alternatywnej metody standardowej) w ciągu trzech ostatnich lat. Następnie zgłasza się informację na temat kwoty wymogów w zakresie funduszy własnych z tytułu ryzyka operacyjnego. W stosownych przypadkach należy wyszczególnić, </w:t>
      </w:r>
      <w:r w:rsidR="008F3052">
        <w:lastRenderedPageBreak/>
        <w:t>która część tej kwoty wynika z mechanizmu alokacji. Jeśli chodzi o metody zaawansowanego pomiaru, dodaje się pozycje uzupełniające, aby przedstawić szczegółowe dane dotyczące efektu oczekiwanej straty, dywersyfikacji i technik ograniczania ryzyka dla wymogu w zakresie funduszy własnych z tytułu ryzyka operacyjnego.</w:t>
      </w:r>
    </w:p>
    <w:p w14:paraId="1BF423DA" w14:textId="77777777" w:rsidR="00AC6255" w:rsidRPr="002A677E" w:rsidRDefault="0043455E" w:rsidP="00487A02">
      <w:pPr>
        <w:pStyle w:val="InstructionsText2"/>
        <w:numPr>
          <w:ilvl w:val="0"/>
          <w:numId w:val="0"/>
        </w:numPr>
        <w:ind w:left="1353" w:hanging="360"/>
      </w:pPr>
      <w:fldSimple w:instr=" seq paragraphs ">
        <w:r w:rsidR="008F3052">
          <w:t>140</w:t>
        </w:r>
      </w:fldSimple>
      <w:r w:rsidR="008F3052">
        <w:t>.</w:t>
      </w:r>
      <w:r w:rsidR="008F3052">
        <w:tab/>
        <w:t xml:space="preserve"> W wierszach przedstawia się informacje według metody obliczania wymogu w zakresie funduszy własnych z tytułu ryzyka operacyjnego wraz z wyszczególnieniem linii biznesowych na potrzeby metody standardowej i alternatywnej metody standardowej.</w:t>
      </w:r>
    </w:p>
    <w:p w14:paraId="001035D2" w14:textId="77777777" w:rsidR="00AC6255" w:rsidRPr="002A677E" w:rsidRDefault="0043455E" w:rsidP="00487A02">
      <w:pPr>
        <w:pStyle w:val="InstructionsText2"/>
        <w:numPr>
          <w:ilvl w:val="0"/>
          <w:numId w:val="0"/>
        </w:numPr>
        <w:ind w:left="1353" w:hanging="360"/>
      </w:pPr>
      <w:fldSimple w:instr=" seq paragraphs ">
        <w:r w:rsidR="008F3052">
          <w:t>141</w:t>
        </w:r>
      </w:fldSimple>
      <w:r w:rsidR="008F3052">
        <w:t>.</w:t>
      </w:r>
      <w:r w:rsidR="008F3052">
        <w:tab/>
        <w:t xml:space="preserve"> Wzór ten przedstawiają wszystkie instytucje objęte wymogiem w zakresie funduszy własnych z tytułu ryzyka operacyjnego.</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119064884"/>
      <w:r>
        <w:rPr>
          <w:rFonts w:ascii="Times New Roman" w:hAnsi="Times New Roman"/>
          <w:sz w:val="24"/>
          <w:u w:val="none"/>
        </w:rPr>
        <w:t>4.1.2.</w:t>
      </w:r>
      <w:r>
        <w:tab/>
      </w:r>
      <w:r>
        <w:rPr>
          <w:rFonts w:ascii="Times New Roman" w:hAnsi="Times New Roman"/>
          <w:sz w:val="24"/>
        </w:rPr>
        <w:t>Instrukcje dotyczące poszczególnych pozycji</w:t>
      </w:r>
      <w:bookmarkEnd w:id="532"/>
      <w:bookmarkEnd w:id="533"/>
      <w:bookmarkEnd w:id="534"/>
      <w:bookmarkEnd w:id="535"/>
      <w:bookmarkEnd w:id="536"/>
      <w:bookmarkEnd w:id="537"/>
      <w:bookmarkEnd w:id="538"/>
      <w:bookmarkEnd w:id="539"/>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Kolumny</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ODPOWIEDNI WSKAŹNIK</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4AC3C2B5"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Instytucje korzystające z odpowiedniego wskaźnika do obliczenia wymogu w zakresie funduszy własnych z tytułu ryzyka operacyjnego (według metody wskaźnika bazowego, metody standardowej i alternatywnej metody standardowej) zgłaszają odpowiedni wskaźnik dla poszczególnych lat w kolumnach 0010–0030. Ponadto w przypadku łącznego stosowania różnych metod, o którym mowa w art. 314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instytucje zgłaszają również – w celach informacyjnych – odpowiedni wskaźnik dla działalności objętych metodami zaawansowanego pomiaru. Dotyczy to także wszystkich innych banków objętych metodami zaawansowanego pomiaru.</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246E9030"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Dalej termin „odpowiedni wskaźnik” odnosi się do „sumy elementów” na koniec roku obrotowego, o których mowa w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tabeli 1 w art. 316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Jeśli instytucja posiada dane dotyczące „odpowiedniego wskaźnika” za okres krótszy niż 3 lata, dostępne dane historyczne (dane zweryfikowane przez biegłego rewidenta) przypisywane są według pierwszeństwa do odpowiednich kolumn we wzorze. Jeśli na przykład dostępne są dane historyczne tylko za jeden rok, dane te zgłasza się w kolumnie 0030. W stosownych przypadkach prognozowane dane szacunkowe ujmuje się następnie w kolumnie 0020 (oszacowania dla przyszłego roku) oraz w kolumnie 0010 (oszacowania dla roku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Ponadto jeśli niedostępne są żadne dane historyczne dotyczące „odpowiedniego wskaźnika”, instytucja może wykorzystać prognozowane dane szacunkowe.</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KREDYTY I ZALICZKI (W PRZYPADKU STOSOWANIA ALTERNATYWNEJ METODY STANDARDOWEJ)</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56FFFBF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Kolumny te wykorzystuje się do zgłaszania kwot kredytów i zaliczek, o których mowa w art. 319 ust. 1 lit.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linii biznesowych „bankowość detaliczna” i „bankowość komercyjna”. Kwoty te są wykorzystywane do obliczenia alternatywnego odpowiedniego wskaźnika, który prowadzi do obliczenia wymogów w zakresie funduszy własnych odpowiadających działalności objętej alternatywną metodą standardową (art. 319 ust. 1 lit. 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W przypadku linii biznesowej „bankowość komercyjna” uwzględnia się również papiery wartościowe z portfela bankowego.</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WYMÓG W ZAKRESIE FUNDUSZY WŁASNYCH</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5D234E84"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Wymóg w zakresie funduszy własnych oblicza się za pomocą stosowanych metod oraz zgodnie z art. 312–324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Obliczoną kwotę zgłasza się w kolumnie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CAŁKOWITA KWOTA EKSPOZYCJI NA RYZYKO OPERACYJNE</w:t>
            </w:r>
          </w:p>
          <w:p w14:paraId="46354D72" w14:textId="5047DB3A" w:rsidR="00454CFC" w:rsidRPr="002A677E" w:rsidRDefault="00AC6255" w:rsidP="0002267E">
            <w:pPr>
              <w:rPr>
                <w:rFonts w:ascii="Times New Roman" w:hAnsi="Times New Roman"/>
                <w:sz w:val="24"/>
              </w:rPr>
            </w:pPr>
            <w:r>
              <w:t xml:space="preserve">Art. 92 </w:t>
            </w:r>
            <w:r w:rsidRPr="0043455E">
              <w:t>ust.</w:t>
            </w:r>
            <w:r w:rsidR="0043455E" w:rsidRPr="0043455E">
              <w:t> </w:t>
            </w:r>
            <w:r w:rsidRPr="0043455E">
              <w:t>4</w:t>
            </w:r>
            <w:r>
              <w:t xml:space="preserve"> </w:t>
            </w:r>
            <w:r>
              <w:rPr>
                <w:rFonts w:ascii="Times New Roman" w:hAnsi="Times New Roman"/>
                <w:sz w:val="24"/>
              </w:rPr>
              <w:t xml:space="preserve">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Wymogi w zakresie funduszy własnych w kolumnie 0070 pomnożone przez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 TYM: WYNIKAJĄCE Z MECHANIZMU ALOKACJI</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220E297C" w:rsidR="00AC6255" w:rsidRPr="002A677E" w:rsidRDefault="003E7AEC" w:rsidP="000B0B09">
            <w:pPr>
              <w:jc w:val="left"/>
              <w:rPr>
                <w:rFonts w:ascii="Times New Roman" w:hAnsi="Times New Roman"/>
                <w:bCs/>
                <w:sz w:val="24"/>
              </w:rPr>
            </w:pPr>
            <w:r>
              <w:rPr>
                <w:rFonts w:ascii="Times New Roman" w:hAnsi="Times New Roman"/>
                <w:sz w:val="24"/>
              </w:rPr>
              <w:t xml:space="preserve">Po przyznaniu zezwolenia na stosowanie metod zaawansowanego pomiaru na poziomie skonsolidowanym (art. 18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zgodnie z art. 312 ust. 2 tego rozporządzenia, kapitał ryzyka operacyjnego przypisuje się pomiędzy poszczególne podmioty wchodzące w skład grupy na podstawie zastosowanej przez instytucje metodologii w celu uwzględnienia efektów dywersyfikacji w systemie pomiaru ryzyka stosowanym przez unijną kredytową instytucję dominującą i jej jednostki zależne lub wspólnie przez jednostki zależne unijnej dominującej finansowej spółki holdingowej lub unijnej dominującej finansowej spółki holdingowej o działalności mieszanej. W kolumnie tej zgłasza się wynik tego przypisania.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POZYCJE UZUPEŁNIAJĄCE UJĘTE WEDŁUG METODY ZAAWANSOWANEGO POMIARU, KTÓRE NALEŻY ZGŁASZAĆ W STOSOWNYCH PRZYPADKACH</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WYMÓG W ZAKRESIE FUNDUSZY WŁASNYCH PRZED ZŁAGODZENIEM W WYNIKU OCZEKIWANEJ STRATY, DYWERSYFIKACJI ORAZ TECHNIK OGRANICZANIA RYZYKA</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Wymóg w zakresie funduszy własnych przedstawiony w kolumnie 090 jest wymogiem zgłoszonym w kolumnie 070, ale obliczonym przed uwzględnieniem złagodzenia w wyniku oczekiwanej straty, dywersyfikacji oraz technik ograniczania ryzyka (zob. poniżej).</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ZŁAGODZENIE WYMOGU W ZAKRESIE FUNDUSZY WŁASNYCH WYNIKAJĄCE Z UJĘCIA WSPÓŁCZYNNIKA OCZEKIWANEJ STRATY W NORMACH PROWADZENIA DZIAŁALNOŚCI</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67C7035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W kolumnie 100 zgłasza się złagodzenie wymogów w zakresie funduszy własnych wynikające z ujęcia oczekiwanej straty w wewnętrznych normach prowadzenia działalności (o których mowa w art. 322 ust. 2 lit. 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ZŁAGODZENIE WYMOGU W ZAKRESIE FUNDUSZY WŁASNYCH W WYNIKU DYWERSYFIKACJI</w:t>
            </w:r>
          </w:p>
          <w:p w14:paraId="44264EC0" w14:textId="77442D4C" w:rsidR="00AC6255" w:rsidRPr="002A677E" w:rsidRDefault="00AC6255" w:rsidP="000B0B09">
            <w:pPr>
              <w:rPr>
                <w:rFonts w:ascii="Times New Roman" w:hAnsi="Times New Roman"/>
                <w:sz w:val="24"/>
              </w:rPr>
            </w:pPr>
            <w:r>
              <w:rPr>
                <w:rFonts w:ascii="Times New Roman" w:hAnsi="Times New Roman"/>
                <w:sz w:val="24"/>
              </w:rPr>
              <w:t>Efekt dywersyfikacji zgłaszany w tej kolumnie jest różnicą pomiędzy sumą wymogów w zakresie funduszy własnych obliczaną oddzielnie dla każdej klasy ryzyka operacyjnego (tj. w sytuacji „doskonałej zależności”) oraz zdywersyfikowanego wymogu w zakresie funduszy własnych obliczonego z uwzględnieniem korelacji i zależności (tj. przy założeniu niedoskonałej zależności między klasami ryzyka). Sytuacja „doskonałej zależności” występuje w „przypadku standardowym”, to jest gdy instytucja nie wykorzystuje wyraźnej struktury zależności pomiędzy klasami ryzyka, a tym samym kapitał według metod zaawansowanego pomiaru oblicza się jako sumę poszczególnych wartości ryzyka operacyjnego wybranej klasy ryzyka. W tym przypadku przyjmuje się, że korelacja między klasami ryzyka wynosi 10</w:t>
            </w:r>
            <w:r w:rsidRPr="0043455E">
              <w:rPr>
                <w:rFonts w:ascii="Times New Roman" w:hAnsi="Times New Roman"/>
                <w:sz w:val="24"/>
              </w:rPr>
              <w:t>0</w:t>
            </w:r>
            <w:r w:rsidR="0043455E" w:rsidRPr="0043455E">
              <w:t> </w:t>
            </w:r>
            <w:r w:rsidRPr="0043455E">
              <w:rPr>
                <w:rFonts w:ascii="Times New Roman" w:hAnsi="Times New Roman"/>
                <w:sz w:val="24"/>
              </w:rPr>
              <w:t>%</w:t>
            </w:r>
            <w:r>
              <w:rPr>
                <w:rFonts w:ascii="Times New Roman" w:hAnsi="Times New Roman"/>
                <w:sz w:val="24"/>
              </w:rPr>
              <w:t>, a w kolumnie należy wstawić wartość zerową. Kiedy natomiast instytucja oblicza wyraźną strukturę korelacji pomiędzy klasami ryzyka, musi zgłosić w tej kolumnie różnicę między kapitałem według metod zaawansowanego pomiaru wynikającym z „przypadku standardowego” a kapitałem według metod zaawansowanego pomiaru uzyskanym po zastosowaniu struktury korelacji pomiędzy klasami ryzyka. Wartość ta odzwierciedla „zdolność dywersyfikacji” modelu według metod zaawansowanego pomiaru, tj. zdolność modelu do uchwycenia niejednoczesnego występowania poważnych przypadków strat wynikłych z ryzyka operacyjnego. W kolumnie 110 należy zgłosić kwotę, o jaką przyjęta struktura korelacji zmniejsza kapitał według metod zaawansowanego pomiaru w stosunku do założenia korelacji na poziomie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ZŁAGODZENIE WYMOGU W ZAKRESIE FUNDUSZY WŁASNYCH W WYNIKU STOSOWANIA TECHNIK OGRANICZANIA RYZYKA (UBEZPIECZENIE I INNE MECHANIZMY TRANSFERU RYZYKA)</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1EB3C6BA"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 xml:space="preserve">W tej kolumnie zgłasza się wpływ ubezpieczenia i innych mechanizmów transferu ryzyka zgodnie z art. 323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836936"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Wiersze</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DZIAŁALNOŚĆ BANKOWA OBJĘTA METODĄ WSKAŹNIKA BAZOWEGO</w:t>
            </w:r>
          </w:p>
          <w:p w14:paraId="75BE6738" w14:textId="77777777" w:rsidR="00AC6255" w:rsidRPr="00836936" w:rsidRDefault="00AC6255" w:rsidP="000B0B09">
            <w:pPr>
              <w:pStyle w:val="PlainText"/>
              <w:jc w:val="both"/>
              <w:rPr>
                <w:rFonts w:ascii="Times New Roman" w:eastAsia="Times New Roman" w:hAnsi="Times New Roman"/>
                <w:sz w:val="24"/>
                <w:szCs w:val="24"/>
                <w:lang w:eastAsia="de-DE"/>
              </w:rPr>
            </w:pPr>
          </w:p>
          <w:p w14:paraId="248AD013" w14:textId="0D12199D"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lastRenderedPageBreak/>
              <w:t xml:space="preserve">W wierszu tym przedstawia się kwoty odpowiadające działalności objętej metodą wskaźnika bazowego w celu obliczenia wymogu w zakresie funduszy własnych z tytułu ryzyka operacyjnego (art. 315 i 316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C5D1EC6" w14:textId="77777777" w:rsidR="00AC6255" w:rsidRPr="00836936"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DZIAŁALNOŚĆ BANKOWA OBJĘTA METODĄ STANDARDOWĄ/ALTERNATYWNĄ METODĄ STANDARDOWĄ</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1D7672F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Zgłasza się wymóg w zakresie funduszy własnych obliczony według metody standardowej i alternatywnej metody standardowej (art. 317, 318 i 319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OBJĘTA METODĄ STANDARDOWA</w:t>
            </w:r>
          </w:p>
          <w:p w14:paraId="6510A110" w14:textId="61D72873"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W przypadku korzystania z metody standardowej w wierszach 0030–0100 wprowadza się odpowiedni wskaźnik dla każdego danego roku w odniesieniu do linii biznesowych, o których mowa w tabeli 2 w art. 317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Przyporządkowywanie działań do linii biznesowych jest zgodne z zasadami określonymi w art. 318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OBJĘTA ALTERNATYWNĄ METODĄ STANDARDOWĄ</w:t>
            </w:r>
          </w:p>
          <w:p w14:paraId="16F5DC90" w14:textId="70F0EDAF" w:rsidR="00AC6255" w:rsidRPr="002A677E" w:rsidRDefault="00AC6255" w:rsidP="000B0B09">
            <w:pPr>
              <w:rPr>
                <w:rFonts w:ascii="Times New Roman" w:hAnsi="Times New Roman"/>
                <w:sz w:val="24"/>
              </w:rPr>
            </w:pPr>
            <w:r>
              <w:rPr>
                <w:rFonts w:ascii="Times New Roman" w:hAnsi="Times New Roman"/>
                <w:sz w:val="24"/>
              </w:rPr>
              <w:t xml:space="preserve">Instytucje stosujące alternatywną metodę standardową (art. 319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zgłaszają za odpowiednie lata odpowiedni wskaźnika osobno dla każdej linii biznesowej w wierszach 0030–0050 i 0080–0100 oraz w wierszach 0110 i 0120 dla linii biznesowych „Bankowość komercyjna” i „Bankowość detaliczna”. </w:t>
            </w:r>
          </w:p>
          <w:p w14:paraId="711B3D00" w14:textId="2A70A921"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Wiersze 110 i 120 przedstawiają wartość odpowiedniego wskaźnika</w:t>
            </w:r>
            <w:r>
              <w:rPr>
                <w:rFonts w:ascii="Times New Roman" w:hAnsi="Times New Roman"/>
                <w:sz w:val="24"/>
              </w:rPr>
              <w:t xml:space="preserve"> w odniesieniu do </w:t>
            </w:r>
            <w:r>
              <w:rPr>
                <w:rStyle w:val="InstructionsTabelleText"/>
                <w:rFonts w:ascii="Times New Roman" w:hAnsi="Times New Roman"/>
                <w:sz w:val="24"/>
              </w:rPr>
              <w:t>działań objętych alternatywną metodą standardową, stosując podział na wartości odpowiadające linii biznesowej „bankowość komercyjna” i wartości odpowiadające linii biznesowej „bankowość detaliczna” (art. 319</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Mogą istnieć kwoty, które należy zgłosić w wierszach odpowiadających „Bankowości komercyjnej” i „Bankowości detalicznej” według metody standardowej (wiersze 0060 i 0070), jak również w wierszach 0110 i 0120 w przypadku alternatywnej metody standardowej (np. gdy jednostka zależna jest objęta metodą standardową, natomiast jednostka dominująca jest objęta alternatywną metodą standardową).</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DZIAŁALNOŚĆ BANKOWA OBJĘTA METODAMI ZAAWANSOWANEGO POMIARU</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25C0A316"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Zgłasza się odpowiednie dane dotyczące instytucji stosujących metody zaawansowanego pomiaru (art. 312 ust. 2 oraz art. 321, 322 i 323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4A42810C"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W przypadku łącznego stosowania różnych metod, o którym mowa w art. 314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zgłasza się informacje na temat odpowiedniego wskaźnika dla działalności objętych metodami zaawansowanego pomiaru. Dotyczy to także wszystkich innych banków objętych metodami zaawansowanego pomiaru.</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836936"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119064885"/>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tab/>
      </w:r>
      <w:r>
        <w:rPr>
          <w:rFonts w:ascii="Times New Roman" w:hAnsi="Times New Roman"/>
          <w:sz w:val="24"/>
        </w:rPr>
        <w:t>Ryzyko operacyjne: Szczegółowe informacje na temat strat w ostatnim roku (OPR SZCZEGÓŁY)</w:t>
      </w:r>
      <w:bookmarkEnd w:id="575"/>
      <w:bookmarkEnd w:id="576"/>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119064886"/>
      <w:r>
        <w:rPr>
          <w:rFonts w:ascii="Times New Roman" w:hAnsi="Times New Roman"/>
          <w:sz w:val="24"/>
          <w:u w:val="none"/>
        </w:rPr>
        <w:t>4.2.1.</w:t>
      </w:r>
      <w:r>
        <w:tab/>
      </w:r>
      <w:r>
        <w:rPr>
          <w:rFonts w:ascii="Times New Roman" w:hAnsi="Times New Roman"/>
          <w:sz w:val="24"/>
        </w:rPr>
        <w:t>Uwagi ogólne</w:t>
      </w:r>
      <w:bookmarkEnd w:id="577"/>
      <w:bookmarkEnd w:id="578"/>
    </w:p>
    <w:p w14:paraId="2C97A2C8" w14:textId="77777777" w:rsidR="00FD54FC" w:rsidRPr="002A677E" w:rsidRDefault="0043455E" w:rsidP="00487A02">
      <w:pPr>
        <w:pStyle w:val="InstructionsText2"/>
        <w:numPr>
          <w:ilvl w:val="0"/>
          <w:numId w:val="0"/>
        </w:numPr>
        <w:ind w:left="1353" w:hanging="360"/>
      </w:pPr>
      <w:fldSimple w:instr=" seq paragraphs ">
        <w:r w:rsidR="008F3052">
          <w:t>142</w:t>
        </w:r>
      </w:fldSimple>
      <w:r w:rsidR="008F3052">
        <w:t>.</w:t>
      </w:r>
      <w:r w:rsidR="008F3052">
        <w:tab/>
        <w:t xml:space="preserve"> Wzór C 17.01 (OPR SZCZEGÓŁY 1) zawiera streszczenie informacji dotyczących strat brutto i odzyskanych należności odnotowanych przez instytucję w ostatnim roku według rodzajów zdarzeń i linii biznesowych. Wzór C 17.02 (OPR SZCZEGÓŁY 2) zawiera szczegółowe informacje na temat największych zdarzeń straty w ostatnim roku. </w:t>
      </w:r>
    </w:p>
    <w:p w14:paraId="504CA18E" w14:textId="77777777" w:rsidR="00FD54FC" w:rsidRPr="002A677E" w:rsidRDefault="0043455E" w:rsidP="00487A02">
      <w:pPr>
        <w:pStyle w:val="InstructionsText2"/>
        <w:numPr>
          <w:ilvl w:val="0"/>
          <w:numId w:val="0"/>
        </w:numPr>
        <w:ind w:left="1353" w:hanging="360"/>
      </w:pPr>
      <w:fldSimple w:instr=" seq paragraphs ">
        <w:r w:rsidR="008F3052">
          <w:t>143</w:t>
        </w:r>
      </w:fldSimple>
      <w:r w:rsidR="008F3052">
        <w:t>. Strat wynikłych z ryzyka operacyjnego, które są związane z ryzykiem kredytowym i podlegają wymogom w zakresie funduszy własnych z tytułu ryzyka kredytowego (graniczne zdarzenia ryzyka operacyjnego związane z kredytami), nie uwzględnia się ani we wzorze C 17.01, ani we wzorze C 17.02.</w:t>
      </w:r>
    </w:p>
    <w:p w14:paraId="26DEA8B1" w14:textId="4561CBF6" w:rsidR="00FD54FC" w:rsidRPr="002A677E" w:rsidRDefault="0043455E" w:rsidP="00487A02">
      <w:pPr>
        <w:pStyle w:val="InstructionsText2"/>
        <w:numPr>
          <w:ilvl w:val="0"/>
          <w:numId w:val="0"/>
        </w:numPr>
        <w:ind w:left="1353" w:hanging="360"/>
      </w:pPr>
      <w:fldSimple w:instr=" seq paragraphs ">
        <w:r w:rsidR="008F3052">
          <w:t>144</w:t>
        </w:r>
      </w:fldSimple>
      <w:r w:rsidR="008F3052">
        <w:t xml:space="preserve">. W przypadku łącznego stosowania różnych metod obliczania wymogów w zakresie funduszy własnych z tytułu ryzyka operacyjnego zgodnie z art. 314 rozporządzenia (UE) </w:t>
      </w:r>
      <w:r w:rsidR="008F3052" w:rsidRPr="0043455E">
        <w:t>nr</w:t>
      </w:r>
      <w:r w:rsidRPr="0043455E">
        <w:t> </w:t>
      </w:r>
      <w:r w:rsidR="008F3052" w:rsidRPr="0043455E">
        <w:t>5</w:t>
      </w:r>
      <w:r w:rsidR="008F3052">
        <w:t>75/2013 straty i odzyskane należności odnotowane przez instytucję zgłasza się we wzorze C 17.01 i C 17.02 niezależnie od zastosowanej metody obliczenia wymogów w zakresie funduszy własnych.</w:t>
      </w:r>
    </w:p>
    <w:p w14:paraId="46FA5B8D" w14:textId="01290795" w:rsidR="00FD54FC" w:rsidRPr="002A677E" w:rsidRDefault="0043455E" w:rsidP="00487A02">
      <w:pPr>
        <w:pStyle w:val="InstructionsText2"/>
        <w:numPr>
          <w:ilvl w:val="0"/>
          <w:numId w:val="0"/>
        </w:numPr>
        <w:ind w:left="1353" w:hanging="360"/>
      </w:pPr>
      <w:fldSimple w:instr=" seq paragraphs ">
        <w:r w:rsidR="008F3052">
          <w:t>145</w:t>
        </w:r>
      </w:fldSimple>
      <w:r w:rsidR="008F3052">
        <w:t xml:space="preserve">. „Straty brutto” oznaczają straty, o których mowa w art. 322 ust. 3 lit. b) rozporządzenia (UE) </w:t>
      </w:r>
      <w:r w:rsidR="008F3052" w:rsidRPr="0043455E">
        <w:t>nr</w:t>
      </w:r>
      <w:r w:rsidRPr="0043455E">
        <w:t> </w:t>
      </w:r>
      <w:r w:rsidR="008F3052" w:rsidRPr="0043455E">
        <w:t>5</w:t>
      </w:r>
      <w:r w:rsidR="008F3052">
        <w:t xml:space="preserve">75/2013, wynikłe ze zdarzenia lub rodzaju zdarzenia ryzyka operacyjnego przed odzyskaniem jakichkolwiek należności, bez uszczerbku dla „szybko odzyskanych zdarzeń straty” zdefiniowanych poniżej. </w:t>
      </w:r>
    </w:p>
    <w:p w14:paraId="0D97147B" w14:textId="77777777" w:rsidR="00FD54FC" w:rsidRPr="002A677E" w:rsidRDefault="0043455E" w:rsidP="00487A02">
      <w:pPr>
        <w:pStyle w:val="InstructionsText2"/>
        <w:numPr>
          <w:ilvl w:val="0"/>
          <w:numId w:val="0"/>
        </w:numPr>
        <w:ind w:left="1353" w:hanging="360"/>
      </w:pPr>
      <w:fldSimple w:instr=" seq paragraphs ">
        <w:r w:rsidR="008F3052">
          <w:t>146</w:t>
        </w:r>
      </w:fldSimple>
      <w:r w:rsidR="008F3052">
        <w:t>. „Odzyskanie należności” oznacza niezależne, odrębne w czasie zdarzenie powiązane z pierwotną stratą wynikłą z ryzyka operacyjnego, w ramach którego środki lub wpływy korzyści ekonomicznych otrzymywane są od osób pierwszych lub trzecich, takich jak zakłady ubezpieczeń lub inne podmioty. Odzyskane należności dzieli się na należności odzyskane z ubezpieczenia i innych mechanizmów transferu ryzyka oraz bezpośrednio odzyskane należności.</w:t>
      </w:r>
    </w:p>
    <w:p w14:paraId="77F96781" w14:textId="77777777" w:rsidR="00FD54FC" w:rsidRPr="002A677E" w:rsidRDefault="0043455E" w:rsidP="00487A02">
      <w:pPr>
        <w:pStyle w:val="InstructionsText2"/>
        <w:numPr>
          <w:ilvl w:val="0"/>
          <w:numId w:val="0"/>
        </w:numPr>
        <w:ind w:left="1353" w:hanging="360"/>
      </w:pPr>
      <w:fldSimple w:instr=" seq paragraphs ">
        <w:r w:rsidR="008F3052">
          <w:t>147</w:t>
        </w:r>
      </w:fldSimple>
      <w:r w:rsidR="008F3052">
        <w:t>.</w:t>
      </w:r>
      <w:r w:rsidR="008F3052">
        <w:tab/>
        <w:t xml:space="preserve"> „Zdarzenia szybko odzyskanej straty” oznaczają zdarzenia ryzyka operacyjnego prowadzące do powstania strat, które są częściowo lub w pełni odzyskiwane w terminie pięciu dni roboczych. W przypadku szybko odzyskanego zdarzenia straty jedynie część straty, która nie została w pełni odzyskana (tzn. strata netto po częściowym szybkim odzyskaniu należności), ujmuje się w definicji strat brutto. W związku z powyższym zdarzeń straty prowadzących do strat, które są w pełni odzyskiwane w terminie pięciu dni roboczych, nie ujmuje się w definicji strat brutto, ani nie są one objęte sprawozdawczością we wzorze OPR SZCZEGÓŁY.</w:t>
      </w:r>
    </w:p>
    <w:p w14:paraId="3604C23D" w14:textId="77777777" w:rsidR="00FD54FC" w:rsidRPr="002A677E" w:rsidRDefault="0043455E" w:rsidP="00487A02">
      <w:pPr>
        <w:pStyle w:val="InstructionsText2"/>
        <w:numPr>
          <w:ilvl w:val="0"/>
          <w:numId w:val="0"/>
        </w:numPr>
        <w:ind w:left="1353" w:hanging="360"/>
      </w:pPr>
      <w:fldSimple w:instr=" seq paragraphs ">
        <w:r w:rsidR="008F3052">
          <w:t>148</w:t>
        </w:r>
      </w:fldSimple>
      <w:r w:rsidR="008F3052">
        <w:t>.</w:t>
      </w:r>
      <w:r w:rsidR="008F3052">
        <w:tab/>
        <w:t xml:space="preserve"> „Data rozliczenia” oznacza datę pierwszego ujęcia straty lub rezerwy w rachunku zysków i strat w odniesieniu do straty wynikłej z ryzyka operacyjnego. Data ta jest późniejsza od „Daty zdarzenia” (tj. daty wystąpienia lub rozpoczęcia zdarzenia ryzyka operacyjnego) i „Daty wykrycia” (tj. daty, kiedy instytucja dowiedziała się o zdarzeniu ryzyka operacyjnego). </w:t>
      </w:r>
    </w:p>
    <w:p w14:paraId="6F9C7A18" w14:textId="77777777" w:rsidR="00FD54FC" w:rsidRPr="002A677E" w:rsidRDefault="0043455E" w:rsidP="00487A02">
      <w:pPr>
        <w:pStyle w:val="InstructionsText2"/>
        <w:numPr>
          <w:ilvl w:val="0"/>
          <w:numId w:val="0"/>
        </w:numPr>
        <w:ind w:left="1353" w:hanging="360"/>
      </w:pPr>
      <w:fldSimple w:instr=" seq paragraphs ">
        <w:r w:rsidR="008F3052">
          <w:t>149</w:t>
        </w:r>
      </w:fldSimple>
      <w:r w:rsidR="008F3052">
        <w:t>.</w:t>
      </w:r>
      <w:r w:rsidR="008F3052">
        <w:tab/>
        <w:t xml:space="preserve"> Straty wynikłe ze zwykłego zdarzenia ryzyka operacyjnego lub z wielu zdarzeń powiązanych z pierwotnym zdarzeniem ryzyka operacyjnego generującym zdarzenia lub straty („zdarzenie generujące”) są grupowane. Zgrupowane zdarzenia są traktowane i zgłaszane jako jedno zdarzenie, w wyniku czego sumowane są powiązane kwoty strat brutto względnie kwoty korekt strat.</w:t>
      </w:r>
    </w:p>
    <w:p w14:paraId="6104E60D" w14:textId="77777777" w:rsidR="00FD54FC" w:rsidRPr="002A677E" w:rsidRDefault="0043455E" w:rsidP="00487A02">
      <w:pPr>
        <w:pStyle w:val="InstructionsText2"/>
        <w:numPr>
          <w:ilvl w:val="0"/>
          <w:numId w:val="0"/>
        </w:numPr>
        <w:ind w:left="1353" w:hanging="360"/>
      </w:pPr>
      <w:fldSimple w:instr=" seq paragraphs ">
        <w:r w:rsidR="008F3052">
          <w:t>150</w:t>
        </w:r>
      </w:fldSimple>
      <w:r w:rsidR="008F3052">
        <w:t>.</w:t>
      </w:r>
      <w:r w:rsidR="008F3052">
        <w:tab/>
        <w:t xml:space="preserve"> Dane liczbowe przekazywane w czerwcu danego roku są danymi przejściowymi, podczas gdy ostateczne dane liczbowe zgłaszane są w grudniu. Dane liczbowe przekazywane w czerwcu mają zatem sześciomiesięczny okres odniesienia (tj. od dnia 1 stycznia do dnia 30 czerwca roku kalendarzowego), a dane liczbowe przekazywane w grudniu – dwunastomiesięczny okres odniesienia (tj. od dnia 1 stycznia do dnia 31 grudnia roku kalendarzowego). Zarówno w przypadku danych przekazywanych w czerwcu, jak i danych przekazywanych w grudniu „poprzednie sprawozdawcze okresy odniesienia” oznaczają wszystkie sprawozdawcze okresy odniesienia do okresu upływającego z końcem poprzedzającego roku kalendarzowego włącznie.</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119064887"/>
      <w:r>
        <w:rPr>
          <w:rFonts w:ascii="Times New Roman" w:hAnsi="Times New Roman"/>
          <w:sz w:val="24"/>
          <w:u w:val="none"/>
        </w:rPr>
        <w:t>4.2.2.</w:t>
      </w:r>
      <w:r>
        <w:tab/>
      </w:r>
      <w:r>
        <w:rPr>
          <w:rFonts w:ascii="Times New Roman" w:hAnsi="Times New Roman"/>
          <w:sz w:val="24"/>
        </w:rPr>
        <w:t>C 17.01: Ryzyko operacyjne: straty i odzyskane należności według linii biznesowych i rodzajów zdarzeń straty w ostatnim roku (OPR SZCZEGÓŁY 1)</w:t>
      </w:r>
      <w:bookmarkEnd w:id="579"/>
      <w:bookmarkEnd w:id="580"/>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119064888"/>
      <w:r>
        <w:rPr>
          <w:rFonts w:ascii="Times New Roman" w:hAnsi="Times New Roman"/>
          <w:sz w:val="24"/>
          <w:u w:val="none"/>
        </w:rPr>
        <w:t>4.2.2.1.</w:t>
      </w:r>
      <w:r>
        <w:tab/>
      </w:r>
      <w:r>
        <w:rPr>
          <w:rFonts w:ascii="Times New Roman" w:hAnsi="Times New Roman"/>
          <w:sz w:val="24"/>
        </w:rPr>
        <w:t>Uwagi ogólne</w:t>
      </w:r>
      <w:bookmarkEnd w:id="581"/>
      <w:bookmarkEnd w:id="582"/>
    </w:p>
    <w:p w14:paraId="1B1EFECB" w14:textId="6F1746DE" w:rsidR="00FD54FC" w:rsidRPr="002A677E" w:rsidRDefault="0043455E" w:rsidP="00487A02">
      <w:pPr>
        <w:pStyle w:val="InstructionsText2"/>
        <w:numPr>
          <w:ilvl w:val="0"/>
          <w:numId w:val="0"/>
        </w:numPr>
        <w:ind w:left="1353" w:hanging="360"/>
      </w:pPr>
      <w:fldSimple w:instr=" seq paragraphs ">
        <w:r w:rsidR="008F3052">
          <w:t>151</w:t>
        </w:r>
      </w:fldSimple>
      <w:r w:rsidR="008F3052">
        <w:t xml:space="preserve">. We wzorze C 17.01 informacje przedstawia się, rozkładając straty i odzyskane należności przekraczające wewnętrzne progi na linie biznesowe (wykazane w tabeli 2 w art. 317 rozporządzenia (UE) </w:t>
      </w:r>
      <w:r w:rsidR="008F3052" w:rsidRPr="0043455E">
        <w:t>nr</w:t>
      </w:r>
      <w:r w:rsidRPr="0043455E">
        <w:t> </w:t>
      </w:r>
      <w:r w:rsidR="008F3052" w:rsidRPr="0043455E">
        <w:t>5</w:t>
      </w:r>
      <w:r w:rsidR="008F3052">
        <w:t xml:space="preserve">75/2013, w tym dodatkową linię biznesową „pozycje korporacyjne”, o której mowa w art. 322 ust. 3 lit. b) rozporządzenia (UE) </w:t>
      </w:r>
      <w:r w:rsidR="008F3052" w:rsidRPr="0043455E">
        <w:t>nr</w:t>
      </w:r>
      <w:r w:rsidRPr="0043455E">
        <w:t> </w:t>
      </w:r>
      <w:r w:rsidR="008F3052" w:rsidRPr="0043455E">
        <w:t>5</w:t>
      </w:r>
      <w:r w:rsidR="008F3052">
        <w:t xml:space="preserve">75/2013) i rodzaje zdarzeń straty (o których mowa w art. 324 rozporządzenia (UE) </w:t>
      </w:r>
      <w:r w:rsidR="008F3052" w:rsidRPr="0043455E">
        <w:t>nr</w:t>
      </w:r>
      <w:r w:rsidRPr="0043455E">
        <w:t> </w:t>
      </w:r>
      <w:r w:rsidR="008F3052" w:rsidRPr="0043455E">
        <w:t>5</w:t>
      </w:r>
      <w:r w:rsidR="008F3052">
        <w:t>75/2013). Możliwe jest rozłożenie strat odpowiadających jednemu zdarzeniu straty na kilka linii biznesowych.</w:t>
      </w:r>
    </w:p>
    <w:p w14:paraId="0F217350" w14:textId="77777777" w:rsidR="00FD54FC" w:rsidRPr="002A677E" w:rsidRDefault="0043455E" w:rsidP="00487A02">
      <w:pPr>
        <w:pStyle w:val="InstructionsText2"/>
        <w:numPr>
          <w:ilvl w:val="0"/>
          <w:numId w:val="0"/>
        </w:numPr>
        <w:ind w:left="1353" w:hanging="360"/>
      </w:pPr>
      <w:fldSimple w:instr=" seq paragraphs ">
        <w:r w:rsidR="008F3052">
          <w:t>152</w:t>
        </w:r>
      </w:fldSimple>
      <w:r w:rsidR="008F3052">
        <w:t>. W kolumnach przedstawiono różne rodzaje zdarzeń straty i sumy łączne w odniesieniu do każdej linii biznesowej wraz z pozycją uzupełniającą, w której wskazano najniższy wewnętrzny próg zastosowany przy gromadzeniu danych o stratach, podając w ramach każdej linii biznesowej najniższy i najwyższy próg, w przypadku gdy istnieje więcej niż jeden.</w:t>
      </w:r>
    </w:p>
    <w:p w14:paraId="11517512" w14:textId="77777777" w:rsidR="00FD54FC" w:rsidRPr="002A677E" w:rsidRDefault="0043455E" w:rsidP="00487A02">
      <w:pPr>
        <w:pStyle w:val="InstructionsText2"/>
        <w:numPr>
          <w:ilvl w:val="0"/>
          <w:numId w:val="0"/>
        </w:numPr>
        <w:ind w:left="1353" w:hanging="360"/>
      </w:pPr>
      <w:fldSimple w:instr=" seq paragraphs ">
        <w:r w:rsidR="008F3052">
          <w:t>153</w:t>
        </w:r>
      </w:fldSimple>
      <w:r w:rsidR="008F3052">
        <w:t>.</w:t>
      </w:r>
      <w:r w:rsidR="008F3052">
        <w:tab/>
        <w:t xml:space="preserve"> W wierszach przedstawia się linie biznesowe, a w ramach każdej linii biznesowej informacje dotyczące liczby zdarzeń straty (nowe zdarzenia straty), kwoty strat brutto (nowe zdarzenia), liczby zdarzeń straty objętych korektami strat, korekt strat dotyczących poprzednich okresów sprawozdawczych, maksymalnej pojedynczej straty, sumy pięciu największych strat oraz informacje dotyczące całkowitych odzyskanych należności (bezpośrednio odzyskane należności oraz należności odzyskane z ubezpieczenia i innych mechanizmów transferu ryzyka).</w:t>
      </w:r>
    </w:p>
    <w:p w14:paraId="7D04DF12" w14:textId="7AF407C5" w:rsidR="00FD54FC" w:rsidRPr="002A677E" w:rsidRDefault="0043455E" w:rsidP="00487A02">
      <w:pPr>
        <w:pStyle w:val="InstructionsText2"/>
        <w:numPr>
          <w:ilvl w:val="0"/>
          <w:numId w:val="0"/>
        </w:numPr>
        <w:ind w:left="1353" w:hanging="360"/>
      </w:pPr>
      <w:fldSimple w:instr=" seq paragraphs ">
        <w:r w:rsidR="008F3052">
          <w:t>154</w:t>
        </w:r>
      </w:fldSimple>
      <w:r w:rsidR="008F3052">
        <w:t xml:space="preserve">. W odniesieniu do „linii biznesowych razem” dane dotyczące liczby zdarzeń straty i kwoty strat brutto zgłasza się również w odniesieniu do niektórych przedziałów ustalonych na podstawie określonych progów, </w:t>
      </w:r>
      <w:r w:rsidR="008F3052" w:rsidRPr="0043455E">
        <w:t>tj.</w:t>
      </w:r>
      <w:r w:rsidRPr="0043455E">
        <w:t> </w:t>
      </w:r>
      <w:r w:rsidR="008F3052" w:rsidRPr="0043455E">
        <w:t>1</w:t>
      </w:r>
      <w:r w:rsidR="008F3052">
        <w:t xml:space="preserve">0 000, 20 000, 100 000 oraz 1 000 000. Progi te określone są w EUR i są uwzględnione do celów </w:t>
      </w:r>
      <w:r w:rsidR="008F3052">
        <w:lastRenderedPageBreak/>
        <w:t>porównywalności strat zgłaszanych przez instytucje. Progi te nie są zatem koniecznie związane z progami minimalnych strat stosowanymi do celów gromadzenia wewnętrznych danych dotyczących strat, które są zgłaszane w innej sekcji wzoru.</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119064889"/>
      <w:r>
        <w:rPr>
          <w:rFonts w:ascii="Times New Roman" w:hAnsi="Times New Roman"/>
          <w:sz w:val="24"/>
          <w:u w:val="none"/>
        </w:rPr>
        <w:t>4.2.2.2.</w:t>
      </w:r>
      <w:r>
        <w:tab/>
      </w:r>
      <w:r>
        <w:rPr>
          <w:rFonts w:ascii="Times New Roman" w:hAnsi="Times New Roman"/>
          <w:sz w:val="24"/>
        </w:rPr>
        <w:t>Instrukcje dotyczące poszczególnych pozycji</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Kolumny</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RODZAJE ZDARZEŃ</w:t>
            </w:r>
          </w:p>
          <w:p w14:paraId="1B7D4744" w14:textId="4E93CF4E" w:rsidR="00FD54FC" w:rsidRPr="002A677E" w:rsidRDefault="00FD54FC" w:rsidP="00FD54FC">
            <w:pPr>
              <w:rPr>
                <w:rFonts w:ascii="Times New Roman" w:hAnsi="Times New Roman"/>
                <w:sz w:val="24"/>
              </w:rPr>
            </w:pPr>
            <w:r>
              <w:rPr>
                <w:rFonts w:ascii="Times New Roman" w:hAnsi="Times New Roman"/>
                <w:sz w:val="24"/>
              </w:rPr>
              <w:t xml:space="preserve">Instytucje zgłaszają straty w odpowiednich kolumnach </w:t>
            </w:r>
            <w:r w:rsidRPr="0043455E">
              <w:rPr>
                <w:rFonts w:ascii="Times New Roman" w:hAnsi="Times New Roman"/>
                <w:sz w:val="24"/>
              </w:rPr>
              <w:t>od</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010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070 według rodzajów zdarzeń straty, o których mowa w art. 324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Instytucje, które obliczają swoje wymogi w zakresie funduszy własnych zgodnie z metodą wskaźnika bazowego, mogą zgłaszać te straty, w odniesieniu do których nie zidentyfikowano rodzaju zdarzenia straty, wyłącznie w kolumnie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RODZAJE ZDARZEŃ STRATY RAZEM</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W kolumnie 0080 w odniesieniu do każdej linii biznesowej instytucje zgłaszają łączną „liczbę zdarzeń straty (nowe zdarzenia straty)”, łączną „kwotę strat brutto (nowe zdarzenia straty)”, łączną „liczbę zdarzeń straty objętych korektami strat”, łączne „korekty strat dotyczących poprzednich okresów sprawozdawczych”, „maksymalną pojedynczą stratę”, „sumę pięciu największych strat”, łączne „całkowite bezpośrednio odzyskane należności” oraz łączne „całkowite należności odzyskane z ubezpieczenia i innych mechanizmów transferu ryzyka”.</w:t>
            </w:r>
          </w:p>
          <w:p w14:paraId="435DA6FC" w14:textId="4058A0D6"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Założywszy, że instytucja określiła rodzaje zdarzeń straty dla wszystkich strat, kolumna 080 pokazuje prostą agregację liczby zdarzeń straty, całkowitych kwot strat brutto, całkowitych kwot odzyskanych należności oraz „korekt strat dotyczących poprzednich okresów sprawozdawczych” zgłoszonych w kolumnach </w:t>
            </w:r>
            <w:r w:rsidRPr="0043455E">
              <w:rPr>
                <w:rStyle w:val="InstructionsTabelleText"/>
                <w:rFonts w:ascii="Times New Roman" w:hAnsi="Times New Roman"/>
                <w:sz w:val="24"/>
              </w:rPr>
              <w:t>od</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0</w:t>
            </w:r>
            <w:r>
              <w:rPr>
                <w:rStyle w:val="InstructionsTabelleText"/>
                <w:rFonts w:ascii="Times New Roman" w:hAnsi="Times New Roman"/>
                <w:sz w:val="24"/>
              </w:rPr>
              <w:t xml:space="preserve">010 </w:t>
            </w:r>
            <w:r w:rsidRPr="0043455E">
              <w:rPr>
                <w:rStyle w:val="InstructionsTabelleText"/>
                <w:rFonts w:ascii="Times New Roman" w:hAnsi="Times New Roman"/>
                <w:sz w:val="24"/>
              </w:rPr>
              <w:t>do</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0</w:t>
            </w:r>
            <w:r>
              <w:rPr>
                <w:rStyle w:val="InstructionsTabelleText"/>
                <w:rFonts w:ascii="Times New Roman" w:hAnsi="Times New Roman"/>
                <w:sz w:val="24"/>
              </w:rPr>
              <w:t xml:space="preserve">070. </w:t>
            </w:r>
          </w:p>
          <w:p w14:paraId="7ADBEC5B" w14:textId="752268DD"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„Maksymalna pojedyncza strata” zgłoszona w kolumnie 0080 oznacza maksymalną pojedynczą stratę w ramach linii biznesowej i jest identyczna z maksymalną wartością „maksymalnych pojedynczych strat” zgłoszonych w kolumnach </w:t>
            </w:r>
            <w:r w:rsidRPr="0043455E">
              <w:rPr>
                <w:rStyle w:val="InstructionsTabelleText"/>
                <w:rFonts w:ascii="Times New Roman" w:hAnsi="Times New Roman"/>
                <w:sz w:val="24"/>
              </w:rPr>
              <w:t>od</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0</w:t>
            </w:r>
            <w:r>
              <w:rPr>
                <w:rStyle w:val="InstructionsTabelleText"/>
                <w:rFonts w:ascii="Times New Roman" w:hAnsi="Times New Roman"/>
                <w:sz w:val="24"/>
              </w:rPr>
              <w:t xml:space="preserve">010 </w:t>
            </w:r>
            <w:r w:rsidRPr="0043455E">
              <w:rPr>
                <w:rStyle w:val="InstructionsTabelleText"/>
                <w:rFonts w:ascii="Times New Roman" w:hAnsi="Times New Roman"/>
                <w:sz w:val="24"/>
              </w:rPr>
              <w:t>do</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0</w:t>
            </w:r>
            <w:r>
              <w:rPr>
                <w:rStyle w:val="InstructionsTabelleText"/>
                <w:rFonts w:ascii="Times New Roman" w:hAnsi="Times New Roman"/>
                <w:sz w:val="24"/>
              </w:rPr>
              <w:t xml:space="preserve">070, założywszy, że instytucja określiła rodzaje zdarzeń straty dla wszystkich strat.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W odniesieniu do sumy pięciu największych strat w kolumnie 0080 zgłasza się sumę pięciu największych strat w ramach jednej linii biznesowej.</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POZYCJA UZUPEŁNIAJĄCA: PRÓG STOSOWANY NA POTRZEBY GROMADZENIA DANYCH</w:t>
            </w:r>
          </w:p>
          <w:p w14:paraId="6C9949A4" w14:textId="484B9029"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W kolumnach 0090 i 0100 instytucje zgłaszają progi minimalnych strat, które stosują do celów gromadzenia wewnętrznych danych o stratach zgodnie z art. 322 ust. 3 lit. c)</w:t>
            </w:r>
            <w:r>
              <w:rPr>
                <w:rFonts w:ascii="Times New Roman" w:hAnsi="Times New Roman"/>
                <w:sz w:val="24"/>
              </w:rPr>
              <w:t xml:space="preserve"> zdanie ostatnie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Jeżeli instytucja stosuje tylko jeden próg w odniesieniu do każdej linii biznesowej, należy wypełnić jedynie kolumnę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W przypadku gdy istnieją różne progi stosowane w ramach tych samych regulacyjnych linii biznesowych, należy wypełnić również najwyższy obowiązujący próg (kolumna 0100).</w:t>
            </w:r>
          </w:p>
        </w:tc>
      </w:tr>
    </w:tbl>
    <w:p w14:paraId="7D438528" w14:textId="77777777" w:rsidR="00FD54FC" w:rsidRPr="00836936"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Wiersze</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LINIE BIZNESOWE: FINANSOWANIE PRZEDSIĘBIORSTW, HANDEL I SPRZEDAŻ, DETALICZNA DZIAŁALNOŚĆ BROKERSKA, BANKOWOŚĆ KOMERCYJNA, BANKOWOŚĆ DETALICZNA, PŁATNOŚCI I ROZLICZENIA, USŁUGI POŚREDNICTWA, ZARZĄDZANIE AKTYWAMI, POZYCJE KORPORACYJNE</w:t>
            </w:r>
          </w:p>
          <w:p w14:paraId="4ABD41A7" w14:textId="60ABDC14" w:rsidR="00FD54FC" w:rsidRPr="002A677E" w:rsidRDefault="00FD54FC" w:rsidP="00FD54FC">
            <w:pPr>
              <w:pStyle w:val="PlainText"/>
              <w:jc w:val="both"/>
              <w:rPr>
                <w:rFonts w:ascii="Times New Roman" w:hAnsi="Times New Roman"/>
                <w:sz w:val="24"/>
                <w:szCs w:val="24"/>
              </w:rPr>
            </w:pPr>
            <w:r>
              <w:rPr>
                <w:rFonts w:ascii="Times New Roman" w:hAnsi="Times New Roman"/>
                <w:sz w:val="24"/>
              </w:rPr>
              <w:t xml:space="preserve">W odniesieniu do każdej linii biznesowej, o której mowa w tabeli 2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17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tym do dodatkowej linii biznesowej „pozycje korporacyjne”, o której mowa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22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tego rozporządzenia, i w odniesieniu do każdego rodzaju zdarzenia straty instytucja zgłasza następujące informacje według progów wewnętrznych: liczbę zdarzeń straty (nowe zdarzenia straty), kwotę strat brutto (nowe zdarzenia straty), liczbę zdarzeń straty objętych korektami strat, korekty strat dotyczących poprzednich okresów sprawozdawczych, maksymalną pojedynczą stratę, sumę pięciu największych strat, całkowite bezpośrednio odzyskane należności oraz całkowite należności odzyskane z ubezpieczenia i innych mechanizmów transferu ryzyka.</w:t>
            </w:r>
          </w:p>
          <w:p w14:paraId="598C709E" w14:textId="77777777" w:rsidR="00FD54FC" w:rsidRPr="002A677E" w:rsidRDefault="00FD54FC" w:rsidP="00FD54FC">
            <w:pPr>
              <w:rPr>
                <w:rFonts w:ascii="Times New Roman" w:hAnsi="Times New Roman"/>
                <w:sz w:val="24"/>
              </w:rPr>
            </w:pPr>
            <w:r>
              <w:rPr>
                <w:rFonts w:ascii="Times New Roman" w:hAnsi="Times New Roman"/>
                <w:sz w:val="24"/>
              </w:rPr>
              <w:t>W odniesieniu do zdarzenia straty, które wpływa na więcej niż jedną linię biznesową, „kwotę strat brutto” rozkłada się na linie biznesowe, na które wywarło ono wpływ.</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Instytucje, które obliczają swoje wymogi w zakresie funduszy własnych zgodnie z metodą wskaźnika bazowego, mogą zgłaszać te straty, w odniesieniu do których nie zidentyfikowano linii biznesowej, wyłącznie w wierszach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Liczba zdarzeń straty (nowe zdarzenia straty)</w:t>
            </w:r>
          </w:p>
          <w:p w14:paraId="0A87F437" w14:textId="77777777" w:rsidR="00FD54FC" w:rsidRPr="002A677E" w:rsidRDefault="00FD54FC" w:rsidP="00FD54FC">
            <w:pPr>
              <w:rPr>
                <w:rFonts w:ascii="Times New Roman" w:hAnsi="Times New Roman"/>
                <w:sz w:val="24"/>
              </w:rPr>
            </w:pPr>
            <w:r>
              <w:rPr>
                <w:rFonts w:ascii="Times New Roman" w:hAnsi="Times New Roman"/>
                <w:sz w:val="24"/>
              </w:rPr>
              <w:t>Liczba zdarzeń straty jest liczbą zdarzeń straty, w odniesieniu do których w sprawozdawczym okresie odniesienia zostały ujęte straty brutto.</w:t>
            </w:r>
          </w:p>
          <w:p w14:paraId="1CB08978" w14:textId="77777777" w:rsidR="00FD54FC" w:rsidRPr="002A677E" w:rsidRDefault="00FD54FC" w:rsidP="00FD54FC">
            <w:pPr>
              <w:rPr>
                <w:rFonts w:ascii="Times New Roman" w:hAnsi="Times New Roman"/>
                <w:sz w:val="24"/>
              </w:rPr>
            </w:pPr>
            <w:r>
              <w:rPr>
                <w:rFonts w:ascii="Times New Roman" w:hAnsi="Times New Roman"/>
                <w:sz w:val="24"/>
              </w:rPr>
              <w:t>Liczba zdarzeń straty odnosi się do „nowych zdarzeń”, tj. zdarzeń ryzyka operacyjnego:</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„ujętych po raz pierwszy” w sprawozdawczym okresie odniesienia; lub</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„ujętych po raz pierwszy” w poprzednim sprawozdawczym okresie odniesienia, jeżeli zdarzenie straty nie zostało uwzględnione w żadnym poprzednim sprawozdaniu dla organów nadzoru, np. ponieważ zostało określone jako zdarzenie straty wynikłe z ryzyka operacyjnego dopiero w bieżącym sprawozdawczym okresie odniesienia lub ponieważ skumulowana strata możliwa do przypisania temu zdarzeniu straty (tj. pierwotna strata plus/minus wszystkie korekty straty dokonane w poprzednich sprawozdawczych okresach odniesienia) przekroczyła próg gromadzenia wewnętrznych danych dopiero w bieżącym sprawozdawczym okresie odniesienia.</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„Nowe zdarzenia straty” nie obejmują zdarzeń straty „ujętych po raz pierwszy” w poprzednim sprawozdawczym okresie odniesienia, które zostały już uwzględnione w poprzednich sprawozdaniach dla organów nadzoru.</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 xml:space="preserve">0020, 0120, </w:t>
            </w:r>
            <w:r>
              <w:rPr>
                <w:rFonts w:ascii="Times New Roman" w:hAnsi="Times New Roman"/>
                <w:sz w:val="24"/>
              </w:rPr>
              <w:lastRenderedPageBreak/>
              <w:t>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Kwota strat brutto (nowe zdarzenia straty)</w:t>
            </w:r>
          </w:p>
          <w:p w14:paraId="2E85E133" w14:textId="76506552" w:rsidR="00FD54FC" w:rsidRPr="002A677E" w:rsidRDefault="00FD54FC" w:rsidP="00FD54FC">
            <w:pPr>
              <w:rPr>
                <w:rFonts w:ascii="Times New Roman" w:hAnsi="Times New Roman"/>
                <w:sz w:val="24"/>
              </w:rPr>
            </w:pPr>
            <w:r>
              <w:rPr>
                <w:rFonts w:ascii="Times New Roman" w:hAnsi="Times New Roman"/>
                <w:sz w:val="24"/>
              </w:rPr>
              <w:lastRenderedPageBreak/>
              <w:t>Kwota strat brutto jest kwotą strat brutto dotyczących zdarzeń straty wynikłych z ryzyka operacyjnego (np. opłaty bezpośrednie, rezerwy, rozrachunki). Wszystkie straty związane z pojedynczym zdarzeniem straty, które są ujmowane w sprawozdawczym okresie odniesienia, są sumowane i traktowane jako strata brutto dla tego zdarzenia straty w danym sprawozdawczym okresie odniesienia.</w:t>
            </w:r>
          </w:p>
          <w:p w14:paraId="611D2B8E" w14:textId="77777777" w:rsidR="00FD54FC" w:rsidRPr="002A677E" w:rsidRDefault="00FD54FC" w:rsidP="00FD54FC">
            <w:pPr>
              <w:rPr>
                <w:rFonts w:ascii="Times New Roman" w:hAnsi="Times New Roman"/>
                <w:sz w:val="24"/>
              </w:rPr>
            </w:pPr>
            <w:r>
              <w:rPr>
                <w:rFonts w:ascii="Times New Roman" w:hAnsi="Times New Roman"/>
                <w:sz w:val="24"/>
              </w:rPr>
              <w:t>Zgłoszona kwota straty brutto odnosi się do „nowych zdarzeń straty”, o których mowa w wierszu powyżej niniejszej tabeli. W przypadku zdarzeń straty „ujętych po raz pierwszy” w poprzednim sprawozdawczym okresie odniesienia, które nie zostały uwzględnione w żadnym poprzednim sprawozdaniu dla organów nadzoru, całkowita skumulowana strata do sprawozdawczego dnia odniesienia (tj. pierwotna strata plus/minus wszystkie korekty straty dokonane w poprzednich sprawozdawczych okresach odniesienia) jest zgłaszana jako strata brutto na sprawozdawczy dzień odniesienia.</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W kwotach, które należy zgłosić, nie uwzględnia się otrzymanych odzyskanych należności.</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Liczba zdarzeń straty objętych korektami strat</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Liczba zdarzeń straty objętych korektami strat jest to liczba zdarzeń straty wynikłych z ryzyka operacyjnego „ujętych po raz pierwszy” w poprzednich sprawozdawczych okresach odniesienia i uwzględnionych już w poprzednich sprawozdaniach, w odniesieniu do których w bieżącym sprawozdawczym okresie odniesienia dokonano korekt strat. </w:t>
            </w:r>
          </w:p>
          <w:p w14:paraId="35A5D3D6" w14:textId="77777777" w:rsidR="00FD54FC" w:rsidRPr="002A677E" w:rsidRDefault="001F6487" w:rsidP="005F1EB8">
            <w:pPr>
              <w:rPr>
                <w:b/>
                <w:sz w:val="24"/>
              </w:rPr>
            </w:pPr>
            <w:r>
              <w:rPr>
                <w:rFonts w:ascii="Times New Roman" w:hAnsi="Times New Roman"/>
                <w:sz w:val="24"/>
              </w:rPr>
              <w:t>Jeżeli w sprawozdawczym okresie odniesienia dokonano w odniesieniu do zdarzenia straty więcej niż jednej korekty strat, sumę tych korekt strat liczy się jako jedną korektę w tym okresie.</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Korekty strat dotyczące poprzednich okresów sprawozdawczych</w:t>
            </w:r>
          </w:p>
          <w:p w14:paraId="13788219" w14:textId="77777777" w:rsidR="00FD54FC" w:rsidRPr="002A677E" w:rsidRDefault="00FD54FC" w:rsidP="00FD54FC">
            <w:pPr>
              <w:rPr>
                <w:rFonts w:ascii="Times New Roman" w:hAnsi="Times New Roman"/>
                <w:sz w:val="24"/>
              </w:rPr>
            </w:pPr>
            <w:r>
              <w:rPr>
                <w:rFonts w:ascii="Times New Roman" w:hAnsi="Times New Roman"/>
                <w:sz w:val="24"/>
              </w:rPr>
              <w:t>Korekty strat dotyczące poprzednich sprawozdawczych okresów odniesienia stanowią sumę następujących elementów (o wartości dodatniej lub ujemnej):</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kwot strat brutto dotyczących dodatnich korekt strat dokonanych w sprawozdawczym okresie odniesienia (np. w wyniku zwiększenia rezerw, powiązanych zdarzeń straty, dodatkowych rozrachunków) w odniesieniu do zdarzeń ryzyka operacyjnego „ujętych po raz pierwszy” i zgłoszonych w poprzednich sprawozdawczych okresach odniesienia;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kwot strat brutto dotyczących ujemnych korekt strat dokonanych w sprawozdawczym okresie odniesienia (np. z powodu zmniejszenia rezerw) w odniesieniu do zdarzeń straty wynikłych z ryzyka operacyjnego „ujętych po raz pierwszy” i zgłoszonych w poprzednich sprawozdawczych okresach odniesienia.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Jeżeli w sprawozdawczym okresie odniesienia dokonano w odniesieniu do zdarzenia straty więcej niż jednej korekty strat, kwoty wszystkich tych korekt strat sumuje się, uwzględniając znak korekty (dodatnia, ujemna). Sumę tę traktuje się jako korektę strat dla tego zdarzenia straty w danym sprawozdawczym okresie odniesienia.</w:t>
            </w:r>
          </w:p>
          <w:p w14:paraId="1FF4DC2A" w14:textId="77777777" w:rsidR="00FD54FC" w:rsidRPr="002A677E" w:rsidRDefault="001F6487" w:rsidP="00FD54FC">
            <w:pPr>
              <w:rPr>
                <w:rFonts w:ascii="Times New Roman" w:hAnsi="Times New Roman"/>
                <w:sz w:val="24"/>
              </w:rPr>
            </w:pPr>
            <w:r>
              <w:rPr>
                <w:rFonts w:ascii="Times New Roman" w:hAnsi="Times New Roman"/>
                <w:sz w:val="24"/>
              </w:rPr>
              <w:t xml:space="preserve">Jeżeli w wyniku ujemnej korekty strat skorygowana kwota straty możliwa do przypisania zdarzeniu straty jest mniejsza od progu gromadzenia wewnętrznych </w:t>
            </w:r>
            <w:r>
              <w:rPr>
                <w:rFonts w:ascii="Times New Roman" w:hAnsi="Times New Roman"/>
                <w:sz w:val="24"/>
              </w:rPr>
              <w:lastRenderedPageBreak/>
              <w:t>danych instytucji, instytucja zgłasza całkowitą kwotę straty dla tego zdarzenia straty skumulowaną do czasu ostatniego zgłoszenia zdarzenia dla grudniowej daty odniesienia (tj. pierwotną stratę plus/minus wszystkie korekty straty dokonane w poprzednich sprawozdawczych okresach odniesienia) ze znakiem ujemnym zamiast kwoty samej ujemnej korekty strat.</w:t>
            </w:r>
          </w:p>
          <w:p w14:paraId="0FAF0676" w14:textId="77777777" w:rsidR="00FD54FC" w:rsidRPr="002A677E" w:rsidRDefault="00FD54FC" w:rsidP="00EB62C2">
            <w:pPr>
              <w:rPr>
                <w:b/>
                <w:sz w:val="24"/>
              </w:rPr>
            </w:pPr>
            <w:r>
              <w:rPr>
                <w:rFonts w:ascii="Times New Roman" w:hAnsi="Times New Roman"/>
                <w:sz w:val="24"/>
              </w:rPr>
              <w:t>W kwotach, które należy zgłosić, nie uwzględnia się otrzymanych odzyskanych należności.</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Maksymalna pojedyncza strata</w:t>
            </w:r>
          </w:p>
          <w:p w14:paraId="388ADCDC" w14:textId="77777777" w:rsidR="00FD54FC" w:rsidRPr="002A677E" w:rsidRDefault="00FD54FC" w:rsidP="00FD54FC">
            <w:pPr>
              <w:rPr>
                <w:rFonts w:ascii="Times New Roman" w:hAnsi="Times New Roman"/>
                <w:sz w:val="24"/>
              </w:rPr>
            </w:pPr>
            <w:r>
              <w:rPr>
                <w:rFonts w:ascii="Times New Roman" w:hAnsi="Times New Roman"/>
                <w:sz w:val="24"/>
              </w:rPr>
              <w:t>Maksymalna pojedyncza strata jest większą z następujących kwot:</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kwoty największej straty brutto związanej ze zdarzeniem straty zgłoszonym po raz pierwszy w sprawozdawczym okresie odniesienia; oraz</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kwoty największej dodatniej korekty strat (zgodnie z wierszami 0040, 0140, …, 0840 powyżej) związanej ze zdarzeniem straty zgłoszonym po raz pierwszy w poprzednim sprawozdawczym okresie odniesienia.</w:t>
            </w:r>
          </w:p>
          <w:p w14:paraId="1AFA00C9" w14:textId="77777777" w:rsidR="00FD54FC" w:rsidRPr="002A677E" w:rsidRDefault="00FD54FC" w:rsidP="00F52FC6">
            <w:pPr>
              <w:rPr>
                <w:sz w:val="24"/>
              </w:rPr>
            </w:pPr>
            <w:r>
              <w:rPr>
                <w:rFonts w:ascii="Times New Roman" w:hAnsi="Times New Roman"/>
                <w:sz w:val="24"/>
              </w:rPr>
              <w:t>W kwotach, które należy zgłosić, nie uwzględnia się otrzymanych odzyskanych należności.</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pięciu największych strat</w:t>
            </w:r>
          </w:p>
          <w:p w14:paraId="3D9655C2" w14:textId="77777777" w:rsidR="00FD54FC" w:rsidRPr="002A677E" w:rsidRDefault="00FD54FC" w:rsidP="00FD54FC">
            <w:pPr>
              <w:rPr>
                <w:rFonts w:ascii="Times New Roman" w:hAnsi="Times New Roman"/>
                <w:sz w:val="24"/>
              </w:rPr>
            </w:pPr>
            <w:r>
              <w:rPr>
                <w:rFonts w:ascii="Times New Roman" w:hAnsi="Times New Roman"/>
                <w:sz w:val="24"/>
              </w:rPr>
              <w:t>Suma pięciu największych strat jest sumą pięciu największych kwot spośród:</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kwot strat brutto związanych ze zdarzeniami straty zgłoszonymi po raz pierwszy w sprawozdawczym okresie odniesienia; oraz</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kwot dodatnich korekt strat (zgodnie z definicją dla wierszy 0040, 0140, …, 0840 powyżej) związanych ze zdarzeniami straty zgłoszonymi po raz pierwszy w poprzednim sprawozdawczym okresie odniesienia. Kwota, którą można zakwalifikować jako jedną z pięciu największych kwot, jest kwotą samej korekty strat, a nie całkowitą stratą związaną z odpowiednim zdarzeniem straty przed korektą strat lub po takiej korekcie.</w:t>
            </w:r>
          </w:p>
          <w:p w14:paraId="00CACAFA" w14:textId="77777777" w:rsidR="00FD54FC" w:rsidRPr="002A677E" w:rsidRDefault="00FD54FC" w:rsidP="00F52FC6">
            <w:pPr>
              <w:rPr>
                <w:sz w:val="24"/>
              </w:rPr>
            </w:pPr>
            <w:r>
              <w:rPr>
                <w:rFonts w:ascii="Times New Roman" w:hAnsi="Times New Roman"/>
                <w:sz w:val="24"/>
              </w:rPr>
              <w:t>W kwotach, które należy zgłosić, nie uwzględnia się otrzymanych odzyskanych należności.</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Całkowite bezpośrednio odzyskane należności</w:t>
            </w:r>
          </w:p>
          <w:p w14:paraId="0E30E677" w14:textId="3630B0CF" w:rsidR="00FD54FC" w:rsidRPr="002A677E" w:rsidRDefault="00FD54FC" w:rsidP="00FD54FC">
            <w:pPr>
              <w:rPr>
                <w:rFonts w:ascii="Times New Roman" w:hAnsi="Times New Roman"/>
                <w:sz w:val="24"/>
              </w:rPr>
            </w:pPr>
            <w:r>
              <w:rPr>
                <w:rFonts w:ascii="Times New Roman" w:hAnsi="Times New Roman"/>
                <w:sz w:val="24"/>
              </w:rPr>
              <w:t xml:space="preserve">Bezpośrednio odzyskane należności wynikające ze straty są to wszystkie otrzymane odzyskane należności wynikające ze straty z wyjątkiem tych, które są objęte art. 323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zgodnie ze zgłoszeniem w wierszu niniejszej tabeli poniżej. </w:t>
            </w:r>
          </w:p>
          <w:p w14:paraId="05060BFF" w14:textId="77777777" w:rsidR="00FD54FC" w:rsidRPr="002A677E" w:rsidRDefault="00FD54FC" w:rsidP="00FD54FC">
            <w:pPr>
              <w:rPr>
                <w:b/>
                <w:sz w:val="24"/>
              </w:rPr>
            </w:pPr>
            <w:r>
              <w:rPr>
                <w:rFonts w:ascii="Times New Roman" w:hAnsi="Times New Roman"/>
                <w:sz w:val="24"/>
              </w:rPr>
              <w:t>Całkowite bezpośrednio odzyskane należności są sumą wszystkich bezpośrednio odzyskanych należności oraz korekt bezpośrednio odzyskanych należności ujętych w okresie sprawozdawczym i dotyczących zdarzeń straty wynikających z ryzyka operacyjnego ujętych po raz pierwszy w sprawozdawczym okresie odniesienia lub w poprzednich sprawozdawczych okresach odniesienia.</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 xml:space="preserve">0080, 0180, 0280, 0380, </w:t>
            </w:r>
            <w:r>
              <w:rPr>
                <w:rFonts w:ascii="Times New Roman" w:hAnsi="Times New Roman"/>
                <w:sz w:val="24"/>
              </w:rPr>
              <w:lastRenderedPageBreak/>
              <w:t>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Całkowite należności odzyskane z ubezpieczenia i innych mechanizmów transferu ryzyka</w:t>
            </w:r>
          </w:p>
          <w:p w14:paraId="22B75DB4" w14:textId="4ACF897A" w:rsidR="00FD54FC" w:rsidRPr="002A677E" w:rsidRDefault="00FD54FC" w:rsidP="00FD54FC">
            <w:pPr>
              <w:rPr>
                <w:rFonts w:ascii="Times New Roman" w:hAnsi="Times New Roman"/>
                <w:sz w:val="24"/>
              </w:rPr>
            </w:pPr>
            <w:r>
              <w:rPr>
                <w:rFonts w:ascii="Times New Roman" w:hAnsi="Times New Roman"/>
                <w:sz w:val="24"/>
              </w:rPr>
              <w:lastRenderedPageBreak/>
              <w:t xml:space="preserve">Należności odzyskane z ubezpieczenia i innych mechanizmów transferu ryzyka są to te odzyskane należności, które są objęte art. 323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F9286F3" w14:textId="77777777" w:rsidR="00FD54FC" w:rsidRPr="002A677E" w:rsidRDefault="00FD54FC" w:rsidP="00070AF9">
            <w:pPr>
              <w:rPr>
                <w:sz w:val="24"/>
              </w:rPr>
            </w:pPr>
            <w:r>
              <w:rPr>
                <w:rFonts w:ascii="Times New Roman" w:hAnsi="Times New Roman"/>
                <w:sz w:val="24"/>
              </w:rPr>
              <w:t>Całkowite należności odzyskane z ubezpieczenia i innych mechanizmów transferu ryzyka są sumą wszystkich należności odzyskanych z ubezpieczenia i innych mechanizmów transferu ryzyka oraz korekt takich odzyskanych należności ujętych w sprawozdawczym okresie odniesienia i dotyczących zdarzeń straty wynikających z ryzyka operacyjnego ujętych po raz pierwszy w sprawozdawczym okresie odniesienia lub w poprzednich sprawozdawczych okresach odniesienia.</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LINIE BIZNESOWE RAZEM</w:t>
            </w:r>
          </w:p>
          <w:p w14:paraId="62DF7EDA" w14:textId="59578501" w:rsidR="00FD54FC" w:rsidRPr="002A677E" w:rsidRDefault="00FD54FC" w:rsidP="00F114E6">
            <w:pPr>
              <w:rPr>
                <w:rFonts w:ascii="Times New Roman" w:hAnsi="Times New Roman"/>
                <w:sz w:val="24"/>
              </w:rPr>
            </w:pPr>
            <w:r>
              <w:rPr>
                <w:rFonts w:ascii="Times New Roman" w:hAnsi="Times New Roman"/>
                <w:sz w:val="24"/>
              </w:rPr>
              <w:t xml:space="preserve">W odniesieniu do każdego rodzaju zdarzenia straty (kolumny </w:t>
            </w:r>
            <w:r w:rsidRPr="0043455E">
              <w:rPr>
                <w:rFonts w:ascii="Times New Roman" w:hAnsi="Times New Roman"/>
                <w:sz w:val="24"/>
              </w:rPr>
              <w:t>od</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010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080) należy zgłosić informacje dotyczące linii biznesowych razem.</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Liczba zdarzeń straty</w:t>
            </w:r>
          </w:p>
          <w:p w14:paraId="34FAAF76" w14:textId="77777777" w:rsidR="00FD54FC" w:rsidRPr="002A677E" w:rsidRDefault="00FD54FC" w:rsidP="00FD54FC">
            <w:pPr>
              <w:rPr>
                <w:rFonts w:ascii="Times New Roman" w:hAnsi="Times New Roman"/>
                <w:sz w:val="24"/>
              </w:rPr>
            </w:pPr>
            <w:r>
              <w:rPr>
                <w:rFonts w:ascii="Times New Roman" w:hAnsi="Times New Roman"/>
                <w:sz w:val="24"/>
              </w:rPr>
              <w:t>W wierszu 0910 zgłasza się liczbę zdarzeń straty powyżej wewnętrznego progu według rodzajów zdarzeń straty w odniesieniu do linii biznesowych razem. Przedmiotowa wartość może być niższa niż agregacja liczby zdarzeń straty według linii biznesowych, ponieważ zdarzenia straty wywierające wielokrotny wpływ (wpływ w ramach różnych liniach biznesowych) uznaje się za jedno zdarzenie straty. Przedmiotowa wartość może być wyższa, jeżeli instytucja obliczająca swoje wymogi w zakresie funduszy własnych zgodnie z metodą wskaźnika bazowego nie jest w stanie w każdym przypadku zidentyfikować linii biznesowych, na które strata wywiera wpływ.</w:t>
            </w:r>
          </w:p>
          <w:p w14:paraId="1029FFB0" w14:textId="77777777" w:rsidR="00FD54FC" w:rsidRPr="002A677E" w:rsidRDefault="00FD54FC" w:rsidP="00FD54FC">
            <w:pPr>
              <w:rPr>
                <w:rFonts w:ascii="Times New Roman" w:hAnsi="Times New Roman"/>
                <w:sz w:val="24"/>
              </w:rPr>
            </w:pPr>
            <w:r>
              <w:rPr>
                <w:rFonts w:ascii="Times New Roman" w:hAnsi="Times New Roman"/>
                <w:sz w:val="24"/>
              </w:rPr>
              <w:t>W wierszach 0911–0914 zgłasza się liczbę zdarzeń straty o kwocie strat brutto zawierającej się w przedziałach określonych w odpowiednich wierszach wzoru.</w:t>
            </w:r>
          </w:p>
          <w:p w14:paraId="3642B0CB" w14:textId="5C093A4D" w:rsidR="00FD54FC" w:rsidRPr="002A677E" w:rsidRDefault="00FD54FC" w:rsidP="00FD54FC">
            <w:pPr>
              <w:rPr>
                <w:rFonts w:ascii="Times New Roman" w:hAnsi="Times New Roman"/>
                <w:sz w:val="24"/>
              </w:rPr>
            </w:pPr>
            <w:r>
              <w:rPr>
                <w:rFonts w:ascii="Times New Roman" w:hAnsi="Times New Roman"/>
                <w:sz w:val="24"/>
              </w:rPr>
              <w:t xml:space="preserve">Pod warunkiem że instytucja przypisała wszystkie swoje straty albo do linii biznesowej wymienionej w tabeli 2 w art. 317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lub do linii biznesowej „pozycje korporacyjne”, o której mowa w art. 322 ust. 3 lit. b) tego rozporządzenia, względnie pod warunkiem że instytucja określiła rodzaje zdarzeń straty dla wszystkich strat, poniższe stosuje się w stosownych przypadkach do kolumny 0080:</w:t>
            </w:r>
          </w:p>
          <w:p w14:paraId="37853BE1" w14:textId="19A2292F"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 xml:space="preserve">Całkowita liczba zdarzeń straty zgłoszonych w wierszach </w:t>
            </w:r>
            <w:r w:rsidRPr="0043455E">
              <w:rPr>
                <w:rFonts w:ascii="Times New Roman" w:hAnsi="Times New Roman"/>
                <w:sz w:val="24"/>
              </w:rPr>
              <w:t>od</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910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914 jest równa poziomej agregacji liczby zdarzeń straty w odpowiednim wierszu, ponieważ w przedmiotowych wartościach zdarzenia straty wywierające wpływ w ramach różnych linii biznesowych zostały już uznane za jedno zdarzenie straty.</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Liczba zgłoszona w kolumnie 0080, w wierszu 0910 nie musi być równa pionowej agregacji liczby zdarzeń straty ujętych w kolumnie 0080, ponieważ jedno zdarzenie straty wywiera wpływ w ramach różnych linii biznesowych jednocześnie.</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Kwota strat brutto (nowe zdarzenia straty)</w:t>
            </w:r>
          </w:p>
          <w:p w14:paraId="5A8AAD03" w14:textId="4FD4017D" w:rsidR="00FD54FC" w:rsidRPr="002A677E" w:rsidRDefault="00FD54FC" w:rsidP="00FD54FC">
            <w:pPr>
              <w:rPr>
                <w:rFonts w:ascii="Times New Roman" w:hAnsi="Times New Roman"/>
                <w:sz w:val="24"/>
              </w:rPr>
            </w:pPr>
            <w:r>
              <w:rPr>
                <w:rFonts w:ascii="Times New Roman" w:hAnsi="Times New Roman"/>
                <w:sz w:val="24"/>
              </w:rPr>
              <w:t xml:space="preserve">Pod warunkiem że instytucja przypisała wszystkie swoje straty albo do linii biznesowej wymienionej w tabeli 2 w art. 317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albo do linii biznesowej „pozycje korporacyjne”, o której mowa w art. 322 ust. 3 lit. b) tego rozporządzenia, kwota strat brutto (nowe zdarzenia </w:t>
            </w:r>
            <w:r>
              <w:rPr>
                <w:rFonts w:ascii="Times New Roman" w:hAnsi="Times New Roman"/>
                <w:sz w:val="24"/>
              </w:rPr>
              <w:lastRenderedPageBreak/>
              <w:t xml:space="preserve">straty) zgłoszona w wierszu 0920 stanowi prostą agregację kwot strat brutto dla nowych zdarzeń dla każdej linii biznesowej.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W wierszach 0921–0924 zgłasza się kwotę strat brutto dla zdarzeń straty o kwocie strat brutto zawierającej się w przedziałach określonych w odpowiednich wierszach.</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Liczba zdarzeń straty objętych korektami strat</w:t>
            </w:r>
          </w:p>
          <w:p w14:paraId="7C0FBBBE" w14:textId="77777777" w:rsidR="00FD54FC" w:rsidRPr="002A677E" w:rsidRDefault="00FD54FC" w:rsidP="00FD54FC">
            <w:pPr>
              <w:rPr>
                <w:rFonts w:ascii="Times New Roman" w:hAnsi="Times New Roman"/>
                <w:sz w:val="24"/>
              </w:rPr>
            </w:pPr>
            <w:r>
              <w:rPr>
                <w:rFonts w:ascii="Times New Roman" w:hAnsi="Times New Roman"/>
                <w:sz w:val="24"/>
              </w:rPr>
              <w:t>W wierszu 0930 zgłasza się całkowitą liczbę zdarzeń straty objętych korektami strat, jak zgłoszono we wierszach 0030, 0130, …, 0830. Przedmiotowa wartość może być niższa niż agregacja liczby zdarzeń straty objętych korektami strat według linii biznesowych, ponieważ zdarzenia straty wywierające wielokrotny wpływ (wpływ w ramach różnych liniach biznesowych) uznaje się za jedno zdarzenie straty. Przedmiotowa wartość może być wyższa, jeżeli instytucja obliczająca swoje wymogi w zakresie funduszy własnych zgodnie z metodą wskaźnika bazowego nie jest w stanie w każdym przypadku zidentyfikować linii biznesowych, na które strata wywiera wpływ.</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Liczbę zdarzeń straty objętych korektami strat dzieli się na liczbę zdarzeń straty, w odniesieniu do których w sprawozdawczym okresie odniesienia dokonano dodatniej korekty strat, oraz liczbę zdarzeń straty, w odniesieniu do których w okresie sprawozdawczym dokonano ujemnej korekty strat (wszystkie zgłasza się ze znakiem dodatnim).</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Korekty strat dotyczące poprzednich okresów sprawozdawczych</w:t>
            </w:r>
          </w:p>
          <w:p w14:paraId="3A4A4FF4" w14:textId="16EAD268" w:rsidR="00FD54FC" w:rsidRPr="002A677E" w:rsidRDefault="00FD54FC" w:rsidP="00FD54FC">
            <w:pPr>
              <w:rPr>
                <w:rFonts w:ascii="Times New Roman" w:hAnsi="Times New Roman"/>
                <w:sz w:val="24"/>
              </w:rPr>
            </w:pPr>
            <w:r>
              <w:rPr>
                <w:rFonts w:ascii="Times New Roman" w:hAnsi="Times New Roman"/>
                <w:sz w:val="24"/>
              </w:rPr>
              <w:t xml:space="preserve">W wierszu 0940 zgłasza się sumę kwot korekty strat dotyczących poprzednich okresów sprawozdawczych według linii biznesowych (jak zgłoszono we wierszach 0040, 0140, …, 0840). Pod warunkiem że instytucja przypisała wszystkie swoje straty albo do linii biznesowej wymienionej w tabeli 2 w art. 317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albo do linii biznesowej „pozycje korporacyjne”, o której mowa w art. 322 ust. 3 lit. b) tego rozporządzenia, kwota zgłoszona w wierszu 0940 stanowi prostą agregację korekt strat dotyczących poprzednich okresów sprawozdawczych zgłoszonych dla poszczególnych linii biznesowych.</w:t>
            </w:r>
          </w:p>
          <w:p w14:paraId="4FEA0713" w14:textId="77777777" w:rsidR="00FD54FC" w:rsidRPr="002A677E" w:rsidRDefault="00FD54FC" w:rsidP="00EB6FC2">
            <w:pPr>
              <w:rPr>
                <w:rFonts w:ascii="Times New Roman" w:hAnsi="Times New Roman"/>
                <w:sz w:val="24"/>
              </w:rPr>
            </w:pPr>
            <w:r>
              <w:rPr>
                <w:rFonts w:ascii="Times New Roman" w:hAnsi="Times New Roman"/>
                <w:sz w:val="24"/>
              </w:rPr>
              <w:t>Kwotę korekt strat dzieli się na kwotę dotyczącą zdarzeń straty, w odniesieniu do których w sprawozdawczym okresie odniesienia dokonano dodatniej korekty strat (wiersz 0945, zgłaszana jako wartość dodatnia), oraz kwotę dotyczącą zdarzeń straty, w odniesieniu do których w okresie sprawozdawczym dokonano ujemnej korekty strat (wiersz 0946, zgłaszana jako wartość ujemna). Jeżeli w wyniku ujemnej korekty strat skorygowana kwota straty możliwa do przypisania zdarzeniu straty jest mniejsza od progu gromadzenia wewnętrznych danych instytucji, instytucja zgłasza całkowitą kwotę straty dla tego zdarzenia straty skumulowaną do czasu ostatniego zgłoszenia zdarzenia straty dla grudniowej daty odniesienia (tj. pierwotną stratę plus/minus wszystkie korekty straty dokonane w poprzednich sprawozdawczych okresach odniesienia) ze znakiem ujemnym we wierszu 0946 zamiast kwoty samej ujemnej korekty strat.</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Maksymalna pojedyncza strata</w:t>
            </w:r>
          </w:p>
          <w:p w14:paraId="475751C9" w14:textId="33D237AA" w:rsidR="00FD54FC" w:rsidRPr="002A677E" w:rsidRDefault="00FD54FC" w:rsidP="00FD54FC">
            <w:pPr>
              <w:rPr>
                <w:rFonts w:ascii="Times New Roman" w:hAnsi="Times New Roman"/>
                <w:sz w:val="24"/>
              </w:rPr>
            </w:pPr>
            <w:r>
              <w:rPr>
                <w:rFonts w:ascii="Times New Roman" w:hAnsi="Times New Roman"/>
                <w:sz w:val="24"/>
              </w:rPr>
              <w:t xml:space="preserve">Pod warunkiem że instytucja przypisała wszystkie swoje straty albo do linii biznesowej wymienionej w tabeli 2 w art. 317 ust. 4 rozporządzenia (UE) </w:t>
            </w:r>
            <w:r w:rsidRPr="0043455E">
              <w:rPr>
                <w:rFonts w:ascii="Times New Roman" w:hAnsi="Times New Roman"/>
                <w:sz w:val="24"/>
              </w:rPr>
              <w:lastRenderedPageBreak/>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albo do linii biznesowej „pozycje korporacyjne”, o której mowa w art. 322 ust. 3 lit. b) tego rozporządzenia, maksymalna pojedyncza strata oznacza maksymalną stratę przekraczającą próg w odniesieniu do każdego rodzaju zdarzenia straty i we wszystkich liniach biznesowych. Przedmiotowe wartości mogą być wyższe niż najwyższa pojedyncza strata odnotowana w ramach każdej linii biznesowej, jeżeli zdarzenie straty wpływa na różne linie biznesowe.</w:t>
            </w:r>
          </w:p>
          <w:p w14:paraId="7BE96ED9" w14:textId="0FD145E2" w:rsidR="00FD54FC" w:rsidRPr="002A677E" w:rsidRDefault="00FD54FC" w:rsidP="00FD54FC">
            <w:pPr>
              <w:rPr>
                <w:rFonts w:ascii="Times New Roman" w:hAnsi="Times New Roman"/>
                <w:sz w:val="24"/>
              </w:rPr>
            </w:pPr>
            <w:r>
              <w:rPr>
                <w:rFonts w:ascii="Times New Roman" w:hAnsi="Times New Roman"/>
                <w:sz w:val="24"/>
              </w:rPr>
              <w:t xml:space="preserve">Pod warunkiem że instytucja przypisała wszystkie swoje straty do linii biznesowej wymienionej w tabeli 2 w art. 317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lub do linii biznesowej „pozycje korporacyjne”, o której mowa w art. 322 ust. 3 lit. b) tego rozporządzenia, względnie pod warunkiem że instytucja określiła rodzaje zdarzeń straty dla wszystkich strat, poniższe stosuje się do kolumny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Zgłoszona maksymalna pojedyncza strata jest równa najwyższej z wartości zgłoszonych w kolumnach 0010–0070 tego wiersza.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Jeżeli istnieją zdarzenia straty wywierające wpływ w ramach różnych linii biznesowych, kwota zgłoszona w r0950, c0080 może być wyższa niż kwoty „pojedynczej maksymalnej straty” według linii biznesowej zgłoszone w innych wierszach kolumny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pięciu największych strat</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Sumę pięciu największych strat brutto zgłasza się w odniesieniu do każdego rodzaju zdarzenia straty i we wszystkich liniach biznesowych. Przedmiotowa suma może być wyższa niż najwyższa suma pięciu największych strat odnotowana w odniesieniu do każdej linii biznesowej. Przedmiotową sumę należy zgłosić niezależnie od liczby strat. </w:t>
            </w:r>
          </w:p>
          <w:p w14:paraId="462BED5E" w14:textId="693ECFD3" w:rsidR="00FD54FC" w:rsidRPr="002A677E" w:rsidRDefault="00FD54FC" w:rsidP="00AB6610">
            <w:pPr>
              <w:rPr>
                <w:rStyle w:val="InstructionsTabelleberschrift"/>
                <w:rFonts w:ascii="Times New Roman" w:hAnsi="Times New Roman"/>
                <w:sz w:val="24"/>
              </w:rPr>
            </w:pPr>
            <w:r>
              <w:rPr>
                <w:rFonts w:ascii="Times New Roman" w:hAnsi="Times New Roman"/>
                <w:sz w:val="24"/>
              </w:rPr>
              <w:t xml:space="preserve">Pod warunkiem że instytucja przypisała wszystkie swoje straty albo do linii biznesowej wymienionej w tabeli 2 w art. 317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albo do linii biznesowej „pozycje korporacyjne”, o której mowa w art. 322 ust. 3 lit.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oraz pod warunkiem że instytucja określiła rodzaje zdarzeń straty dla wszystkich strat, w odniesieniu do kolumny 0080 suma pięciu największych strat jest sumą pięciu największych strat w całej macierzy, co oznacza, że niekoniecznie jest równa maksymalnej wartości „sumy pięciu największych strat” w wierszu 0960 lub maksymalnej wartości „sumy pięciu największych strat” w kolumnie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Całkowite bezpośrednio odzyskane należności</w:t>
            </w:r>
          </w:p>
          <w:p w14:paraId="651924C3" w14:textId="55643AA1" w:rsidR="00FD54FC" w:rsidRPr="002A677E" w:rsidRDefault="00FD54FC" w:rsidP="00705025">
            <w:pPr>
              <w:rPr>
                <w:rStyle w:val="InstructionsTabelleberschrift"/>
                <w:rFonts w:ascii="Times New Roman" w:hAnsi="Times New Roman"/>
                <w:sz w:val="24"/>
              </w:rPr>
            </w:pPr>
            <w:r>
              <w:rPr>
                <w:rFonts w:ascii="Times New Roman" w:hAnsi="Times New Roman"/>
                <w:sz w:val="24"/>
              </w:rPr>
              <w:t xml:space="preserve">Pod warunkiem że instytucja przypisała wszystkie swoje straty albo do linii biznesowej wymienionej w tabeli 2 w art. 317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albo do linii biznesowej „pozycje korporacyjne”, o której mowa w art. 322 ust. 3 lit.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łączne całkowite bezpośrednio odzyskane należności stanowią prostą agregację łącznych całkowitych bezpośrednio odzyskanych należności dla każdej linii biznesowej.</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Całkowite należności odzyskane z ubezpieczenia i innych mechanizmów transferu ryzyka</w:t>
            </w:r>
          </w:p>
          <w:p w14:paraId="105A6F22" w14:textId="448C8B2C" w:rsidR="00FD54FC" w:rsidRPr="002A677E" w:rsidRDefault="00FD54FC" w:rsidP="007062FD">
            <w:pPr>
              <w:rPr>
                <w:rFonts w:ascii="Times New Roman" w:hAnsi="Times New Roman"/>
                <w:b/>
                <w:bCs/>
                <w:sz w:val="24"/>
                <w:u w:val="single"/>
              </w:rPr>
            </w:pPr>
            <w:r>
              <w:rPr>
                <w:rFonts w:ascii="Times New Roman" w:hAnsi="Times New Roman"/>
                <w:sz w:val="24"/>
              </w:rPr>
              <w:t xml:space="preserve">Pod warunkiem że instytucja przypisała wszystkie swoje straty albo do linii biznesowej wymienionej w tabeli 2 w art. 317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albo do linii biznesowej „pozycje korporacyjne”, o której mowa w </w:t>
            </w:r>
            <w:r>
              <w:rPr>
                <w:rFonts w:ascii="Times New Roman" w:hAnsi="Times New Roman"/>
                <w:sz w:val="24"/>
              </w:rPr>
              <w:lastRenderedPageBreak/>
              <w:t>art. 322 ust. 3 lit. b) tego rozporządzenia, całkowite należności odzyskane z ubezpieczenia i innych mechanizmów transferu ryzyka stanowią prostą agregację łącznych całkowite należności odzyskane z ubezpieczenia i innych mechanizmów transferu ryzyka dla każdej linii biznesowej.</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119064890"/>
      <w:r>
        <w:rPr>
          <w:rFonts w:ascii="Times New Roman" w:hAnsi="Times New Roman"/>
          <w:sz w:val="24"/>
          <w:u w:val="none"/>
        </w:rPr>
        <w:t>4.2.3.</w:t>
      </w:r>
      <w:r>
        <w:tab/>
      </w:r>
      <w:r>
        <w:rPr>
          <w:rFonts w:ascii="Times New Roman" w:hAnsi="Times New Roman"/>
          <w:sz w:val="24"/>
        </w:rPr>
        <w:t>C 17.02: Ryzyko operacyjne: Szczegółowe informacje na temat zdarzeń największych strat w ostatnim roku (OPR SZCZEGÓŁY 2)</w:t>
      </w:r>
      <w:bookmarkEnd w:id="585"/>
      <w:bookmarkEnd w:id="586"/>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119064891"/>
      <w:r>
        <w:rPr>
          <w:rFonts w:ascii="Times New Roman" w:hAnsi="Times New Roman"/>
          <w:sz w:val="24"/>
          <w:u w:val="none"/>
        </w:rPr>
        <w:t>4.2.3.1.</w:t>
      </w:r>
      <w:r>
        <w:tab/>
      </w:r>
      <w:r>
        <w:rPr>
          <w:rFonts w:ascii="Times New Roman" w:hAnsi="Times New Roman"/>
          <w:sz w:val="24"/>
        </w:rPr>
        <w:t>Uwagi ogólne</w:t>
      </w:r>
      <w:bookmarkEnd w:id="587"/>
      <w:bookmarkEnd w:id="588"/>
    </w:p>
    <w:p w14:paraId="06D9B602" w14:textId="77777777" w:rsidR="00FD54FC" w:rsidRPr="002A677E" w:rsidRDefault="0043455E" w:rsidP="00487A02">
      <w:pPr>
        <w:pStyle w:val="InstructionsText2"/>
        <w:numPr>
          <w:ilvl w:val="0"/>
          <w:numId w:val="0"/>
        </w:numPr>
        <w:ind w:left="1353" w:hanging="360"/>
      </w:pPr>
      <w:fldSimple w:instr=" seq paragraphs ">
        <w:r w:rsidR="008F3052">
          <w:t>155</w:t>
        </w:r>
      </w:fldSimple>
      <w:r w:rsidR="008F3052">
        <w:t>. We wzorze C 17.02 przedstawia się informacje dotyczące poszczególnych zdarzeń straty (jeden wiersz dla każdego zdarzenia straty).</w:t>
      </w:r>
    </w:p>
    <w:p w14:paraId="6928228C" w14:textId="77777777" w:rsidR="00FD54FC" w:rsidRPr="002A677E" w:rsidRDefault="0043455E" w:rsidP="00487A02">
      <w:pPr>
        <w:pStyle w:val="InstructionsText2"/>
        <w:numPr>
          <w:ilvl w:val="0"/>
          <w:numId w:val="0"/>
        </w:numPr>
        <w:ind w:left="1353" w:hanging="360"/>
      </w:pPr>
      <w:fldSimple w:instr=" seq paragraphs ">
        <w:r w:rsidR="008F3052">
          <w:t>156</w:t>
        </w:r>
      </w:fldSimple>
      <w:r w:rsidR="008F3052">
        <w:t>.</w:t>
      </w:r>
      <w:r w:rsidR="008F3052">
        <w:tab/>
        <w:t xml:space="preserve"> Informacje zgłaszane w tym wzorze odnoszą się do „nowych zdarzeń straty”, tj. zdarzeń ryzyka operacyjnego:</w:t>
      </w:r>
    </w:p>
    <w:p w14:paraId="43C23B10" w14:textId="77777777" w:rsidR="00FD54FC" w:rsidRPr="002A677E" w:rsidRDefault="00125707" w:rsidP="00487A02">
      <w:pPr>
        <w:pStyle w:val="InstructionsText2"/>
        <w:numPr>
          <w:ilvl w:val="0"/>
          <w:numId w:val="0"/>
        </w:numPr>
        <w:ind w:left="1353" w:hanging="360"/>
      </w:pPr>
      <w:r>
        <w:t>a)</w:t>
      </w:r>
      <w:r>
        <w:tab/>
        <w:t>„ujętych po raz pierwszy” w sprawozdawczym okresie odniesienia; lub lub</w:t>
      </w:r>
    </w:p>
    <w:p w14:paraId="0D60A55D" w14:textId="77777777" w:rsidR="00FD54FC" w:rsidRPr="002A677E" w:rsidRDefault="00125707" w:rsidP="00487A02">
      <w:pPr>
        <w:pStyle w:val="InstructionsText2"/>
        <w:numPr>
          <w:ilvl w:val="0"/>
          <w:numId w:val="0"/>
        </w:numPr>
        <w:ind w:left="1353" w:hanging="360"/>
      </w:pPr>
      <w:r>
        <w:t>b)</w:t>
      </w:r>
      <w:r>
        <w:tab/>
        <w:t>„ujętych po raz pierwszy” w poprzednim sprawozdawczym okresie odniesienia, jeżeli zdarzenie straty nie zostało uwzględnione w żadnym poprzednim sprawozdaniu dla organów nadzoru, np. ponieważ zostało określone jako zdarzenie straty wynikłe z ryzyka operacyjnego dopiero w bieżącym sprawozdawczym okresie odniesienia lub ponieważ skumulowana strata możliwa do przypisania temu zdarzeniu straty (tj. pierwotna strata plus/minus wszystkie korekty straty dokonane w poprzednich sprawozdawczych okresach odniesienia) przekroczyła próg gromadzenia wewnętrznych danych dopiero w bieżącym sprawozdawczym okresie odniesienia.</w:t>
      </w:r>
    </w:p>
    <w:p w14:paraId="4FB49E60" w14:textId="3B042DA5" w:rsidR="00F41508" w:rsidRPr="002A677E" w:rsidRDefault="0043455E" w:rsidP="00487A02">
      <w:pPr>
        <w:pStyle w:val="InstructionsText2"/>
        <w:numPr>
          <w:ilvl w:val="0"/>
          <w:numId w:val="0"/>
        </w:numPr>
        <w:ind w:left="1353" w:hanging="360"/>
      </w:pPr>
      <w:fldSimple w:instr=" seq paragraphs ">
        <w:r w:rsidR="008F3052">
          <w:t>157</w:t>
        </w:r>
      </w:fldSimple>
      <w:r w:rsidR="008F3052">
        <w:t>. Zgłasza się jedynie zdarzenia straty prowadzące do kwoty strat brutto w wysokości 100 000 EUR lub więcej.</w:t>
      </w:r>
    </w:p>
    <w:p w14:paraId="5F2CAE8D" w14:textId="77777777" w:rsidR="00FD54FC" w:rsidRPr="002A677E" w:rsidRDefault="00FD54FC" w:rsidP="00487A02">
      <w:pPr>
        <w:pStyle w:val="InstructionsText2"/>
        <w:numPr>
          <w:ilvl w:val="0"/>
          <w:numId w:val="0"/>
        </w:numPr>
        <w:ind w:left="1353" w:hanging="360"/>
      </w:pPr>
      <w:r>
        <w:t>Z zastrzeżeniem tego progu:</w:t>
      </w:r>
    </w:p>
    <w:p w14:paraId="503143B8" w14:textId="1D0A0564" w:rsidR="00FD54FC" w:rsidRPr="002A677E" w:rsidRDefault="00125707" w:rsidP="00487A02">
      <w:pPr>
        <w:pStyle w:val="InstructionsText2"/>
        <w:numPr>
          <w:ilvl w:val="0"/>
          <w:numId w:val="0"/>
        </w:numPr>
        <w:ind w:left="1353" w:hanging="360"/>
      </w:pPr>
      <w:r>
        <w:t>a)</w:t>
      </w:r>
      <w:r>
        <w:tab/>
        <w:t>we wzorze uwzględnia się największe zdarzenie dla każdego rodzaju zdarzenia, pod warunkiem że instytucja określiła rodzaje zdarzeń dla strat; oraz</w:t>
      </w:r>
    </w:p>
    <w:p w14:paraId="0CFFC449" w14:textId="77777777" w:rsidR="00FD54FC" w:rsidRPr="002A677E" w:rsidRDefault="00125707" w:rsidP="00487A02">
      <w:pPr>
        <w:pStyle w:val="InstructionsText2"/>
        <w:numPr>
          <w:ilvl w:val="0"/>
          <w:numId w:val="0"/>
        </w:numPr>
        <w:ind w:left="1353" w:hanging="360"/>
      </w:pPr>
      <w:r>
        <w:t>b)</w:t>
      </w:r>
      <w:r>
        <w:tab/>
        <w:t>co najmniej dziesięć największych z pozostałych zdarzeń ze zidentyfikowanym rodzajem zdarzenia lub bez zidentyfikowanego rodzaju zdarzenia, według kwoty strat brutto;</w:t>
      </w:r>
    </w:p>
    <w:p w14:paraId="4B19E136" w14:textId="77777777" w:rsidR="00FD54FC" w:rsidRPr="002A677E" w:rsidRDefault="00125707" w:rsidP="00487A02">
      <w:pPr>
        <w:pStyle w:val="InstructionsText2"/>
        <w:numPr>
          <w:ilvl w:val="0"/>
          <w:numId w:val="0"/>
        </w:numPr>
        <w:ind w:left="1353" w:hanging="360"/>
      </w:pPr>
      <w:r>
        <w:t>c)</w:t>
      </w:r>
      <w:r>
        <w:tab/>
        <w:t>zdarzenia straty są uszeregowane według przypisanej im straty brutto;</w:t>
      </w:r>
    </w:p>
    <w:p w14:paraId="3AE1B367" w14:textId="77777777" w:rsidR="00FD54FC" w:rsidRPr="002A677E" w:rsidRDefault="00125707" w:rsidP="00487A02">
      <w:pPr>
        <w:pStyle w:val="InstructionsText2"/>
        <w:numPr>
          <w:ilvl w:val="0"/>
          <w:numId w:val="0"/>
        </w:numPr>
        <w:ind w:left="1353" w:hanging="360"/>
      </w:pPr>
      <w:r>
        <w:t>d)</w:t>
      </w:r>
      <w:r>
        <w:tab/>
        <w:t>każde zdarzenie straty jest uwzględniane tylko raz.</w:t>
      </w:r>
    </w:p>
    <w:p w14:paraId="7FAC47A3" w14:textId="3107F2F3" w:rsidR="00FD54FC" w:rsidRPr="002A677E" w:rsidRDefault="00125707" w:rsidP="006D47DD">
      <w:pPr>
        <w:pStyle w:val="Instructionsberschrift2"/>
        <w:numPr>
          <w:ilvl w:val="0"/>
          <w:numId w:val="0"/>
        </w:numPr>
        <w:ind w:left="357" w:hanging="357"/>
        <w:rPr>
          <w:rFonts w:ascii="Times New Roman" w:hAnsi="Times New Roman" w:cs="Times New Roman"/>
          <w:sz w:val="24"/>
        </w:rPr>
      </w:pPr>
      <w:bookmarkStart w:id="589" w:name="_Toc473561030"/>
      <w:bookmarkStart w:id="590" w:name="_Toc119064892"/>
      <w:r>
        <w:rPr>
          <w:rFonts w:ascii="Times New Roman" w:hAnsi="Times New Roman"/>
          <w:sz w:val="24"/>
          <w:u w:val="none"/>
        </w:rPr>
        <w:lastRenderedPageBreak/>
        <w:t>4.2.3.2.</w:t>
      </w:r>
      <w:r>
        <w:tab/>
      </w:r>
      <w:r>
        <w:rPr>
          <w:rFonts w:ascii="Times New Roman" w:hAnsi="Times New Roman"/>
          <w:sz w:val="24"/>
        </w:rPr>
        <w:t>Instrukcje dotyczące poszczególnych pozycji</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6D47DD">
            <w:pPr>
              <w:keepNext/>
              <w:rPr>
                <w:rFonts w:ascii="Times New Roman" w:hAnsi="Times New Roman"/>
                <w:sz w:val="24"/>
              </w:rPr>
            </w:pPr>
            <w:r>
              <w:rPr>
                <w:rFonts w:ascii="Times New Roman" w:hAnsi="Times New Roman"/>
                <w:b/>
                <w:sz w:val="24"/>
              </w:rPr>
              <w:t>Kolumny</w:t>
            </w:r>
          </w:p>
        </w:tc>
      </w:tr>
      <w:tr w:rsidR="00FD54FC" w:rsidRPr="002A677E" w14:paraId="49D115B7" w14:textId="77777777" w:rsidTr="006418A0">
        <w:tc>
          <w:tcPr>
            <w:tcW w:w="951" w:type="dxa"/>
            <w:shd w:val="clear" w:color="auto" w:fill="auto"/>
          </w:tcPr>
          <w:p w14:paraId="365F3571" w14:textId="77777777" w:rsidR="00FD54FC" w:rsidRPr="002A677E" w:rsidRDefault="00C93FC2" w:rsidP="006D47DD">
            <w:pPr>
              <w:keepNext/>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6D47DD">
            <w:pPr>
              <w:keepNext/>
              <w:rPr>
                <w:rFonts w:ascii="Times New Roman" w:hAnsi="Times New Roman"/>
                <w:sz w:val="24"/>
              </w:rPr>
            </w:pPr>
            <w:r>
              <w:rPr>
                <w:rStyle w:val="InstructionsTabelleberschrift"/>
                <w:rFonts w:ascii="Times New Roman" w:hAnsi="Times New Roman"/>
                <w:sz w:val="24"/>
              </w:rPr>
              <w:t>ID zdarzenia</w:t>
            </w:r>
          </w:p>
          <w:p w14:paraId="6710BBCF" w14:textId="77777777" w:rsidR="00FD54FC" w:rsidRPr="002A677E" w:rsidRDefault="00FD54FC" w:rsidP="006D47DD">
            <w:pPr>
              <w:keepNext/>
              <w:rPr>
                <w:rFonts w:ascii="Times New Roman" w:hAnsi="Times New Roman"/>
                <w:sz w:val="24"/>
              </w:rPr>
            </w:pPr>
            <w:r>
              <w:rPr>
                <w:rFonts w:ascii="Times New Roman" w:hAnsi="Times New Roman"/>
                <w:sz w:val="24"/>
              </w:rPr>
              <w:t xml:space="preserve">ID zdarzenia stanowi identyfikator wiersza i jest niepowtarzalny dla każdego wiersza we wzorze. </w:t>
            </w:r>
          </w:p>
          <w:p w14:paraId="0801D83B" w14:textId="77777777" w:rsidR="00FD54FC" w:rsidRPr="002A677E" w:rsidRDefault="00FD54FC" w:rsidP="006D47DD">
            <w:pPr>
              <w:keepNext/>
              <w:rPr>
                <w:rFonts w:ascii="Times New Roman" w:hAnsi="Times New Roman"/>
                <w:sz w:val="24"/>
              </w:rPr>
            </w:pPr>
            <w:r>
              <w:rPr>
                <w:rFonts w:ascii="Times New Roman" w:hAnsi="Times New Roman"/>
                <w:sz w:val="24"/>
              </w:rPr>
              <w:t>W przypadku gdy dostępny jest wewnętrzny ID, instytucje zgłaszają wewnętrzny ID. W innych przypadkach ID jest zgłaszany w kolejności numerycznej: 1, 2, 3 itd.</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rozliczenia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Data rozliczenia oznacza datę pierwszego ujęcia straty lub rezerwy w rachunku zysków i strat w odniesieniu do straty wynikłej z ryzyka operacyjnego.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zdarzenia</w:t>
            </w:r>
          </w:p>
          <w:p w14:paraId="49262D6C" w14:textId="77777777" w:rsidR="00FD54FC" w:rsidRPr="002A677E" w:rsidRDefault="00FD54FC" w:rsidP="00871877">
            <w:pPr>
              <w:rPr>
                <w:rFonts w:ascii="Times New Roman" w:hAnsi="Times New Roman"/>
                <w:sz w:val="24"/>
              </w:rPr>
            </w:pPr>
            <w:r>
              <w:rPr>
                <w:rFonts w:ascii="Times New Roman" w:hAnsi="Times New Roman"/>
                <w:sz w:val="24"/>
              </w:rPr>
              <w:t>Data zdarzenia oznacza datę wystąpienia lub rozpoczęcia zdarzenia straty wynikającego z ryzyka operacyjnego.</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wykrycia</w:t>
            </w:r>
          </w:p>
          <w:p w14:paraId="520821A8" w14:textId="77777777" w:rsidR="00FD54FC" w:rsidRPr="002A677E" w:rsidRDefault="00FD54FC" w:rsidP="00FD54FC">
            <w:pPr>
              <w:rPr>
                <w:rFonts w:ascii="Times New Roman" w:hAnsi="Times New Roman"/>
                <w:sz w:val="24"/>
              </w:rPr>
            </w:pPr>
            <w:r>
              <w:rPr>
                <w:rFonts w:ascii="Times New Roman" w:hAnsi="Times New Roman"/>
                <w:sz w:val="24"/>
              </w:rPr>
              <w:t>Data wykrycia oznacza datę, kiedy instytucja dowiedziała się o zdarzeniu straty wynikającym z ryzyka operacyjnego.</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Rodzaj zdarzenia straty</w:t>
            </w:r>
          </w:p>
          <w:p w14:paraId="73A75C19" w14:textId="1CC439C2" w:rsidR="00FD54FC" w:rsidRPr="002A677E" w:rsidRDefault="00F41508" w:rsidP="00EB6FC2">
            <w:pPr>
              <w:rPr>
                <w:rFonts w:ascii="Times New Roman" w:hAnsi="Times New Roman"/>
                <w:sz w:val="24"/>
              </w:rPr>
            </w:pPr>
            <w:r>
              <w:rPr>
                <w:rFonts w:ascii="Times New Roman" w:hAnsi="Times New Roman"/>
                <w:sz w:val="24"/>
              </w:rPr>
              <w:t xml:space="preserve">Rodzaje zdarzenia straty, o których mowa w art. 324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Strata brutto</w:t>
            </w:r>
          </w:p>
          <w:p w14:paraId="5E868659" w14:textId="77777777" w:rsidR="00FD54FC" w:rsidRPr="002A677E" w:rsidRDefault="00FD54FC" w:rsidP="0023276A">
            <w:pPr>
              <w:rPr>
                <w:rFonts w:ascii="Times New Roman" w:hAnsi="Times New Roman"/>
                <w:sz w:val="24"/>
              </w:rPr>
            </w:pPr>
            <w:r>
              <w:rPr>
                <w:rFonts w:ascii="Times New Roman" w:hAnsi="Times New Roman"/>
                <w:sz w:val="24"/>
              </w:rPr>
              <w:t>Strata brutto związana ze zdarzeniem straty zgłoszona we wierszach 0020, 0120 itd. we wzorze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Strata brutto pomniejszona o bezpośrednio odzyskane należności</w:t>
            </w:r>
          </w:p>
          <w:p w14:paraId="371DD3AD" w14:textId="77777777" w:rsidR="00FD54FC" w:rsidRPr="002A677E" w:rsidRDefault="00FD54FC" w:rsidP="0023276A">
            <w:pPr>
              <w:rPr>
                <w:rFonts w:ascii="Times New Roman" w:hAnsi="Times New Roman"/>
                <w:sz w:val="24"/>
              </w:rPr>
            </w:pPr>
            <w:r>
              <w:rPr>
                <w:rFonts w:ascii="Times New Roman" w:hAnsi="Times New Roman"/>
                <w:sz w:val="24"/>
              </w:rPr>
              <w:t>Strata brutto związana ze zdarzeniem straty zgłoszona we wierszach 0020, 0120 itd. we wzorze C 17.01 pomniejszona o bezpośrednio odzyskane należności związane z tym zdarzeniem straty</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Strata brutto według linii biznesowej</w:t>
            </w:r>
          </w:p>
          <w:p w14:paraId="15FC08A2" w14:textId="29F23B18" w:rsidR="00FD54FC" w:rsidRPr="002A677E" w:rsidRDefault="00FD54FC" w:rsidP="007062FD">
            <w:pPr>
              <w:rPr>
                <w:rFonts w:ascii="Times New Roman" w:hAnsi="Times New Roman"/>
                <w:sz w:val="24"/>
              </w:rPr>
            </w:pPr>
            <w:r>
              <w:rPr>
                <w:rFonts w:ascii="Times New Roman" w:hAnsi="Times New Roman"/>
                <w:sz w:val="24"/>
              </w:rPr>
              <w:t xml:space="preserve">Strata brutto zgłoszona w kolumnie 0060 jest przypisywana do odpowiednich linii biznesowych zgodnie z tabelą 2 w art. 317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art. 322 ust. 3 lit. b) tego rozporządzenia.</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Nazwa podmiotu prawnego</w:t>
            </w:r>
          </w:p>
          <w:p w14:paraId="196BBE73" w14:textId="7342A187" w:rsidR="00FD54FC" w:rsidRPr="002A677E" w:rsidRDefault="00FD54FC" w:rsidP="00FD54FC">
            <w:pPr>
              <w:rPr>
                <w:rFonts w:ascii="Times New Roman" w:hAnsi="Times New Roman"/>
                <w:sz w:val="24"/>
              </w:rPr>
            </w:pPr>
            <w:r>
              <w:rPr>
                <w:rFonts w:ascii="Times New Roman" w:hAnsi="Times New Roman"/>
                <w:sz w:val="24"/>
              </w:rPr>
              <w:t>Zgłoszona w kolumnie 0011 we wzorze C 06.02 nazwa podmiotu prawnego, u którego odnotowano stratę (lub największą część straty, jeżeli strata miała wpływ na większą liczbę podmiotów).</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w:t>
            </w:r>
          </w:p>
          <w:p w14:paraId="2B51325F" w14:textId="351ACEFF" w:rsidR="000D0A23" w:rsidRPr="002A677E" w:rsidRDefault="0062362F" w:rsidP="009B627A">
            <w:pPr>
              <w:rPr>
                <w:rFonts w:ascii="Times New Roman" w:hAnsi="Times New Roman"/>
                <w:sz w:val="24"/>
              </w:rPr>
            </w:pPr>
            <w:r>
              <w:rPr>
                <w:rFonts w:ascii="Times New Roman" w:hAnsi="Times New Roman"/>
                <w:sz w:val="24"/>
              </w:rPr>
              <w:lastRenderedPageBreak/>
              <w:t>Zgłoszony w kolumnie 0021 we wzorze C 06.02 kod podmiotu prawnego, u którego odnotowano stratę (lub największą część straty, jeżeli strata miała wpływ na większą liczbę podmiotów).</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lastRenderedPageBreak/>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RODZAJ KODU</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Instytucje określają rodzaj kodu zgłoszony w</w:t>
            </w:r>
            <w:r>
              <w:rPr>
                <w:rFonts w:ascii="Times New Roman" w:hAnsi="Times New Roman"/>
                <w:sz w:val="24"/>
              </w:rPr>
              <w:t xml:space="preserve"> </w:t>
            </w:r>
            <w:r>
              <w:rPr>
                <w:rStyle w:val="FormatvorlageInstructionsTabelleText"/>
                <w:rFonts w:ascii="Times New Roman" w:hAnsi="Times New Roman"/>
                <w:sz w:val="24"/>
              </w:rPr>
              <w:t>kolumnie 0181 jako „kod LEI” lub „kod inny niż kod LEI”, również zgodnie z kolumną 0026 we wzorze C 06.02. Zawsze zgłasza się rodzaj kodu.</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Jednostka gospodarcza</w:t>
            </w:r>
          </w:p>
          <w:p w14:paraId="7468F598" w14:textId="77777777" w:rsidR="00FD54FC" w:rsidRPr="002A677E" w:rsidRDefault="00FD54FC" w:rsidP="00FD54FC">
            <w:pPr>
              <w:rPr>
                <w:rFonts w:ascii="Times New Roman" w:hAnsi="Times New Roman"/>
                <w:sz w:val="24"/>
              </w:rPr>
            </w:pPr>
            <w:r>
              <w:rPr>
                <w:rFonts w:ascii="Times New Roman" w:hAnsi="Times New Roman"/>
                <w:sz w:val="24"/>
              </w:rPr>
              <w:t>Jednostka gospodarcza lub dział korporacyjny instytucji, w której (w którym) odnotowano stratę (lub największą część straty, jeżeli strata miała wpływ na większą liczbę jednostek gospodarczych lub działów korporacyjnych).</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14:paraId="5B222555" w14:textId="77777777" w:rsidR="00FD54FC" w:rsidRPr="002A677E" w:rsidRDefault="00FD54FC" w:rsidP="00FD239F">
            <w:pPr>
              <w:rPr>
                <w:rFonts w:ascii="Times New Roman" w:hAnsi="Times New Roman"/>
                <w:sz w:val="24"/>
              </w:rPr>
            </w:pPr>
            <w:r>
              <w:rPr>
                <w:rFonts w:ascii="Times New Roman" w:hAnsi="Times New Roman"/>
                <w:sz w:val="24"/>
              </w:rPr>
              <w:t>Opis zdarzenia straty, w stosownych przypadkach w formie uogólnionej lub zanonimizowanej, który obejmuje co najmniej informacje na temat samego zdarzenia oraz informacje na temat przyczyn zdarzenia straty, o ile są znane.</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119064893"/>
      <w:r>
        <w:rPr>
          <w:rFonts w:ascii="Times New Roman" w:hAnsi="Times New Roman"/>
          <w:sz w:val="24"/>
          <w:u w:val="none"/>
        </w:rPr>
        <w:lastRenderedPageBreak/>
        <w:t>5.</w:t>
      </w:r>
      <w:r>
        <w:tab/>
      </w:r>
      <w:r>
        <w:rPr>
          <w:rFonts w:ascii="Times New Roman" w:hAnsi="Times New Roman"/>
          <w:sz w:val="24"/>
        </w:rPr>
        <w:t>Wzory dotyczące ryzyka rynkowego</w:t>
      </w:r>
      <w:bookmarkEnd w:id="591"/>
      <w:bookmarkEnd w:id="592"/>
      <w:bookmarkEnd w:id="593"/>
      <w:bookmarkEnd w:id="594"/>
      <w:bookmarkEnd w:id="595"/>
      <w:bookmarkEnd w:id="596"/>
      <w:bookmarkEnd w:id="597"/>
    </w:p>
    <w:bookmarkStart w:id="598"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W przedmiotowych instrukcjach odniesiono się do wzorów przedstawiania informacji dotyczących obliczania wymogów w zakresie funduszy własnych zgodnie z metodą standardową w odniesieniu do ryzyka walutowego (MKR SA FX), ryzyka cen towarów (MKR SA COM), ryzyka stopy procentowej (MKR SA TDI, MKR SA SEC, MKR SA CTP) i ryzyka związanego z inwestowaniem w akcje (MKR SA EQU). Ponadto w niniejszej części zawarto instrukcje w odniesieniu do wzoru przedstawiania informacji dotyczących obliczania wymogów w zakresie funduszy własnych zgodnie z metodą modeli wewnętrznych (MKR IM). </w:t>
      </w:r>
    </w:p>
    <w:p w14:paraId="43A205D1" w14:textId="2B0359E8" w:rsidR="000B0B09" w:rsidRPr="002A677E" w:rsidRDefault="0043455E" w:rsidP="00487A02">
      <w:pPr>
        <w:pStyle w:val="InstructionsText2"/>
        <w:numPr>
          <w:ilvl w:val="0"/>
          <w:numId w:val="0"/>
        </w:numPr>
        <w:ind w:left="1353" w:hanging="360"/>
      </w:pPr>
      <w:fldSimple w:instr=" seq paragraphs ">
        <w:r w:rsidR="008F3052">
          <w:t>159</w:t>
        </w:r>
      </w:fldSimple>
      <w:r w:rsidR="008F3052">
        <w:t>.</w:t>
      </w:r>
      <w:r w:rsidR="008F3052">
        <w:tab/>
        <w:t xml:space="preserve"> Ryzyko pozycji z tytułu rynkowego instrumentu dłużnego lub kapitału własnego (instrument pochodny od rynkowego instrumentu dłużnego lub instrument pochodny na akcje) dzieli się na dwa elementy dla celów obliczenia kapitału wymaganego z tytułu ryzyka. Pierwszy element stanowi ryzyko szczególne – jest to ryzyko zmiany ceny danego instrumentu w następstwie czynników związanych z jego emitentem lub, w przypadku instrumentu pochodnego, czynników związanych z emitentem instrumentu bazowego. Drugi element obejmuje ryzyko ogólne – jest to ryzyko zmiany ceny danego instrumentu w następstwie zmiany wysokości stóp procentowych (w przypadku rynkowego instrumentu dłużnego lub instrumentu od niego pochodnego) lub (w przypadku kapitału własnego lub instrumentu od niego pochodnego) ruchu na szerokim rynku akcji niezwiązanego z żadnymi konkretnymi atrybutami poszczególnych papierów wartościowych. </w:t>
      </w:r>
      <w:bookmarkEnd w:id="598"/>
      <w:r w:rsidR="008F3052">
        <w:t xml:space="preserve">Podejście ogólne do szczególnych instrumentów i procedury w zakresie kompensowania można znaleźć w art. 326–333 rozporządzenia (UE) </w:t>
      </w:r>
      <w:r w:rsidR="008F3052" w:rsidRPr="0043455E">
        <w:t>nr</w:t>
      </w:r>
      <w:r w:rsidRPr="0043455E">
        <w:t> </w:t>
      </w:r>
      <w:r w:rsidR="008F3052" w:rsidRPr="0043455E">
        <w:t>5</w:t>
      </w:r>
      <w:r w:rsidR="008F3052">
        <w:t xml:space="preserve">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9" w:name="_Toc239157393"/>
      <w:bookmarkStart w:id="600" w:name="_Toc262566426"/>
      <w:bookmarkStart w:id="601" w:name="_Toc295829996"/>
      <w:bookmarkStart w:id="602" w:name="_Toc308426673"/>
      <w:bookmarkStart w:id="603" w:name="_Toc310415057"/>
      <w:bookmarkStart w:id="604" w:name="_Toc360188392"/>
      <w:bookmarkStart w:id="605" w:name="_Toc473561032"/>
      <w:bookmarkStart w:id="606" w:name="_Toc119064894"/>
      <w:r>
        <w:rPr>
          <w:rFonts w:ascii="Times New Roman" w:hAnsi="Times New Roman"/>
          <w:sz w:val="24"/>
          <w:u w:val="none"/>
        </w:rPr>
        <w:t>5.1.</w:t>
      </w:r>
      <w:r>
        <w:tab/>
      </w:r>
      <w:r>
        <w:rPr>
          <w:rFonts w:ascii="Times New Roman" w:hAnsi="Times New Roman"/>
          <w:sz w:val="24"/>
        </w:rPr>
        <w:t>C 18.00 – Ryzyko rynkowe: Ryzyko pozycji z tytułu rynkowych instrumentów dłużnych według metody standardowej</w:t>
      </w:r>
      <w:bookmarkEnd w:id="599"/>
      <w:bookmarkEnd w:id="600"/>
      <w:bookmarkEnd w:id="601"/>
      <w:bookmarkEnd w:id="602"/>
      <w:bookmarkEnd w:id="603"/>
      <w:bookmarkEnd w:id="604"/>
      <w:r>
        <w:rPr>
          <w:rFonts w:ascii="Times New Roman" w:hAnsi="Times New Roman"/>
          <w:sz w:val="24"/>
        </w:rPr>
        <w:t xml:space="preserve"> (MKR SA TDI)</w:t>
      </w:r>
      <w:bookmarkEnd w:id="605"/>
      <w:bookmarkEnd w:id="606"/>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119064895"/>
      <w:r>
        <w:rPr>
          <w:rFonts w:ascii="Times New Roman" w:hAnsi="Times New Roman"/>
          <w:sz w:val="24"/>
          <w:u w:val="none"/>
        </w:rPr>
        <w:t>5.1.1.</w:t>
      </w:r>
      <w:r>
        <w:tab/>
      </w:r>
      <w:r>
        <w:rPr>
          <w:rFonts w:ascii="Times New Roman" w:hAnsi="Times New Roman"/>
          <w:sz w:val="24"/>
        </w:rPr>
        <w:t>Uwagi ogólne</w:t>
      </w:r>
      <w:bookmarkEnd w:id="607"/>
      <w:bookmarkEnd w:id="608"/>
      <w:bookmarkEnd w:id="609"/>
      <w:bookmarkEnd w:id="610"/>
      <w:bookmarkEnd w:id="611"/>
      <w:bookmarkEnd w:id="612"/>
      <w:bookmarkEnd w:id="613"/>
    </w:p>
    <w:p w14:paraId="0D010E09" w14:textId="2BE4476E" w:rsidR="000B0B09" w:rsidRPr="002A677E" w:rsidRDefault="0043455E" w:rsidP="00487A02">
      <w:pPr>
        <w:pStyle w:val="InstructionsText2"/>
        <w:numPr>
          <w:ilvl w:val="0"/>
          <w:numId w:val="0"/>
        </w:numPr>
        <w:ind w:left="1353" w:hanging="360"/>
      </w:pPr>
      <w:fldSimple w:instr=" seq paragraphs ">
        <w:r w:rsidR="008F3052">
          <w:t>160</w:t>
        </w:r>
      </w:fldSimple>
      <w:r w:rsidR="008F3052">
        <w:t>.</w:t>
      </w:r>
      <w:r w:rsidR="008F3052">
        <w:tab/>
        <w:t xml:space="preserve"> Przedmiotowy wzór obejmuje pozycje i powiązane wymogi w zakresie funduszy własnych dotyczące ryzyka pozycji z tytułu rynkowych instrumentów dłużnych według metody standardowej (art. 325 ust. 2 lit. a) rozporządzenia (UE) </w:t>
      </w:r>
      <w:r w:rsidR="008F3052" w:rsidRPr="0043455E">
        <w:t>nr</w:t>
      </w:r>
      <w:r w:rsidRPr="0043455E">
        <w:t> </w:t>
      </w:r>
      <w:r w:rsidR="008F3052" w:rsidRPr="0043455E">
        <w:t>5</w:t>
      </w:r>
      <w:r w:rsidR="008F3052">
        <w:t xml:space="preserve">75/2013). Różne rodzaje ryzyka i metody dostępne na podstawie rozporządzenia (UE) </w:t>
      </w:r>
      <w:r w:rsidR="008F3052" w:rsidRPr="0043455E">
        <w:t>nr</w:t>
      </w:r>
      <w:r w:rsidRPr="0043455E">
        <w:t> </w:t>
      </w:r>
      <w:r w:rsidR="008F3052" w:rsidRPr="0043455E">
        <w:t>5</w:t>
      </w:r>
      <w:r w:rsidR="008F3052">
        <w:t>75/2013 uznaje się według wierszy. Ryzyko szczególne związane z ekspozycjami zawartymi we wzorach MKR SA SEC i MKR SA CTP zgłasza się jedynie w pozycji „Razem” wzoru MKR SA TDI. Wymogi w zakresie funduszy własnych zgłaszane w przedmiotowych wzorach przenosi się odpowiednio do komórek {0325;0060} (sekurytyzacje) i {0330;0060} (korelacyjny portfel handlowy).</w:t>
      </w:r>
    </w:p>
    <w:p w14:paraId="7C8420A5" w14:textId="1C91E400" w:rsidR="000B0B09" w:rsidRPr="002A677E" w:rsidRDefault="0043455E" w:rsidP="00487A02">
      <w:pPr>
        <w:pStyle w:val="InstructionsText2"/>
        <w:numPr>
          <w:ilvl w:val="0"/>
          <w:numId w:val="0"/>
        </w:numPr>
        <w:ind w:left="1353" w:hanging="360"/>
      </w:pPr>
      <w:fldSimple w:instr=" seq paragraphs ">
        <w:r w:rsidR="008F3052">
          <w:t>161</w:t>
        </w:r>
      </w:fldSimple>
      <w:r w:rsidR="008F3052">
        <w:t>.</w:t>
      </w:r>
      <w:r w:rsidR="008F3052">
        <w:tab/>
        <w:t xml:space="preserve"> Wzór należy wypełnić osobno w odniesieniu do pozycji „Razem”, powiększonej o wcześniej ustaloną wartość z listy następujących walut: </w:t>
      </w:r>
      <w:bookmarkStart w:id="614" w:name="OLE_LINK1"/>
      <w:r w:rsidR="008F3052">
        <w:t>EUR, ALL, BGN, CZK, DKK, EGP, GBP, HRK, HUF, ISK, JPY, MKD, NOK, PLN, RON, RUB, RSD, SEK, CHF, TRY, UAH, USD</w:t>
      </w:r>
      <w:bookmarkEnd w:id="614"/>
      <w:r w:rsidR="008F3052">
        <w:t xml:space="preserve"> i jeden rezydualny wzór w odniesieniu do wszystkich innych walut.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119064896"/>
      <w:r>
        <w:rPr>
          <w:rFonts w:ascii="Times New Roman" w:hAnsi="Times New Roman"/>
          <w:sz w:val="24"/>
          <w:u w:val="none"/>
        </w:rPr>
        <w:lastRenderedPageBreak/>
        <w:t>5.1.2.</w:t>
      </w:r>
      <w:r>
        <w:tab/>
      </w:r>
      <w:r>
        <w:rPr>
          <w:rFonts w:ascii="Times New Roman" w:hAnsi="Times New Roman"/>
          <w:sz w:val="24"/>
        </w:rPr>
        <w:t>Instrukcje dotyczące poszczególnych pozycji</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14:paraId="0C799784" w14:textId="7618DF90" w:rsidR="000B0B09" w:rsidRPr="002A677E" w:rsidRDefault="000B0B09" w:rsidP="00D24331">
            <w:pPr>
              <w:rPr>
                <w:rFonts w:ascii="Times New Roman" w:hAnsi="Times New Roman"/>
                <w:sz w:val="24"/>
              </w:rPr>
            </w:pPr>
            <w:r>
              <w:rPr>
                <w:rFonts w:ascii="Times New Roman" w:hAnsi="Times New Roman"/>
                <w:sz w:val="24"/>
              </w:rPr>
              <w:t xml:space="preserve">Art. 102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Są to pozycje brutto nieskompensowane przez instrumenty, z wyłączeniem pozycji z tytułu gwarantowania emisji, które są subskrybowane lub regwarantowane przez osoby trzecie (zgodnie z art. 345 ust. 1 akapit pierwszy zdanie drugie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kwestii rozróżnienia pomiędzy pozycjami długimi i krótkimi, stosowanego również w odniesieniu do pozycji brutto, zob. art. 328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14:paraId="38649486" w14:textId="5B794659" w:rsidR="000B0B09" w:rsidRPr="002A677E" w:rsidRDefault="000B0B09" w:rsidP="005B04C9">
            <w:pPr>
              <w:rPr>
                <w:rFonts w:ascii="Times New Roman" w:hAnsi="Times New Roman"/>
                <w:sz w:val="24"/>
              </w:rPr>
            </w:pPr>
            <w:r>
              <w:rPr>
                <w:rFonts w:ascii="Times New Roman" w:hAnsi="Times New Roman"/>
                <w:sz w:val="24"/>
              </w:rPr>
              <w:t xml:space="preserve">Art. 327–329 i art. 334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kwestii rozróżnienia pomiędzy pozycjami długimi i krótkimi, zob. art. 328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14:paraId="76B658E5" w14:textId="6E8B0DE6" w:rsidR="000B0B09" w:rsidRPr="002A677E" w:rsidRDefault="000B0B09" w:rsidP="007079CE">
            <w:pPr>
              <w:rPr>
                <w:rFonts w:ascii="Times New Roman" w:hAnsi="Times New Roman"/>
                <w:b/>
                <w:bCs/>
                <w:sz w:val="24"/>
                <w:u w:val="single"/>
              </w:rPr>
            </w:pPr>
            <w:r>
              <w:rPr>
                <w:rFonts w:ascii="Times New Roman" w:hAnsi="Times New Roman"/>
                <w:sz w:val="24"/>
              </w:rPr>
              <w:t xml:space="preserve">Te pozycje netto, które zgodnie z różnymi metodami uwzględnionymi w części trzeciej tytuł IV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otrzymują narzut kapitałowy.</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74F1F61F" w14:textId="2D907788" w:rsidR="000B0B09" w:rsidRPr="002A677E" w:rsidRDefault="000B0B09" w:rsidP="005B04C9">
            <w:pPr>
              <w:rPr>
                <w:rFonts w:ascii="Times New Roman" w:hAnsi="Times New Roman"/>
                <w:b/>
                <w:bCs/>
                <w:sz w:val="24"/>
                <w:u w:val="single"/>
              </w:rPr>
            </w:pPr>
            <w:r>
              <w:rPr>
                <w:rFonts w:ascii="Times New Roman" w:hAnsi="Times New Roman"/>
                <w:sz w:val="24"/>
              </w:rPr>
              <w:t xml:space="preserve">Narzut kapitałowy w odniesieniu do wszelkich stosownych pozycji, zgodnie z częścią trzecią tytuł IV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2C4B0E54" w14:textId="2CD6A88D" w:rsidR="000B0B09" w:rsidRPr="002A677E" w:rsidRDefault="000B0B09" w:rsidP="00D24331">
            <w:pPr>
              <w:rPr>
                <w:rFonts w:ascii="Times New Roman" w:hAnsi="Times New Roman"/>
                <w:b/>
                <w:bCs/>
                <w:sz w:val="24"/>
                <w:u w:val="single"/>
              </w:rPr>
            </w:pPr>
            <w:r>
              <w:rPr>
                <w:rFonts w:ascii="Times New Roman" w:hAnsi="Times New Roman"/>
                <w:sz w:val="24"/>
              </w:rPr>
              <w:t xml:space="preserve">Art. 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Wynik pomnożenia wymogów w zakresie funduszy własnych przez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W PORTFELU HANDLOWYM</w:t>
            </w:r>
          </w:p>
          <w:p w14:paraId="12C841B7" w14:textId="4D00A678" w:rsidR="000B0B09" w:rsidRPr="002A677E" w:rsidRDefault="000B0B09" w:rsidP="00D24331">
            <w:pPr>
              <w:rPr>
                <w:rFonts w:ascii="Times New Roman" w:hAnsi="Times New Roman"/>
                <w:sz w:val="24"/>
              </w:rPr>
            </w:pPr>
            <w:r>
              <w:rPr>
                <w:rFonts w:ascii="Times New Roman" w:hAnsi="Times New Roman"/>
                <w:sz w:val="24"/>
              </w:rPr>
              <w:t xml:space="preserve">Pozycje w rynkowych instrumentach dłużnych ujętych w portfelu handlowym oraz odpowiadające im wymogi w zakresie funduszy własnych w odniesieniu do ryzyka pozycji zgodnie z art. 92 ust. 3 lit. b) pkt (i)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częścią trzecią tytuł IV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należy zgłaszać w zależności od kategorii ryzyka, terminu zapadalności i zastosowanego podejścia.</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RYZYKO OGÓLNE.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Instrumenty pochodne</w:t>
            </w:r>
          </w:p>
          <w:p w14:paraId="06C530F0" w14:textId="554F505B" w:rsidR="000B0B09" w:rsidRPr="002A677E" w:rsidRDefault="000B0B09" w:rsidP="00BD2FE7">
            <w:pPr>
              <w:rPr>
                <w:rFonts w:ascii="Times New Roman" w:hAnsi="Times New Roman"/>
                <w:b/>
                <w:bCs/>
                <w:sz w:val="24"/>
                <w:u w:val="single"/>
              </w:rPr>
            </w:pPr>
            <w:r>
              <w:rPr>
                <w:rFonts w:ascii="Times New Roman" w:hAnsi="Times New Roman"/>
                <w:sz w:val="24"/>
              </w:rPr>
              <w:t xml:space="preserve">Instrumenty pochodne uwzględnione przy obliczaniu ryzyka stopy procentowej w portfelu handlowym, uwzględniając, w stosownych przypadkach, art. 328–331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Inne aktywa i zobowiązania</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lastRenderedPageBreak/>
              <w:t xml:space="preserve">Instrumenty inne niż instrumenty pochodne brane pod uwagę przy obliczaniu ryzyka stopy procentowej pozycji w portfelu handlowym.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TERMINÓW ZAPADALNOŚCI</w:t>
            </w:r>
          </w:p>
          <w:p w14:paraId="644A7531" w14:textId="6A511D7E" w:rsidR="000B0B09" w:rsidRPr="002A677E" w:rsidRDefault="000B0B09" w:rsidP="00D24331">
            <w:pPr>
              <w:rPr>
                <w:rFonts w:ascii="Times New Roman" w:hAnsi="Times New Roman"/>
                <w:b/>
                <w:bCs/>
                <w:sz w:val="24"/>
                <w:u w:val="single"/>
              </w:rPr>
            </w:pPr>
            <w:r>
              <w:rPr>
                <w:rFonts w:ascii="Times New Roman" w:hAnsi="Times New Roman"/>
                <w:sz w:val="24"/>
              </w:rPr>
              <w:t xml:space="preserve">Pozycje w rynkowych instrumentach dłużnych podlegające metodzie terminów zapadalności zgodnie z art. 339 ust. 1–8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odpowiadające wymogi w zakresie funduszy własnych obliczone zgodnie z art. 339 ust. 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Pozycję dzieli się według stref 1, 2 i 3, po czym strefy te dzieli się według terminu zapadalności instrumentów.</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RYZYKO OGÓLNE. PODEJŚCIE OPARTE NA DURACJI</w:t>
            </w:r>
          </w:p>
          <w:p w14:paraId="08171DB1" w14:textId="4EA013CF" w:rsidR="000B0B09" w:rsidRPr="002A677E" w:rsidRDefault="000B0B09" w:rsidP="00D24331">
            <w:pPr>
              <w:rPr>
                <w:rFonts w:ascii="Times New Roman" w:hAnsi="Times New Roman"/>
                <w:b/>
                <w:bCs/>
                <w:sz w:val="24"/>
                <w:u w:val="single"/>
              </w:rPr>
            </w:pPr>
            <w:r>
              <w:rPr>
                <w:rFonts w:ascii="Times New Roman" w:hAnsi="Times New Roman"/>
                <w:sz w:val="24"/>
              </w:rPr>
              <w:t xml:space="preserve">Pozycje w rynkowych instrumentach dłużnych podlegające podejściu opartemu na duracji zgodnie z art. 340 ust. 1–6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odpowiadające wymogi w zakresie funduszy własnych obliczone zgodnie z art. 340 ust. 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Pozycję dzieli się według stref 1, 2 i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SZCZEGÓLNE</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Suma kwot zgłoszonych w wierszach 0251, 0325 i 0330. </w:t>
            </w:r>
          </w:p>
          <w:p w14:paraId="4E1E5CA2" w14:textId="73B47E32" w:rsidR="000B0B09" w:rsidRPr="002A677E" w:rsidRDefault="000B0B09" w:rsidP="00D24331">
            <w:pPr>
              <w:rPr>
                <w:rFonts w:ascii="Times New Roman" w:hAnsi="Times New Roman"/>
                <w:b/>
                <w:bCs/>
                <w:sz w:val="24"/>
                <w:u w:val="single"/>
              </w:rPr>
            </w:pPr>
            <w:r>
              <w:rPr>
                <w:rFonts w:ascii="Times New Roman" w:hAnsi="Times New Roman"/>
                <w:sz w:val="24"/>
              </w:rPr>
              <w:t xml:space="preserve">Pozycje w rynkowych instrumentach dłużnych podlegające szczególnemu ryzyku wymogów kapitałowych oraz odpowiadające im wymogi kapitałowe zgodnie z art. 92 ust. 3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35, art. 336 ust. 1, 2 i 3 oraz art. 337 i 338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Należy również mieć na uwadze art. 327 ust. 1 zdanie ostatnie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Wymóg w zakresie funduszy własnych w odniesieniu do instrumentów dłużnych niestanowiących pozycji sekurytyzacyjnych</w:t>
            </w:r>
          </w:p>
          <w:p w14:paraId="19437B35" w14:textId="77777777" w:rsidR="000B0B09" w:rsidRPr="002A677E" w:rsidRDefault="000B0B09" w:rsidP="007B2F85">
            <w:pPr>
              <w:rPr>
                <w:rFonts w:ascii="Times New Roman" w:hAnsi="Times New Roman"/>
                <w:sz w:val="24"/>
              </w:rPr>
            </w:pPr>
            <w:r>
              <w:rPr>
                <w:rFonts w:ascii="Times New Roman" w:hAnsi="Times New Roman"/>
                <w:sz w:val="24"/>
              </w:rPr>
              <w:t>Suma kwot zgłoszonych w wierszach 260–321.</w:t>
            </w:r>
          </w:p>
          <w:p w14:paraId="4CDA5DEB" w14:textId="65298216" w:rsidR="000B0B09" w:rsidRPr="002A677E" w:rsidRDefault="000B0B09" w:rsidP="00BD2FE7">
            <w:pPr>
              <w:rPr>
                <w:rFonts w:ascii="Times New Roman" w:hAnsi="Times New Roman"/>
                <w:sz w:val="24"/>
              </w:rPr>
            </w:pPr>
            <w:r>
              <w:rPr>
                <w:rFonts w:ascii="Times New Roman" w:hAnsi="Times New Roman"/>
                <w:sz w:val="24"/>
              </w:rPr>
              <w:t xml:space="preserve">Wymogi w zakresie kapitału własnego dotyczące kredytowych instrumentów pochodnych uruchamianych n-tym niewykonaniem zobowiązania, które nie posiadają zewnętrznej oceny ratingowej, oblicza się, sumując wagi ryzyka podmiotów referencyjnych (art. 332 ust. 1 lit. 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art. 332 ust. 1 akapit drugi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 „pełny przegląd”). Kredytowe instrumenty pochodne uruchamiane n-tym niewykonaniem zobowiązania posiadające zewnętrzną ocenę ratingową (art. 332 ust. 1 akapit trzeci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zgłasza się oddzielnie w wierszu 321. </w:t>
            </w:r>
          </w:p>
          <w:p w14:paraId="7051ED04" w14:textId="32797576" w:rsidR="000B0B09" w:rsidRPr="002A677E" w:rsidRDefault="000B0B09" w:rsidP="00BD2FE7">
            <w:pPr>
              <w:rPr>
                <w:rFonts w:ascii="Times New Roman" w:hAnsi="Times New Roman"/>
                <w:sz w:val="24"/>
              </w:rPr>
            </w:pPr>
            <w:r>
              <w:rPr>
                <w:rFonts w:ascii="Times New Roman" w:hAnsi="Times New Roman"/>
                <w:sz w:val="24"/>
              </w:rPr>
              <w:t xml:space="preserve">Zgłaszanie pozycji podlegających przepisom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36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Obligacje kwalifikujące się do wagi ryzyka równej</w:t>
            </w:r>
            <w:r>
              <w:t xml:space="preserve"> </w:t>
            </w:r>
            <w:r>
              <w:rPr>
                <w:rFonts w:ascii="Times New Roman" w:hAnsi="Times New Roman"/>
                <w:sz w:val="24"/>
              </w:rPr>
              <w:t>1</w:t>
            </w:r>
            <w:r w:rsidRPr="0043455E">
              <w:rPr>
                <w:rFonts w:ascii="Times New Roman" w:hAnsi="Times New Roman"/>
                <w:sz w:val="24"/>
              </w:rPr>
              <w:t>0</w:t>
            </w:r>
            <w:r w:rsidR="0043455E" w:rsidRPr="0043455E">
              <w:rPr>
                <w:rFonts w:ascii="Times New Roman" w:hAnsi="Times New Roman"/>
                <w:sz w:val="24"/>
              </w:rPr>
              <w:t> </w:t>
            </w:r>
            <w:r w:rsidRPr="0043455E">
              <w:rPr>
                <w:rFonts w:ascii="Times New Roman" w:hAnsi="Times New Roman"/>
                <w:sz w:val="24"/>
              </w:rPr>
              <w:t>%</w:t>
            </w:r>
            <w:r>
              <w:rPr>
                <w:rFonts w:ascii="Times New Roman" w:hAnsi="Times New Roman"/>
                <w:sz w:val="24"/>
              </w:rPr>
              <w:t xml:space="preserve"> w portfelu bankowym wymagają specjalnego ujęcia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29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(obligacje zabezpieczone). Określone wymogi w zakresie funduszy własnych odpowiadają połowie odsetka drugiej kategorii w tabeli 1 w art. 336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Pozycje te muszą być przypisane do wierszy 0280-0300 odpowiednio do okresu pozostałego do ostatecznego terminu zapadalności.</w:t>
            </w:r>
          </w:p>
          <w:p w14:paraId="11FE9AD5" w14:textId="1170017F" w:rsidR="000B0B09" w:rsidRPr="002A677E" w:rsidRDefault="00F41508" w:rsidP="0002267E">
            <w:pPr>
              <w:rPr>
                <w:rFonts w:ascii="Times New Roman" w:hAnsi="Times New Roman"/>
                <w:b/>
                <w:bCs/>
                <w:sz w:val="24"/>
                <w:u w:val="single"/>
              </w:rPr>
            </w:pPr>
            <w:r>
              <w:rPr>
                <w:rFonts w:ascii="Times New Roman" w:hAnsi="Times New Roman"/>
                <w:sz w:val="24"/>
              </w:rPr>
              <w:t xml:space="preserve">Jeżeli ryzyko ogólne pozycji ryzyka stopy procentowej jest zabezpieczone kredytowym instrumentem pochodnym, stosuje się art. 346 i 347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 w odniesieniu do instrumentów stanowiących pozycje sekurytyzacyjne</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Całkowite wymogi w zakresie funduszy własnych zgłoszone w kolumnie 0601 wzoru MKR SA SEC. Te całkowite wymogi w zakresie funduszy własnych zgłasza się wyłącznie na poziomie pozycji „Razem” wzoru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Wymóg w zakresie funduszy własnych dla korelacyjnego portfela handlowego</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Całkowite wymogi w zakresie funduszy własnych zgłoszone w kolumnie 0450 wzoru MKR SA CTP. Te całkowite wymogi w zakresie funduszy własnych zgłasza się wyłącznie na poziomie pozycji „Razem” wzoru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DODATKOWE WYMOGI W ZAKRESIE OPCJI (RYZYKA INNE NIŻ RYZYKO DELTA) </w:t>
            </w:r>
          </w:p>
          <w:p w14:paraId="3B19069A" w14:textId="013F25EF" w:rsidR="000B0B09" w:rsidRPr="002A677E" w:rsidRDefault="000B0B09" w:rsidP="00BD2FE7">
            <w:pPr>
              <w:rPr>
                <w:rFonts w:ascii="Times New Roman" w:hAnsi="Times New Roman"/>
                <w:sz w:val="24"/>
              </w:rPr>
            </w:pPr>
            <w:r>
              <w:rPr>
                <w:rFonts w:ascii="Times New Roman" w:hAnsi="Times New Roman"/>
                <w:sz w:val="24"/>
              </w:rPr>
              <w:t xml:space="preserve">Art. 329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Dodatkowe wymogi w zakresie opcji związane z ryzykami innymi niż ryzyko delta zgłasza się w podziale na metodę stosowaną do ich obliczenia.</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119064897"/>
      <w:r>
        <w:rPr>
          <w:rFonts w:ascii="Times New Roman" w:hAnsi="Times New Roman"/>
          <w:sz w:val="24"/>
          <w:u w:val="none"/>
        </w:rPr>
        <w:t>5.2.</w:t>
      </w:r>
      <w:r>
        <w:tab/>
      </w:r>
      <w:r>
        <w:rPr>
          <w:rFonts w:ascii="Times New Roman" w:hAnsi="Times New Roman"/>
          <w:sz w:val="24"/>
        </w:rPr>
        <w:t>C 19.00 – RYZYKO RYNKOWE: SZCZEGÓLNE RYZYKO Z TYTUŁU SEKURYTYZACJI WEDŁUG METODY STANDARDOWEJ (MKR SA SEC)</w:t>
      </w:r>
      <w:bookmarkEnd w:id="622"/>
      <w:bookmarkEnd w:id="623"/>
      <w:bookmarkEnd w:id="624"/>
      <w:bookmarkEnd w:id="625"/>
      <w:bookmarkEnd w:id="626"/>
      <w:bookmarkEnd w:id="627"/>
      <w:bookmarkEnd w:id="628"/>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119064898"/>
      <w:r>
        <w:rPr>
          <w:rFonts w:ascii="Times New Roman" w:hAnsi="Times New Roman"/>
          <w:sz w:val="24"/>
          <w:u w:val="none"/>
        </w:rPr>
        <w:t>5.2.1.</w:t>
      </w:r>
      <w:r>
        <w:tab/>
      </w:r>
      <w:r>
        <w:rPr>
          <w:rFonts w:ascii="Times New Roman" w:hAnsi="Times New Roman"/>
          <w:sz w:val="24"/>
        </w:rPr>
        <w:t>Uwagi ogólne</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W przedmiotowym wzorze należy przedstawić informacje o pozycjach (wszystkich/netto i długich/krótkich) i powiązanych wymogach w zakresie funduszy własnych odnoszących się do elementu ryzyka szczególnego w ramach ryzyka pozycji z tytułu sekurytyzacji/resekurytyzacji przechowywanych w portfelu handlowym (niekwalifikujących się do ujęcia w korelacyjnym portfelu handlowym) zgodnie z metodą standardową. </w:t>
      </w:r>
    </w:p>
    <w:p w14:paraId="2729DF95" w14:textId="738D5E8F" w:rsidR="00FC6275" w:rsidRPr="002A677E" w:rsidRDefault="0043455E" w:rsidP="00487A02">
      <w:pPr>
        <w:pStyle w:val="InstructionsText2"/>
        <w:numPr>
          <w:ilvl w:val="0"/>
          <w:numId w:val="0"/>
        </w:numPr>
        <w:ind w:left="1353" w:hanging="360"/>
      </w:pPr>
      <w:fldSimple w:instr=" seq paragraphs ">
        <w:r w:rsidR="008F3052">
          <w:t>163</w:t>
        </w:r>
      </w:fldSimple>
      <w:r w:rsidR="008F3052">
        <w:t>.</w:t>
      </w:r>
      <w:r w:rsidR="008F3052">
        <w:tab/>
        <w:t xml:space="preserve"> We wzorze MKR SA SEC przedstawia się wymogi w zakresie funduszy własnych wyłącznie w odniesieniu do ryzyka szczególnego w ramach ryzyka pozycji, zgodnie z art. 335 rozporządzenia (UE) </w:t>
      </w:r>
      <w:r w:rsidR="008F3052" w:rsidRPr="0043455E">
        <w:t>nr</w:t>
      </w:r>
      <w:r w:rsidRPr="0043455E">
        <w:t> </w:t>
      </w:r>
      <w:r w:rsidR="008F3052" w:rsidRPr="0043455E">
        <w:t>5</w:t>
      </w:r>
      <w:r w:rsidR="008F3052">
        <w:t xml:space="preserve">75/2013 w związku z art. 337 tego rozporządzenia. Jeżeli pozycje sekurytyzacyjne w portfelu handlowym są zabezpieczone kredytowymi instrumentami pochodnymi, zastosowanie mają przepisy art. 346 i 347 rozporządzenia (UE) </w:t>
      </w:r>
      <w:r w:rsidR="008F3052" w:rsidRPr="0043455E">
        <w:t>nr</w:t>
      </w:r>
      <w:r w:rsidRPr="0043455E">
        <w:t> </w:t>
      </w:r>
      <w:r w:rsidR="008F3052" w:rsidRPr="0043455E">
        <w:t>5</w:t>
      </w:r>
      <w:r w:rsidR="008F3052">
        <w:t xml:space="preserve">75/2013. W odniesieniu do wszystkich pozycji w portfelu handlowym stosuje się ten sam wzór, niezależnie od metody stosowanej przez instytucje przy ustalaniu wagi ryzyka każdej pozycji zgodnie z częścią trzecią tytuł II rozdział 5 rozporządzenia (UE) </w:t>
      </w:r>
      <w:r w:rsidR="008F3052" w:rsidRPr="0043455E">
        <w:t>nr</w:t>
      </w:r>
      <w:r w:rsidRPr="0043455E">
        <w:t> </w:t>
      </w:r>
      <w:r w:rsidR="008F3052" w:rsidRPr="0043455E">
        <w:t>5</w:t>
      </w:r>
      <w:r w:rsidR="008F3052">
        <w:t>75/2013. Wymogi w zakresie funduszy własnych w odniesieniu do ryzyka ogólnego tych pozycji zgłasza się przy pomocy wzoru MKR SA TDI lub wzoru MKR IM.</w:t>
      </w:r>
    </w:p>
    <w:p w14:paraId="0C732A14" w14:textId="4C6D3800" w:rsidR="00FC6275" w:rsidRPr="002A677E" w:rsidRDefault="0043455E" w:rsidP="00487A02">
      <w:pPr>
        <w:pStyle w:val="InstructionsText2"/>
        <w:numPr>
          <w:ilvl w:val="0"/>
          <w:numId w:val="0"/>
        </w:numPr>
        <w:ind w:left="1353" w:hanging="360"/>
      </w:pPr>
      <w:fldSimple w:instr=" seq paragraphs ">
        <w:r w:rsidR="008F3052">
          <w:t>164</w:t>
        </w:r>
      </w:fldSimple>
      <w:r w:rsidR="008F3052">
        <w:t xml:space="preserve">. Pozycje, którym przypisywana jest waga ryzyka 1 250 %, mogą alternatywnie zostać odliczone od kapitału podstawowego Tier I (zob. art. 244 ust. 1 lit. b), art. 245 ust. 1 lit. b) oraz art. 253 rozporządzenia (UE) </w:t>
      </w:r>
      <w:r w:rsidR="008F3052" w:rsidRPr="0043455E">
        <w:t>nr</w:t>
      </w:r>
      <w:r w:rsidRPr="0043455E">
        <w:t> </w:t>
      </w:r>
      <w:r w:rsidR="008F3052" w:rsidRPr="0043455E">
        <w:t>5</w:t>
      </w:r>
      <w:r w:rsidR="008F3052">
        <w:t>75/2013). W takim przypadku pozycje te zgłasza się w wierszu 0460 we wzorze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2" w:name="_Toc119064899"/>
      <w:r>
        <w:rPr>
          <w:rFonts w:ascii="Times New Roman" w:hAnsi="Times New Roman"/>
          <w:sz w:val="24"/>
          <w:u w:val="none"/>
        </w:rPr>
        <w:lastRenderedPageBreak/>
        <w:t>5.2.2.</w:t>
      </w:r>
      <w:r>
        <w:tab/>
      </w:r>
      <w:r>
        <w:rPr>
          <w:rFonts w:ascii="Times New Roman" w:hAnsi="Times New Roman"/>
          <w:sz w:val="24"/>
        </w:rPr>
        <w:t>Instrukcje dotyczące poszczególnych pozycji</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14:paraId="503F4241" w14:textId="4D378405" w:rsidR="00C55547" w:rsidRPr="002A677E" w:rsidRDefault="00C55547" w:rsidP="007062FD">
            <w:pPr>
              <w:rPr>
                <w:rFonts w:ascii="Times New Roman" w:hAnsi="Times New Roman"/>
                <w:sz w:val="24"/>
              </w:rPr>
            </w:pPr>
            <w:r>
              <w:rPr>
                <w:rFonts w:ascii="Times New Roman" w:hAnsi="Times New Roman"/>
                <w:sz w:val="24"/>
              </w:rPr>
              <w:t>Art. </w:t>
            </w:r>
            <w:r>
              <w:rPr>
                <w:rStyle w:val="InstructionsTabelleText"/>
                <w:rFonts w:ascii="Times New Roman" w:hAnsi="Times New Roman"/>
                <w:sz w:val="24"/>
              </w:rPr>
              <w:t>102 i art. 105 ust. 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w związku z art. 337</w:t>
            </w:r>
            <w:r>
              <w:rPr>
                <w:rFonts w:ascii="Times New Roman" w:hAnsi="Times New Roman"/>
                <w:sz w:val="24"/>
              </w:rPr>
              <w:t xml:space="preserve"> tego rozporządzenia </w:t>
            </w:r>
            <w:r>
              <w:rPr>
                <w:rStyle w:val="InstructionsTabelleText"/>
                <w:rFonts w:ascii="Times New Roman" w:hAnsi="Times New Roman"/>
                <w:sz w:val="24"/>
              </w:rPr>
              <w:t>(pozycje sekurytyzacyjne). W kwestii rozróżnienia pomiędzy pozycjami długimi i krótkimi, stosowanego również w odniesieniu do pozycji brutto, zob. art. 328 ust.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3455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POZYCJE ODLICZONE OD FUNDUSZY WŁASNYCH</w:t>
            </w:r>
            <w:r>
              <w:rPr>
                <w:rFonts w:ascii="Times New Roman" w:hAnsi="Times New Roman"/>
                <w:sz w:val="24"/>
              </w:rPr>
              <w:t xml:space="preserve"> </w:t>
            </w:r>
            <w:r>
              <w:rPr>
                <w:rFonts w:ascii="Times New Roman" w:hAnsi="Times New Roman"/>
                <w:b/>
                <w:sz w:val="24"/>
                <w:u w:val="single"/>
              </w:rPr>
              <w:t>(DŁUGIE I KRÓTKIE)</w:t>
            </w:r>
          </w:p>
          <w:p w14:paraId="1429CBFE" w14:textId="307F4E9F" w:rsidR="00C55547" w:rsidRPr="002A677E" w:rsidRDefault="00705025" w:rsidP="00D24331">
            <w:pPr>
              <w:rPr>
                <w:rStyle w:val="InstructionsTabelleText"/>
                <w:rFonts w:ascii="Times New Roman" w:hAnsi="Times New Roman"/>
                <w:sz w:val="24"/>
              </w:rPr>
            </w:pPr>
            <w:r w:rsidRPr="0043455E">
              <w:rPr>
                <w:rStyle w:val="InstructionsTabelleText"/>
                <w:rFonts w:ascii="Times New Roman" w:hAnsi="Times New Roman"/>
                <w:sz w:val="24"/>
              </w:rPr>
              <w:t>A</w:t>
            </w:r>
            <w:r>
              <w:rPr>
                <w:rStyle w:val="InstructionsTabelleText"/>
                <w:rFonts w:ascii="Times New Roman" w:hAnsi="Times New Roman"/>
                <w:sz w:val="24"/>
              </w:rPr>
              <w:t xml:space="preserve">rt. 244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b)</w:t>
            </w:r>
            <w:r>
              <w:rPr>
                <w:rStyle w:val="InstructionsTabelleText"/>
                <w:rFonts w:ascii="Times New Roman" w:hAnsi="Times New Roman"/>
                <w:sz w:val="24"/>
              </w:rPr>
              <w:t xml:space="preserve">,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45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1</w:t>
            </w:r>
            <w:r>
              <w:rPr>
                <w:rStyle w:val="InstructionsTabelleText"/>
                <w:rFonts w:ascii="Times New Roman" w:hAnsi="Times New Roman"/>
                <w:sz w:val="24"/>
              </w:rPr>
              <w:t xml:space="preserve"> </w:t>
            </w:r>
            <w:r w:rsidRPr="0043455E">
              <w:rPr>
                <w:rStyle w:val="InstructionsTabelleText"/>
                <w:rFonts w:ascii="Times New Roman" w:hAnsi="Times New Roman"/>
                <w:sz w:val="24"/>
              </w:rPr>
              <w:t>lit.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b)</w:t>
            </w:r>
            <w:r>
              <w:rPr>
                <w:rStyle w:val="InstructionsTabelleText"/>
                <w:rFonts w:ascii="Times New Roman" w:hAnsi="Times New Roman"/>
                <w:sz w:val="24"/>
              </w:rPr>
              <w:t xml:space="preserve"> i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53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POZYCJE NETTO</w:t>
            </w:r>
            <w:r>
              <w:rPr>
                <w:rFonts w:ascii="Times New Roman" w:hAnsi="Times New Roman"/>
                <w:sz w:val="24"/>
              </w:rPr>
              <w:t xml:space="preserve"> </w:t>
            </w:r>
            <w:r>
              <w:rPr>
                <w:rFonts w:ascii="Times New Roman" w:hAnsi="Times New Roman"/>
                <w:b/>
                <w:sz w:val="24"/>
                <w:u w:val="single"/>
              </w:rPr>
              <w:t>(DŁUGIE I KRÓTKIE)</w:t>
            </w:r>
          </w:p>
          <w:p w14:paraId="54C14D76" w14:textId="0963DC91"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Art. 327, 328, 329 i 334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W kwestii rozróżnienia pomiędzy pozycjami długimi i krótkimi, zob. art. 328 ust. 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NETTO WEDŁUG WAG RYZYKA</w:t>
            </w:r>
          </w:p>
          <w:p w14:paraId="3ECFC065" w14:textId="2C89C4D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 259–262, tabele 1 i 2 w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63, tabele 3 i 4 w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64 oraz </w:t>
            </w:r>
            <w:r w:rsidRPr="0043455E">
              <w:rPr>
                <w:rStyle w:val="InstructionsTabelleText"/>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Podział przeprowadza się niezależnie dla pozycji długich i krótkich.</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NETTO WEDŁUG METOD</w:t>
            </w:r>
          </w:p>
          <w:p w14:paraId="683DE902" w14:textId="09DA467E" w:rsidR="00C55547" w:rsidRPr="002A677E" w:rsidRDefault="00C55547" w:rsidP="003073B2">
            <w:pPr>
              <w:rPr>
                <w:rFonts w:ascii="Times New Roman" w:hAnsi="Times New Roman"/>
                <w:b/>
                <w:bCs/>
                <w:sz w:val="24"/>
                <w:u w:val="single"/>
              </w:rPr>
            </w:pPr>
            <w:r>
              <w:rPr>
                <w:rFonts w:ascii="Times New Roman" w:hAnsi="Times New Roman"/>
                <w:sz w:val="24"/>
              </w:rPr>
              <w:t>Art. </w:t>
            </w:r>
            <w:r>
              <w:rPr>
                <w:rStyle w:val="InstructionsTabelleText"/>
                <w:rFonts w:ascii="Times New Roman" w:hAnsi="Times New Roman"/>
                <w:sz w:val="24"/>
              </w:rPr>
              <w:t>254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430CD0CA"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 259 i 260</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2D62F393" w:rsidR="00C55547" w:rsidRPr="002A677E"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 261 i 262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20A18B4F"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 263 i 264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WEWNĘTRZNYCH OSZACOWAŃ</w:t>
            </w:r>
          </w:p>
          <w:p w14:paraId="5354C48C" w14:textId="75583E6B"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t>Art. 254,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65 i art. 266 ust. 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SZCZEGÓLNE TRAKTOWANIE TRANSZ UPRZYWILEJOWANYCH KWALIFIKUJĄCYCH SIĘ SEKURYTYZACJI EKSPOZYCJI NIEOBSŁUGIWANYCH</w:t>
            </w:r>
          </w:p>
          <w:p w14:paraId="17BE744C" w14:textId="62BF8999" w:rsidR="0033476C" w:rsidRPr="002A677E" w:rsidRDefault="0033476C" w:rsidP="001235ED">
            <w:pPr>
              <w:rPr>
                <w:rFonts w:ascii="Times New Roman" w:hAnsi="Times New Roman"/>
                <w:b/>
                <w:bCs/>
                <w:sz w:val="24"/>
                <w:u w:val="single"/>
              </w:rPr>
            </w:pPr>
            <w:r>
              <w:rPr>
                <w:rFonts w:ascii="Times New Roman" w:hAnsi="Times New Roman"/>
                <w:sz w:val="24"/>
              </w:rPr>
              <w:t xml:space="preserve">Art. 269a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INNE (WAGA RYZYKA =</w:t>
            </w:r>
            <w:r>
              <w:t xml:space="preserve"> </w:t>
            </w:r>
            <w:r>
              <w:rPr>
                <w:rFonts w:ascii="Times New Roman" w:hAnsi="Times New Roman"/>
                <w:b/>
                <w:sz w:val="24"/>
                <w:u w:val="single"/>
              </w:rPr>
              <w:t>1 250 %)</w:t>
            </w:r>
          </w:p>
          <w:p w14:paraId="1684F52F" w14:textId="6C67C742"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 254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OGÓLNY SKUTEK (KOREKTA) WYNIKAJĄCY Z NARUSZENIA PRZEPISÓW ROZDZIAŁU 2 ROZPORZĄDZENIA (UE) 2017/2402</w:t>
            </w:r>
          </w:p>
          <w:p w14:paraId="3FBEAE4C" w14:textId="0AD3FE5C"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Art. 270a </w:t>
            </w:r>
            <w:r>
              <w:rPr>
                <w:rFonts w:ascii="Times New Roman" w:hAnsi="Times New Roman"/>
                <w:sz w:val="24"/>
              </w:rPr>
              <w:t xml:space="preserve">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PRZED UWZGLĘDNIENIEM PUŁAPU </w:t>
            </w:r>
          </w:p>
          <w:p w14:paraId="740CD739" w14:textId="65267AA2" w:rsidR="00C55547" w:rsidRPr="002A677E" w:rsidRDefault="00C55547" w:rsidP="007062FD">
            <w:pPr>
              <w:rPr>
                <w:rFonts w:ascii="Times New Roman" w:hAnsi="Times New Roman"/>
                <w:bCs/>
                <w:sz w:val="24"/>
              </w:rPr>
            </w:pPr>
            <w:r>
              <w:rPr>
                <w:rFonts w:ascii="Times New Roman" w:hAnsi="Times New Roman"/>
                <w:sz w:val="24"/>
              </w:rPr>
              <w:t xml:space="preserve">Art. 337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nie uwzględniając swobody uznania przewidzianej w art. 335 tego rozporządzenia, na mocy którego instytucja może wprowadzić górne ograniczenie wyniku ważenia i pozycji netto na poziomie najwyższej potencjalnej straty powiązanej z ryzykiem niewykonania zobowiązań.</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PO UWZGLĘDNIENIU PUŁAPU / CAŁKOWITYCH WYMOGÓW W ZAKRESIE FUNDUSZY WŁASNYCH </w:t>
            </w:r>
          </w:p>
          <w:p w14:paraId="0DE4FAED" w14:textId="56271C65" w:rsidR="00C55547" w:rsidRPr="002A677E" w:rsidRDefault="00C55547" w:rsidP="007062FD">
            <w:pPr>
              <w:rPr>
                <w:rFonts w:ascii="Times New Roman" w:hAnsi="Times New Roman"/>
                <w:bCs/>
                <w:sz w:val="24"/>
              </w:rPr>
            </w:pPr>
            <w:r>
              <w:rPr>
                <w:rFonts w:ascii="Times New Roman" w:hAnsi="Times New Roman"/>
                <w:sz w:val="24"/>
              </w:rPr>
              <w:t xml:space="preserve">Art. 337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Text"/>
                <w:rFonts w:ascii="Times New Roman" w:hAnsi="Times New Roman"/>
                <w:sz w:val="24"/>
              </w:rPr>
              <w:t>uwzględniając</w:t>
            </w:r>
            <w:r>
              <w:rPr>
                <w:rFonts w:ascii="Times New Roman" w:hAnsi="Times New Roman"/>
                <w:sz w:val="24"/>
              </w:rPr>
              <w:t xml:space="preserve"> swobodę uznania przewidzianą w art. 335 tego rozporządzenia.</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EKSPOZYCJE CAŁKOWITE</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Całkowita kwota należności z tytułu sekurytyzacji i resekurytyzacji (przechowywanych w portfelu handlowym) zgłoszonych przez instytucję pełniącą rolę jednostki inicjującej, inwestora lub jednostki sponsorującej.</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oraz 0100</w:t>
            </w:r>
          </w:p>
        </w:tc>
        <w:tc>
          <w:tcPr>
            <w:tcW w:w="7537" w:type="dxa"/>
          </w:tcPr>
          <w:p w14:paraId="4F5DF6AF" w14:textId="77777777" w:rsidR="00C55547" w:rsidRPr="0043455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POZYCJE SEKURYTYZACYJNE</w:t>
            </w:r>
          </w:p>
          <w:p w14:paraId="62CD89EA" w14:textId="1EF8034E" w:rsidR="00C55547" w:rsidRPr="002A677E" w:rsidRDefault="00532026" w:rsidP="00E10B85">
            <w:pPr>
              <w:autoSpaceDE w:val="0"/>
              <w:autoSpaceDN w:val="0"/>
              <w:adjustRightInd w:val="0"/>
              <w:spacing w:before="0" w:after="0"/>
              <w:rPr>
                <w:rFonts w:ascii="Times New Roman" w:hAnsi="Times New Roman"/>
                <w:bCs/>
                <w:sz w:val="24"/>
              </w:rPr>
            </w:pPr>
            <w:r w:rsidRPr="0043455E">
              <w:rPr>
                <w:rFonts w:ascii="Times New Roman" w:hAnsi="Times New Roman"/>
                <w:sz w:val="24"/>
              </w:rPr>
              <w:t>A</w:t>
            </w:r>
            <w:r>
              <w:rPr>
                <w:rFonts w:ascii="Times New Roman" w:hAnsi="Times New Roman"/>
                <w:sz w:val="24"/>
              </w:rPr>
              <w:t xml:space="preserve">rt. 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oraz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POZYCJE RESEKURYTYZACYJNE</w:t>
            </w:r>
          </w:p>
          <w:p w14:paraId="32F5BAEB" w14:textId="1F81F8C0"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Art. 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oraz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W TYM: KWALIFIKUJĄCE SIĘ DO ZRÓŻNICOWANEGO TRAKTOWANIA KAPITAŁU</w:t>
            </w:r>
          </w:p>
          <w:p w14:paraId="775DD0A5" w14:textId="3D5672BE" w:rsidR="00C55547" w:rsidRPr="002A677E" w:rsidRDefault="00C55547" w:rsidP="007062FD">
            <w:pPr>
              <w:rPr>
                <w:rStyle w:val="InstructionsTabelleberschrift"/>
                <w:rFonts w:ascii="Times New Roman" w:hAnsi="Times New Roman"/>
                <w:sz w:val="24"/>
              </w:rPr>
            </w:pPr>
            <w:r>
              <w:rPr>
                <w:rFonts w:ascii="Times New Roman" w:hAnsi="Times New Roman"/>
                <w:sz w:val="24"/>
              </w:rPr>
              <w:t xml:space="preserve">Całkowita kwota pozycji sekurytyzacyjnych, które spełniają kryteria art. 243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70 tego rozporządzenia, a w związku z tym kwalifikują się do zróżnicowanego traktowania kapitału.</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JEDNOSTKA INICJUJĄCA</w:t>
            </w:r>
          </w:p>
          <w:p w14:paraId="50264432" w14:textId="778E9948"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Art. 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INWESTOR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Instytucja kredytowa będąca posiadaczem pozycji sekurytyzacyjnych w ramach transakcji sekurytyzacyjnych, w odniesieniu do których nie pełni roli jednostki inicjującej, jednostki sponsorującej ani pierwotnego kredytodawcy.</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JEDNOSTKA SPONSORUJĄCA</w:t>
            </w:r>
          </w:p>
          <w:p w14:paraId="40C5E800" w14:textId="172D647D"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lastRenderedPageBreak/>
              <w:t xml:space="preserve">Art. 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Jednostka sponsorująca, która sekurytyzuje również swoje aktywa własne, wypełnia wiersze przeznaczone dla jednostki inicjującej, przedstawiając informacje dotyczące sekurytyzowanych przez siebie aktywów własnych.</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294172373"/>
      <w:bookmarkStart w:id="644" w:name="_Toc295830002"/>
      <w:bookmarkStart w:id="645" w:name="_Toc308426679"/>
      <w:bookmarkStart w:id="646" w:name="_Toc310415063"/>
      <w:bookmarkStart w:id="647" w:name="_Toc360188398"/>
      <w:bookmarkStart w:id="648" w:name="_Toc473561038"/>
      <w:bookmarkStart w:id="649" w:name="_Toc119064900"/>
      <w:r>
        <w:rPr>
          <w:rFonts w:ascii="Times New Roman" w:hAnsi="Times New Roman"/>
          <w:sz w:val="24"/>
          <w:u w:val="none"/>
        </w:rPr>
        <w:t>5.3.</w:t>
      </w:r>
      <w:r>
        <w:tab/>
      </w:r>
      <w:r>
        <w:rPr>
          <w:rFonts w:ascii="Times New Roman" w:hAnsi="Times New Roman"/>
          <w:sz w:val="24"/>
        </w:rPr>
        <w:t>C 20.00 – RYZYKO RYNKOWE: SZCZEGÓLNE RYZYKO W RAMACH POZYCJI UJĘTYCH W KORELACYJNYM PORTFELU HANDLOWYM WEDŁUG METODY STANDARDOWEJ (MKR SA CTP</w:t>
      </w:r>
      <w:bookmarkEnd w:id="643"/>
      <w:bookmarkEnd w:id="644"/>
      <w:bookmarkEnd w:id="645"/>
      <w:bookmarkEnd w:id="646"/>
      <w:r>
        <w:rPr>
          <w:rFonts w:ascii="Times New Roman" w:hAnsi="Times New Roman"/>
          <w:sz w:val="24"/>
        </w:rPr>
        <w:t>)</w:t>
      </w:r>
      <w:bookmarkEnd w:id="647"/>
      <w:bookmarkEnd w:id="648"/>
      <w:bookmarkEnd w:id="649"/>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119064901"/>
      <w:r>
        <w:rPr>
          <w:rFonts w:ascii="Times New Roman" w:hAnsi="Times New Roman"/>
          <w:sz w:val="24"/>
          <w:u w:val="none"/>
        </w:rPr>
        <w:t>5.3.1.</w:t>
      </w:r>
      <w:r>
        <w:tab/>
      </w:r>
      <w:r>
        <w:rPr>
          <w:rFonts w:ascii="Times New Roman" w:hAnsi="Times New Roman"/>
          <w:sz w:val="24"/>
        </w:rPr>
        <w:t>Uwagi ogólne</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14:paraId="6E7E4803" w14:textId="758A006A"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xml:space="preserve">. W przedmiotowym wzorze należy przedstawić informacje o pozycjach ujętych w korelacyjnym portfelu handlowym (CTP) (obejmujących sekurytyzacje, kredytowe instrumenty pochodne uruchamiane n-tym niewykonaniem zobowiązania oraz pozycje ujęte w korelacyjnym portfelu handlowym zgodnie z art. 338 ust. 3 rozporządzenia (UE) </w:t>
      </w:r>
      <w:r w:rsidRPr="0043455E">
        <w:t>nr</w:t>
      </w:r>
      <w:r w:rsidR="0043455E" w:rsidRPr="0043455E">
        <w:t> </w:t>
      </w:r>
      <w:r w:rsidRPr="0043455E">
        <w:t>5</w:t>
      </w:r>
      <w:r>
        <w:t>75/2013) oraz o odpowiednich wymogach w zakresie funduszy własnych ustanowionych zgodnie z metodą standardową.</w:t>
      </w:r>
    </w:p>
    <w:p w14:paraId="7D9D9B10" w14:textId="76022663" w:rsidR="00C55547" w:rsidRPr="002A677E" w:rsidRDefault="0043455E" w:rsidP="00487A02">
      <w:pPr>
        <w:pStyle w:val="InstructionsText2"/>
        <w:numPr>
          <w:ilvl w:val="0"/>
          <w:numId w:val="0"/>
        </w:numPr>
        <w:ind w:left="1353" w:hanging="360"/>
      </w:pPr>
      <w:fldSimple w:instr=" seq paragraphs ">
        <w:r w:rsidR="008F3052">
          <w:t>166</w:t>
        </w:r>
      </w:fldSimple>
      <w:r w:rsidR="008F3052">
        <w:t>.</w:t>
      </w:r>
      <w:r w:rsidR="008F3052">
        <w:tab/>
        <w:t xml:space="preserve"> We wzorze MKR SA CTP przedstawia się wymogi w zakresie funduszy własnych wyłącznie w odniesieniu do ryzyka szczególnego w ramach ryzyka pozycji ujętych w korelacyjnym portfelu handlowym, zgodnie z art. 335 rozporządzenia (UE) </w:t>
      </w:r>
      <w:r w:rsidR="008F3052" w:rsidRPr="0043455E">
        <w:t>nr</w:t>
      </w:r>
      <w:r w:rsidRPr="0043455E">
        <w:t> </w:t>
      </w:r>
      <w:r w:rsidR="008F3052" w:rsidRPr="0043455E">
        <w:t>5</w:t>
      </w:r>
      <w:r w:rsidR="008F3052">
        <w:t xml:space="preserve">75/2013 w związku z art. 338 ust. 2 i 3 tego rozporządzenia. Jeżeli pozycje ujęte w korelacyjnym portfelu handlowym są zabezpieczone kredytowymi instrumentami pochodnymi, zastosowanie mają przepisy art. 346 i 347 rozporządzenia (UE) </w:t>
      </w:r>
      <w:r w:rsidR="008F3052" w:rsidRPr="0043455E">
        <w:t>nr</w:t>
      </w:r>
      <w:r w:rsidRPr="0043455E">
        <w:t> </w:t>
      </w:r>
      <w:r w:rsidR="008F3052" w:rsidRPr="0043455E">
        <w:t>5</w:t>
      </w:r>
      <w:r w:rsidR="008F3052">
        <w:t xml:space="preserve">75/2013. W odniesieniu do wszystkich pozycji ujętych w korelacyjnym portfelu handlowym stosuje się ten sam wzór, niezależnie od metody stosowanej przez instytucje przy ustalaniu wagi ryzyka każdej pozycji zgodnie z częścią trzecią tytuł II rozdział 5 rozporządzenia (UE) </w:t>
      </w:r>
      <w:r w:rsidR="008F3052" w:rsidRPr="0043455E">
        <w:t>nr</w:t>
      </w:r>
      <w:r w:rsidRPr="0043455E">
        <w:t> </w:t>
      </w:r>
      <w:r w:rsidR="008F3052" w:rsidRPr="0043455E">
        <w:t>5</w:t>
      </w:r>
      <w:r w:rsidR="008F3052">
        <w:t>75/2013. Informacje dotyczące wymogów w zakresie funduszy własnych w odniesieniu do ryzyka ogólnego tych pozycji zgłasza się przy pomocy wzoru MKR SA TDI lub wzoru MKR IM.</w:t>
      </w:r>
    </w:p>
    <w:p w14:paraId="2252BE4F" w14:textId="7A1EBC9B" w:rsidR="00C55547" w:rsidRPr="002A677E" w:rsidRDefault="0043455E" w:rsidP="00487A02">
      <w:pPr>
        <w:pStyle w:val="InstructionsText2"/>
        <w:numPr>
          <w:ilvl w:val="0"/>
          <w:numId w:val="0"/>
        </w:numPr>
        <w:ind w:left="1353" w:hanging="360"/>
      </w:pPr>
      <w:fldSimple w:instr=" seq paragraphs ">
        <w:r w:rsidR="008F3052">
          <w:t>167</w:t>
        </w:r>
      </w:fldSimple>
      <w:r w:rsidR="008F3052">
        <w:t>.</w:t>
      </w:r>
      <w:r w:rsidR="008F3052">
        <w:tab/>
        <w:t xml:space="preserve"> Wzór umożliwia rozdzielenie pozycji sekurytyzacyjnych, kredytowych instrumentów pochodnych uruchamianych n-tym niewykonaniem zobowiązania oraz innych pozycji ujętych w korelacyjnym portfelu handlowym. Pozycje sekurytyzacyjne zawsze zgłasza się w wierszach 0030, 0060 </w:t>
      </w:r>
      <w:r w:rsidR="008F3052" w:rsidRPr="0043455E">
        <w:t>lub</w:t>
      </w:r>
      <w:r w:rsidRPr="0043455E">
        <w:t> </w:t>
      </w:r>
      <w:r w:rsidR="008F3052" w:rsidRPr="0043455E">
        <w:t>0</w:t>
      </w:r>
      <w:r w:rsidR="008F3052">
        <w:t xml:space="preserve">090 (w zależności od roli instytucji w procesie sekurytyzacji). Kredytowe instrumenty pochodne uruchamiane n-tym niewykonaniem zobowiązania zawsze zgłasza się w wierszu 0110. „Inne pozycje ujęte w korelacyjnym portfelu handlowym” to pozycje, które nie są pozycjami sekurytyzacyjnymi ani kredytowymi instrumentami pochodnymi uruchamianymi n-tym niewykonaniem zobowiązania (zob. definicja w art. 338 ust. 3 rozporządzenia (UE) </w:t>
      </w:r>
      <w:r w:rsidR="008F3052" w:rsidRPr="0043455E">
        <w:t>nr</w:t>
      </w:r>
      <w:r w:rsidRPr="0043455E">
        <w:t> </w:t>
      </w:r>
      <w:r w:rsidR="008F3052" w:rsidRPr="0043455E">
        <w:t>5</w:t>
      </w:r>
      <w:r w:rsidR="008F3052">
        <w:t xml:space="preserve">75/2013), ale są bezpośrednio „powiązane” z jedną z tych dwóch pozycji (z uwagi na zamiar zabezpieczenia). </w:t>
      </w:r>
    </w:p>
    <w:p w14:paraId="5B5B9C2A" w14:textId="2D3AF3B4" w:rsidR="00C55547" w:rsidRPr="002A677E" w:rsidRDefault="0043455E" w:rsidP="00487A02">
      <w:pPr>
        <w:pStyle w:val="InstructionsText2"/>
        <w:numPr>
          <w:ilvl w:val="0"/>
          <w:numId w:val="0"/>
        </w:numPr>
        <w:ind w:left="1353" w:hanging="360"/>
      </w:pPr>
      <w:fldSimple w:instr=" seq paragraphs ">
        <w:r w:rsidR="008F3052">
          <w:t>168</w:t>
        </w:r>
      </w:fldSimple>
      <w:r w:rsidR="008F3052">
        <w:t>.</w:t>
      </w:r>
      <w:r w:rsidR="008F3052">
        <w:tab/>
        <w:t xml:space="preserve"> Pozycje, którym przypisywana jest waga ryzyka 1 250 %, mogą alternatywnie zostać odliczone od kapitału podstawowego Tier I (zob. art. 244 ust. 1 lit. b), art. 245 ust. 1 lit. b) oraz art. 253 rozporządzenia (UE) </w:t>
      </w:r>
      <w:r w:rsidR="008F3052" w:rsidRPr="0043455E">
        <w:t>nr</w:t>
      </w:r>
      <w:r w:rsidRPr="0043455E">
        <w:t> </w:t>
      </w:r>
      <w:r w:rsidR="008F3052" w:rsidRPr="0043455E">
        <w:t>5</w:t>
      </w:r>
      <w:r w:rsidR="008F3052">
        <w:t>75/2013). W takim przypadku pozycje te zgłasza się w wierszu 0460 we wzorze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3" w:name="_Toc119064902"/>
      <w:r>
        <w:rPr>
          <w:rFonts w:ascii="Times New Roman" w:hAnsi="Times New Roman"/>
          <w:sz w:val="24"/>
          <w:u w:val="none"/>
        </w:rPr>
        <w:lastRenderedPageBreak/>
        <w:t>5.3.2.</w:t>
      </w:r>
      <w:r>
        <w:tab/>
      </w:r>
      <w:r>
        <w:rPr>
          <w:rFonts w:ascii="Times New Roman" w:hAnsi="Times New Roman"/>
          <w:sz w:val="24"/>
        </w:rPr>
        <w:t>Instrukcje dotyczące poszczególnych pozycji</w:t>
      </w:r>
      <w:bookmarkEnd w:id="657"/>
      <w:bookmarkEnd w:id="658"/>
      <w:bookmarkEnd w:id="659"/>
      <w:bookmarkEnd w:id="660"/>
      <w:bookmarkEnd w:id="661"/>
      <w:bookmarkEnd w:id="662"/>
      <w:bookmarkEnd w:id="66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WSZYSTKIE POZYCJE (DŁUGIE I KRÓTKIE)</w:t>
            </w:r>
          </w:p>
          <w:p w14:paraId="4F3CF7CB" w14:textId="3713AEEB" w:rsidR="005C14B0" w:rsidRPr="002A677E" w:rsidRDefault="00C55547" w:rsidP="00E10B85">
            <w:pPr>
              <w:rPr>
                <w:rFonts w:ascii="Times New Roman" w:hAnsi="Times New Roman"/>
                <w:sz w:val="24"/>
              </w:rPr>
            </w:pPr>
            <w:r>
              <w:rPr>
                <w:rFonts w:ascii="Times New Roman" w:hAnsi="Times New Roman"/>
                <w:sz w:val="24"/>
              </w:rPr>
              <w:t xml:space="preserve">Art. 102 i art. 105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związku z art. 338 ust. 2 i 3 tego rozporządzenia (pozycje ujęte w korelacyjnym portfelu handlowym)</w:t>
            </w:r>
          </w:p>
          <w:p w14:paraId="70FB0860" w14:textId="31FE4233" w:rsidR="00C55547" w:rsidRPr="002A677E" w:rsidRDefault="00C55547" w:rsidP="0002267E">
            <w:pPr>
              <w:rPr>
                <w:rFonts w:ascii="Times New Roman" w:hAnsi="Times New Roman"/>
                <w:sz w:val="24"/>
              </w:rPr>
            </w:pPr>
            <w:r>
              <w:rPr>
                <w:rFonts w:ascii="Times New Roman" w:hAnsi="Times New Roman"/>
                <w:sz w:val="24"/>
              </w:rPr>
              <w:t xml:space="preserve">W kwestii rozróżnienia pomiędzy pozycjami długimi i krótkimi, stosowanego również w odniesieniu do pozycji brutto, zob. art. 328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POZYCJE ODLICZONE OD FUNDUSZY WŁASNYCH (DŁUGIE I KRÓTKIE)</w:t>
            </w:r>
          </w:p>
          <w:p w14:paraId="56207551" w14:textId="325197AD" w:rsidR="00C55547" w:rsidRPr="002A677E" w:rsidRDefault="00C55547" w:rsidP="00E64BFE">
            <w:pPr>
              <w:rPr>
                <w:rFonts w:ascii="Times New Roman" w:hAnsi="Times New Roman"/>
                <w:sz w:val="24"/>
              </w:rPr>
            </w:pPr>
            <w:r>
              <w:rPr>
                <w:rFonts w:ascii="Times New Roman" w:hAnsi="Times New Roman"/>
                <w:sz w:val="24"/>
              </w:rPr>
              <w:t xml:space="preserve">Art. 253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POZYCJE NETTO (DŁUGIE I KRÓTKIE)</w:t>
            </w:r>
          </w:p>
          <w:p w14:paraId="01BDDE40" w14:textId="1CB0D937" w:rsidR="005C14B0" w:rsidRPr="002A677E" w:rsidRDefault="00C55547" w:rsidP="00E10B85">
            <w:pPr>
              <w:rPr>
                <w:rFonts w:ascii="Times New Roman" w:hAnsi="Times New Roman"/>
                <w:sz w:val="24"/>
              </w:rPr>
            </w:pPr>
            <w:r>
              <w:rPr>
                <w:rFonts w:ascii="Times New Roman" w:hAnsi="Times New Roman"/>
                <w:sz w:val="24"/>
              </w:rPr>
              <w:t xml:space="preserve">Art. 327, 328, 329 i 334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C03F093" w14:textId="0F1B9F50" w:rsidR="00C55547" w:rsidRPr="002A677E" w:rsidRDefault="00C55547" w:rsidP="00E64BFE">
            <w:pPr>
              <w:rPr>
                <w:rFonts w:ascii="Times New Roman" w:hAnsi="Times New Roman"/>
                <w:sz w:val="24"/>
              </w:rPr>
            </w:pPr>
            <w:r>
              <w:rPr>
                <w:rFonts w:ascii="Times New Roman" w:hAnsi="Times New Roman"/>
                <w:sz w:val="24"/>
              </w:rPr>
              <w:t xml:space="preserve">W kwestii rozróżnienia pomiędzy pozycjami długimi i krótkimi, zob. art. 328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PODZIAŁ POZYCJI NETTO WEDŁUG WAG RYZYKA</w:t>
            </w:r>
          </w:p>
          <w:p w14:paraId="691F4414" w14:textId="1FF1F168" w:rsidR="00C55547" w:rsidRPr="002A677E" w:rsidRDefault="00133396" w:rsidP="001F2389">
            <w:pPr>
              <w:rPr>
                <w:rFonts w:ascii="Times New Roman" w:hAnsi="Times New Roman"/>
                <w:sz w:val="24"/>
              </w:rPr>
            </w:pPr>
            <w:r>
              <w:rPr>
                <w:rStyle w:val="InstructionsTabelleText"/>
                <w:rFonts w:ascii="Times New Roman" w:hAnsi="Times New Roman"/>
                <w:sz w:val="24"/>
              </w:rPr>
              <w:t xml:space="preserve">Art. 259–262, tabele 1 i 2 w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63, tabele 3 i 4 w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64 oraz </w:t>
            </w:r>
            <w:r w:rsidRPr="0043455E">
              <w:rPr>
                <w:rStyle w:val="InstructionsTabelleText"/>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66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NETTO WEDŁUG METOD</w:t>
            </w:r>
          </w:p>
          <w:p w14:paraId="19937787" w14:textId="2BA8E18B"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 254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4A94D747"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 259 i 260</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48915F02"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 261 i 262 </w:t>
            </w:r>
            <w:r>
              <w:rPr>
                <w:rFonts w:ascii="Times New Roman" w:hAnsi="Times New Roman"/>
                <w:sz w:val="24"/>
              </w:rPr>
              <w:t xml:space="preserve">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10F0B00F"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 263 i 264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WEWNĘTRZNYCH OSZACOWAŃ</w:t>
            </w:r>
          </w:p>
          <w:p w14:paraId="46E92693" w14:textId="587E80C6"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 254 i 265 oraz </w:t>
            </w:r>
            <w:r w:rsidRPr="0043455E">
              <w:rPr>
                <w:rStyle w:val="InstructionsTabelleText"/>
                <w:rFonts w:ascii="Times New Roman" w:hAnsi="Times New Roman"/>
                <w:sz w:val="24"/>
              </w:rPr>
              <w:t>art.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2</w:t>
            </w:r>
            <w:r>
              <w:rPr>
                <w:rStyle w:val="InstructionsTabelleText"/>
                <w:rFonts w:ascii="Times New Roman" w:hAnsi="Times New Roman"/>
                <w:sz w:val="24"/>
              </w:rPr>
              <w:t xml:space="preserve">66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SZCZEGÓLNE TRAKTOWANIE TRANSZ UPRZYWILEJOWANYCH KWALIFIKUJĄCYCH SIĘ SEKURYTYZACJI EKSPOZYCJI NIEOBSŁUGIWANYCH</w:t>
            </w:r>
          </w:p>
          <w:p w14:paraId="1D397AE3" w14:textId="4BD2E9C2"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Art. </w:t>
            </w:r>
            <w:r>
              <w:rPr>
                <w:rStyle w:val="InstructionsTabelleText"/>
                <w:rFonts w:ascii="Times New Roman" w:hAnsi="Times New Roman"/>
                <w:sz w:val="24"/>
              </w:rPr>
              <w:t>269a</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INNE (WAGA RYZYKA =</w:t>
            </w:r>
            <w:r>
              <w:t xml:space="preserve"> </w:t>
            </w:r>
            <w:r>
              <w:rPr>
                <w:rFonts w:ascii="Times New Roman" w:hAnsi="Times New Roman"/>
                <w:b/>
                <w:sz w:val="24"/>
                <w:u w:val="single"/>
              </w:rPr>
              <w:t>1 250 %)</w:t>
            </w:r>
          </w:p>
          <w:p w14:paraId="0B94870A" w14:textId="59C106F9"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lastRenderedPageBreak/>
              <w:t xml:space="preserve">Art. 254 </w:t>
            </w:r>
            <w:r w:rsidRPr="0043455E">
              <w:rPr>
                <w:rStyle w:val="InstructionsTabelleText"/>
                <w:rFonts w:ascii="Times New Roman" w:hAnsi="Times New Roman"/>
                <w:sz w:val="24"/>
              </w:rPr>
              <w:t>ust.</w:t>
            </w:r>
            <w:r w:rsidR="0043455E" w:rsidRPr="0043455E">
              <w:rPr>
                <w:rStyle w:val="InstructionsTabelleText"/>
                <w:rFonts w:ascii="Times New Roman" w:hAnsi="Times New Roman"/>
                <w:sz w:val="24"/>
              </w:rPr>
              <w:t> </w:t>
            </w:r>
            <w:r w:rsidRPr="0043455E">
              <w:rPr>
                <w:rStyle w:val="InstructionsTabelleText"/>
                <w:rFonts w:ascii="Times New Roman" w:hAnsi="Times New Roman"/>
                <w:sz w:val="24"/>
              </w:rPr>
              <w:t>7</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lastRenderedPageBreak/>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PRZED UWZGLĘDNIENIEM PUŁAPU – WAŻONE POZYCJE DŁUGIE I KRÓTKIE NETTO</w:t>
            </w:r>
          </w:p>
          <w:p w14:paraId="7E8A31C6" w14:textId="64DF1261" w:rsidR="00C55547" w:rsidRPr="002A677E" w:rsidRDefault="00C55547" w:rsidP="007062FD">
            <w:pPr>
              <w:rPr>
                <w:rFonts w:ascii="Times New Roman" w:hAnsi="Times New Roman"/>
                <w:sz w:val="24"/>
              </w:rPr>
            </w:pPr>
            <w:r>
              <w:rPr>
                <w:rFonts w:ascii="Times New Roman" w:hAnsi="Times New Roman"/>
                <w:sz w:val="24"/>
              </w:rPr>
              <w:t xml:space="preserve">Art. 338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bez uwzględnienia swobody uznania przewidzianej w art. 335 tego rozporządzenia.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 UWZGLĘDNIENIU PUŁAPU – WAŻONE POZYCJE DŁUGIE I KRÓTKIE NETTO</w:t>
            </w:r>
          </w:p>
          <w:p w14:paraId="3304B399" w14:textId="59D87F42" w:rsidR="00C55547" w:rsidRPr="002A677E" w:rsidRDefault="00C55547" w:rsidP="007062FD">
            <w:pPr>
              <w:rPr>
                <w:rFonts w:ascii="Times New Roman" w:hAnsi="Times New Roman"/>
                <w:sz w:val="24"/>
              </w:rPr>
            </w:pPr>
            <w:r>
              <w:rPr>
                <w:rFonts w:ascii="Times New Roman" w:hAnsi="Times New Roman"/>
                <w:sz w:val="24"/>
              </w:rPr>
              <w:t xml:space="preserve">Art. 338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uwzględniając swobodę uznania przewidzianą w art. 335 tego rozporządzenia.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CAŁKOWITE WYMOGI W ZAKRESIE FUNDUSZY WŁASNYCH</w:t>
            </w:r>
          </w:p>
          <w:p w14:paraId="7DEA5D32" w14:textId="77777777" w:rsidR="00C55547" w:rsidRPr="002A677E" w:rsidRDefault="00C55547" w:rsidP="00E10B85">
            <w:pPr>
              <w:rPr>
                <w:rFonts w:ascii="Times New Roman" w:hAnsi="Times New Roman"/>
                <w:sz w:val="24"/>
              </w:rPr>
            </w:pPr>
            <w:r>
              <w:rPr>
                <w:rFonts w:ascii="Times New Roman" w:hAnsi="Times New Roman"/>
                <w:sz w:val="24"/>
              </w:rPr>
              <w:t>Wymogi w zakresie funduszy własnych ustala się jako większą z następujących wartości: (i) narzut kapitałowy z tytułu ryzyka szczególnego, który byłby stosowany wyłącznie w odniesieniu do pozycji długich netto (kolumna 0430) lub (ii) narzut kapitałowy z tytułu ryzyka szczególnego, który byłby stosowany wyłącznie w odniesieniu do pozycji krótkich netto (kolumna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EKSPOZYCJE CAŁKOWITE</w:t>
            </w:r>
          </w:p>
          <w:p w14:paraId="47BDA358" w14:textId="77777777" w:rsidR="00C55547" w:rsidRPr="002A677E" w:rsidRDefault="00C55547" w:rsidP="00E10B85">
            <w:pPr>
              <w:rPr>
                <w:rFonts w:ascii="Times New Roman" w:hAnsi="Times New Roman"/>
                <w:sz w:val="24"/>
              </w:rPr>
            </w:pPr>
            <w:r>
              <w:rPr>
                <w:rFonts w:ascii="Times New Roman" w:hAnsi="Times New Roman"/>
                <w:sz w:val="24"/>
              </w:rPr>
              <w:t>Całkowita kwota pozycji pozostających do uregulowania (przechowywanych w korelacyjnym portfelu handlowym) zgłoszonych przez instytucję pełniącą rolę jednostki inicjującej lub sponsorującej.</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JEDNOSTKA INICJUJĄCA</w:t>
            </w:r>
          </w:p>
          <w:p w14:paraId="07F7FC7F" w14:textId="5EB81E8F" w:rsidR="00C55547" w:rsidRPr="002A677E" w:rsidRDefault="00C55547" w:rsidP="001F2389">
            <w:pPr>
              <w:rPr>
                <w:rFonts w:ascii="Times New Roman" w:hAnsi="Times New Roman"/>
                <w:sz w:val="24"/>
              </w:rPr>
            </w:pPr>
            <w:r>
              <w:rPr>
                <w:rFonts w:ascii="Times New Roman" w:hAnsi="Times New Roman"/>
                <w:sz w:val="24"/>
              </w:rPr>
              <w:t xml:space="preserve">Art. 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INWESTOR</w:t>
            </w:r>
          </w:p>
          <w:p w14:paraId="5507389D" w14:textId="77777777" w:rsidR="00C55547" w:rsidRPr="002A677E" w:rsidRDefault="00C55547">
            <w:pPr>
              <w:rPr>
                <w:rFonts w:ascii="Times New Roman" w:hAnsi="Times New Roman"/>
                <w:sz w:val="24"/>
              </w:rPr>
            </w:pPr>
            <w:r>
              <w:rPr>
                <w:rFonts w:ascii="Times New Roman" w:hAnsi="Times New Roman"/>
                <w:sz w:val="24"/>
              </w:rPr>
              <w:t>Instytucja kredytowa będąca posiadaczem pozycji sekurytyzacyjnych w ramach transakcji sekurytyzacyjnych, w odniesieniu do których nie pełni roli jednostki inicjującej, jednostki sponsorującej ani pierwotnego kredytodawcy</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3455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JEDNOSTKA SPONSORUJĄCA</w:t>
            </w:r>
          </w:p>
          <w:p w14:paraId="65D6B605" w14:textId="2BA37D23" w:rsidR="005C14B0" w:rsidRPr="002A677E" w:rsidRDefault="00E64BFE" w:rsidP="001E0C80">
            <w:pPr>
              <w:rPr>
                <w:rFonts w:ascii="Times New Roman" w:hAnsi="Times New Roman"/>
                <w:sz w:val="24"/>
              </w:rPr>
            </w:pPr>
            <w:r w:rsidRPr="0043455E">
              <w:rPr>
                <w:rFonts w:ascii="Times New Roman" w:hAnsi="Times New Roman"/>
                <w:sz w:val="24"/>
              </w:rPr>
              <w:t>A</w:t>
            </w:r>
            <w:r>
              <w:rPr>
                <w:rFonts w:ascii="Times New Roman" w:hAnsi="Times New Roman"/>
                <w:sz w:val="24"/>
              </w:rPr>
              <w:t xml:space="preserve">rt. 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Jednostka sponsorująca, która sekurytyzuje również swoje aktywa własne, wypełnia wiersze przeznaczone dla jednostki inicjującej, przedstawiając informacje dotyczące sekurytyzowanych przez siebie aktywów własnych.</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oraz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POZYCJE SEKURYTYZACYJNE</w:t>
            </w:r>
          </w:p>
          <w:p w14:paraId="3E2839F4" w14:textId="5202F59A" w:rsidR="00C55547" w:rsidRPr="002A677E" w:rsidRDefault="00C55547" w:rsidP="00E10B85">
            <w:pPr>
              <w:rPr>
                <w:rFonts w:ascii="Times New Roman" w:hAnsi="Times New Roman"/>
                <w:sz w:val="24"/>
              </w:rPr>
            </w:pPr>
            <w:r>
              <w:rPr>
                <w:rFonts w:ascii="Times New Roman" w:hAnsi="Times New Roman"/>
                <w:sz w:val="24"/>
              </w:rPr>
              <w:t xml:space="preserve">Korelacyjny portfel handlowy obejmuje sekurytyzacje, kredytowe instrumenty pochodne uruchamiane n-tym niewykonaniem zobowiązania oraz, potencjalnie, inne </w:t>
            </w:r>
            <w:r>
              <w:rPr>
                <w:rFonts w:ascii="Times New Roman" w:hAnsi="Times New Roman"/>
                <w:sz w:val="24"/>
              </w:rPr>
              <w:lastRenderedPageBreak/>
              <w:t xml:space="preserve">zabezpieczane pozycje spełniające kryteria ustanowione w art. 338 ust. 2 i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Instrumenty pochodne ekspozycji sekurytyzacyjnych, które zapewniają proporcjonalny udział, a także pozycje zabezpieczające pozycje ujmowane w korelacyjnym portfelu handlowym ujmuje się w wierszu „Inne pozycje w korelacyjnym portfelu handlowym”.</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KREDYTOWE INSTRUMENTY POCHODNE URUCHAMIANE N-TYM NIEWYKONANIEM ZOBOWIĄZANIA</w:t>
            </w:r>
          </w:p>
          <w:p w14:paraId="298FC0AB" w14:textId="2929773F" w:rsidR="00C55547" w:rsidRPr="002A677E" w:rsidRDefault="00C55547" w:rsidP="00E10B85">
            <w:pPr>
              <w:rPr>
                <w:rFonts w:ascii="Times New Roman" w:hAnsi="Times New Roman"/>
                <w:sz w:val="24"/>
              </w:rPr>
            </w:pPr>
            <w:r>
              <w:rPr>
                <w:rFonts w:ascii="Times New Roman" w:hAnsi="Times New Roman"/>
                <w:sz w:val="24"/>
              </w:rPr>
              <w:t xml:space="preserve">Kredytowe instrumenty pochodne uruchamiane n-tym niewykonaniem zobowiązania zabezpieczane kredytowymi instrumentami pochodnymi uruchamianymi n-tym niewykonaniem zobowiązania zgodnie z art. 347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zgłasza się w przedmiotowej pozycji.</w:t>
            </w:r>
          </w:p>
          <w:p w14:paraId="0ADF3C10" w14:textId="77777777" w:rsidR="00C55547" w:rsidRPr="002A677E" w:rsidRDefault="00C55547" w:rsidP="00E10B85">
            <w:pPr>
              <w:rPr>
                <w:rFonts w:ascii="Times New Roman" w:hAnsi="Times New Roman"/>
                <w:sz w:val="24"/>
              </w:rPr>
            </w:pPr>
            <w:r>
              <w:rPr>
                <w:rFonts w:ascii="Times New Roman" w:hAnsi="Times New Roman"/>
                <w:sz w:val="24"/>
              </w:rPr>
              <w:t>Jednostka inicjująca, inwestor lub jednostka sponsorująca w ramach danej pozycji nie jest brana pod uwagę w kontekście kredytowych instrumentów pochodnych uruchamianych n-tym niewykonaniem zobowiązania. W konsekwencji kredytowych instrumentów pochodnych uruchamianych n-tym niewykonaniem zobowiązania nie można podzielić w podobny sposób jak pozycji sekurytyzacyjnych.</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oraz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INNE POZYCJE UJĘTE W KORELACYJNYM PORTFELU HANDLOWYM</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Uwzględnione są następujące pozycje: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instrumenty pochodne ekspozycji sekurytyzacyjnych, które zapewniają proporcjonalny udział, a także pozycje zabezpieczające pozycje ujmowane w korelacyjnym portfelu handlowym;</w:t>
            </w:r>
          </w:p>
          <w:p w14:paraId="35CA9598" w14:textId="7725D392"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pozycje ujęte w korelacyjnym portfelu handlowym zabezpieczone kredytowymi instrumentami pochodnymi zgodnie z art. 346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7D9C26F" w14:textId="07152D24"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inne pozycje spełniające warunki określone w art. 338 ust.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240E1E5E"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262566429"/>
      <w:bookmarkStart w:id="665" w:name="_Toc295830005"/>
      <w:bookmarkStart w:id="666" w:name="_Toc308426682"/>
      <w:bookmarkStart w:id="667" w:name="_Toc310415066"/>
      <w:bookmarkStart w:id="668" w:name="_Toc360188401"/>
      <w:bookmarkStart w:id="669" w:name="_Toc473561041"/>
      <w:bookmarkStart w:id="670" w:name="_Toc119064903"/>
      <w:r>
        <w:rPr>
          <w:rFonts w:ascii="Times New Roman" w:hAnsi="Times New Roman"/>
          <w:sz w:val="24"/>
          <w:u w:val="none"/>
        </w:rPr>
        <w:t>5.4.</w:t>
      </w:r>
      <w:r>
        <w:tab/>
      </w:r>
      <w:r>
        <w:rPr>
          <w:rFonts w:ascii="Times New Roman" w:hAnsi="Times New Roman"/>
          <w:sz w:val="24"/>
        </w:rPr>
        <w:t xml:space="preserve">C 21.00 – Ryzyko rynkowe: Ryzyko pozycji związane z papierami kapitałowymi według metody standardowej </w:t>
      </w:r>
      <w:bookmarkEnd w:id="664"/>
      <w:bookmarkEnd w:id="665"/>
      <w:bookmarkEnd w:id="666"/>
      <w:bookmarkEnd w:id="667"/>
      <w:bookmarkEnd w:id="668"/>
      <w:r>
        <w:rPr>
          <w:rFonts w:ascii="Times New Roman" w:hAnsi="Times New Roman"/>
          <w:sz w:val="24"/>
        </w:rPr>
        <w:t>(MKR SA EQU)</w:t>
      </w:r>
      <w:bookmarkEnd w:id="669"/>
      <w:bookmarkEnd w:id="670"/>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119064904"/>
      <w:r>
        <w:rPr>
          <w:rFonts w:ascii="Times New Roman" w:hAnsi="Times New Roman"/>
          <w:sz w:val="24"/>
          <w:u w:val="none"/>
        </w:rPr>
        <w:t>5.4.1.</w:t>
      </w:r>
      <w:r>
        <w:tab/>
      </w:r>
      <w:r>
        <w:rPr>
          <w:rFonts w:ascii="Times New Roman" w:hAnsi="Times New Roman"/>
          <w:sz w:val="24"/>
        </w:rPr>
        <w:t>Uwagi ogólne</w:t>
      </w:r>
      <w:bookmarkEnd w:id="671"/>
      <w:bookmarkEnd w:id="672"/>
      <w:bookmarkEnd w:id="673"/>
      <w:bookmarkEnd w:id="674"/>
      <w:bookmarkEnd w:id="675"/>
      <w:bookmarkEnd w:id="676"/>
      <w:bookmarkEnd w:id="677"/>
    </w:p>
    <w:p w14:paraId="1BA8EF6D" w14:textId="77777777" w:rsidR="000B0B09" w:rsidRPr="002A677E" w:rsidRDefault="0043455E" w:rsidP="00487A02">
      <w:pPr>
        <w:pStyle w:val="InstructionsText2"/>
        <w:numPr>
          <w:ilvl w:val="0"/>
          <w:numId w:val="0"/>
        </w:numPr>
        <w:ind w:left="1353" w:hanging="360"/>
      </w:pPr>
      <w:fldSimple w:instr=" seq paragraphs ">
        <w:r w:rsidR="008F3052">
          <w:t>169</w:t>
        </w:r>
      </w:fldSimple>
      <w:r w:rsidR="008F3052">
        <w:t>.</w:t>
      </w:r>
      <w:r w:rsidR="008F3052">
        <w:tab/>
        <w:t xml:space="preserve"> W przedmiotowym wzorze należy przedstawić informacje o pozycjach i odpowiednich wymogach w zakresie funduszy własnych dotyczących ryzyka pozycji związanego z papierami kapitałowymi przechowywanymi w portfelu handlowym i ujmowanych zgodnie z metodą standardową.</w:t>
      </w:r>
    </w:p>
    <w:p w14:paraId="3AF5EC7C" w14:textId="65C7CA21" w:rsidR="00B828CC" w:rsidRPr="002A677E" w:rsidRDefault="0043455E" w:rsidP="00487A02">
      <w:pPr>
        <w:pStyle w:val="InstructionsText2"/>
        <w:numPr>
          <w:ilvl w:val="0"/>
          <w:numId w:val="0"/>
        </w:numPr>
        <w:ind w:left="1353" w:hanging="360"/>
      </w:pPr>
      <w:fldSimple w:instr=" seq paragraphs ">
        <w:r w:rsidR="008F3052">
          <w:t>170</w:t>
        </w:r>
      </w:fldSimple>
      <w:r w:rsidR="008F3052">
        <w:t>.</w:t>
      </w:r>
      <w:r w:rsidR="008F3052">
        <w:tab/>
        <w:t xml:space="preserve"> W odniesieniu do pozycji „Razem” należy wypełnić osobny wzór; kolejny wzór wypełnia się dla stałej, wcześniej ustalonej listy następujących rynków: Bułgaria, Chorwacja, Republika Czeska, Dania, Egipt, Węgry, Islandia, Liechtenstein, Norwegia, Polska, Rumunia, Szwecja, Zjednoczone Królestwo, Albania, Japonia, była jugosłowiańska republika Macedonii, Federacja Rosyjska, Serbia, </w:t>
      </w:r>
      <w:r w:rsidR="008F3052">
        <w:lastRenderedPageBreak/>
        <w:t xml:space="preserve">Szwajcaria, Turcja, Ukraina, Stany Zjednoczone Ameryki, strefa euro oraz jeden wzór rezydualny dla wszystkich pozostałych rynków. Do celów niniejszego obowiązku sprawozdawczego termin „rynek” oznacza „państwo” (z wyjątkiem państw należących do strefy euro, zob. rozporządzenie delegowane Komisji (UE) </w:t>
      </w:r>
      <w:r w:rsidR="008F3052" w:rsidRPr="0043455E">
        <w:t>nr</w:t>
      </w:r>
      <w:r w:rsidRPr="0043455E">
        <w:t> </w:t>
      </w:r>
      <w:r w:rsidR="008F3052" w:rsidRPr="0043455E">
        <w:t>5</w:t>
      </w:r>
      <w:r w:rsidR="008F3052">
        <w:t>25/2014</w:t>
      </w:r>
      <w:r w:rsidR="008F3052">
        <w:rPr>
          <w:rStyle w:val="FootnoteReference"/>
        </w:rPr>
        <w:footnoteReference w:id="8"/>
      </w:r>
      <w:r w:rsidR="008F3052">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119064905"/>
      <w:r>
        <w:rPr>
          <w:rFonts w:ascii="Times New Roman" w:hAnsi="Times New Roman"/>
          <w:sz w:val="24"/>
          <w:u w:val="none"/>
        </w:rPr>
        <w:t>5.4.2.</w:t>
      </w:r>
      <w:r>
        <w:tab/>
      </w:r>
      <w:r>
        <w:rPr>
          <w:rFonts w:ascii="Times New Roman" w:hAnsi="Times New Roman"/>
          <w:sz w:val="24"/>
        </w:rPr>
        <w:t>Instrukcje dotyczące poszczególnych pozycji</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WSZYSTKIE POZYCJE (DŁUGIE I KRÓTKIE)</w:t>
            </w:r>
          </w:p>
          <w:p w14:paraId="754457ED" w14:textId="620A83AE"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 102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9EE061F" w14:textId="396CD77D"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Są to pozycje brutto nieskompensowane przez instrumenty, z wyłączeniem pozycji z tytułu gwarantowania emisji, które są subskrybowane lub regwarantowane przez osoby trzecie, zgodnie z art. 345 ust. 1 akapit pierwszy zdanie drugie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14:paraId="72A57BC7" w14:textId="01392947"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 327, 329, 332, 341 i 345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14:paraId="5B62E698" w14:textId="5413FC15"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Te pozycje netto, które zgodnie z różnymi metodami uwzględnionymi w części trzeciej tytuł IV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otrzymują narzut kapitałowy. Narzut kapitałowy należy obliczyć osobno dla każdego rynku krajowego. W tej kolumnie nie uwzględnia się pozycji w terminowych kontraktach na indeks giełdowy zgodnie z art. 344 ust. 4 zdanie drugie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75CDA27D" w14:textId="191C3571"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Wymóg w zakresie funduszy własnych, zgodnie z częścią trzecią tytuł IV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odniesieniu do każdej stosownej pozycji</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33E7C378" w14:textId="24BD8679"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 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Wynik pomnożenia wymogów w zakresie funduszy własnych przez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 W PORTFELU HANDLOWYM</w:t>
            </w:r>
          </w:p>
          <w:p w14:paraId="030F1935" w14:textId="4BC43BCB"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 xml:space="preserve">Wymogi w zakresie funduszy własnych w odniesieniu do ryzyka pozycji zgodnie z art. 92 ust. 3 lit. b) pkt (i)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części trzeciej tytuł IV rozdział 2 sekcja 3 tego rozporządzenia.</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OGÓLNE</w:t>
            </w:r>
          </w:p>
          <w:p w14:paraId="21F94335" w14:textId="4675DEC7"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Pozycje papierów kapitałowych podlegające ryzyku ogólnemu (art. 343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oraz odpowiadające im wymogi w zakresie funduszy własnych zgodnie z częścią trzecią tytuł IV rozdział 2 sekcja 3 tego rozporządzenia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Obydwa podziały (wiersze 0021/0022, a także wiersze 0030/0040) są podziałami związanymi ze wszystkimi pozycjami podlegającymi ryzyku ogólnemu.</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W wierszach 0021 i 0022 należy przedstawić informacje na temat podziału według instrumentów.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Jako podstawę obliczania wymogów w zakresie funduszy własnych wykorzystuje się wyłącznie podział przeprowadzony w wierszach 0030 i 0040.</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Instrumenty pochodne</w:t>
            </w:r>
          </w:p>
          <w:p w14:paraId="561EFF21" w14:textId="49468B9E"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Instrumenty pochodne brane pod uwagę przy obliczaniu ryzyka związanego z inwestowaniem w akcje dotyczącego pozycji w portfelu handlowym, uwzględniając, w stosownych przypadkach, art. 329 i 332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Inne aktywa i zobowiązania</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Instrumenty inne niż instrumenty pochodne brane pod uwagę przy obliczaniu ryzyka związanego z inwestowaniem w akcje dotyczącego pozycji w portfelu handlowym.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Kontrakty terminowe typu future na indeksy giełdowe o szerokim zróżnicowaniu, wymagające zastosowania metody szczególnej</w:t>
            </w:r>
          </w:p>
          <w:p w14:paraId="56A22316" w14:textId="356FC372"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Kontrakty terminowe typu future na indeksy giełdowe o szerokim zróżnicowaniu, wymagające zastosowania metody szczególnej, zgodnie z rozporządzeniem wykonawczym Komisji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9</w:t>
            </w:r>
            <w:r>
              <w:rPr>
                <w:rFonts w:ascii="Times New Roman" w:hAnsi="Times New Roman"/>
                <w:sz w:val="24"/>
              </w:rPr>
              <w:t>45/2014</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Przedmiotowe pozycje są objęte wyłącznie ryzykiem ogólnym i w związku z tym nie należy ich zgłaszać w wierszu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 inne niż szeroko zróżnicowane kontrakty terminowe typu future na indeksy giełdowe</w:t>
            </w:r>
          </w:p>
          <w:p w14:paraId="17542C2D" w14:textId="593BF366"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Inne pozycje papierów kapitałowych podlegające ryzyku szczególnemu oraz odpowiadające im wymogi w zakresie funduszy własnych zgodnie z art. 343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tym pozycje w indeksie giełdowym typu future, ujmowane zgodnie z art. 344 ust. 3 tego rozporządzenia.</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SZCZEGÓLNE</w:t>
            </w:r>
          </w:p>
          <w:p w14:paraId="4CFFEA2D" w14:textId="42FA5032"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lastRenderedPageBreak/>
              <w:t xml:space="preserve">Pozycje papierów kapitałowych podlegające ryzyku szczególnemu oraz odpowiadający im wymóg w zakresie funduszy własnych zgodnie z art. 342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 wyłączeniem pozycji w indeksie giełdowym typu future, ujmowane zgodnie z art. 344 ust. 4 zdanie drugie tego rozporządzenia.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14:paraId="2552C107" w14:textId="6C5F4E16"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 329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i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Dodatkowe wymogi w zakresie opcji związane z ryzykami innymi niż ryzyko delta zgłasza się w metodzie stosowanej do obliczenia tego ryzyka.</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56A59044"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2"/>
      <w:bookmarkStart w:id="686" w:name="_Toc295830008"/>
      <w:bookmarkStart w:id="687" w:name="_Toc308426685"/>
      <w:bookmarkStart w:id="688" w:name="_Toc310415069"/>
      <w:bookmarkStart w:id="689" w:name="_Toc360188404"/>
      <w:bookmarkStart w:id="690" w:name="_Toc473561044"/>
      <w:bookmarkStart w:id="691" w:name="_Toc119064906"/>
      <w:r>
        <w:rPr>
          <w:rFonts w:ascii="Times New Roman" w:hAnsi="Times New Roman"/>
          <w:sz w:val="24"/>
          <w:u w:val="none"/>
        </w:rPr>
        <w:t>5.5.</w:t>
      </w:r>
      <w:r>
        <w:tab/>
      </w:r>
      <w:r>
        <w:rPr>
          <w:rFonts w:ascii="Times New Roman" w:hAnsi="Times New Roman"/>
          <w:sz w:val="24"/>
        </w:rPr>
        <w:t xml:space="preserve">C 22.00 – Ryzyko rynkowe: Ryzyko walutowe według metod standardowych </w:t>
      </w:r>
      <w:bookmarkEnd w:id="685"/>
      <w:bookmarkEnd w:id="686"/>
      <w:bookmarkEnd w:id="687"/>
      <w:bookmarkEnd w:id="688"/>
      <w:bookmarkEnd w:id="689"/>
      <w:r>
        <w:rPr>
          <w:rFonts w:ascii="Times New Roman" w:hAnsi="Times New Roman"/>
          <w:sz w:val="24"/>
        </w:rPr>
        <w:t>(MKR SA FX)</w:t>
      </w:r>
      <w:bookmarkEnd w:id="690"/>
      <w:bookmarkEnd w:id="691"/>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119064907"/>
      <w:r>
        <w:rPr>
          <w:rFonts w:ascii="Times New Roman" w:hAnsi="Times New Roman"/>
          <w:sz w:val="24"/>
          <w:u w:val="none"/>
        </w:rPr>
        <w:t>5.5.1.</w:t>
      </w:r>
      <w:r>
        <w:tab/>
      </w:r>
      <w:r>
        <w:rPr>
          <w:rFonts w:ascii="Times New Roman" w:hAnsi="Times New Roman"/>
          <w:sz w:val="24"/>
        </w:rPr>
        <w:t>Uwagi ogólne</w:t>
      </w:r>
      <w:bookmarkEnd w:id="692"/>
      <w:bookmarkEnd w:id="693"/>
      <w:bookmarkEnd w:id="694"/>
      <w:bookmarkEnd w:id="695"/>
      <w:bookmarkEnd w:id="696"/>
      <w:bookmarkEnd w:id="697"/>
      <w:bookmarkEnd w:id="698"/>
    </w:p>
    <w:p w14:paraId="3B4750B2" w14:textId="77777777" w:rsidR="00F71DF2" w:rsidRPr="002A677E" w:rsidRDefault="0043455E" w:rsidP="00487A02">
      <w:pPr>
        <w:pStyle w:val="InstructionsText2"/>
        <w:numPr>
          <w:ilvl w:val="0"/>
          <w:numId w:val="0"/>
        </w:numPr>
        <w:ind w:left="1353" w:hanging="360"/>
      </w:pPr>
      <w:fldSimple w:instr=" seq paragraphs ">
        <w:r w:rsidR="008F3052">
          <w:t>171</w:t>
        </w:r>
      </w:fldSimple>
      <w:r w:rsidR="008F3052">
        <w:t>. Instytucje zgłaszają informacje na temat pozycji we wszystkich walutach (uwzględniona waluta sprawozdawcza) i odpowiednich wymogów w zakresie funduszy własnych z tytułu ryzyka walutowego traktowanych zgodnie z metodą standardową. Pozycję oblicza się w odniesieniu do wszystkich walut (w tym EUR), złota i pozycji w przedsiębiorstwach zbiorowego inwestowania.</w:t>
      </w:r>
    </w:p>
    <w:p w14:paraId="39EF826C" w14:textId="6CDF434E" w:rsidR="000B0B09" w:rsidRPr="002A677E" w:rsidRDefault="0043455E" w:rsidP="00487A02">
      <w:pPr>
        <w:pStyle w:val="InstructionsText2"/>
        <w:numPr>
          <w:ilvl w:val="0"/>
          <w:numId w:val="0"/>
        </w:numPr>
        <w:ind w:left="1353" w:hanging="360"/>
      </w:pPr>
      <w:fldSimple w:instr=" seq paragraphs ">
        <w:r w:rsidR="008F3052">
          <w:t>172</w:t>
        </w:r>
      </w:fldSimple>
      <w:r w:rsidR="008F3052">
        <w:t>.</w:t>
      </w:r>
      <w:r w:rsidR="008F3052">
        <w:tab/>
        <w:t xml:space="preserve"> Wiersze 0100–0480 niniejszego wzoru podlegają zgłoszeniu nawet wówczas, gdy instytucje nie mają obowiązku obliczać wymogów w zakresie funduszy własnych z tytułu ryzyka walutowego zgodnie z art. 351 rozporządzenia (UE) </w:t>
      </w:r>
      <w:r w:rsidR="008F3052" w:rsidRPr="0043455E">
        <w:t>nr</w:t>
      </w:r>
      <w:r w:rsidRPr="0043455E">
        <w:t> </w:t>
      </w:r>
      <w:r w:rsidR="008F3052" w:rsidRPr="0043455E">
        <w:t>5</w:t>
      </w:r>
      <w:r w:rsidR="008F3052">
        <w:t xml:space="preserve">75/2013. W tych pozycjach uzupełniających zawarte są wszystkie pozycje w walucie sprawozdawczej, niezależnie od tego, czy są one uwzględniane do celów art. 354 rozporządzenia (UE) </w:t>
      </w:r>
      <w:r w:rsidR="008F3052" w:rsidRPr="0043455E">
        <w:t>nr</w:t>
      </w:r>
      <w:r w:rsidRPr="0043455E">
        <w:t> </w:t>
      </w:r>
      <w:r w:rsidR="008F3052" w:rsidRPr="0043455E">
        <w:t>5</w:t>
      </w:r>
      <w:r w:rsidR="008F3052">
        <w:t>75/2013. Wiersze 0130–0480 pozycji uzupełniających tego wzoru wypełnia się osobno w odniesieniu do wszystkich walut państw członkowskich Unii, walut: GBP, USD, CHF, JPY, RUB, TRY, AUD, CAD, RSD, ALL, UAH, MKD, EGP, ARS, BRL, MXN, HKD, ICK, TWD, NZD, NOK, SGD, KRW, CNY i wszystkich pozostałych walut.</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119064908"/>
      <w:r>
        <w:rPr>
          <w:rFonts w:ascii="Times New Roman" w:hAnsi="Times New Roman"/>
          <w:sz w:val="24"/>
          <w:u w:val="none"/>
        </w:rPr>
        <w:t>5.5.2.</w:t>
      </w:r>
      <w:r>
        <w:tab/>
      </w:r>
      <w:r>
        <w:rPr>
          <w:rFonts w:ascii="Times New Roman" w:hAnsi="Times New Roman"/>
          <w:sz w:val="24"/>
        </w:rPr>
        <w:t>Instrukcje dotyczące poszczególnych pozycji</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680221A4"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Pozycje brutto z tytułu aktywów, kwoty do otrzymania i podobne pozycje, o których mowa w art. 352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54DB1BB" w14:textId="615C777F"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Zgodnie z art. 352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z zastrzeżeniem uzyskania zezwolenia właściwych organów, nie zgłasza się utrzymywanych pozycji zabezpieczających przed niekorzystnym wpływem kursów walutowych na współczynniki zgodnie z art. 92 ust. 1 tego rozporządzenia ani pozycji dotyczących kwot, które już odjęto podczas obliczania funduszy własnych.</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5C25B044"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Art. 352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52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dwa pierwsze zdania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53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436375E" w14:textId="5C66627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netto oblicza się we wszystkich walutach, zgodnie z art. 352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związku z tym zarówno pozycje długie, jak i krótkie można zgłaszać w tym samym czasie.</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6A121AE3"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352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zdanie trzecie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53 i 354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POZYCJE PODLEGAJĄCE NARZUTOWI KAPITAŁOWEMU (DŁUGIE I KRÓTKIE)</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Długie i krótkie pozycje netto dla każdej waluty oblicza się poprzez odjęcie sumy pozycji krótkich od sumy pozycji długich.</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Długie pozycje netto w odniesieniu do wszystkich transakcji walutowych dodaje się w celu uzyskania długiej pozycji netto w danej walucie.</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Krótkie pozycje netto w odniesieniu do wszystkich transakcji walutowych dodaje się w celu uzyskania krótkiej pozycji netto w danej walucie.</w:t>
            </w:r>
          </w:p>
          <w:p w14:paraId="71BEB09F" w14:textId="7F9D626A"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 xml:space="preserve">Pozycje niedopasowane w walutach innych niż waluty sprawozdawcze dodaje się do pozycji podlegających narzutowi kapitałowemu w odniesieniu do pozostałych walut (wiersz 030) w kolumnie 060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70 w zależności od ich krótkiej lub długiej pozycji.</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 (DOPASOWANE)</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Pozycje dopasowane w odniesieniu do walut silnie ze sobą skorelowanych.</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3CFF07D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Narzut kapitałowy w odniesieniu do wszelkich stosownych pozycji, zgodnie z częścią trzecią tytuł IV rozdział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718B5DA5"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 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Wynik pomnożenia wymogów w zakresie funduszy własnych przez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RAZEM</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1D1906EC"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Wszystkie pozycje w walutach innych niż waluty sprawozdawcze oraz te pozycje w walucie sprawozdawczej, które są uwzględniane do celów art. 354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jak również ich odpowiednie wymogi w zakresie funduszy własnych dotyczące ryzyka walutowego, o którym mowa w art. 92 ust. 3 lit. c) pkt (i), uwzględniając art. 352 ust. 2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(do celów zamiany na walutę sprawozdawczą).</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WALUTY SILNIE ZE SOBĄ SKORELOWANE</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6CA5CF7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i ich odpowiednie wymogi w zakresie funduszy własnych w odniesieniu do walut silnie ze sobą skorelowanych, o których mowa w art. 354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Waluty silnie ze sobą skorelowane: </w:t>
            </w:r>
            <w:r>
              <w:rPr>
                <w:rFonts w:ascii="Times New Roman" w:hAnsi="Times New Roman"/>
                <w:b/>
                <w:i/>
                <w:sz w:val="24"/>
                <w:u w:val="single"/>
              </w:rPr>
              <w:t>w tym</w:t>
            </w:r>
            <w:r>
              <w:rPr>
                <w:rFonts w:ascii="Times New Roman" w:hAnsi="Times New Roman"/>
                <w:b/>
                <w:sz w:val="24"/>
                <w:u w:val="single"/>
              </w:rPr>
              <w:t>: waluta sprawozdawcza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156384E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w walucie sprawozdawczej, które są uwzględniane przy obliczaniu wymogów kapitałowych zgodnie z art. 354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WSZELKIE INNE WALUTY (w tym przedsiębiorstwa zbiorowego inwestowania traktowane jako inne waluty)</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19996A23"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i ich odpowiednie wymogi w zakresie funduszy własnych w odniesieniu do walut podlegających procedurze ogólnej, o której mowa w art. 351 i art. 352 ust. 2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0DA5A8B1"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Zgłaszanie przedsiębiorstw zbiorowego inwestowania traktowanych jako osobne waluty zgodnie z art. 353 </w:t>
            </w:r>
            <w:r>
              <w:rPr>
                <w:rFonts w:ascii="Times New Roman" w:hAnsi="Times New Roman"/>
                <w:sz w:val="24"/>
              </w:rPr>
              <w:t xml:space="preserve">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Fonts w:ascii="Times New Roman" w:hAnsi="Times New Roman"/>
                <w:sz w:val="24"/>
                <w:u w:val="singl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Istnieją dwa różne sposoby ujęcia przedsiębiorstw zbiorowego inwestowania traktowanych jako osobne waluty w celu obliczenia wymogów kapitałowych:</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Zmieniona metoda dotycząca złota, jeżeli kierunek inwestycji przedsiębiorstwa zbiorowego inwestowania jest niedostępny (przedsiębiorstwa te dodaje się do całkowitej pozycji walutowej netto instytucji);</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Jeżeli dostępny jest kierunek inwestycji przedsiębiorstw zbiorowego inwestowania, przedsiębiorstwa te dodaje się łącznej otwartej pozycji walutowej (długiej lub krótkiej, w zależności od kierunku przedsiębiorstwa zbiorowego inwestowania).</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Zgłoszenie tych przedsiębiorstw zbiorowego inwestowania następuje po obliczeniu wymogów kapitałowych.</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ZŁOTO</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270D6010"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i ich odpowiednie wymogi w zakresie funduszy własnych w odniesieniu do walut podlegających procedurze ogólnej, o której mowa w art. 351 i art. 352 ust. 2 i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14:paraId="409B80C0" w14:textId="4BD5D294"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 352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i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Dodatkowe wymogi w zakresie opcji związane z ryzykami innymi niż ryzyko delta zgłasza się w podziale na metodę stosowaną do ich obliczenia.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razem (w tym waluty sprawozdawczej) według rodzajów ekspozycji</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Wszystkie pozycje dzieli się według instrumentów pochodnych, innych aktywów i zobowiązań oraz pozycji pozabilansowych.</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Pozostałe aktywa i zobowiązania inne niż pozycje pozabilansowe i instrumenty pochodne</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41D8C494"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których nie uwzględniono w wierszu 0110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120, należy przedstawić tutaj.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pozabilansowe</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19C9D2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objęte zakresem art. 352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niezależnie od waluty, w której są denominowane, które uwzględniono w załączniku I do tego rozporządzenia, z wyjątkiem pozycji uwzględnionych jako transakcje finansowane z użyciem papierów wartościowych i transakcje z długim terminem rozliczenia oraz wynikające z umowy o kompensowaniu międzyproduktowym.</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Instrumenty pochodne</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05512A2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wycenia się zgodnie z art. 352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POZYCJE UZUPEŁNIAJĄCE: POZYCJE WALUTOWE</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Pozycje uzupełniające tego wzoru należy wypełnić osobno w odniesieniu do wszystkich walut państw członkowskich Unii, GBP, USD, CHF, JPY, RUB, TRY, AUD, CAD, RSD, ALL, UAH, MKD, EGP, ARS, BRL, MXN, HKD, ICK, TWD, NZD, NOK, SGD, KRW, CNY i wszystkich pozostałych walut.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6" w:name="_Toc262566435"/>
      <w:bookmarkStart w:id="707" w:name="_Toc295830011"/>
      <w:bookmarkStart w:id="708" w:name="_Toc308426688"/>
      <w:bookmarkStart w:id="709" w:name="_Toc310415072"/>
      <w:bookmarkStart w:id="710" w:name="_Toc360188407"/>
      <w:bookmarkStart w:id="711" w:name="_Toc473561047"/>
      <w:bookmarkStart w:id="712" w:name="_Toc119064909"/>
      <w:r>
        <w:rPr>
          <w:rFonts w:ascii="Times New Roman" w:hAnsi="Times New Roman"/>
          <w:sz w:val="24"/>
          <w:u w:val="none"/>
        </w:rPr>
        <w:t>5.6.</w:t>
      </w:r>
      <w:r>
        <w:tab/>
      </w:r>
      <w:r>
        <w:rPr>
          <w:rFonts w:ascii="Times New Roman" w:hAnsi="Times New Roman"/>
          <w:sz w:val="24"/>
        </w:rPr>
        <w:t>C 23.00 – Ryzyko rynkowe: Ryzyko cen towarów według metod standardowych</w:t>
      </w:r>
      <w:bookmarkEnd w:id="706"/>
      <w:bookmarkEnd w:id="707"/>
      <w:bookmarkEnd w:id="708"/>
      <w:bookmarkEnd w:id="709"/>
      <w:bookmarkEnd w:id="710"/>
      <w:r>
        <w:rPr>
          <w:rFonts w:ascii="Times New Roman" w:hAnsi="Times New Roman"/>
          <w:sz w:val="24"/>
        </w:rPr>
        <w:t xml:space="preserve"> (MKR SA COM)</w:t>
      </w:r>
      <w:bookmarkEnd w:id="711"/>
      <w:bookmarkEnd w:id="712"/>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119064910"/>
      <w:r>
        <w:rPr>
          <w:rFonts w:ascii="Times New Roman" w:hAnsi="Times New Roman"/>
          <w:sz w:val="24"/>
          <w:u w:val="none"/>
        </w:rPr>
        <w:t>5.6.1.</w:t>
      </w:r>
      <w:r>
        <w:tab/>
      </w:r>
      <w:r>
        <w:rPr>
          <w:rFonts w:ascii="Times New Roman" w:hAnsi="Times New Roman"/>
          <w:sz w:val="24"/>
        </w:rPr>
        <w:t>Uwagi ogólne</w:t>
      </w:r>
      <w:bookmarkEnd w:id="713"/>
      <w:bookmarkEnd w:id="714"/>
      <w:bookmarkEnd w:id="715"/>
      <w:bookmarkEnd w:id="716"/>
      <w:bookmarkEnd w:id="717"/>
      <w:bookmarkEnd w:id="718"/>
      <w:bookmarkEnd w:id="719"/>
    </w:p>
    <w:p w14:paraId="441FA19A" w14:textId="77777777" w:rsidR="000B0B09" w:rsidRPr="002A677E" w:rsidRDefault="0043455E" w:rsidP="00487A02">
      <w:pPr>
        <w:pStyle w:val="InstructionsText2"/>
        <w:numPr>
          <w:ilvl w:val="0"/>
          <w:numId w:val="0"/>
        </w:numPr>
        <w:ind w:left="1353" w:hanging="360"/>
      </w:pPr>
      <w:fldSimple w:instr=" seq paragraphs ">
        <w:r w:rsidR="008F3052">
          <w:t>173</w:t>
        </w:r>
      </w:fldSimple>
      <w:r w:rsidR="008F3052">
        <w:t>.</w:t>
      </w:r>
      <w:r w:rsidR="008F3052">
        <w:tab/>
        <w:t xml:space="preserve"> Ten wzór wymaga podania informacji na temat pozycji w towarach i odpowiednich wymogów w zakresie funduszy własnych traktowanych zgodnie z metodą standardową.</w:t>
      </w:r>
    </w:p>
    <w:p w14:paraId="0C8765B1" w14:textId="16F4CE7F" w:rsidR="000B0B09" w:rsidRPr="002A677E" w:rsidRDefault="00125707" w:rsidP="006D47DD">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119064911"/>
      <w:r>
        <w:rPr>
          <w:rFonts w:ascii="Times New Roman" w:hAnsi="Times New Roman"/>
          <w:sz w:val="24"/>
          <w:u w:val="none"/>
        </w:rPr>
        <w:lastRenderedPageBreak/>
        <w:t>5.6.2.</w:t>
      </w:r>
      <w:r>
        <w:tab/>
      </w:r>
      <w:r>
        <w:rPr>
          <w:rFonts w:ascii="Times New Roman" w:hAnsi="Times New Roman"/>
          <w:sz w:val="24"/>
        </w:rPr>
        <w:t>Instrukcje dotyczące poszczególnych pozycji</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6D47DD">
            <w:pPr>
              <w:keepNext/>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2A677E" w14:paraId="12CECACA" w14:textId="77777777" w:rsidTr="00672D2A">
        <w:tc>
          <w:tcPr>
            <w:tcW w:w="986" w:type="dxa"/>
          </w:tcPr>
          <w:p w14:paraId="6FA50BBC" w14:textId="77777777" w:rsidR="000B0B09" w:rsidRPr="002A677E" w:rsidRDefault="002F79EA" w:rsidP="006D47DD">
            <w:pPr>
              <w:keepNext/>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6D47DD">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14:paraId="4B99A786" w14:textId="77777777" w:rsidR="000B0B09" w:rsidRPr="002A677E" w:rsidRDefault="000B0B09" w:rsidP="006D47DD">
            <w:pPr>
              <w:keepNext/>
              <w:autoSpaceDE w:val="0"/>
              <w:autoSpaceDN w:val="0"/>
              <w:adjustRightInd w:val="0"/>
              <w:spacing w:before="0" w:after="0"/>
              <w:rPr>
                <w:rFonts w:ascii="Times New Roman" w:hAnsi="Times New Roman"/>
                <w:b/>
                <w:bCs/>
                <w:sz w:val="24"/>
                <w:u w:val="single"/>
                <w:lang w:eastAsia="nl-BE"/>
              </w:rPr>
            </w:pPr>
          </w:p>
          <w:p w14:paraId="60BC9B3E" w14:textId="7A516A6D" w:rsidR="000B0B09" w:rsidRPr="002A677E" w:rsidRDefault="000B0B09" w:rsidP="006D47DD">
            <w:pPr>
              <w:keepNext/>
              <w:autoSpaceDE w:val="0"/>
              <w:autoSpaceDN w:val="0"/>
              <w:adjustRightInd w:val="0"/>
              <w:spacing w:before="0" w:after="0"/>
              <w:rPr>
                <w:rFonts w:ascii="Times New Roman" w:hAnsi="Times New Roman"/>
                <w:sz w:val="24"/>
              </w:rPr>
            </w:pPr>
            <w:r>
              <w:rPr>
                <w:rFonts w:ascii="Times New Roman" w:hAnsi="Times New Roman"/>
                <w:sz w:val="24"/>
              </w:rPr>
              <w:t xml:space="preserve">Długie/krótkie pozycje brutto uważane za pozycje w tym samym towarze zgodnie z art. 357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(zob. także art. 359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E9C7204" w14:textId="77777777" w:rsidR="000B0B09" w:rsidRPr="002A677E" w:rsidRDefault="000B0B09" w:rsidP="006D47DD">
            <w:pPr>
              <w:keepNext/>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6F46F24"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Zgodnie z definicją w art. 357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331F1354"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Te pozycje netto, które zgodnie z różnymi metodami uwzględnionymi w części trzeciej tytuł IV rozdział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otrzymują narzut kapitałowy.</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79DE2151"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 xml:space="preserve">Wymóg w zakresie funduszy własnych obliczony zgodnie z częścią trzecią tytuł IV rozdział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odniesieniu do każdej stosownej pozycji</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4D1266B2"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 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Wynik pomnożenia wymogów w zakresie funduszy własnych przez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DOTYCZĄCE CEN TOWARÓW RAZEM</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1B243728"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Pozycje w towarach oraz odpowiadające im wymogi w zakresie funduszy własnych w odniesieniu do ryzyka rynkowego obliczonego zgodnie z art. 92 ust. 3 lit. c) pkt (iii)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częścią trzecią tytuł IV rozdział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WEDŁUG KATEGORII TOWARU</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4C50D745"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Na potrzeby sprawozdawczości towary dzieli się na cztery grupy towarów, o których mowa w tabeli 2 w art. 361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TERMINÓW ZAPADALNOŚCI</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66407CD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w towarach podlegające metodzie terminów zapadalności, o której mowa w art. 359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ROZSZERZONA METODA TERMINÓW ZAPADALNOŚCI</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65FDAC4"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w towarach podlegające rozszerzonej metodzie terminów zapadalności, o której mowa w art. 361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UPROSZCZONA</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34A5A9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Pozycje w towarach podlegające metodzie uproszczonej, o której mowa w art. 360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14:paraId="444B7110" w14:textId="469CBC29"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 358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Dodatkowe wymogi w zakresie opcji związane z ryzykami innymi niż ryzyko delta zgłasza się w metodzie stosowanej do obliczenia tego ryzyka.</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7" w:name="_Toc262566438"/>
      <w:bookmarkStart w:id="728" w:name="_Toc295830014"/>
      <w:bookmarkStart w:id="729" w:name="_Toc308426691"/>
      <w:bookmarkStart w:id="730" w:name="_Toc310415075"/>
      <w:bookmarkStart w:id="731" w:name="_Toc360188410"/>
      <w:bookmarkStart w:id="732" w:name="_Toc473561050"/>
      <w:bookmarkStart w:id="733" w:name="_Toc119064912"/>
      <w:r>
        <w:rPr>
          <w:rFonts w:ascii="Times New Roman" w:hAnsi="Times New Roman"/>
          <w:sz w:val="24"/>
          <w:u w:val="none"/>
        </w:rPr>
        <w:t>5.7.</w:t>
      </w:r>
      <w:r>
        <w:tab/>
      </w:r>
      <w:r>
        <w:rPr>
          <w:rFonts w:ascii="Times New Roman" w:hAnsi="Times New Roman"/>
          <w:sz w:val="24"/>
        </w:rPr>
        <w:t>C 24.00 – Modele wewnętrzne ryzyka rynkowego</w:t>
      </w:r>
      <w:bookmarkEnd w:id="727"/>
      <w:bookmarkEnd w:id="728"/>
      <w:bookmarkEnd w:id="729"/>
      <w:bookmarkEnd w:id="730"/>
      <w:bookmarkEnd w:id="731"/>
      <w:r>
        <w:rPr>
          <w:rFonts w:ascii="Times New Roman" w:hAnsi="Times New Roman"/>
          <w:sz w:val="24"/>
        </w:rPr>
        <w:t xml:space="preserve"> (MKR IM)</w:t>
      </w:r>
      <w:bookmarkEnd w:id="732"/>
      <w:bookmarkEnd w:id="733"/>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119064913"/>
      <w:r>
        <w:rPr>
          <w:rFonts w:ascii="Times New Roman" w:hAnsi="Times New Roman"/>
          <w:sz w:val="24"/>
          <w:u w:val="none"/>
        </w:rPr>
        <w:t>5.7.1.</w:t>
      </w:r>
      <w:r>
        <w:tab/>
      </w:r>
      <w:r>
        <w:rPr>
          <w:rFonts w:ascii="Times New Roman" w:hAnsi="Times New Roman"/>
          <w:sz w:val="24"/>
        </w:rPr>
        <w:t>Uwagi ogólne</w:t>
      </w:r>
      <w:bookmarkEnd w:id="734"/>
      <w:bookmarkEnd w:id="735"/>
      <w:bookmarkEnd w:id="736"/>
      <w:bookmarkEnd w:id="737"/>
      <w:bookmarkEnd w:id="738"/>
      <w:bookmarkEnd w:id="739"/>
      <w:bookmarkEnd w:id="740"/>
    </w:p>
    <w:p w14:paraId="1055920F" w14:textId="77777777" w:rsidR="000B0B09" w:rsidRPr="002A677E" w:rsidRDefault="0043455E" w:rsidP="00487A02">
      <w:pPr>
        <w:pStyle w:val="InstructionsText2"/>
        <w:numPr>
          <w:ilvl w:val="0"/>
          <w:numId w:val="0"/>
        </w:numPr>
        <w:ind w:left="1353" w:hanging="360"/>
      </w:pPr>
      <w:fldSimple w:instr=" seq paragraphs ">
        <w:r w:rsidR="00CE7221">
          <w:t>174</w:t>
        </w:r>
      </w:fldSimple>
      <w:r w:rsidR="00CE7221">
        <w:t>.</w:t>
      </w:r>
      <w:r w:rsidR="00CE7221">
        <w:tab/>
        <w:t xml:space="preserve"> Ten wzór zawiera podział danych dotyczących wartości zagrożonej (VaR) i wartości zagrożonej w warunkach skrajnych (sVaR) według różnych rodzajów ryzyka rynkowego (zadłużenie, kapitał własny, waluty obce, towary) i inne informacje mające istotne znaczenie przy obliczaniu wymogów w zakresie funduszy własnych.</w:t>
      </w:r>
    </w:p>
    <w:p w14:paraId="3DD1046B" w14:textId="77777777" w:rsidR="000B0B09" w:rsidRPr="002A677E" w:rsidRDefault="0043455E" w:rsidP="00487A02">
      <w:pPr>
        <w:pStyle w:val="InstructionsText2"/>
        <w:numPr>
          <w:ilvl w:val="0"/>
          <w:numId w:val="0"/>
        </w:numPr>
        <w:ind w:left="1353" w:hanging="360"/>
      </w:pPr>
      <w:fldSimple w:instr=" seq paragraphs ">
        <w:r w:rsidR="00CE7221">
          <w:t>175</w:t>
        </w:r>
      </w:fldSimple>
      <w:r w:rsidR="00CE7221">
        <w:t>.</w:t>
      </w:r>
      <w:r w:rsidR="00CE7221">
        <w:tab/>
        <w:t xml:space="preserve"> Ogólnie rzecz biorąc, zależy to od struktury modelu instytucji, od tego, czy można określić i zgłosić wyłącznie razem dane dotyczące ryzyka ogólnego i ryzyka szczególnego. To samo odnosi się do podziału wartości zagrożonej/wartości zagrożonej w warunkach skrajnych na kategorie ryzyka (ryzyko stopy procentowej, ryzyko związane z inwestowaniem w akcje, ryzyko cen towarów i ryzyko walutowe). Instytucja może zrezygnować ze zgłoszenia tego podziału, jeżeli udowodni, że zgłoszenie tych danych byłoby nadmiernie uciążliwe.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119064914"/>
      <w:r>
        <w:rPr>
          <w:rFonts w:ascii="Times New Roman" w:hAnsi="Times New Roman"/>
          <w:sz w:val="24"/>
          <w:u w:val="none"/>
        </w:rPr>
        <w:t>5.7.2.</w:t>
      </w:r>
      <w:r>
        <w:tab/>
      </w:r>
      <w:r>
        <w:rPr>
          <w:rFonts w:ascii="Times New Roman" w:hAnsi="Times New Roman"/>
          <w:sz w:val="24"/>
        </w:rPr>
        <w:t>Instrukcje dotyczące poszczególnych pozycji</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Kolumny</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Wartość zagrożona</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Wartość zagrożona oznacza maksymalną potencjalną stratę, będącą wynikiem zmiany ceny z uwzględnieniem danego prawdopodobieństwa w określonym horyzoncie czasowym.</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Mnożnik (mc) x Średnia wartości zagrożonych z poprzednich 60 dni roboczych (VaRavg)</w:t>
            </w:r>
          </w:p>
          <w:p w14:paraId="028313DD" w14:textId="77777777" w:rsidR="000B0B09" w:rsidRPr="0043455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3A046B3A" w:rsidR="000B0B09" w:rsidRPr="002A677E" w:rsidRDefault="00705025" w:rsidP="005F1095">
            <w:pPr>
              <w:autoSpaceDE w:val="0"/>
              <w:autoSpaceDN w:val="0"/>
              <w:adjustRightInd w:val="0"/>
              <w:spacing w:before="0" w:after="0"/>
              <w:rPr>
                <w:rFonts w:ascii="Times New Roman" w:hAnsi="Times New Roman"/>
                <w:sz w:val="24"/>
              </w:rPr>
            </w:pPr>
            <w:r w:rsidRPr="0043455E">
              <w:rPr>
                <w:rFonts w:ascii="Times New Roman" w:hAnsi="Times New Roman"/>
                <w:sz w:val="24"/>
              </w:rPr>
              <w:t>A</w:t>
            </w:r>
            <w:r>
              <w:rPr>
                <w:rFonts w:ascii="Times New Roman" w:hAnsi="Times New Roman"/>
                <w:sz w:val="24"/>
              </w:rPr>
              <w:t xml:space="preserve">rt. 364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(ii)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65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Wartość zagrożona z poprzedniego dnia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5053B96E"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364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65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Wartość zagrożona w warunkach skrajnych</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Wartość zagrożona w warunkach skrajnych oznacza maksymalną potencjalną stratę będącą wynikiem zmiany ceny z uwzględnieniem danego prawdopodobieństwa w określonym horyzoncie czasowym uzyskaną za pomocą danych skalibrowanych z danymi historycznym pochodzącymi z ciągłego 12-miesięcznego okresu występowania skrajnych warunków finansowych mających znaczenie dla portfela instytucji.</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Mnożnik (ms) x Średnia z poprzednich 60 dni roboczych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CB9BB75"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Art. 364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(ii)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65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Ostatnia dostępna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3B05F542"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364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65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NARZUT KAPITAŁOWY Z TYTUŁU DODATKOWEGO RYZYKA NIEWYKONANIA ZOBOWIĄZAŃ I RYZYKA MIGRACJI</w:t>
            </w:r>
          </w:p>
          <w:p w14:paraId="1E7EA146" w14:textId="5BB4C1F7" w:rsidR="000B0B09" w:rsidRPr="002A677E" w:rsidRDefault="0016282F" w:rsidP="001B17E6">
            <w:pPr>
              <w:rPr>
                <w:rFonts w:ascii="Times New Roman" w:hAnsi="Times New Roman"/>
                <w:b/>
                <w:bCs/>
                <w:sz w:val="24"/>
                <w:u w:val="single"/>
              </w:rPr>
            </w:pPr>
            <w:r>
              <w:rPr>
                <w:rFonts w:ascii="Times New Roman" w:hAnsi="Times New Roman"/>
                <w:sz w:val="24"/>
              </w:rPr>
              <w:t xml:space="preserve">Narzut kapitałowy z tytułu dodatkowego ryzyka niewykonania zobowiązań i ryzyka migracji oznacza maksymalną potencjalną stratę będącą wynikiem zmiany ceny powiązaną z ryzykiem niewykonania zobowiązań i ryzykiem migracji obliczonym zgodnie z art. 364 ust. 2 lit. b) w związku z częścią trzecią tytuł IV rozdział 5 sekcja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Średnia wartość z 12 tygodni</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59369984"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Art. 364 ust. 2 lit. b) pkt (ii) w związku z częścią trzecią tytuł IV rozdział 5 sekcja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Ostatnia wartość</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505FD42D"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364 ust. 2 lit. b) pkt (i) w związku z częścią trzecią tytuł IV rozdział 5 sekcja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WSZELKIE NARZUTY KAPITAŁOWE Z TYTUŁU RYZYKA ZMIANY CEN NA POTRZEBY KORELACYJNEGO PORTFELA HANDLOWEGO</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DOLNA GRANICA</w:t>
            </w:r>
          </w:p>
          <w:p w14:paraId="08424932" w14:textId="56E724C0" w:rsidR="000B0B09" w:rsidRPr="002A677E" w:rsidRDefault="000B0B09" w:rsidP="000B0B09">
            <w:pPr>
              <w:rPr>
                <w:rFonts w:ascii="Times New Roman" w:hAnsi="Times New Roman"/>
                <w:sz w:val="24"/>
              </w:rPr>
            </w:pPr>
            <w:r>
              <w:rPr>
                <w:rFonts w:ascii="Times New Roman" w:hAnsi="Times New Roman"/>
                <w:sz w:val="24"/>
              </w:rPr>
              <w:t xml:space="preserve">Art. 364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1FEB01E" w14:textId="66CB586B"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8 % narzutu kapitałowego, który obliczono by zgodnie z art. 338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dla wszystkich pozycji we „wszelkich narzutach kapitałowych z tytułu ryzyka zmiany cen”.</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ŚREDNIA WARTOŚĆ Z 12 TYGODNI I OSTATNIA WARTOŚĆ</w:t>
            </w:r>
          </w:p>
          <w:p w14:paraId="244F0E2D" w14:textId="3950F3E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 xml:space="preserve">Art. 364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OSTATNIA WARTOŚĆ</w:t>
            </w:r>
          </w:p>
          <w:p w14:paraId="58C3865D" w14:textId="26CDC3D4"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Art. 364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7122FC14" w14:textId="2DFA18C5"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Wymogi w zakresie funduszy własnych, o których mowa w art. 364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dotyczącym wszystkich czynników ryzyka uwzględniających skutki korelacji, jeżeli dotyczy, oraz dodatkowe ryzyko niewykonania zobowiązań i ryzyko migracji, a także wszelkie ryzyko zmiany cen na potrzeby korelacyjnego portfela handlowego, ale z wyjątkiem narzutów kapitałowych z tytułu sekurytyzacji w odniesieniu do sekurytyzacji i kredytowego instrumentu pochodnego uruchamianego n-tym niewykonaniem zobowiązania zgodnie z art. 364 ust.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4F199FB8"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 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Wynik pomnożenia wymogów w zakresie funduszy własnych przez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Liczba przekroczeń w ciągu ostatnich 250 dni roboczych</w:t>
            </w:r>
          </w:p>
          <w:p w14:paraId="28B225BB" w14:textId="21EE80C3"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O których mowa w art. 366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55E37D2" w14:textId="6DF8503F"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Zgłasza się liczbę przekroczeń, w oparciu o którą wyznacza się dodajnik. Jeżeli instytucje uzyskały zgodę na wyłączenie określonych przekroczeń z obliczeń dodajnika zgodnie z art. 500c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liczba przekroczeń zgłaszanych w tej kolumnie nie powinna uwzględniać takich wyłączonych przekroczeń.</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Mnożnik wartości zagrożonej (mc) i mnożnik wartości zagrożonej w warunkach skrajnych (ms)</w:t>
            </w:r>
          </w:p>
          <w:p w14:paraId="315BC479" w14:textId="204F34C3"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 xml:space="preserve">O których mowa w art. 366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88D1C77" w14:textId="38FA78E3"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 xml:space="preserve">Zgłasza się mnożniki mające faktycznie zastosowanie do obliczeń wymogów w zakresie funduszy własnych; w stosownych przypadkach po zastosowaniu przepisów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00c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NARZUT USTANOWIONY DLA DOLNEJ GRANICY KORELACYJNEGO PORTFELA HANDLOWEGO – WAŻONE POZYCJE DŁUGIE/KRÓTKIE NETTO PO UWZGLĘDNIENIU PUŁAPU</w:t>
            </w:r>
          </w:p>
          <w:p w14:paraId="68C956BE" w14:textId="209DF123"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Zgłoszona kwota, która służy jako podstawa do obliczenia dolnej granicy narzutu kapitałowego dla wszelkiego ryzyka zmiany cen zgodnie z art. 364 ust. 3 lit. 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uwzględniając swobodę art. 335 tego rozporządzenia, na mocy którego instytucja może wprowadzić produkt ważony i pozycję netto na poziomie najwyższej potencjalnej straty powiązanej z ryzykiem niewykonania zobowiązań.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Wiersze</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RAZEM</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241D6250"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Odpowiadają części ryzyka pozycji, ryzyka walutowego i ryzyka cen towarów, o których mowa w art. 363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powiązanych z czynnikami ryzyka określonymi w art. 367 ust. 2 tego rozporządzenia.</w:t>
            </w:r>
          </w:p>
          <w:p w14:paraId="6F18E4FF" w14:textId="1398E4DF"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Dotyczy kolumn </w:t>
            </w:r>
            <w:r w:rsidRPr="0043455E">
              <w:rPr>
                <w:rFonts w:ascii="Times New Roman" w:hAnsi="Times New Roman"/>
                <w:sz w:val="24"/>
              </w:rPr>
              <w:t>od</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030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060 (wartość zagrożona i wartość zagrożona w warunkach skrajnych), dane zawarte w wierszu podsumowującym nie są równe podziałowi danych na wartość zagrożoną/wartość zagrożoną w warunkach skrajnych odpowiedniego ryzyka.</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w:t>
            </w:r>
          </w:p>
          <w:p w14:paraId="7EB08097" w14:textId="3348F05C"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 xml:space="preserve">Odpowiadają części ryzyka pozycji, o którym mowa w art. 363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powiązanym z czynnikami ryzyka stóp procentowych określonymi w art. 367 ust. 2 lit. a) tego rozporządzenia.</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 RYZYKO OGÓLNE</w:t>
            </w:r>
          </w:p>
          <w:p w14:paraId="326F4D54" w14:textId="1200AA54"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Składnik ryzyka ogólnego, o którym mowa w art. 362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 RYZYKO SZCZEGÓLNE</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2DF47645"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Składnik ryzyka szczególnego, o którym mowa w art. 362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7B244A7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Odpowiadają części ryzyka pozycji, o którym mowa w art. 363 ust. 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powiązanym z czynnikami ryzyka cen akcji określonymi w art. 367 ust. 2 lit. c) tego rozporządzenia.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 – RYZYKO OGÓLNE</w:t>
            </w:r>
          </w:p>
          <w:p w14:paraId="528E3DA1" w14:textId="40C2D65B"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Składnik ryzyka ogólnego, o którym mowa w art. 362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PAPIERY KAPITAŁOWE – RYZYKO SZCZEGÓLNE</w:t>
            </w:r>
          </w:p>
          <w:p w14:paraId="53D03CDE" w14:textId="3A2EDDC2"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Składnik ryzyka szczególnego, o którym mowa w art. 362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WALUTOWE</w:t>
            </w:r>
          </w:p>
          <w:p w14:paraId="4A2A62FE" w14:textId="3549279F"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 xml:space="preserve">Art. 363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67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CEN TOWARÓW</w:t>
            </w:r>
          </w:p>
          <w:p w14:paraId="341E16EA" w14:textId="773B10AE"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 363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67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CAŁKOWITA KWOTA Z TYTUŁU RYZYKA OGÓLNEGO</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lastRenderedPageBreak/>
              <w:t xml:space="preserve">Ryzyko rynkowe spowodowane ogólnymi zmianami rynkowymi w zakresie rynkowych instrumentów dłużnych, papierów kapitałowych, walut i towarów. Wartość zagrożona z tytułu ryzyka ogólnego wszystkich czynników ryzyka (z uwzględnieniem skutków korelacji, w stosownych przypadkach)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CAŁKOWITA KWOTA Z TYTUŁU RYZYKA SZCZEGÓLNEGO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Ryzyko szczególne rynkowych instrumentów dłużnych i papierów kapitałowych. Wartość zagrożona z tytułu ryzyka szczególnego papierów kapitałowych i rynkowych instrumentów dłużnych portfela handlowego (z uwzględnieniem skutków korelacji w stosownych przypadkach)</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8" w:name="_Toc360188413"/>
      <w:bookmarkStart w:id="749" w:name="_Toc473561053"/>
      <w:bookmarkStart w:id="750" w:name="_Toc119064915"/>
      <w:r>
        <w:rPr>
          <w:rFonts w:ascii="Times New Roman" w:hAnsi="Times New Roman"/>
          <w:sz w:val="24"/>
          <w:u w:val="none"/>
        </w:rPr>
        <w:t>5.8.</w:t>
      </w:r>
      <w:r>
        <w:tab/>
      </w:r>
      <w:r>
        <w:rPr>
          <w:rFonts w:ascii="Times New Roman" w:hAnsi="Times New Roman"/>
          <w:sz w:val="24"/>
        </w:rPr>
        <w:t>C 25.00 – RYZYKO ZWIĄZANE Z KOREKTĄ WYCENY KREDYTOWEJ</w:t>
      </w:r>
      <w:bookmarkEnd w:id="748"/>
      <w:r>
        <w:rPr>
          <w:rFonts w:ascii="Times New Roman" w:hAnsi="Times New Roman"/>
          <w:sz w:val="24"/>
        </w:rPr>
        <w:t xml:space="preserve"> (CVA)</w:t>
      </w:r>
      <w:bookmarkEnd w:id="749"/>
      <w:bookmarkEnd w:id="750"/>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310008820"/>
      <w:bookmarkStart w:id="754" w:name="_Toc119064916"/>
      <w:r>
        <w:rPr>
          <w:rFonts w:ascii="Times New Roman" w:hAnsi="Times New Roman"/>
          <w:sz w:val="24"/>
          <w:u w:val="none"/>
        </w:rPr>
        <w:t>5.8.1.</w:t>
      </w:r>
      <w:r>
        <w:tab/>
      </w:r>
      <w:r>
        <w:rPr>
          <w:rFonts w:ascii="Times New Roman" w:hAnsi="Times New Roman"/>
          <w:sz w:val="24"/>
        </w:rPr>
        <w:t>Instrukcje dotyczące poszczególnych pozycji</w:t>
      </w:r>
      <w:bookmarkEnd w:id="751"/>
      <w:bookmarkEnd w:id="752"/>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Kolumny</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Wartość ekspozycji </w:t>
            </w:r>
          </w:p>
          <w:p w14:paraId="259F2F34" w14:textId="2748F377" w:rsidR="000B0B09" w:rsidRPr="002A677E" w:rsidRDefault="000B0B09" w:rsidP="000B0B09">
            <w:pPr>
              <w:rPr>
                <w:rFonts w:ascii="Times New Roman" w:hAnsi="Times New Roman"/>
                <w:sz w:val="24"/>
              </w:rPr>
            </w:pPr>
            <w:r>
              <w:rPr>
                <w:rFonts w:ascii="Times New Roman" w:hAnsi="Times New Roman"/>
                <w:sz w:val="24"/>
              </w:rPr>
              <w:t xml:space="preserve">Art. 271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związku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82 tego rozporządzenia.</w:t>
            </w:r>
          </w:p>
          <w:p w14:paraId="66E2ABF7" w14:textId="77777777" w:rsidR="000B0B09" w:rsidRPr="002A677E" w:rsidRDefault="000B0B09" w:rsidP="000B0B09">
            <w:pPr>
              <w:rPr>
                <w:rFonts w:ascii="Times New Roman" w:hAnsi="Times New Roman"/>
                <w:sz w:val="24"/>
              </w:rPr>
            </w:pPr>
            <w:r>
              <w:rPr>
                <w:rFonts w:ascii="Times New Roman" w:hAnsi="Times New Roman"/>
                <w:sz w:val="24"/>
              </w:rPr>
              <w:t>Wszystkie ekspozycje, których dotyczy niewykonanie zobowiązania ze wszystkich transakcji podlegających narzutowi z tytułu CVA.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W tym: instrumenty pochodne będące przedmiotem obrotu poza rynkiem regulowanym </w:t>
            </w:r>
          </w:p>
          <w:p w14:paraId="2394766F" w14:textId="69A365B9" w:rsidR="000B0B09" w:rsidRPr="002A677E" w:rsidRDefault="000B0B09" w:rsidP="000B0B09">
            <w:pPr>
              <w:rPr>
                <w:rFonts w:ascii="Times New Roman" w:hAnsi="Times New Roman"/>
                <w:sz w:val="24"/>
              </w:rPr>
            </w:pPr>
            <w:r>
              <w:rPr>
                <w:rFonts w:ascii="Times New Roman" w:hAnsi="Times New Roman"/>
                <w:sz w:val="24"/>
              </w:rPr>
              <w:t xml:space="preserve">Art. 271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związku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82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tego rozporządzenia.</w:t>
            </w:r>
          </w:p>
          <w:p w14:paraId="119058D1" w14:textId="77777777" w:rsidR="000B0B09" w:rsidRPr="002A677E" w:rsidRDefault="000B0B09" w:rsidP="000B0B09">
            <w:pPr>
              <w:rPr>
                <w:rFonts w:ascii="Times New Roman" w:hAnsi="Times New Roman"/>
                <w:sz w:val="24"/>
              </w:rPr>
            </w:pPr>
            <w:r>
              <w:rPr>
                <w:rFonts w:ascii="Times New Roman" w:hAnsi="Times New Roman"/>
                <w:sz w:val="24"/>
              </w:rPr>
              <w:t>Część całkowitej wartości ekspozycji na ryzyko kredytowe kontrahenta wyłącznie z tytułu instrumentów pochodnych będących przedmiotem obrotu poza rynkiem regulowanym. Instytucje stosujące metodę modeli wewnętrznych oraz posiadające w tym samym pakiecie kompensowania instrumenty pochodne będące przedmiotem obrotu poza rynkiem regulowanym i transakcje finansowania papierów wartościowych, nie są zobowiązane do przedstawiania informacji.</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W tym: z tytułu transakcji finansowania papierów wartościowych </w:t>
            </w:r>
          </w:p>
          <w:p w14:paraId="5E65AC58" w14:textId="2EFF1BC0" w:rsidR="000B0B09" w:rsidRPr="002A677E" w:rsidRDefault="000B0B09" w:rsidP="000B0B09">
            <w:pPr>
              <w:rPr>
                <w:rFonts w:ascii="Times New Roman" w:hAnsi="Times New Roman"/>
                <w:sz w:val="24"/>
              </w:rPr>
            </w:pPr>
            <w:r>
              <w:rPr>
                <w:rFonts w:ascii="Times New Roman" w:hAnsi="Times New Roman"/>
                <w:sz w:val="24"/>
              </w:rPr>
              <w:t xml:space="preserve">Art. 271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związku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82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tego rozporządzenia.</w:t>
            </w:r>
          </w:p>
          <w:p w14:paraId="7D919192" w14:textId="77777777" w:rsidR="000B0B09" w:rsidRPr="002A677E" w:rsidRDefault="000B0B09">
            <w:pPr>
              <w:rPr>
                <w:rFonts w:ascii="Times New Roman" w:hAnsi="Times New Roman"/>
                <w:sz w:val="24"/>
              </w:rPr>
            </w:pPr>
            <w:r>
              <w:rPr>
                <w:rFonts w:ascii="Times New Roman" w:hAnsi="Times New Roman"/>
                <w:sz w:val="24"/>
              </w:rPr>
              <w:t>Część całkowitej wartości ekspozycji na ryzyko kredytowe kontrahenta wyłącznie z tytułu transakcji finansowania papierów wartościowych. Instytucje stosujące metodę modeli wewnętrznych oraz posiadające w tym samym pakiecie kompensowania instrumenty pochodne będące przedmiotem obrotu poza rynkiem regulowanym i transakcje finansowania papierów wartościowych, nie są zobowiązane do przedstawiania informacji.</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MNOŻNIK (mc) x ŚREDNIA Z POPRZEDNICH 60 DNI ROBOCZYCH (VaRavg)</w:t>
            </w:r>
          </w:p>
          <w:p w14:paraId="1C0DECA9" w14:textId="006BE82F" w:rsidR="004F6B6B" w:rsidRPr="002A677E" w:rsidRDefault="000B0B09">
            <w:pPr>
              <w:rPr>
                <w:rFonts w:ascii="Times New Roman" w:hAnsi="Times New Roman"/>
                <w:sz w:val="24"/>
              </w:rPr>
            </w:pPr>
            <w:r>
              <w:rPr>
                <w:rFonts w:ascii="Times New Roman" w:hAnsi="Times New Roman"/>
                <w:sz w:val="24"/>
              </w:rPr>
              <w:t xml:space="preserve">Art. 383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 związku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63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tego rozporządzenia.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Obliczenia wartości zagrożonej oparte na modelach wewnętrznych dla ryzyka rynkowego.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POPRZEDNI DZIEŃ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Zob. instrukcje dla kolumny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MNOŻNIK (ms) x ŚREDNIA Z POPRZEDNICH 60 DNI ROBOCZYCH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Zob. instrukcje dla kolumny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OSTATNIA DOSTĘPNA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Zob. instrukcje dla kolumny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43455E" w:rsidRDefault="000B0B09" w:rsidP="000B0B09">
            <w:pPr>
              <w:rPr>
                <w:rFonts w:ascii="Times New Roman" w:hAnsi="Times New Roman"/>
                <w:b/>
                <w:sz w:val="24"/>
                <w:u w:val="single"/>
              </w:rPr>
            </w:pPr>
            <w:r>
              <w:rPr>
                <w:rFonts w:ascii="Times New Roman" w:hAnsi="Times New Roman"/>
                <w:b/>
                <w:sz w:val="24"/>
                <w:u w:val="single"/>
              </w:rPr>
              <w:t>WYMOGI W ZAKRESIE FUNDUSZY WŁASNYCH</w:t>
            </w:r>
          </w:p>
          <w:p w14:paraId="628C0036" w14:textId="56925CCC" w:rsidR="004F6B6B" w:rsidRPr="002A677E" w:rsidRDefault="001E0C80">
            <w:pPr>
              <w:rPr>
                <w:rFonts w:ascii="Times New Roman" w:hAnsi="Times New Roman"/>
                <w:sz w:val="24"/>
              </w:rPr>
            </w:pPr>
            <w:r w:rsidRPr="0043455E">
              <w:rPr>
                <w:rFonts w:ascii="Times New Roman" w:hAnsi="Times New Roman"/>
                <w:sz w:val="24"/>
              </w:rPr>
              <w:t>A</w:t>
            </w:r>
            <w:r>
              <w:rPr>
                <w:rFonts w:ascii="Times New Roman" w:hAnsi="Times New Roman"/>
                <w:sz w:val="24"/>
              </w:rPr>
              <w:t xml:space="preserve">rt. 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2FF110DA" w14:textId="77777777" w:rsidR="000B0B09" w:rsidRPr="002A677E" w:rsidRDefault="000B0B09">
            <w:pPr>
              <w:rPr>
                <w:rFonts w:ascii="Times New Roman" w:hAnsi="Times New Roman"/>
                <w:sz w:val="24"/>
              </w:rPr>
            </w:pPr>
            <w:r>
              <w:rPr>
                <w:rFonts w:ascii="Times New Roman" w:hAnsi="Times New Roman"/>
                <w:sz w:val="24"/>
              </w:rPr>
              <w:t>Wymogi w zakresie funduszy własnych z tytułu ryzyka CVA obliczone za pomocą wybranej metody.</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43455E" w:rsidRDefault="000B0B09" w:rsidP="000B0B09">
            <w:pPr>
              <w:rPr>
                <w:rFonts w:ascii="Times New Roman" w:hAnsi="Times New Roman"/>
                <w:b/>
                <w:sz w:val="24"/>
                <w:u w:val="single"/>
              </w:rPr>
            </w:pPr>
            <w:r>
              <w:rPr>
                <w:rFonts w:ascii="Times New Roman" w:hAnsi="Times New Roman"/>
                <w:b/>
                <w:sz w:val="24"/>
                <w:u w:val="single"/>
              </w:rPr>
              <w:t>ŁĄCZNA KWOTA EKSPOZYCJI NA RYZYKO</w:t>
            </w:r>
          </w:p>
          <w:p w14:paraId="6F9001D3" w14:textId="47FED7F3" w:rsidR="004F6B6B" w:rsidRPr="002A677E" w:rsidRDefault="001E0C80">
            <w:pPr>
              <w:rPr>
                <w:rFonts w:ascii="Times New Roman" w:hAnsi="Times New Roman"/>
                <w:sz w:val="24"/>
              </w:rPr>
            </w:pPr>
            <w:r w:rsidRPr="0043455E">
              <w:rPr>
                <w:rFonts w:ascii="Times New Roman" w:hAnsi="Times New Roman"/>
                <w:sz w:val="24"/>
              </w:rPr>
              <w:t>A</w:t>
            </w:r>
            <w:r>
              <w:rPr>
                <w:rFonts w:ascii="Times New Roman" w:hAnsi="Times New Roman"/>
                <w:sz w:val="24"/>
              </w:rPr>
              <w:t xml:space="preserve">rt. 92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Wymogi w zakresie funduszy własnych pomnożone przez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Pozycje uzupełniające</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Liczba kontrahentów</w:t>
            </w:r>
          </w:p>
          <w:p w14:paraId="3F3B385C" w14:textId="48750D4B" w:rsidR="000B0B09" w:rsidRPr="002A677E" w:rsidRDefault="000B0B09" w:rsidP="000B0B09">
            <w:pPr>
              <w:rPr>
                <w:rFonts w:ascii="Times New Roman" w:hAnsi="Times New Roman"/>
                <w:sz w:val="24"/>
              </w:rPr>
            </w:pPr>
            <w:r>
              <w:rPr>
                <w:rFonts w:ascii="Times New Roman" w:hAnsi="Times New Roman"/>
                <w:sz w:val="24"/>
              </w:rPr>
              <w:t xml:space="preserve">Art. 382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Liczba kontrahentów uwzględnionych w obliczeniach funduszy własnych z tytułu ryzyka CVA.</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Kontrahenci stanowią podzbiór złożony z dłużników. Istnieją tylko w przypadku transakcji dotyczących instrumentów pochodnych lub transakcji finansowania papierów wartościowych, gdzie stanowią drugą umawiającą się stronę.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W tym: wskaźnik zastępczy zastosowany w celu określenia spreadu kredytowego</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Liczba kontrahentów, w przypadku których spread kredytowy został określony za pomocą wskaźnika zastępczego zamiast bezpośrednio zaobserwowanych danych rynkowych.</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DOKONANE KOREKTY WYCENY KREDYTOWEJ</w:t>
            </w:r>
          </w:p>
          <w:p w14:paraId="0115819A" w14:textId="77777777" w:rsidR="000B0B09" w:rsidRPr="002A677E" w:rsidRDefault="000B0B09" w:rsidP="000B0B09">
            <w:pPr>
              <w:rPr>
                <w:rFonts w:ascii="Times New Roman" w:hAnsi="Times New Roman"/>
                <w:sz w:val="24"/>
              </w:rPr>
            </w:pPr>
            <w:r>
              <w:rPr>
                <w:rFonts w:ascii="Times New Roman" w:hAnsi="Times New Roman"/>
                <w:sz w:val="24"/>
              </w:rPr>
              <w:lastRenderedPageBreak/>
              <w:t>Przepisy dotyczące rachunkowości ze względu na zmniejszoną wiarygodność kredytową kontrahentów instrumentów pochodnych.</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lastRenderedPageBreak/>
              <w:t>0130</w:t>
            </w:r>
          </w:p>
        </w:tc>
        <w:tc>
          <w:tcPr>
            <w:tcW w:w="8004" w:type="dxa"/>
          </w:tcPr>
          <w:p w14:paraId="60D4C59C" w14:textId="77777777" w:rsidR="000B0B09" w:rsidRPr="0043455E" w:rsidRDefault="000B0B09" w:rsidP="000B0B09">
            <w:pPr>
              <w:rPr>
                <w:rFonts w:ascii="Times New Roman" w:hAnsi="Times New Roman"/>
                <w:b/>
                <w:sz w:val="24"/>
                <w:u w:val="single"/>
              </w:rPr>
            </w:pPr>
            <w:r>
              <w:rPr>
                <w:rFonts w:ascii="Times New Roman" w:hAnsi="Times New Roman"/>
                <w:b/>
                <w:sz w:val="24"/>
                <w:u w:val="single"/>
              </w:rPr>
              <w:t>JEDNOPODMIOTOWY SWAP RYZYKA KREDYTOWEGO</w:t>
            </w:r>
          </w:p>
          <w:p w14:paraId="5DADCD15" w14:textId="16AF56F4" w:rsidR="000B0B09" w:rsidRPr="002A677E" w:rsidRDefault="00D21B29" w:rsidP="000B0B09">
            <w:pPr>
              <w:rPr>
                <w:rFonts w:ascii="Times New Roman" w:hAnsi="Times New Roman"/>
                <w:sz w:val="24"/>
              </w:rPr>
            </w:pPr>
            <w:r w:rsidRPr="0043455E">
              <w:rPr>
                <w:rFonts w:ascii="Times New Roman" w:hAnsi="Times New Roman"/>
                <w:sz w:val="24"/>
              </w:rPr>
              <w:t>A</w:t>
            </w:r>
            <w:r>
              <w:rPr>
                <w:rFonts w:ascii="Times New Roman" w:hAnsi="Times New Roman"/>
                <w:sz w:val="24"/>
              </w:rPr>
              <w:t xml:space="preserve">rt. 386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Łączna kwota referencyjna jednopodmiotowego swapu ryzyka kredytowego stosowana jako zabezpieczenie w odniesieniu do ryzyka CVA.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43455E" w:rsidRDefault="000B0B09" w:rsidP="000B0B09">
            <w:pPr>
              <w:rPr>
                <w:rFonts w:ascii="Times New Roman" w:hAnsi="Times New Roman"/>
                <w:b/>
                <w:sz w:val="24"/>
                <w:u w:val="single"/>
              </w:rPr>
            </w:pPr>
            <w:r>
              <w:rPr>
                <w:rFonts w:ascii="Times New Roman" w:hAnsi="Times New Roman"/>
                <w:b/>
                <w:sz w:val="24"/>
                <w:u w:val="single"/>
              </w:rPr>
              <w:t>INDEKSOWANY SWAP RYZYKA KREDYTOWEGO</w:t>
            </w:r>
          </w:p>
          <w:p w14:paraId="1BAFE21A" w14:textId="5FA781AA" w:rsidR="000B0B09" w:rsidRPr="002A677E" w:rsidRDefault="00D21B29" w:rsidP="000B0B09">
            <w:pPr>
              <w:rPr>
                <w:rFonts w:ascii="Times New Roman" w:hAnsi="Times New Roman"/>
                <w:sz w:val="24"/>
              </w:rPr>
            </w:pPr>
            <w:r w:rsidRPr="0043455E">
              <w:rPr>
                <w:rFonts w:ascii="Times New Roman" w:hAnsi="Times New Roman"/>
                <w:sz w:val="24"/>
              </w:rPr>
              <w:t>A</w:t>
            </w:r>
            <w:r>
              <w:rPr>
                <w:rFonts w:ascii="Times New Roman" w:hAnsi="Times New Roman"/>
                <w:sz w:val="24"/>
              </w:rPr>
              <w:t xml:space="preserve">rt. 386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Łączna kwota referencyjna indeksowanego swapu ryzyka kredytowego stosowana jako zabezpieczenie w odniesieniu do ryzyka CVA.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Wiersze</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Ryzyko CVA razem</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Suma wierszy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Metoda zaawansowana</w:t>
            </w:r>
          </w:p>
          <w:p w14:paraId="71B0BD86" w14:textId="151F7B71" w:rsidR="000B0B09" w:rsidRPr="002A677E" w:rsidRDefault="000B0B09" w:rsidP="000B0B09">
            <w:pPr>
              <w:rPr>
                <w:rFonts w:ascii="Times New Roman" w:hAnsi="Times New Roman"/>
                <w:bCs/>
                <w:sz w:val="24"/>
              </w:rPr>
            </w:pPr>
            <w:r>
              <w:rPr>
                <w:rFonts w:ascii="Times New Roman" w:hAnsi="Times New Roman"/>
                <w:sz w:val="24"/>
              </w:rPr>
              <w:t xml:space="preserve">Zaawansowana metoda ryzyka CVA zgodnie z art. 383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Metoda standardowa</w:t>
            </w:r>
          </w:p>
          <w:p w14:paraId="40EA6287" w14:textId="77824B28" w:rsidR="000B0B09" w:rsidRPr="002A677E" w:rsidRDefault="000B0B09" w:rsidP="000B0B09">
            <w:pPr>
              <w:rPr>
                <w:rFonts w:ascii="Times New Roman" w:hAnsi="Times New Roman"/>
                <w:bCs/>
                <w:sz w:val="24"/>
              </w:rPr>
            </w:pPr>
            <w:r>
              <w:rPr>
                <w:rFonts w:ascii="Times New Roman" w:hAnsi="Times New Roman"/>
                <w:sz w:val="24"/>
              </w:rPr>
              <w:t xml:space="preserve">Standardowa metoda ryzyka CVA zgodnie z art. 384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Na podstawie metody wyceny pierwotnej ekspozycji</w:t>
            </w:r>
          </w:p>
          <w:p w14:paraId="298AB71F" w14:textId="3A86D40D" w:rsidR="000B0B09" w:rsidRPr="002A677E" w:rsidRDefault="000B0B09" w:rsidP="00E871FE">
            <w:pPr>
              <w:rPr>
                <w:rFonts w:ascii="Times New Roman" w:hAnsi="Times New Roman"/>
                <w:bCs/>
                <w:sz w:val="24"/>
              </w:rPr>
            </w:pPr>
            <w:r>
              <w:rPr>
                <w:rFonts w:ascii="Times New Roman" w:hAnsi="Times New Roman"/>
                <w:sz w:val="24"/>
              </w:rPr>
              <w:t xml:space="preserve">Kwoty podlegające zastosowaniu art. 385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bookmarkEnd w:id="753"/>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5" w:name="_Toc119064917"/>
      <w:r>
        <w:rPr>
          <w:rFonts w:ascii="Times New Roman" w:hAnsi="Times New Roman"/>
          <w:sz w:val="24"/>
          <w:u w:val="none"/>
        </w:rPr>
        <w:t>6.</w:t>
      </w:r>
      <w:r>
        <w:tab/>
      </w:r>
      <w:r>
        <w:rPr>
          <w:rFonts w:ascii="Times New Roman" w:hAnsi="Times New Roman"/>
          <w:sz w:val="24"/>
        </w:rPr>
        <w:t>Ostrożna wycena (PruVal)</w:t>
      </w:r>
      <w:bookmarkEnd w:id="755"/>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119064918"/>
      <w:r>
        <w:rPr>
          <w:rFonts w:ascii="Times New Roman" w:hAnsi="Times New Roman"/>
          <w:sz w:val="24"/>
          <w:u w:val="none"/>
        </w:rPr>
        <w:t>6.1.</w:t>
      </w:r>
      <w:r>
        <w:tab/>
      </w:r>
      <w:r>
        <w:rPr>
          <w:rFonts w:ascii="Times New Roman" w:hAnsi="Times New Roman"/>
          <w:sz w:val="24"/>
        </w:rPr>
        <w:t>C 32.01 – Ostrożna wycena: Aktywa i zobowiązania wyceniane według wartości godziwej (PruVal 1)</w:t>
      </w:r>
      <w:bookmarkEnd w:id="756"/>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64919"/>
      <w:r>
        <w:rPr>
          <w:rFonts w:ascii="Times New Roman" w:hAnsi="Times New Roman"/>
          <w:sz w:val="24"/>
          <w:u w:val="none"/>
        </w:rPr>
        <w:t>6.1.1.</w:t>
      </w:r>
      <w:r>
        <w:tab/>
      </w:r>
      <w:r>
        <w:rPr>
          <w:rFonts w:ascii="Times New Roman" w:hAnsi="Times New Roman"/>
          <w:sz w:val="24"/>
        </w:rPr>
        <w:t>Uwagi ogólne</w:t>
      </w:r>
      <w:bookmarkEnd w:id="757"/>
      <w:r>
        <w:rPr>
          <w:rFonts w:ascii="Times New Roman" w:hAnsi="Times New Roman"/>
          <w:sz w:val="24"/>
          <w:u w:val="none"/>
        </w:rPr>
        <w:t xml:space="preserve"> </w:t>
      </w:r>
    </w:p>
    <w:p w14:paraId="3632770C" w14:textId="77777777" w:rsidR="00B828CC" w:rsidRPr="002A677E" w:rsidRDefault="0043455E" w:rsidP="00487A02">
      <w:pPr>
        <w:pStyle w:val="InstructionsText2"/>
        <w:numPr>
          <w:ilvl w:val="0"/>
          <w:numId w:val="0"/>
        </w:numPr>
        <w:ind w:left="1353" w:hanging="360"/>
      </w:pPr>
      <w:fldSimple w:instr=" seq paragraphs ">
        <w:r w:rsidR="00CE7221">
          <w:t>176</w:t>
        </w:r>
      </w:fldSimple>
      <w:r w:rsidR="00CE7221">
        <w:t>. Wzór ten wypełniają wszystkie instytucje, niezależnie od tego, czy przyjęły metodę uproszczoną na potrzeby wyznaczania dodatkowych korekt wyceny („AVA”). Wzór ten poświęcony jest bezwzględnej wartości aktywów i zobowią</w:t>
      </w:r>
      <w:r w:rsidR="00CE7221">
        <w:lastRenderedPageBreak/>
        <w:t>zań wycenianych według wartości godziwej stosowanej do ustalenia, czy spełniono warunki stosowania uproszczonej metody wyznaczania AVA określone w art. 4 rozporządzenia delegowanego Komisji (UE) 2016/101</w:t>
      </w:r>
      <w:r w:rsidR="00CE7221">
        <w:rPr>
          <w:rStyle w:val="FootnoteReference"/>
        </w:rPr>
        <w:footnoteReference w:id="10"/>
      </w:r>
      <w:r w:rsidR="00CE7221">
        <w:t>.</w:t>
      </w:r>
    </w:p>
    <w:p w14:paraId="490DD67C" w14:textId="4D86BEF2" w:rsidR="00995A7F" w:rsidRPr="002A677E" w:rsidRDefault="0043455E" w:rsidP="00487A02">
      <w:pPr>
        <w:pStyle w:val="InstructionsText2"/>
        <w:numPr>
          <w:ilvl w:val="0"/>
          <w:numId w:val="0"/>
        </w:numPr>
        <w:ind w:left="1353" w:hanging="360"/>
      </w:pPr>
      <w:fldSimple w:instr=" seq paragraphs ">
        <w:r w:rsidR="00CE7221">
          <w:t>177</w:t>
        </w:r>
      </w:fldSimple>
      <w:r w:rsidR="00CE7221">
        <w:t xml:space="preserve">. W przypadku instytucji stosujących metodę uproszczoną z wzoru tego wynika całkowita AVA podlegająca odliczeniu od funduszy własnych na podstawie art. 34 i 105 rozporządzenia (UE) </w:t>
      </w:r>
      <w:r w:rsidR="00CE7221" w:rsidRPr="0043455E">
        <w:t>nr</w:t>
      </w:r>
      <w:r w:rsidRPr="0043455E">
        <w:t> </w:t>
      </w:r>
      <w:r w:rsidR="00CE7221" w:rsidRPr="0043455E">
        <w:t>5</w:t>
      </w:r>
      <w:r w:rsidR="00CE7221">
        <w:t>75/2013, jak określono w art. 5 rozporządzenia delegowanego (UE) 2016/101, którą zgłasza się odpowiednio w wierszu 0290 wzoru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119064920"/>
      <w:r>
        <w:rPr>
          <w:rFonts w:ascii="Times New Roman" w:hAnsi="Times New Roman"/>
          <w:sz w:val="24"/>
          <w:u w:val="none"/>
        </w:rPr>
        <w:t>6.1.2.</w:t>
      </w:r>
      <w:r>
        <w:tab/>
      </w:r>
      <w:r>
        <w:rPr>
          <w:rFonts w:ascii="Times New Roman" w:hAnsi="Times New Roman"/>
          <w:sz w:val="24"/>
        </w:rPr>
        <w:t>Instrukcje dotyczące poszczególnych pozycji</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Kolumny</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AKTYWA I ZOBOWIĄZANIA WYCENIANE WEDŁUG WARTOŚCI GODZIWEJ</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Wartość bezwzględna aktywów i zobowiązań wycenianych według wartości godziwej, wykazana w sprawozdaniu finansowym zgodnie z mającymi zastosowanie standardami rachunkowości, o której mowa w art. 4 ust. 1 rozporządzenia delegowanego (UE) 2016/101, przed dokonaniem jakichkolwiek wyłączeń na podstawie art. 4 ust. 2 rozporządzenia delegowanego (UE)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 TYM: portfel handlowy</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Wartość bezwzględna aktywów i zobowiązań wycenianych według wartości godziwej, zgłoszona w kolumnie 010, odpowiadająca pozycjom utrzymywanym w portfelu handlowym.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AKTYWA I ZOBOWIĄZANIA WYCENIANE WEDŁUG WARTOŚCI GODZIWEJ WYŁĄCZONE ZE WZGLĘDU NA CZĘŚCIOWY WPŁYW NA KAPITAŁ PODSTAWOWY TIER I</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Wartość bezwzględna aktywów i zobowiązań wycenianych według wartości godziwej wyłączonych zgodnie z art. 4 ust. 2 rozporządzenia delegowanego (UE)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Dokładne dopasowanie</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Dokładne dopasowanie pokrywające wartość bezwzględną aktywów i zobowiązań wycenianych według wartości godziwej wyłączonych zgodnie z art. 4 ust. 2 rozporządzenia delegowanego (UE)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Rachunkowość zabezpieczeń</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 xml:space="preserve">W odniesieniu do pozycji objętych rachunkowością zabezpieczeń zgodnie z mającymi zastosowanie standardami rachunkowości – wartość bezwzględna aktywów i zobowiązań wycenianych według wartości godziwej wyłączonych proporcjonalnie </w:t>
            </w:r>
            <w:r>
              <w:rPr>
                <w:rFonts w:ascii="Times New Roman" w:hAnsi="Times New Roman"/>
                <w:sz w:val="24"/>
              </w:rPr>
              <w:lastRenderedPageBreak/>
              <w:t>do wpływu odpowiedniej zmiany w wycenie na kapitał podstawowy Tier I zgodnie z art. 4 ust. 2 rozporządzenia delegowanego (UE)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Filtry ostrożnościowe </w:t>
            </w:r>
          </w:p>
          <w:p w14:paraId="35FF7B1B" w14:textId="63D8D85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 xml:space="preserve">Wartość bezwzględna aktywów i zobowiązań wycenianych według wartości godziwej wyłączonych na podstawie art. 4 ust. 2 rozporządzenia delegowanego (UE) 2016/101 ze względu na przejściowe filtry ostrożnościowe, o których mowa w art. 467 i 468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Inne</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Wszelkie inne pozycje wyłączone na podstawie art. 4 ust. 2 rozporządzenia delegowanego (UE) 2016/101 ze względu na fakt, że korekta ich wartości księgowej ma jedynie proporcjonalny wpływ na kapitał podstawowy Tier I.</w:t>
            </w:r>
          </w:p>
          <w:p w14:paraId="3FF98FE6" w14:textId="667CA2FA"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 xml:space="preserve">Wiersz ten wypełnia się tylko w rzadkich przypadkach, gdy pozycji wyłączonych zgodnie z art. 4 ust. 2 rozporządzenia delegowanego (UE) 2016/101 nie można przypisać do kolumn 0030, 0040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050 tego wzoru.</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Uwagi dotyczące pozycji „inne”</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Podaje się główne powody, dla których wyłączono pozycje zgłoszone w kolumnie 0060.</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Aktywa i zobowiązania WYCENIANE WEDŁUG WARTOŚCI GODZIWEJ uwzględnione w progu określonym w art. 4 ust. 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Wartość bezwzględna aktywów i zobowiązań wycenianych według wartości godziwej faktycznie uwzględnionych w wyliczeniach progu zgodnie z art. 4 ust. 1 rozporządzenia delegowanego (UE)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 TYM: portfel handlowy</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Wartość bezwzględna aktywów i zobowiązań wycenianych według wartości godziwej, zgłoszona w kolumnie 0080, odpowiadająca pozycjom utrzymywanym w portfelu handlowym.</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Wiersze</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Definicje tych kategorii muszą odpowiadać definicjom odpowiadających im wierszy we wzorach FINREP 1.1 i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AKTYWA I ZOBOWIĄZANIA WYCENIANE WEDŁUG WARTOŚCI GODZIWEJ RAZEM</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Aktywa i zobowiązania wyceniane według wartości godziwej, zgłoszone w wierszach 0020–0210, razem.</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AKTYWA WYCENIANE WEDŁUG WARTOŚCI GODZIWEJ RAZEM</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Aktywa wyceniane według wartości godziwej, zgłoszone w wierszach 0030–0140, razem.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Odpowiednie pola wierszy 0030–0130 zgłasza się zgodnie ze wzorem FINREP F 01.01 zawartym w załącznikach III i IV do niniejszego rozporządzenia wykonawczego w zależności od standardów mających zastosowanie do instytucji:</w:t>
            </w:r>
          </w:p>
          <w:p w14:paraId="3CF60D26" w14:textId="50464A19"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MSSF zatwierdzonych przez Unię w zastosowaniu rozporządzenia (WE)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606/2002 Parlamentu Europejskiego i Rady („MSSF UE”)</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krajowych standardów rachunkowości zgodnych z MSSF UE („krajowe ogólnie przyjęte zasady rachunkowości zgodne z MSSF”) lub</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krajowych ogólnie przyjętych zasad rachunkowości opartych na dyrektywie Rady 86/635/EWG (FINREP „krajowe ogólnie przyjęte zasady rachunkowości oparte na dyrektywie Rady 86/635/EWG”).</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AKTYWA FINANSOWE PRZEZNACZONE DO OBROTU</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MSSF 9 załącznik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Informacje zgłaszane w tym wierszu muszą odpowiadać informacjom zawartym w wierszu 0050 we wzorze F 01.01 w załącznikach III i IV do niniejszego rozporządzenia wykonawczego.</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AKTYWA FINANSOWE Z PRZEZNACZENIEM DO OBROTU</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 32 i 33 dyrektywy Rady 86/635/EWG; Część 1.17 załącznika V do niniejszego rozporządzenia wykonawczego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Informacje zgłaszane w tym wierszu muszą odpowiadać aktywom wycenionym według wartości godziwej, które uwzględniono w wartości zgłoszonej w wierszu 0091 we wzorze F 01.01 w załącznikach III i IV do niniejszego rozporządzenia wykonawczego.</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AKTYWA FINANSOWE NIEPRZEZNACZONE DO OBROTU WYCENIANE OBOWIĄZKOWO WEDŁUG WARTOŚCI GODZIWEJ PRZEZ WYNIK FINANSOWY </w:t>
            </w:r>
          </w:p>
          <w:p w14:paraId="4C78FD12" w14:textId="1E3E230D" w:rsidR="00B93FA1" w:rsidRPr="00836936" w:rsidRDefault="00B93FA1" w:rsidP="00AF3D7A">
            <w:pPr>
              <w:spacing w:beforeLines="60" w:before="144" w:afterLines="60" w:after="144"/>
              <w:rPr>
                <w:rFonts w:ascii="Times New Roman" w:hAnsi="Times New Roman"/>
                <w:sz w:val="24"/>
                <w:lang w:val="en-US"/>
              </w:rPr>
            </w:pPr>
            <w:r w:rsidRPr="00836936">
              <w:rPr>
                <w:rFonts w:ascii="Times New Roman" w:hAnsi="Times New Roman"/>
                <w:sz w:val="24"/>
                <w:lang w:val="en-US"/>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sidRPr="00836936">
              <w:rPr>
                <w:rFonts w:ascii="Times New Roman" w:hAnsi="Times New Roman"/>
                <w:sz w:val="24"/>
                <w:lang w:val="en-US"/>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sidRPr="00836936">
              <w:rPr>
                <w:rFonts w:ascii="Times New Roman" w:hAnsi="Times New Roman"/>
                <w:sz w:val="24"/>
                <w:lang w:val="en-US"/>
              </w:rPr>
              <w:t xml:space="preserve"> ppkt (ii);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sidRPr="00836936">
              <w:rPr>
                <w:rFonts w:ascii="Times New Roman" w:hAnsi="Times New Roman"/>
                <w:sz w:val="24"/>
                <w:lang w:val="en-US"/>
              </w:rPr>
              <w:t xml:space="preserve">.1.4.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Informacje zgłaszane w tym wierszu muszą odpowiadać informacjom zawartym w wierszu 0096 we wzorze F 01.01 w załącznikach III i IV do niniejszego rozporządzenia wykonawczego.</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AKTYWA FINANSOWE WYCENIANE WEDŁUG WARTOŚCI GODZIWEJ PRZEZ WYNIK FINANSOWY</w:t>
            </w:r>
          </w:p>
          <w:p w14:paraId="3F5C780D" w14:textId="60E5BE51"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ppkt (i);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.1.5; 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dyrektywy 2013/34/UE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lastRenderedPageBreak/>
              <w:t>Informacje zgłaszane w tym wierszu muszą odpowiadać informacjom zawartym w wierszu 0100 we wzorze F 01.01 w załącznikach III i IV do niniejszego rozporządzenia wykonawczego.</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AKTYWA FINANSOWE WYCENIANE WEDŁUG WARTOŚCI GODZIWEJ PRZEZ INNE CAŁKOWITE DOCHODY</w:t>
            </w:r>
          </w:p>
          <w:p w14:paraId="636C4CC9" w14:textId="12479B43" w:rsidR="00B93FA1" w:rsidRPr="00836936" w:rsidRDefault="00B93FA1" w:rsidP="00AF3D7A">
            <w:pPr>
              <w:spacing w:beforeLines="60" w:before="144" w:afterLines="60" w:after="144"/>
              <w:rPr>
                <w:rFonts w:ascii="Times New Roman" w:hAnsi="Times New Roman"/>
                <w:sz w:val="24"/>
                <w:lang w:val="en-US"/>
              </w:rPr>
            </w:pPr>
            <w:r w:rsidRPr="00836936">
              <w:rPr>
                <w:rFonts w:ascii="Times New Roman" w:hAnsi="Times New Roman"/>
                <w:sz w:val="24"/>
                <w:lang w:val="en-US"/>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sidRPr="00836936">
              <w:rPr>
                <w:rFonts w:ascii="Times New Roman" w:hAnsi="Times New Roman"/>
                <w:sz w:val="24"/>
                <w:lang w:val="en-US"/>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h)</w:t>
            </w:r>
            <w:r w:rsidRPr="00836936">
              <w:rPr>
                <w:rFonts w:ascii="Times New Roman" w:hAnsi="Times New Roman"/>
                <w:sz w:val="24"/>
                <w:lang w:val="en-US"/>
              </w:rPr>
              <w:t xml:space="preserve">;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sidRPr="00836936">
              <w:rPr>
                <w:rFonts w:ascii="Times New Roman" w:hAnsi="Times New Roman"/>
                <w:sz w:val="24"/>
                <w:lang w:val="en-US"/>
              </w:rPr>
              <w:t>.1.2A.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Informacje zgłaszane w tym wierszu muszą odpowiadać informacjom zawartym w wierszu 0141 we wzorze F 01.01 w załącznikach III i IV do niniejszego rozporządzenia wykonawczego.</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AKTYWA FINANSOWE NIEBĘDĄCE INSTRUMENTAMI POCHODNYMI NIEPRZEZNACZONE DO OBROTU WYCENIANE WEDŁUG WARTOŚCI GODZIWEJ PRZEZ WYNIK FINANSOWY</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 36 ust. 2 dyrektywy Rady 86/635/EWG Informacje zgłaszane w tym wierszu muszą odpowiadać informacjom zawartym w wierszu 0171 we wzorze F 01.01 w załącznikach III i IV do niniejszego rozporządzenia wykonawczego.</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AKTYWA FINANSOWE NIEBĘDĄCE INSTRUMENTAMI POCHODNYMI NIEPRZEZNACZONE DO OBROTU WYCENIANE WEDŁUG WARTOŚCI GODZIWEJ PRZEZ KAPITAŁY</w:t>
            </w:r>
          </w:p>
          <w:p w14:paraId="7C1FCAF2" w14:textId="65FB4DDD"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dyrektywy 2013/34/UE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Informacje zgłaszane w tym wierszu muszą odpowiadać informacjom zawartym w wierszu 0175 we wzorze F 01.01 w załącznikach III i IV do niniejszego rozporządzenia wykonawczego.</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INNE AKTYWA FINANSOWE NIEBĘDĄCE INSTRUMENTAMI POCHODNYMI NIEPRZEZNACZONE DO OBROTU</w:t>
            </w:r>
          </w:p>
          <w:p w14:paraId="21863DB3" w14:textId="1ED42E4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 37 dyrektywy Rady 86/635/EWG;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7</w:t>
            </w:r>
            <w:r>
              <w:rPr>
                <w:rFonts w:ascii="Times New Roman" w:hAnsi="Times New Roman"/>
                <w:sz w:val="24"/>
              </w:rPr>
              <w:t xml:space="preserve"> dyrektywy 2013/34/UE; Część 1.20 załącznika V do niniejszego rozporządzenia wykonawczego</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Informacje zgłaszane w tym wierszu muszą odpowiadać aktywom wycenionym według wartości godziwej, które uwzględniono w wartości zgłoszonej w wierszu 0234 we wzorze F 01.01 w załącznikach III i IV do niniejszego rozporządzenia wykonawczego.</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INSTRUMENTY POCHODNE – RACHUNKOWOŚĆ ZABEZPIECZEŃ</w:t>
            </w:r>
          </w:p>
          <w:p w14:paraId="26336693" w14:textId="1826E611"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.2.1; część 1.22 załącznika V do niniejszego rozporządzenia wykonawczego; 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i 8 dyrektywy 2013/34/UE; MSR 39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Informacje zgłaszane w tym wierszu muszą odpowiadać informacjom zawartym w wierszu 0240 we wzorze F 01.01 w załącznikach III i IV do niniejszego rozporządzenia wykonawczego.</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ZMIANY WARTOŚCI GODZIWEJ POZYCJI ZABEZPIECZANYCH W ZABEZPIECZANIU PORTFELA PRZED RYZYKIEM STOPY PROCENTOWEJ</w:t>
            </w:r>
          </w:p>
          <w:p w14:paraId="4B9850C3" w14:textId="194D4CA0"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 xml:space="preserve">MSR 39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9A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.5.8; 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i 6 dyrektywy Parlamentu Europejskiego i Rady 2013/34/UE</w:t>
            </w:r>
            <w:r>
              <w:rPr>
                <w:vertAlign w:val="superscript"/>
              </w:rPr>
              <w:footnoteReference w:id="12"/>
            </w:r>
            <w:r>
              <w:rPr>
                <w:rFonts w:ascii="Times New Roman" w:hAnsi="Times New Roman"/>
                <w:sz w:val="24"/>
              </w:rPr>
              <w:t>. Informacje zgłaszane w tym wierszu muszą odpowiadać informacjom zawartym w wierszu 0250 we wzorze F 01.01 w załącznikach III i IV do niniejszego rozporządzenia wykonawczego.</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INWESTYCJE W JEDNOSTKACH ZALEŻNYCH, WSPÓLNYCH PRZEDSIĘWZIĘCIACH I JEDNOSTKACH STOWARZYSZONYCH</w:t>
            </w:r>
          </w:p>
          <w:p w14:paraId="4186901D" w14:textId="1B41E171"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MSR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4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e)</w:t>
            </w:r>
            <w:r>
              <w:rPr>
                <w:rFonts w:ascii="Times New Roman" w:hAnsi="Times New Roman"/>
                <w:sz w:val="24"/>
              </w:rPr>
              <w:t xml:space="preserve">; Części 1.21 i 2.4 załącznika V do niniejszego rozporządzenia wykonawczego; Art. 4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7</w:t>
            </w:r>
            <w:r>
              <w:rPr>
                <w:rFonts w:ascii="Times New Roman" w:hAnsi="Times New Roman"/>
                <w:sz w:val="24"/>
              </w:rPr>
              <w:t xml:space="preserve"> i 8 dyrektywy Rady 86/635/EWG; Art. 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dyrektywy 2013/34/UE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Informacje zgłaszane w tym wierszu muszą odpowiadać informacjom zawartym w wierszu 0260 we wzorze F 01.01 w załącznikach III i IV do niniejszego rozporządzenia wykonawczego.</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REDUKCJE WARTOŚCI W ODNIESIENIU DO AKTYWÓW Z PRZEZNACZENIEM DO OBROTU WYCENIANYCH WEDŁUG WARTOŚCI GODZIWEJ</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Część 1.29 załącznika V do niniejszego rozporządzenia wykonawczego</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Informacje zgłaszane w tym wierszu muszą odpowiadać informacjom zawartym w wierszu 0375 we wzorze F 01.01 w załącznikach III i IV do niniejszego rozporządzenia wykonawczego.</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INNE AKTYWA</w:t>
            </w:r>
          </w:p>
          <w:p w14:paraId="5D7B2512" w14:textId="47E0C083"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 xml:space="preserve">Aktywa, o których mowa w części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i 6 załącznika V do niniejszego rozporządzenia wykonawczego, o ile są wyceniane według wartości godziwej.</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AKTYWA TRWAŁE I GRUPY DO ZBYCIA SKLASYFIKOWANE JAKO PRZEZNACZONE DO SPRZEDAŻY</w:t>
            </w:r>
          </w:p>
          <w:p w14:paraId="44AE1A1D" w14:textId="641DEB3F"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 xml:space="preserve">Aktywa, o których mowa w części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7</w:t>
            </w:r>
            <w:r>
              <w:rPr>
                <w:rFonts w:ascii="Times New Roman" w:hAnsi="Times New Roman"/>
                <w:sz w:val="24"/>
              </w:rPr>
              <w:t xml:space="preserve"> załącznika V do niniejszego rozporządzenia wykonawczego, o ile są wyceniane według wartości godziwej.</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ZOBOWIĄZANIA WYCENIANE WEDŁUG WARTOŚCI GODZIWEJ RAZEM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Zobowiązania wyceniane według wartości godziwej, zgłoszone w wierszach 0160–0210, razem.</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Odpowiednie pola wierszy 0150–0190 zgłasza się zgodnie ze wzorem FINREP F 01.02 zawartym w załącznikach III i IV do niniejszego rozporządzenia wykonawczego w zależności od standardów mających zastosowanie do instytucji: </w:t>
            </w:r>
          </w:p>
          <w:p w14:paraId="37890667" w14:textId="48F4EDD6"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MSSF zatwierdzonych przez Unię w zastosowaniu rozporządzenia (WE)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606/2002 („MSSF UE”)</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krajowych standardów rachunkowości zgodnych z MSSF UE („krajowe ogólnie przyjęte zasady rachunkowości zgodne z MSSF”)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lub krajowych ogólnie przyjętych zasad rachunkowości opartych na dyrektywie Rady 86/635/EWG (FINREP „krajowe ogólnie przyjęte zasady rachunkowości oparte na dyrektywie Rady 86/635/EWG”).</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ZOBOWIĄZANIA FINANSOWE PRZEZNACZONE DO OBROTU</w:t>
            </w:r>
          </w:p>
          <w:p w14:paraId="7020356D" w14:textId="6670BB10"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e)</w:t>
            </w:r>
            <w:r>
              <w:rPr>
                <w:rFonts w:ascii="Times New Roman" w:hAnsi="Times New Roman"/>
                <w:sz w:val="24"/>
              </w:rPr>
              <w:t xml:space="preserve"> ppkt (ii); MSSF 9 pkt 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Informacje zgłaszane w tym wierszu muszą odpowiadać informacjom zawartym w wierszu 0010 we wzorze F 01.02 w załącznikach III i IV do niniejszego rozporządzenia wykonawczego.</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ZOBOWIĄZANIA FINANSOWE Z PRZEZNACZENIEM DO OBROTU</w:t>
            </w:r>
          </w:p>
          <w:p w14:paraId="4891C92A" w14:textId="0D32BA84"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i 6 dyrektywy 2013/34/UE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Informacje zgłaszane w tym wierszu muszą odpowiadać informacjom zawartym w wierszu 0061 we wzorze F 01.02 w załącznikach III i IV do niniejszego rozporządzenia wykonawczego.</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ZOBOWIĄZANIA FINANSOWE WYCENIANE WEDŁUG WARTOŚCI GODZIWEJ PRZEZ WYNIK FINANSOWY</w:t>
            </w:r>
          </w:p>
          <w:p w14:paraId="14ED5A66" w14:textId="1316AF13"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e)</w:t>
            </w:r>
            <w:r>
              <w:rPr>
                <w:rFonts w:ascii="Times New Roman" w:hAnsi="Times New Roman"/>
                <w:sz w:val="24"/>
              </w:rPr>
              <w:t xml:space="preserve"> ppkt (i);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.2.2; 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dyrektywy 2013/34/UE; MSR 39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9</w:t>
            </w:r>
            <w:r>
              <w:rPr>
                <w:rFonts w:ascii="Times New Roman" w:hAnsi="Times New Roman"/>
                <w:sz w:val="24"/>
              </w:rPr>
              <w:t xml:space="preserve">.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Informacje zgłaszane w tym wierszu muszą odpowiadać informacjom zawartym w wierszu 0070 we wzorze F 01.02 w załącznikach III i IV do niniejszego rozporządzenia wykonawczego.</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INSTRUMENTY POCHODNE – RACHUNKOWOŚĆ ZABEZPIECZEŃ</w:t>
            </w:r>
          </w:p>
          <w:p w14:paraId="67E1EF15" w14:textId="4F6A0FF3"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.2.1; część 1.26 załącznika V do niniejszego rozporządzenia wykonawczego; Art. 8 ust. 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oraz 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dyrektywy 2013/34/UE</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Informacje zgłaszane w tym wierszu muszą odpowiadać informacjom zawartym w wierszu 0150 we wzorze F 01.02 w załącznikach III i IV do niniejszego rozporządzenia wykonawczego.</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ZMIANY WARTOŚCI GODZIWEJ POZYCJI ZABEZPIECZANYCH W ZABEZPIECZANIU PORTFELA PRZED RYZYKIEM STOPY PROCENTOWEJ</w:t>
            </w:r>
          </w:p>
          <w:p w14:paraId="350204C6" w14:textId="7DF803B5"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MSR 39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9A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.5.8; 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i 6 dyrektywy 2013/34/UE; Część 2.8 załącznika V do niniejszego rozporządzenia wykonawczego</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Informacje zgłaszane w tym wierszu muszą odpowiadać informacjom zawartym w wierszu 0160 we wzorze F 01.02 w załącznikach III i IV do niniejszego rozporządzenia wykonawczego.</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REDUKCJE WARTOŚCI W ODNIESIENIU DO ZOBOWIĄZAŃ Z PRZEZNACZENIEM DO OBROTU WYCENIANYCH WEDŁUG WARTOŚCI GODZIWEJ</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Część 1.29 załącznika V do niniejszego rozporządzenia wykonawczego</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Informacje zgłaszane w tym wierszu muszą odpowiadać informacjom zawartym w wierszu 0295 we wzorze F 01.02 w załącznikach III i IV do niniejszego rozporządzenia wykonawczego.</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INNE ZOBOWIĄZANIA</w:t>
            </w:r>
          </w:p>
          <w:p w14:paraId="7D2FE311" w14:textId="28DDAE61"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 xml:space="preserve">Zobowiązania, o których mowa w części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3 załącznika V do niniejszego rozporządzenia wykonawczego, o ile są wyceniane według wartości godziwej.</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ZOBOWIĄZANIA UWZGLĘDNIONE W GRUPACH DO ZBYCIA SKLASYFIKOWANYCH JAKO PRZEZNACZONE DO SPRZEDAŻY</w:t>
            </w:r>
          </w:p>
          <w:p w14:paraId="0DF9F396" w14:textId="16078824"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 xml:space="preserve">Zobowiązania, o których mowa w części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4 załącznika V do niniejszego rozporządzenia wykonawczego, o ile są wyceniane według wartości godziwej.</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64921"/>
      <w:r>
        <w:rPr>
          <w:rFonts w:ascii="Times New Roman" w:hAnsi="Times New Roman"/>
          <w:sz w:val="24"/>
          <w:u w:val="none"/>
        </w:rPr>
        <w:t>6.2.</w:t>
      </w:r>
      <w:r>
        <w:tab/>
      </w:r>
      <w:r>
        <w:rPr>
          <w:rFonts w:ascii="Times New Roman" w:hAnsi="Times New Roman"/>
          <w:sz w:val="24"/>
        </w:rPr>
        <w:t>C 32.02 – Ostrożna wycena: Metoda podstawowa (PruVal 2)</w:t>
      </w:r>
      <w:bookmarkEnd w:id="759"/>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64922"/>
      <w:r>
        <w:rPr>
          <w:rFonts w:ascii="Times New Roman" w:hAnsi="Times New Roman"/>
          <w:sz w:val="24"/>
          <w:u w:val="none"/>
        </w:rPr>
        <w:t>6.2.1.</w:t>
      </w:r>
      <w:r>
        <w:tab/>
      </w:r>
      <w:r>
        <w:rPr>
          <w:rFonts w:ascii="Times New Roman" w:hAnsi="Times New Roman"/>
          <w:sz w:val="24"/>
        </w:rPr>
        <w:t>Uwagi ogólne</w:t>
      </w:r>
      <w:bookmarkEnd w:id="760"/>
      <w:r>
        <w:rPr>
          <w:rFonts w:ascii="Times New Roman" w:hAnsi="Times New Roman"/>
          <w:sz w:val="24"/>
          <w:u w:val="none"/>
        </w:rPr>
        <w:t xml:space="preserve"> </w:t>
      </w:r>
    </w:p>
    <w:p w14:paraId="26158FB2" w14:textId="7285858A" w:rsidR="00B93FA1" w:rsidRPr="002A677E" w:rsidRDefault="0043455E" w:rsidP="00487A02">
      <w:pPr>
        <w:pStyle w:val="InstructionsText2"/>
        <w:numPr>
          <w:ilvl w:val="0"/>
          <w:numId w:val="0"/>
        </w:numPr>
        <w:ind w:left="1353" w:hanging="360"/>
      </w:pPr>
      <w:fldSimple w:instr=" seq paragraphs ">
        <w:r w:rsidR="00CE7221">
          <w:t>178</w:t>
        </w:r>
      </w:fldSimple>
      <w:r w:rsidR="00CE7221">
        <w:t xml:space="preserve">. Wzór ten służy do przekazywania informacji na temat składu całkowitej AVA, którą odlicza się od funduszy własnych na podstawie art. 34 i 105 rozporządzenia (UE) </w:t>
      </w:r>
      <w:r w:rsidR="00CE7221" w:rsidRPr="0043455E">
        <w:t>nr</w:t>
      </w:r>
      <w:r w:rsidRPr="0043455E">
        <w:t> </w:t>
      </w:r>
      <w:r w:rsidR="00CE7221" w:rsidRPr="0043455E">
        <w:t>5</w:t>
      </w:r>
      <w:r w:rsidR="00CE7221">
        <w:t>75/2013, a także informacji na temat wyceny księgowej pozycji, w stosunku do których nastąpiła konieczność wyznaczenia AVA.</w:t>
      </w:r>
    </w:p>
    <w:p w14:paraId="2436765C" w14:textId="77777777" w:rsidR="00B93FA1" w:rsidRPr="002A677E" w:rsidRDefault="0043455E" w:rsidP="00487A02">
      <w:pPr>
        <w:pStyle w:val="InstructionsText2"/>
        <w:numPr>
          <w:ilvl w:val="0"/>
          <w:numId w:val="0"/>
        </w:numPr>
        <w:ind w:left="1353" w:hanging="360"/>
      </w:pPr>
      <w:fldSimple w:instr=" seq paragraphs ">
        <w:r w:rsidR="00CE7221">
          <w:t>179</w:t>
        </w:r>
      </w:fldSimple>
      <w:r w:rsidR="00CE7221">
        <w:t xml:space="preserve">. Wzór ten wypełniają wszystkie instytucje, które: </w:t>
      </w:r>
    </w:p>
    <w:p w14:paraId="586760F7" w14:textId="51EA0928" w:rsidR="00B93FA1" w:rsidRPr="002A677E" w:rsidRDefault="00B93FA1" w:rsidP="00487A02">
      <w:pPr>
        <w:pStyle w:val="InstructionsText2"/>
        <w:numPr>
          <w:ilvl w:val="0"/>
          <w:numId w:val="0"/>
        </w:numPr>
        <w:ind w:left="1353" w:hanging="360"/>
      </w:pPr>
      <w:r>
        <w:t xml:space="preserve">a) są zobowiązane stosować metodę podstawową, ponieważ przekroczyły próg, o którym mowa w </w:t>
      </w:r>
      <w:r w:rsidRPr="0043455E">
        <w:t>art.</w:t>
      </w:r>
      <w:r w:rsidR="0043455E" w:rsidRPr="0043455E">
        <w:t> </w:t>
      </w:r>
      <w:r w:rsidRPr="0043455E">
        <w:t>4</w:t>
      </w:r>
      <w:r>
        <w:t xml:space="preserve"> </w:t>
      </w:r>
      <w:r w:rsidRPr="0043455E">
        <w:t>ust.</w:t>
      </w:r>
      <w:r w:rsidR="0043455E" w:rsidRPr="0043455E">
        <w:t> </w:t>
      </w:r>
      <w:r w:rsidRPr="0043455E">
        <w:t>1</w:t>
      </w:r>
      <w:r>
        <w:t xml:space="preserve"> rozporządzenia delegowanego (UE) 2016/101, na zasadzie indywidualnej bądź skonsolidowanej, jak określono w </w:t>
      </w:r>
      <w:r w:rsidRPr="0043455E">
        <w:t>art.</w:t>
      </w:r>
      <w:r w:rsidR="0043455E" w:rsidRPr="0043455E">
        <w:t> </w:t>
      </w:r>
      <w:r w:rsidRPr="0043455E">
        <w:t>4</w:t>
      </w:r>
      <w:r>
        <w:t xml:space="preserve"> </w:t>
      </w:r>
      <w:r w:rsidRPr="0043455E">
        <w:t>ust.</w:t>
      </w:r>
      <w:r w:rsidR="0043455E" w:rsidRPr="0043455E">
        <w:t> </w:t>
      </w:r>
      <w:r w:rsidRPr="0043455E">
        <w:t>3</w:t>
      </w:r>
      <w:r>
        <w:t xml:space="preserve"> tego rozporządzenia; lub</w:t>
      </w:r>
    </w:p>
    <w:p w14:paraId="10FFD0C1" w14:textId="77777777" w:rsidR="00B93FA1" w:rsidRPr="002A677E" w:rsidRDefault="00973707" w:rsidP="00487A02">
      <w:pPr>
        <w:pStyle w:val="InstructionsText2"/>
        <w:numPr>
          <w:ilvl w:val="0"/>
          <w:numId w:val="0"/>
        </w:numPr>
        <w:ind w:left="1353" w:hanging="360"/>
      </w:pPr>
      <w:r>
        <w:t xml:space="preserve">b) zdecydowały się stosować metodę podstawową, mimo że nie przekroczyły wspomnianego progu. </w:t>
      </w:r>
    </w:p>
    <w:p w14:paraId="40F83A9B" w14:textId="74140453" w:rsidR="00973707" w:rsidRPr="002A677E" w:rsidRDefault="0043455E" w:rsidP="00487A02">
      <w:pPr>
        <w:pStyle w:val="InstructionsText2"/>
        <w:numPr>
          <w:ilvl w:val="0"/>
          <w:numId w:val="0"/>
        </w:numPr>
        <w:ind w:left="1353" w:hanging="360"/>
      </w:pPr>
      <w:fldSimple w:instr=" seq paragraphs ">
        <w:r w:rsidR="00CE7221">
          <w:t>180</w:t>
        </w:r>
      </w:fldSimple>
      <w:r w:rsidR="00CE7221">
        <w:t xml:space="preserve">. Do celów tego wzoru „wartość przy niskim poziomie ufności” (ang. upside uncertainty) definiuje się następująco: jak przewidziano w </w:t>
      </w:r>
      <w:r w:rsidR="00CE7221" w:rsidRPr="0043455E">
        <w:t>art.</w:t>
      </w:r>
      <w:r w:rsidRPr="0043455E">
        <w:t> </w:t>
      </w:r>
      <w:r w:rsidR="00CE7221" w:rsidRPr="0043455E">
        <w:t>8</w:t>
      </w:r>
      <w:r w:rsidR="00CE7221">
        <w:t xml:space="preserve"> </w:t>
      </w:r>
      <w:r w:rsidR="00CE7221" w:rsidRPr="0043455E">
        <w:t>ust.</w:t>
      </w:r>
      <w:r w:rsidRPr="0043455E">
        <w:t> </w:t>
      </w:r>
      <w:r w:rsidR="00CE7221" w:rsidRPr="0043455E">
        <w:t>2</w:t>
      </w:r>
      <w:r w:rsidR="00CE7221">
        <w:t xml:space="preserve"> rozporządzenia delegowanego (UE) 2016/101, AVA oblicza się jako różnicę między wartością godziwą a wartością wynikającą z ostrożnej wyceny, którą określono z wynoszącą 9</w:t>
      </w:r>
      <w:r w:rsidR="00CE7221" w:rsidRPr="0043455E">
        <w:t>0</w:t>
      </w:r>
      <w:r w:rsidRPr="0043455E">
        <w:t> </w:t>
      </w:r>
      <w:r w:rsidR="00CE7221" w:rsidRPr="0043455E">
        <w:t>%</w:t>
      </w:r>
      <w:r w:rsidR="00CE7221">
        <w:t xml:space="preserve"> pewnością, że instytucje będą w stanie zamknąć daną ekspozycję przy tej lub większej wartości z nominalnego zakresu prawdopodobnych wartości. Wartością przy niskim poziomie ufności (ang. upside uncertainty) jest przeciwstawna wartość z rozkładu prawdopodobnych wartości, przy której instytucje mają tylko 10-proc. pewność, że będą w stanie zamknąć daną pozycję przy tej lub większej wartości. Wartość przy niskim poziomie ufności oblicza się i agreguje na tych samych zasadach jak całkowitą AVA, z tym że 90-proc. poziom ufności stosowany przy wyznaczaniu całkowitej AVA zastępuje </w:t>
      </w:r>
      <w:r w:rsidR="00CE7221" w:rsidRPr="0043455E">
        <w:t>się</w:t>
      </w:r>
      <w:r w:rsidRPr="0043455E">
        <w:t> </w:t>
      </w:r>
      <w:r w:rsidR="00CE7221" w:rsidRPr="0043455E">
        <w:t>1</w:t>
      </w:r>
      <w:r w:rsidR="00CE7221">
        <w:t>0-proc. poziomem ufności.</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119064923"/>
      <w:r>
        <w:rPr>
          <w:rFonts w:ascii="Times New Roman" w:hAnsi="Times New Roman"/>
          <w:sz w:val="24"/>
          <w:u w:val="none"/>
        </w:rPr>
        <w:t>6.2.2.</w:t>
      </w:r>
      <w:r>
        <w:tab/>
      </w:r>
      <w:r>
        <w:rPr>
          <w:rFonts w:ascii="Times New Roman" w:hAnsi="Times New Roman"/>
          <w:sz w:val="24"/>
          <w:u w:val="none"/>
        </w:rPr>
        <w:t>Instrukcje dotyczące poszczególnych pozycji</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Kolumny</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NA POZIOMIE KATEGORII Z TYTUŁU</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AVA na poziomie kategorii z tytułu niepewności dotyczącej cen rynkowych, kosztów zamknięcia, ryzyka modelu, pozycji o dużej koncentracji, przyszłych kosztów administracyjnych, przedterminowego rozwiązania umowy oraz ryzyka operacyjnego oblicza się w sposób opisany odpowiednio w art. 9, 10 i 11 oraz art. 14–17 rozporządzenia delegowanego (UE)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 odniesieniu do kategorii: niepewność dotycząca cen rynkowych, koszty zamknięcia i ryzyko modelu, do których zastosowanie ma korzyść z dywersyfikacji, jak określono, odpowiednio, w art. 9 ust. 6, art. 10 ust. 7 i art. 11 ust. 7 rozporządzenia delegowanego (UE) 2016/101, AVA na poziomie kategorii zgłasza się – o ile nie wskazano inaczej – jako zwykłą sumę indywidualnych AVA przed uwzględnieniem korzyści z dywersyfikacji [ponieważ korzyści z dywersyfikacji obliczone z wykorzystaniem metody 1 lub metody 2 określonej w załączniku do rozporządzenia delegowanego (UE) 2016/101 zgłasza się w pozycjach 1.1.2, 1.1.2.1 oraz 1.1.2.2 wzoru].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W odniesieniu do kategorii: niepewność dotycząca cen rynkowych, koszty zamknięcia i ryzyko modelu kwoty obliczone przy zastosowaniu podejścia opartego na wiedzy eksperckiej, jak określono w art. 9 ust. 5 lit. b), art. 10 ust. 6 lit. b) i art. 11 ust. 4 rozporządzenia delegowanego (UE) 2016/101, zgłasza się odrębnie w kolumnach 0020, 0040 i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NIEPEWNOŚCI DOTYCZĄCEJ CEN RYNKOWYCH</w:t>
            </w:r>
          </w:p>
          <w:p w14:paraId="69DD0FB7" w14:textId="1D8FAC3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ust. 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z tytułu niepewności dotyczącej cen rynkowych obliczona zgodnie z art. 9 rozporządzenia delegowanego (UE)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OBLICZONA PRZY ZASTOSOWANIU PODEJŚCIA OPARTEGO NA WIEDZY EKSPERCKIEJ</w:t>
            </w:r>
          </w:p>
          <w:p w14:paraId="43C755EC" w14:textId="51A76C41"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AVA z tytułu niepewności dotyczącej cen rynkowych obliczona zgodnie z art. 9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delegowanego (UE)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KOSZTÓW ZAMKNIĘCIA</w:t>
            </w:r>
          </w:p>
          <w:p w14:paraId="4471DD04" w14:textId="1976A919"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ust. 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 tytułu kosztów zamknięcia obliczona zgodnie z art. 10 rozporządzenia delegowanego (UE)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OBLICZONA PRZY ZASTOSOWANIU PODEJŚCIA OPARTEGO NA WIEDZY EKSPERCKIEJ</w:t>
            </w:r>
          </w:p>
          <w:p w14:paraId="7B49243A" w14:textId="492D957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AVA z tytułu kosztów zamknięcia obliczona zgodnie z art. 10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delegowanego (UE)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RYZYKA MODELU</w:t>
            </w:r>
          </w:p>
          <w:p w14:paraId="67F07253" w14:textId="414AE41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 tytułu ryzyka modelu obliczona zgodnie z art. 11 rozporządzenia delegowanego (UE)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OBLICZONA PRZY ZASTOSOWANIU PODEJŚCIA OPARTEGO NA WIEDZY EKSPERCKIEJ</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z tytułu ryzyka modelu obliczona zgodnie z art. 11 ust. 4 rozporządzenia delegowanego (UE)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POZYCJI O DUŻEJ KONCENTRACJI</w:t>
            </w:r>
          </w:p>
          <w:p w14:paraId="3D76EDD0" w14:textId="22E9E169"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z tytułu pozycji o dużej koncentracji obliczona zgodnie z art. 14 rozporządzenia delegowanego (UE)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PRZYSZŁYCH KOSZTÓW ADMINISTRACYJNYCH</w:t>
            </w:r>
          </w:p>
          <w:p w14:paraId="3EA3EFC2" w14:textId="7035189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z tytułu przyszłych kosztów administracyjnych obliczona zgodnie z art. 15 rozporządzenia delegowanego (UE)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PRZEDTERMINOWEGO ROZWIĄZANIA UMOWY</w:t>
            </w:r>
          </w:p>
          <w:p w14:paraId="53DB2AC5" w14:textId="79E6B27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 tytułu przedterminowego rozwiązania umowy obliczona zgodnie z art. 16 rozporządzenia delegowanego (UE)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RYZYKO OPERACYJNE</w:t>
            </w:r>
          </w:p>
          <w:p w14:paraId="29AAF610" w14:textId="60C1E215"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z tytułu ryzyka operacyjnego obliczona zgodnie z art. 17 rozporządzenia delegowanego (UE)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CAŁKOWITA AVA </w:t>
            </w:r>
          </w:p>
          <w:p w14:paraId="679A762B" w14:textId="531661CA"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 0010: całkowita AVA podlegająca odliczeniu od funduszy własnych zgodnie z </w:t>
            </w:r>
            <w:r w:rsidRPr="0043455E">
              <w:rPr>
                <w:rStyle w:val="InstructionsTabelleberschrift"/>
                <w:rFonts w:ascii="Times New Roman" w:hAnsi="Times New Roman"/>
                <w:b w:val="0"/>
                <w:sz w:val="24"/>
                <w:u w:val="none"/>
              </w:rPr>
              <w:t>art.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4 i 105</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i </w:t>
            </w:r>
            <w:r>
              <w:rPr>
                <w:rStyle w:val="InstructionsTabelleberschrift"/>
                <w:rFonts w:ascii="Times New Roman" w:hAnsi="Times New Roman"/>
                <w:b w:val="0"/>
                <w:sz w:val="24"/>
                <w:u w:val="none"/>
              </w:rPr>
              <w:t>podlegająca zgłoszeniu odpowiednio w wierszu 0290 wzoru C 01.00</w:t>
            </w:r>
            <w:r>
              <w:rPr>
                <w:rFonts w:ascii="Times New Roman" w:hAnsi="Times New Roman"/>
                <w:sz w:val="24"/>
              </w:rPr>
              <w:t>.</w:t>
            </w:r>
            <w:r>
              <w:rPr>
                <w:rStyle w:val="InstructionsTabelleberschrift"/>
                <w:rFonts w:ascii="Times New Roman" w:hAnsi="Times New Roman"/>
                <w:b w:val="0"/>
                <w:sz w:val="24"/>
                <w:u w:val="none"/>
              </w:rPr>
              <w:t xml:space="preserve"> Całkowita AVA jest sumą wierszy 0030 i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 0020: część całkowitej AVA zgłoszonej w wierszu 0010 wynikająca z pozycji w portfelu handlowym (wartość bezwzględna).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Wiersze 0030–0160: suma kolumn 0010, 0030, 0050 oraz 0070–0100.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Wiersze 0180–0210: całkowita AVA wynikająca z portfeli na podstawie metody rezerwowej.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WARTOŚĆ PRZY NISKIM POZIOMIE UFNOŚCI (ANG. UPSIDE UNCERTAINTY)</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8 ust. 2</w:t>
            </w:r>
            <w:r>
              <w:rPr>
                <w:rFonts w:ascii="Times New Roman" w:hAnsi="Times New Roman"/>
                <w:sz w:val="24"/>
              </w:rPr>
              <w:t xml:space="preserve"> rozporządzenia delegowanego (UE) 2016/101.</w:t>
            </w:r>
          </w:p>
          <w:p w14:paraId="171B712D" w14:textId="02D079A4"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Wartość przy niskim poziomie ufności oblicza się i agreguje na tych samych zasadach jak całkowitą AVA obliczoną w kolumnie 0110, z tym że 90-proc.</w:t>
            </w:r>
            <w:r>
              <w:t xml:space="preserve"> </w:t>
            </w:r>
            <w:r>
              <w:rPr>
                <w:rFonts w:ascii="Times New Roman" w:hAnsi="Times New Roman"/>
                <w:sz w:val="24"/>
              </w:rPr>
              <w:t>poziom ufności stosowany przy wyznaczaniu całkowitej AVA</w:t>
            </w:r>
            <w:r>
              <w:t xml:space="preserve"> </w:t>
            </w:r>
            <w:r>
              <w:rPr>
                <w:rFonts w:ascii="Times New Roman" w:hAnsi="Times New Roman"/>
                <w:sz w:val="24"/>
              </w:rPr>
              <w:t xml:space="preserve">zastępuje </w:t>
            </w:r>
            <w:r w:rsidRPr="0043455E">
              <w:rPr>
                <w:rFonts w:ascii="Times New Roman" w:hAnsi="Times New Roman"/>
                <w:sz w:val="24"/>
              </w:rPr>
              <w:t>się</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0-proc. poziomem ufności.</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AKTYWA I ZOBOWIĄZANIA WYCENIANE WEDŁUG WARTOŚCI GODZIWEJ</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Wartość bezwzględna aktywów i zobowiązań wycenianych według wartości godziwej odpowiadająca kwotom AVA zgłoszonym w wierszach 0010–0130 oraz w wierszu 0180. W przypadku niektórych wierszy, w szczególności wierszy 0090–0130, konieczne może być określenie tych kwot w przybliżeniu lub ich przypisanie w oparciu o fachowy osąd. </w:t>
            </w:r>
          </w:p>
          <w:p w14:paraId="2A036E2E" w14:textId="52EF7568"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Wiersz 0010: całkowita wartość bezwzględna aktywów i zobowiązań wycenianych według wartości godziwej uwzględnionych w wyliczeniach progu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delegowanego (UE) 2016/101. Obejmuje ona wartość bezwzględną aktywów i zobowiązań wycenianych według wartości godziwej, w stosunku do których AVA oszacowano jako mającą wartość zero zgodnie z art. 9 ust. 2, art. 10 ust. 2 lub art. 10 ust. 3 rozporządzenia delegowanego (UE) 2016/101, które to AVA zgłasza się również odrębnie w wierszach 0070 i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Wiersz 0010 stanowi sumę wiersza 0030 i wiersza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Wiersz 0020: część całkowitej wartości bezwzględnej aktywów i zobowiązań wycenianych według wartości godziwej zgłoszonej w wierszu 0010 wynikająca z pozycji w portfelu handlowym (wartość bezwzględna). </w:t>
            </w:r>
          </w:p>
          <w:p w14:paraId="2B07607F" w14:textId="5E06849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Wiersz 0030: wartość bezwzględna aktywów i zobowiązań wycenianych według wartości godziwej odpowiadająca portfelom na podstawie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9</w:t>
            </w:r>
            <w:r>
              <w:rPr>
                <w:rFonts w:ascii="Times New Roman" w:hAnsi="Times New Roman"/>
                <w:sz w:val="24"/>
              </w:rPr>
              <w:t xml:space="preserve">–17 rozporządzenia delegowanego (UE) 2016/101. Obejmuje ona wartość bezwzględną aktywów i zobowiązań wycenianych według wartości godziwej, w stosunku do których AVA oszacowano jako mającą wartość zero zgodnie z art. 9 ust. 2, art. 10 ust. 2 lub art. 10 </w:t>
            </w:r>
            <w:r>
              <w:rPr>
                <w:rFonts w:ascii="Times New Roman" w:hAnsi="Times New Roman"/>
                <w:sz w:val="24"/>
              </w:rPr>
              <w:lastRenderedPageBreak/>
              <w:t>ust. 3 rozporządzenia delegowanego (UE) 2016/101, które to AVA zgłasza się również odrębnie w wierszach 0070 i 0080. Wiersz 0030 jest sumą wierszy 0090–0130.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Wiersz 0050: wartość bezwzględna aktywów i zobowiązań wycenianych według wartości godziwej uwzględnionych w zakresie wyliczeń AVA z tytułu niezrealizowanych marż kredytowych. Do celów wyliczania tej AVA dokładnie dopasowanych kompensujących się aktywów i zobowiązań wycenianych według wartości godziwej, wyłączonych z wyliczeń progu zgodnie z art. 4 ust. 2 rozporządzenia delegowanego (UE) 2016/101, nie można już uznawać za dokładnie dopasowane, kompensujące się pozycje.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Wiersz 0060: wartość bezwzględna aktywów i zobowiązań wycenianych według wartości godziwej uwzględnionych w zakresie wyliczeń AVA z tytułu kosztów inwestycji i finansowania. Do celów wyliczania tej AVA dokładnie dopasowanych kompensujących się aktywów i zobowiązań wycenianych według wartości godziwej, wyłączonych z wyliczeń progu zgodnie z art. 4 ust. 2 rozporządzenia delegowanego (UE) 2016/101, nie można już uznawać za dokładnie dopasowane, kompensujące się pozycje. </w:t>
            </w:r>
          </w:p>
          <w:p w14:paraId="4272B6B7" w14:textId="706FE82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Wiersz 0070: wartość bezwzględna aktywów i zobowiązań wycenianych według wartości godziwej odpowiadająca ekspozycjom z tytułu wyceny, w stosunku do których AVA oszacowano jako mającą wartość zero na podstawie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9</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delegowanego (UE) 2016/101. </w:t>
            </w:r>
          </w:p>
          <w:p w14:paraId="45D85569" w14:textId="0DC080C9"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Wiersz 0080: wartość bezwzględna aktywów i zobowiązań wycenianych według wartości godziwej odpowiadająca ekspozycjom z tytułu wyceny, w stosunku do których AVA oszacowano jako mającą wartość zero na podstawie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i 3 rozporządzenia delegowanego (UE)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Wiersze 0090–0130: wartość bezwzględna aktywów i zobowiązań wycenianych według wartości godziwej przypisanych zgodnie z poniższym opisem (zob. instrukcje dotyczące odnośnych wierszy) na podstawie następujących kategorii ryzyka: stopy procentowe, waluty obce, kredyty, papiery kapitałowe, towary. Obejmuje ona wartość bezwzględną aktywów i zobowiązań wycenianych według wartości godziwej, w stosunku do których AVA oszacowano jako mającą wartość zero zgodnie z art. 9 ust. 2, art. 10 ust. 2 lub art. 10 ust. 3 rozporządzenia delegowanego (UE) 2016/101, które to AVA zgłasza się również odrębnie w wierszach 0070 i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Wiersz 0180: wartość bezwzględna aktywów i zobowiązań wycenianych według wartości godziwej odpowiadająca portfelom na podstawie metody rezerwowej.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AKTYWA WYCENIANE WEDŁUG WARTOŚCI GODZIWEJ</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Wartość bezwzględna aktywów wycenianych </w:t>
            </w:r>
            <w:r>
              <w:rPr>
                <w:rStyle w:val="InstructionsTabelleberschrift"/>
                <w:rFonts w:ascii="Times New Roman" w:hAnsi="Times New Roman"/>
                <w:b w:val="0"/>
                <w:sz w:val="24"/>
                <w:u w:val="none"/>
              </w:rPr>
              <w:t>według wartości godziwej odpowiadająca różnym wierszom, jak wyjaśniono w instrukcjach dotyczących kolumn 0130–0140 powyżej.</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ZOBOWIĄZANIA WYCENIANE WEDŁUG WARTOŚCI GODZIWEJ</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Wartość bezwzględna</w:t>
            </w:r>
            <w:r>
              <w:rPr>
                <w:rStyle w:val="InstructionsTabelleberschrift"/>
                <w:rFonts w:ascii="Times New Roman" w:hAnsi="Times New Roman"/>
                <w:b w:val="0"/>
                <w:sz w:val="24"/>
                <w:u w:val="none"/>
              </w:rPr>
              <w:t xml:space="preserve"> zobowiązań wycenianych według wartości godziwej odpowiadająca różnym wierszom, jak wyjaśniono w instrukcjach dotyczących kolumn 0130–0140 powyżej.</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DOCHODY QTD</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Dochody za okres od początku danego kwartału („przychody QTD”), od ostatniego dnia sprawozdawczego, przypisane do aktywów i zobowiązań wycenianych według wartości godziwej </w:t>
            </w:r>
            <w:r>
              <w:rPr>
                <w:rStyle w:val="InstructionsTabelleberschrift"/>
                <w:rFonts w:ascii="Times New Roman" w:hAnsi="Times New Roman"/>
                <w:b w:val="0"/>
                <w:sz w:val="24"/>
                <w:u w:val="none"/>
              </w:rPr>
              <w:t>odpowiadających różnym wierszom, jak wyjaśniono w instrukcjach dotyczących kolumn 0130–0140 powyżej, w stosownych przypadkach przypisane lub oszacowane w przybliżeniu w oparciu o fachowy osąd.</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RÓŻNICA Z TYTUŁU IPV</w:t>
            </w:r>
          </w:p>
          <w:p w14:paraId="07D89AF3" w14:textId="41F4277D"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wszystkich pozycji i czynników ryzyka dla nieskorygowanych kwot różnicy („różnica z tytułu IPV”) obliczonych na ostatni dzień miesiąca przypadający jak najbliżej dnia sprawozdawczego w ramach procesu niezależnej weryfikacji cen („IPV”) przeprowadzonego zgodnie z art. 105 ust. 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r>
              <w:rPr>
                <w:rStyle w:val="InstructionsTabelleberschrift"/>
                <w:rFonts w:ascii="Times New Roman" w:hAnsi="Times New Roman"/>
                <w:b w:val="0"/>
                <w:sz w:val="24"/>
                <w:u w:val="none"/>
              </w:rPr>
              <w:t xml:space="preserve">w odniesieniu do najlepszych dostępnych niezależnych danych dotyczących odnośnej pozycji lub odnośnego czynnika ryzyka.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Nieskorygowane kwoty różnicy dotyczą nieskorygowanych różnic między wycenami wygenerowanymi przez system transakcyjny a wycenami będącymi wynikiem comiesięcznego procesu IPV.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wyliczeniach różnicy z tytułu IPV nie uwzględnia się żadnych skorygowanych kwot różnicy wykazanych w księgach i rejestrach instytucji na ostatni dzień danego miesiąca.</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KOREKTY WARTOŚCI GODZIWEJ</w:t>
            </w:r>
          </w:p>
          <w:p w14:paraId="2A66CCA1" w14:textId="772FD516"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Korekty, czasami zwane również „rezerwami”, potencjalnie stosowane do przyjętej przez instytucję księgowej wartości godziwej, które dokonywane są w oderwaniu od modelu wyceny stosowanego do uzyskania wartości bilansowej (z wyłączeniem odroczonych zysków i strat z początkowego ujęcia) i które można wskazać jako środek mający zaradzić tym samym przyczynom niepewności wyceny, z racji których zastosowano odnośną AVA. Mogą one odzwierciedlać czynniki ryzyka nieuwzględnione w technice wyceny, które mają postać premii z tytułu ryzyka lub kosztów wyjścia i są zgodne z definicją wartości godziwej. Powinny mimo wszystko być brane pod uwagę przez uczestników rynku przy ustalaniu ceny. (MSSF 13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i MSSF 13 </w:t>
            </w:r>
            <w:r w:rsidRPr="0043455E">
              <w:rPr>
                <w:rStyle w:val="InstructionsTabelleberschrift"/>
                <w:rFonts w:ascii="Times New Roman" w:hAnsi="Times New Roman"/>
                <w:b w:val="0"/>
                <w:sz w:val="24"/>
                <w:u w:val="none"/>
              </w:rPr>
              <w:t>pkt</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Z TYTUŁU NIEPEWNOŚCI DOTYCZĄCEJ CEN RYNKOWYCH</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Korekta stosowana do przyjętej przez instytucję wartości godziwej w celu odzwierciedlenia premii z tytułu ryzyka wynikającej z istnienia szeregu zaobserwowanych cen za równoważne instrumenty lub – w odniesieniu do parametrów rynkowych stanowiących dane wejściowe dla modelu wyceny – instrumenty, w oparciu o które dokonano kalibracji danych wejściowych, a zatem korektę tę można wskazać jako środek mający zaradzić tym samym przyczynom niepewności wyceny, z racji których zastosowano AVA z tytułu niepewności dotyczącej cen rynkowych.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KOSZTÓW ZAMKNIĘCIA</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Korekta stosowana do przyjętej przez instytucję wartości godziwej w celu uwzględnienia faktu, że wyceny na poziomie pozycji nie odzwierciedlają ceny wyjścia dla danej pozycji lub danego portfela, w szczególności gdy wyceny te skalibrowano </w:t>
            </w:r>
            <w:r>
              <w:rPr>
                <w:rStyle w:val="InstructionsTabelleberschrift"/>
                <w:rFonts w:ascii="Times New Roman" w:hAnsi="Times New Roman"/>
                <w:b w:val="0"/>
                <w:sz w:val="24"/>
                <w:u w:val="none"/>
              </w:rPr>
              <w:lastRenderedPageBreak/>
              <w:t>względem średniej ceny rynkowej, a zatem korektę tę można wskazać jako środek mający zaradzić tym samym przyczynom niepewności wyceny, z racji których zastosowano</w:t>
            </w:r>
            <w:r>
              <w:rPr>
                <w:rFonts w:ascii="Times New Roman" w:hAnsi="Times New Roman"/>
                <w:sz w:val="24"/>
              </w:rPr>
              <w:t xml:space="preserve"> AVA z tytułu kosztów zamknięcia</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RYZYKA MODELU</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 w celu odzwierciedlenia czynników rynkowych lub produktowych, które nie zostały uwzględnione przez model stosowany do obliczania dziennych wartości pozycji i ryzyka („model wyceny”), lub w celu odzwierciedlenia odpowiedniego poziomu ostrożności ze względu na niepewność wynikającą z istnienia szeregu alternatywnych poprawnych modeli i kalibracji modelu, a zatem korektę tę można wskazać jako środek mający zaradzić tym samym przyczynom niepewności wyceny, z racji których zastosowano AVA</w:t>
            </w:r>
            <w:r>
              <w:rPr>
                <w:rFonts w:ascii="Times New Roman" w:hAnsi="Times New Roman"/>
                <w:sz w:val="24"/>
              </w:rPr>
              <w:t xml:space="preserve"> z tytułu ryzyka modelu</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POZYCJI O DUŻEJ KONCENTRACJI</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 w celu odzwierciedlenia faktu, że zagregowana pozycja utrzymywana przez instytucję jest większa niż normalna wielkość obrotu lub większa niż wielkość pozycji stanowiącej podstawę obserwowalnych kwotowań lub transakcji, które są wykorzystywane do kalibracji ceny lub danych wejściowych stosowanych w modelu wyceny, a zatem korektę tę można wskazać jako środek mający zaradzić tym samym przyczynom niepewności wyceny, z racji których zastosowano AVA z</w:t>
            </w:r>
            <w:r>
              <w:rPr>
                <w:rFonts w:ascii="Times New Roman" w:hAnsi="Times New Roman"/>
                <w:sz w:val="24"/>
              </w:rPr>
              <w:t xml:space="preserve"> tytułu pozycji o dużej koncentracji</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NIEZREALIZOWANYCH MARŻ KREDYTOWYCH</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Korekta stosowana do przyjętej przez instytucję wartości godziwej w celu uwzględnienia oczekiwanych strat z powodu niewykonania przez kontrahenta zobowiązania z tytułu pozycji w instrumentach pochodnych (tzn. całkowita korekta wyceny kredytowej („CVA”) na poziomie instytucji).</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KOSZTÓW INWESTYCJI I FINANSOWANIA</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 tytułem kompensaty, w przypadku gdy modele wyceny nie odzwierciedlają w pełni kosztów finansowania, które uczestnicy rynku uwzględniliby w cenie wyjścia dla pozycji lub portfela (tzn. całkowita korekta wyceny z tytułu kosztów finansowania na poziomie instytucji, jeżeli instytucja oblicza tego rodzaju korektę, lub, alternatywnie, równorzędna korekta).</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PRZYSZŁYCH KOSZTÓW ADMINISTRACYJNYCH</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Korekta stosowana do przyjętej przez instytucję wartości godziwej w celu odzwierciedlenia kosztów administracyjnych poniesionych w związku z portfelem lub pozycją, lecz nie uwzględnionych w modelu wyceny lub cenach stosowanych do kalibracji danych wejściowych tego modelu, a zatem korektę tę można wskazać jako środek mający zaradzić tym samym przyczynom niepewności wyceny, z racji których zastosowano AVA z tytułu przyszłych kosztów administracyjnych.</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TYTUŁU PRZEDTERMINOWEGO ROZWIĄZANIA UMOWY</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Korekty stosowane do przyjętej przez instytucję wartości godziwej w celu odzwierciedlenia oczekiwań związanych z przewidzianym w umowie lub pozaumownym przedterminowym rozwiązaniem umowy, których nie odzwierciedlono w modelu wyceny, a zatem korekty te można wskazać jako środek mający zaradzić tym samym przyczynom niepewności wyceny, z racji których zastosowano AVA z tytułu przedterminowego rozwiązania umowy.</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RYZYKO OPERACYJNE</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Korekty stosowane do przyjętej przez instytucję wartości godziwej w celu odzwierciedlenia premii z tytułu ryzyka, którą uczestnicy rynku naliczyliby, aby skompensować ryzyko operacyjne zaistniałe w związku z zabezpieczeniem kontraktów w portfelu, ich administracją i rozliczeniem, a zatem korekty te można wskazać jako środek mający zaradzić tym samym przyczynom niepewności wyceny, z racji których zastosowano AVA z tytułu ryzyka operacyjnego.</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ZYSKI I STRATY Z POCZĄTKOWEGO UJĘCIA</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Korekty dokonane w celu odzwierciedlenia przypadków, w których model wyceny, jak również wszystkie inne stosowne korekty wartości godziwej zastosowane do pozycji lub portfela nie odzwierciedlają ceny zapłaconej lub otrzymanej w momencie początkowego ujęcia, tzn. odroczone zyski i straty z początkowego ujęcia (MSSF 9 pkt 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OPIS/WYJAŚNIENIE</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Opis pozycji traktowanych zgodnie z art. 7 ust. 2 lit. b) rozporządzenia delegowanego (UE) 2016/101 oraz powody, dla których nie można zastosować art. 9–17 tego rozporządzenia.</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Wiersze</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METODA PODSTAWOWA RAZEM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 7 ust. 2 rozporządzenia delegowanego (UE)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Dla każdej odnośnej kategorii AVA, o których mowa w kolumnach 0010–0110 – całkowite AVA obliczone przy użyciu metody podstawowej, jak określono w rozdziale 3 rozporządzenia delegowanego (UE) 2016/101 w odniesieniu do aktywów i zobowiązań wycenianych według wartości godziwej uwzględnionych w wyliczeniach progu zgodnie z art. 4 ust. 1 tego rozporządzenia. Obejmuje to korzyści z dywersyfikacji zgłoszone w wierszu 0140 zgodnie z art. 9 ust. 6, art. 10 ust. 7 i art. 11 ust. 7 rozporządzenia delegowanego (UE)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 TYM: PORTFEL HANDLOWY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 7 ust. 2 rozporządzenia delegowanego (UE)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lastRenderedPageBreak/>
              <w:t>Dla każdej odnośnej kategorii AVA, o których mowa w kolumnach 0010–0110 – część całkowitych AVA zgłoszonych w wierszu 0010 wynikająca z pozycji w portfelu handlowym (wartość bezwzględna).</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PORTFELE NA PODSTAWIE ART. 9–17 ROZPORZĄDZENIA DELEGOWANEGO KOMISJI (UE) 2016/101 – RAZEM NA POZIOMIE KATEGORII PO DYWERSYFIKACJI </w:t>
            </w:r>
          </w:p>
          <w:p w14:paraId="3529E64C" w14:textId="2A6210F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7 ust. 2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delegowanego (UE)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Dla każdej odnośnej kategorii AVA, o których mowa w kolumnach 0010–0110 – całkowite AVA obliczone zgodnie z art. 9–17 rozporządzenia delegowanego (UE) 2016/101 w odniesieniu do aktywów i zobowiązań wycenianych według wartości godziwej uwzględnionych w wyliczeniach progu zgodnie z art. 4 ust. 1 tego rozporządzenia, z wyłączeniem aktywów i zobowiązań wycenianych według wartości godziwej objętych traktowaniem opisanym w art. 7 ust. 2 lit. b) rozporządzenia delegowanego (UE)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Obejmuje to AVA obliczone zgodnie z art. 12 i 13 rozporządzenia delegowanego (UE) 2016/101, które zgłoszono w wierszach 0050 i 0060 oraz uwzględniono w AVA z tytułu niepewności dotyczącej cen rynkowych, AVA z tytułu kosztów zamknięcia i AVA z tytułu ryzyka modelu, jak określono w art. 12 ust. 2 i art. 13 ust. 2 tego rozporządzenia.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Obejmuje to korzyści z dywersyfikacji zgłoszone w wierszu 0140 zgodnie z art. 9 ust. 6, art. 10 ust. 7 i art. 11 ust. 7 rozporządzenia delegowanego (UE)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Wiersz 0030 stanowi różnicę między wierszem 0040 a wierszem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RAZEM NA POZIOMIE KATEGORII PRZED DYWERSYFIKACJĄ</w:t>
            </w:r>
          </w:p>
          <w:p w14:paraId="48A9023A" w14:textId="572D0B6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 odniesieniu do wierszy 0090–0130 instytucje dokonują przyporządkowania swoich aktywów i zobowiązań wycenianych według wartości godziwej uwzględnionych w wyliczeniach progu zgodnie 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delegowanego (UE) 2016/101 (zaliczanych do portfela handlowego i portfela bankowego) zgodnie z następującymi kategoriami ryzyka: stopy procentowe, waluty obce, kredyty, papiery kapitałowe, towary.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 tym celu instytucje polegają na swoich wewnętrznych strukturach zarządzania ryzykiem i – stosując zestawienie opracowane w oparciu o fachowy osąd – przyporządkowują swoje linie biznesowe lub jednostki odpowiadające za handel do najbardziej właściwej kategorii ryzyka. AVA, korekty wartości godziwej oraz inne wymagane informacje, które odpowiadają przyporządkowanym liniom biznesowym lub jednostkom odpowiadającym za handel, przyporządkowuje się do tych samych odpowiednich kategorii ryzyka, aby zapewnić – na poziomie wiersza dla każdej kategorii ryzyka – spójny obraz korekt dokonanych zarówno w celach ostrożnościowych, jak i w celach rachunkowych, jak również wskazanie wielkości danych pozycji (pod względem aktywów i zobowiązań wycenianych według wartości godziwej). Jeżeli AVA lub inne korekty oblicza się na innym poziomie agregacji, w szczególności na poziomie przedsiębiorstwa, instytucje opracowują </w:t>
            </w:r>
            <w:r>
              <w:rPr>
                <w:rFonts w:ascii="Times New Roman" w:hAnsi="Times New Roman"/>
                <w:sz w:val="24"/>
              </w:rPr>
              <w:lastRenderedPageBreak/>
              <w:t xml:space="preserve">metodę alokacji AVA do odpowiednich zbiorów pozycji. W wyniku zastosowania metody alokacji wiersz 0040 musi stanowić sumę wierszy 0050–0130 dla kolumn 0010–0100.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Niezależnie od zastosowanej metody zgłaszane informacje muszą – w jak najszerszym zakresie – być spójne na poziomie wiersza, ponieważ podane informacje będą porównywane na tym poziomie (kwoty AVA, wartość przy niskim poziomie ufności (ang. upside uncertainty), kwoty wartości godziwej i potencjalne korekty wartości godziwej).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Rozkład w wierszach 0090–0130 nie obejmuje AVA obliczonych zgodnie z art. 12 i 13 rozporządzenia delegowanego (UE) 2016/101, które zgłoszono w wierszach 0050 i 0060 oraz uwzględniono w AVA z tytułu niepewności dotyczącej cen rynkowych, AVA z tytułu kosztów zamknięcia i AVA z tytułu ryzyka modelu, jak określono w art. 12 ust. 2 i art. 13 ust. 2 tego rozporządzenia.</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Korzyści z dywersyfikacji zgłasza się w wierszu 0140 zgodnie z art. 9 ust. 6, art. 10 ust. 7 i art. 11 ust. 7 rozporządzenia delegowanego (UE) 2016/101 i w związku z tym nie uwzględnia się ich w wierszach 0040–0130.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 TYM: AVA Z TYTUŁU NIEZREALIZOWANYCH MARŻ KREDYTOWYCH</w:t>
            </w:r>
          </w:p>
          <w:p w14:paraId="7167B6C8" w14:textId="132C6575"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105 ust. 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art. 12 rozporządzenia delegowanego (UE)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Całkowita AVA obliczona w odniesieniu do niezrealizowanych marż kredytowych („AVA z tytułu CVA”) oraz jej przyporządkowanie do AVA z tytułu niepewności dotyczącej cen rynkowych, kosztów zamknięcia lub ryzyka modelu na podstawie art. 12 rozporządzenia delegowanego (UE)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Kolumna 0110: całkowitą AVA podaje się tylko w celach informacyjnych, ponieważ jej podział pomiędzy AVA z tytułu niepewności dotyczącej cen rynkowych, kosztów zamknięcia lub ryzyka modelu prowadzi do jej uwzględnienia – po uwzględnieniu korzyści z dywersyfikacji – w ramach odnośnych AVA na poziomie kategorii.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Kolumny 0130 i 0140: wartość bezwzględna aktywów i zobowiązań wycenianych według wartości godziwej uwzględnionych w zakresie wyliczeń AVA z tytułu niezrealizowanych marż kredytowych. Do celów wyliczania tej AVA dokładnie dopasowanych kompensujących się aktywów i zobowiązań wycenianych według wartości godziwej, wyłączonych z wyliczeń progu zgodnie z art. 4 ust. 2 rozporządzenia delegowanego (UE) 2016/101, nie można już uznawać za dokładnie dopasowane, kompensujące się pozycje.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 TYM: AVA Z TYTUŁU KOSZTÓW INWESTYCJI I FINANSOWANIA </w:t>
            </w:r>
          </w:p>
          <w:p w14:paraId="333CD372" w14:textId="248106A5"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 xml:space="preserve">Art. 105 ust. 10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art. 17 rozporządzenia delegowanego (UE)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Całkowita AVA obliczona w odniesieniu do kosztów inwestycji i finansowania oraz jej przyporządkowanie do AVA z tytułu niepewności dotyczącej cen rynkowych, kosztów zamknięcia lub ryzyka modelu na podstawie art. 13 rozporządzenia delegowanego (UE)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Kolumna 0110: całkowitą AVA podaje się tylko w celach informacyjnych, ponieważ jej podział pomiędzy AVA z tytułu niepewności dotyczącej cen rynkowych, kosztów zamknięcia lub ryzyka modelu prowadzi do jej uwzględnienia – po uwzględnieniu korzyści z dywersyfikacji – w ramach odnośnych AVA na poziomie kategorii.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Kolumny 0130 i 0140: wartość bezwzględna aktywów i zobowiązań wycenianych według wartości godziwej uwzględnionych w zakresie wyliczeń AVA z tytułu kosztów inwestycji i finansowania. Do celów wyliczania tej AVA dokładnie dopasowanych kompensujących się aktywów i zobowiązań wycenianych według wartości godziwej, wyłączonych z wyliczeń progu zgodnie z art. 4 ust. 2 rozporządzenia delegowanego (UE) 2016/101, nie można już uznawać za dokładnie dopasowane, kompensujące się pozycje.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 TYM: AVA OSZACOWANA JAKO MAJĄCA WARTOŚĆ ZERO NA PODSTAWIE ART. 9 UST. 2</w:t>
            </w:r>
            <w:r>
              <w:rPr>
                <w:rFonts w:ascii="Times New Roman" w:hAnsi="Times New Roman"/>
                <w:sz w:val="24"/>
              </w:rPr>
              <w:t xml:space="preserve"> </w:t>
            </w:r>
            <w:r>
              <w:rPr>
                <w:rFonts w:ascii="Times New Roman" w:hAnsi="Times New Roman"/>
                <w:b/>
                <w:caps/>
                <w:sz w:val="24"/>
              </w:rPr>
              <w:t>rozporządzenia delegowanego (UE)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Wartość bezwzględna aktywów i zobowiązań wycenianych według wartości godziwej odpowiadająca ekspozycjom z tytułu wyceny, w stosunku do których AVA oszacowano jako mającą wartość zero na podstawie art. 9 ust. 2 rozporządzenia delegowanego (UE)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 TYM: AVA OSZACOWANA JAKO MAJĄCA WARTOŚĆ ZERO NA PODSTAWIE ART. 10 UST. 2 i 3</w:t>
            </w:r>
            <w:r>
              <w:rPr>
                <w:rFonts w:ascii="Times New Roman" w:hAnsi="Times New Roman"/>
                <w:sz w:val="24"/>
              </w:rPr>
              <w:t xml:space="preserve"> </w:t>
            </w:r>
            <w:r>
              <w:rPr>
                <w:rFonts w:ascii="Times New Roman" w:hAnsi="Times New Roman"/>
                <w:b/>
                <w:caps/>
                <w:sz w:val="24"/>
              </w:rPr>
              <w:t>rozporządzenia delegowanego (UE) 2016/101</w:t>
            </w:r>
          </w:p>
          <w:p w14:paraId="2AC86975" w14:textId="6FDAAD46"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Wartość bezwzględna aktywów i zobowiązań wycenianych według wartości godziwej odpowiadająca ekspozycjom z tytułu wyceny, w stosunku do których AVA oszacowano jako mającą wartość zero na podstawie art. 10 ust. 2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rozporządzenia delegowanego (UE)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STOPY PROCENTOWE</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WALUTY OBCE</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KREDYTY</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PAPIERY KAPITAŁOWE</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TOWARY</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Korzyści z dywersyfikacji</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Całkowita korzyść z dywersyfikacji. Suma wierszy 0150 i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Korzyść z dywersyfikacji obliczona przy użyciu metody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Dla kategorii AVA zagregowanych przy użyciu metody 1 zgodnie z art. 9 ust. 6, art. 10 ust. 7, art. 11 ust. 6 rozporządzenia delegowanego (UE) 2016/101 – różnica między sumą indywidualnych AVA a całkowitą AVA na poziomie kategorii po skorygowaniu o skutki agregacji.</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Korzyść z dywersyfikacji obliczona przy użyciu metody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Dla kategorii AVA zagregowanych przy użyciu metody 2 zgodnie z art. 9 ust. 6, art. 10 ust. 7, art. 11 ust. 6 rozporządzenia delegowanego (UE) 2016/101 – różnica między sumą indywidualnych AVA a całkowitą AVA na poziomie kategorii po skorygowaniu o skutki agregacji.</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463EDB41"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Pozycja uzupełniająca: AVA przed dywersyfikacją zmniejszone o ponad</w:t>
            </w:r>
            <w:r>
              <w:t xml:space="preserve"> </w:t>
            </w:r>
            <w:r>
              <w:rPr>
                <w:rFonts w:ascii="Times New Roman" w:hAnsi="Times New Roman"/>
                <w:b/>
                <w:caps/>
                <w:sz w:val="24"/>
                <w:u w:val="single"/>
              </w:rPr>
              <w:t>9</w:t>
            </w:r>
            <w:r w:rsidRPr="0043455E">
              <w:rPr>
                <w:rFonts w:ascii="Times New Roman" w:hAnsi="Times New Roman"/>
                <w:b/>
                <w:caps/>
                <w:sz w:val="24"/>
                <w:u w:val="single"/>
              </w:rPr>
              <w:t>0</w:t>
            </w:r>
            <w:r w:rsidR="0043455E" w:rsidRPr="0043455E">
              <w:rPr>
                <w:rFonts w:ascii="Times New Roman" w:hAnsi="Times New Roman"/>
                <w:b/>
                <w:caps/>
                <w:sz w:val="24"/>
                <w:u w:val="single"/>
              </w:rPr>
              <w:t> </w:t>
            </w:r>
            <w:r w:rsidRPr="0043455E">
              <w:rPr>
                <w:rFonts w:ascii="Times New Roman" w:hAnsi="Times New Roman"/>
                <w:b/>
                <w:caps/>
                <w:sz w:val="24"/>
                <w:u w:val="single"/>
              </w:rPr>
              <w:t>%</w:t>
            </w:r>
            <w:r>
              <w:rPr>
                <w:rFonts w:ascii="Times New Roman" w:hAnsi="Times New Roman"/>
                <w:b/>
                <w:caps/>
                <w:sz w:val="24"/>
                <w:u w:val="single"/>
              </w:rPr>
              <w:t xml:space="preserve"> w wyniku dywersyfikacji na podstawie metody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Zgodnie z terminologią stosowaną w ramach metody 2 – suma FV – PV dla wszystkich ekspozycji z tytułu wyceny, dla których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Portfele obliczane przy użyciu metody rezerwowej</w:t>
            </w:r>
          </w:p>
          <w:p w14:paraId="0C014825" w14:textId="0AA76F9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 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rozporządzenia delegowanego (UE)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 odniesieniu do portfeli podlegających metodzie rezerwowej na podstawie art. 7 ust. 2 lit. b) rozporządzenia delegowanego (UE) 2016/101 całkowitą AVA oblicza się jako sumę wierszy 0190, 0200 i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Istotne informacje bilansowe oraz inne informacje kontekstowe podaje się w kolumnach 0130–0260. Opis pozycji oraz powody, dla których nie można było zastosować art. 9–17 rozporządzenia delegowanego (UE) 2016/101, podaje się w kolumnie 0270.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054E05D3"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Metoda rezerwowa; 10</w:t>
            </w:r>
            <w:r w:rsidRPr="0043455E">
              <w:rPr>
                <w:rFonts w:ascii="Times New Roman" w:hAnsi="Times New Roman"/>
                <w:b/>
                <w:caps/>
                <w:sz w:val="24"/>
                <w:u w:val="single"/>
              </w:rPr>
              <w:t>0</w:t>
            </w:r>
            <w:r w:rsidR="0043455E" w:rsidRPr="0043455E">
              <w:t> </w:t>
            </w:r>
            <w:r w:rsidRPr="0043455E">
              <w:rPr>
                <w:rFonts w:ascii="Times New Roman" w:hAnsi="Times New Roman"/>
                <w:b/>
                <w:caps/>
                <w:sz w:val="24"/>
                <w:u w:val="single"/>
              </w:rPr>
              <w:t>%</w:t>
            </w:r>
            <w:r>
              <w:rPr>
                <w:rFonts w:ascii="Times New Roman" w:hAnsi="Times New Roman"/>
                <w:b/>
                <w:caps/>
                <w:sz w:val="24"/>
                <w:u w:val="single"/>
              </w:rPr>
              <w:t xml:space="preserve"> niezrealizowanego zysku</w:t>
            </w:r>
          </w:p>
          <w:p w14:paraId="1B3CB39E" w14:textId="3517D546"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 xml:space="preserve">Art. 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 rozporządzenia delegowanego (UE)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ACF539F"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Metoda rezerwowa; 1</w:t>
            </w:r>
            <w:r w:rsidRPr="0043455E">
              <w:rPr>
                <w:rFonts w:ascii="Times New Roman" w:hAnsi="Times New Roman"/>
                <w:b/>
                <w:caps/>
                <w:sz w:val="24"/>
                <w:u w:val="single"/>
              </w:rPr>
              <w:t>0</w:t>
            </w:r>
            <w:r w:rsidR="0043455E" w:rsidRPr="0043455E">
              <w:rPr>
                <w:rFonts w:ascii="Times New Roman" w:hAnsi="Times New Roman"/>
                <w:b/>
                <w:caps/>
                <w:sz w:val="24"/>
                <w:u w:val="single"/>
              </w:rPr>
              <w:t> </w:t>
            </w:r>
            <w:r w:rsidRPr="0043455E">
              <w:rPr>
                <w:rFonts w:ascii="Times New Roman" w:hAnsi="Times New Roman"/>
                <w:b/>
                <w:caps/>
                <w:sz w:val="24"/>
                <w:u w:val="single"/>
              </w:rPr>
              <w:t>%</w:t>
            </w:r>
            <w:r>
              <w:rPr>
                <w:rFonts w:ascii="Times New Roman" w:hAnsi="Times New Roman"/>
                <w:b/>
                <w:caps/>
                <w:sz w:val="24"/>
                <w:u w:val="single"/>
              </w:rPr>
              <w:t xml:space="preserve"> wartości referencyjnej</w:t>
            </w:r>
          </w:p>
          <w:p w14:paraId="463D12C1" w14:textId="5706109E"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 xml:space="preserve">Art. 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(ii) rozporządzenia delegowanego (UE)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22536130"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Metoda rezerwowa; 2</w:t>
            </w:r>
            <w:r w:rsidRPr="0043455E">
              <w:rPr>
                <w:rFonts w:ascii="Times New Roman" w:hAnsi="Times New Roman"/>
                <w:b/>
                <w:caps/>
                <w:sz w:val="24"/>
                <w:u w:val="single"/>
              </w:rPr>
              <w:t>5</w:t>
            </w:r>
            <w:r w:rsidR="0043455E" w:rsidRPr="0043455E">
              <w:rPr>
                <w:rFonts w:ascii="Times New Roman" w:hAnsi="Times New Roman"/>
                <w:b/>
                <w:caps/>
                <w:sz w:val="24"/>
                <w:u w:val="single"/>
              </w:rPr>
              <w:t> </w:t>
            </w:r>
            <w:r w:rsidRPr="0043455E">
              <w:rPr>
                <w:rFonts w:ascii="Times New Roman" w:hAnsi="Times New Roman"/>
                <w:b/>
                <w:caps/>
                <w:sz w:val="24"/>
                <w:u w:val="single"/>
              </w:rPr>
              <w:t>%</w:t>
            </w:r>
            <w:r>
              <w:rPr>
                <w:rFonts w:ascii="Times New Roman" w:hAnsi="Times New Roman"/>
                <w:b/>
                <w:caps/>
                <w:sz w:val="24"/>
                <w:u w:val="single"/>
              </w:rPr>
              <w:t xml:space="preserve"> wartości początkowej</w:t>
            </w:r>
          </w:p>
          <w:p w14:paraId="3D0D3B88" w14:textId="2EE4040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 xml:space="preserve">Art. 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(iii) rozporządzenia delegowanego (UE)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2" w:name="_Toc119064924"/>
      <w:r>
        <w:rPr>
          <w:rFonts w:ascii="Times New Roman" w:hAnsi="Times New Roman"/>
          <w:sz w:val="24"/>
          <w:u w:val="none"/>
        </w:rPr>
        <w:t xml:space="preserve">6.3. </w:t>
      </w:r>
      <w:r>
        <w:rPr>
          <w:rFonts w:ascii="Times New Roman" w:hAnsi="Times New Roman"/>
          <w:sz w:val="24"/>
        </w:rPr>
        <w:t>C 32.03 – Ostrożna wycena: AVA z tytułu ryzyka modelu (PruVal 3)</w:t>
      </w:r>
      <w:bookmarkEnd w:id="762"/>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119064925"/>
      <w:r>
        <w:rPr>
          <w:rFonts w:ascii="Times New Roman" w:hAnsi="Times New Roman"/>
          <w:sz w:val="24"/>
          <w:u w:val="none"/>
        </w:rPr>
        <w:t>6.3.1.</w:t>
      </w:r>
      <w:r>
        <w:tab/>
      </w:r>
      <w:r>
        <w:rPr>
          <w:rFonts w:ascii="Times New Roman" w:hAnsi="Times New Roman"/>
          <w:sz w:val="24"/>
        </w:rPr>
        <w:t>Uwagi ogólne</w:t>
      </w:r>
      <w:bookmarkEnd w:id="763"/>
      <w:r>
        <w:rPr>
          <w:rFonts w:ascii="Times New Roman" w:hAnsi="Times New Roman"/>
          <w:sz w:val="24"/>
          <w:u w:val="none"/>
        </w:rPr>
        <w:t xml:space="preserve"> </w:t>
      </w:r>
    </w:p>
    <w:p w14:paraId="03B2FE9F" w14:textId="77777777" w:rsidR="00AF3D7A" w:rsidRPr="002A677E" w:rsidRDefault="0043455E" w:rsidP="00487A02">
      <w:pPr>
        <w:pStyle w:val="InstructionsText2"/>
        <w:numPr>
          <w:ilvl w:val="0"/>
          <w:numId w:val="0"/>
        </w:numPr>
        <w:ind w:left="1353" w:hanging="360"/>
      </w:pPr>
      <w:fldSimple w:instr=" seq paragraphs ">
        <w:r w:rsidR="00CE7221">
          <w:t>181</w:t>
        </w:r>
      </w:fldSimple>
      <w:r w:rsidR="00CE7221">
        <w:t xml:space="preserve">. Wzór ten wypełniają wyłącznie instytucje, które przekraczają – na swoim poziomie – próg, o którym mowa w art. 4 ust. 1 rozporządzenia delegowanego (UE) </w:t>
      </w:r>
      <w:r w:rsidR="00CE7221">
        <w:lastRenderedPageBreak/>
        <w:t>2016/101. Instytucje, które są częścią grupy przekraczającej próg w ujęciu skonsolidowanym, mają obowiązek wypełnić ten wzór tylko wówczas, gdy również one same na swoim poziomie przekraczają ten próg.</w:t>
      </w:r>
    </w:p>
    <w:p w14:paraId="04DED855" w14:textId="77777777" w:rsidR="00AF3D7A" w:rsidRPr="002A677E" w:rsidRDefault="0043455E" w:rsidP="00487A02">
      <w:pPr>
        <w:pStyle w:val="InstructionsText2"/>
        <w:numPr>
          <w:ilvl w:val="0"/>
          <w:numId w:val="0"/>
        </w:numPr>
        <w:ind w:left="1353" w:hanging="360"/>
      </w:pPr>
      <w:fldSimple w:instr=" seq paragraphs ">
        <w:r w:rsidR="00CE7221">
          <w:t>182</w:t>
        </w:r>
      </w:fldSimple>
      <w:r w:rsidR="00CE7221">
        <w:t>. Wzór ten stosuje się do zgłaszania szczegółowych informacji na temat pierwszych 20 (pod względem wysokości AVA) indywidualnych AVA z tytułu ryzyka modelu, które stanowią wkład do całkowitej AVA z tytułu ryzyka modelu na poziomie kategorii obliczonej zgodnie z art. 11 rozporządzenia delegowanego (UE) 2016/101. Informacje te odpowiadają informacjom zgłaszanym w kolumnie 0050 we wzorze C 32.02.</w:t>
      </w:r>
    </w:p>
    <w:p w14:paraId="741DDBB0" w14:textId="77777777" w:rsidR="00AF3D7A" w:rsidRPr="002A677E" w:rsidRDefault="0043455E" w:rsidP="00487A02">
      <w:pPr>
        <w:pStyle w:val="InstructionsText2"/>
        <w:numPr>
          <w:ilvl w:val="0"/>
          <w:numId w:val="0"/>
        </w:numPr>
        <w:ind w:left="1353" w:hanging="360"/>
      </w:pPr>
      <w:fldSimple w:instr=" seq paragraphs ">
        <w:r w:rsidR="00CE7221">
          <w:t>183</w:t>
        </w:r>
      </w:fldSimple>
      <w:r w:rsidR="00CE7221">
        <w:t xml:space="preserve">. Pierwsze 20 indywidualne AVA z tytułu ryzyka modelu oraz odnośne informacje na temat produktu zgłasza się w porządku malejącym, począwszy od największej indywidualnej AVA z tytułu ryzyka modelu. </w:t>
      </w:r>
    </w:p>
    <w:p w14:paraId="3881F296" w14:textId="77D0618A" w:rsidR="00AF3D7A" w:rsidRPr="002A677E" w:rsidRDefault="0043455E" w:rsidP="00487A02">
      <w:pPr>
        <w:pStyle w:val="InstructionsText2"/>
        <w:numPr>
          <w:ilvl w:val="0"/>
          <w:numId w:val="0"/>
        </w:numPr>
        <w:ind w:left="1353" w:hanging="360"/>
      </w:pPr>
      <w:fldSimple w:instr=" seq paragraphs ">
        <w:r w:rsidR="00CE7221">
          <w:t>184</w:t>
        </w:r>
      </w:fldSimple>
      <w:r w:rsidR="00CE7221">
        <w:t xml:space="preserve">. Produkty odpowiadające tym największym indywidualnym AVA z tytułu ryzyka modelu zgłasza się przy użyciu wykazu produktów wymaganego na podstawie art. 19 ust. 3 lit. a) rozporządzenia delegowanego (UE) 2016/101. </w:t>
      </w:r>
    </w:p>
    <w:p w14:paraId="6C4443E0" w14:textId="77777777" w:rsidR="00AF3D7A" w:rsidRPr="002A677E" w:rsidRDefault="0043455E" w:rsidP="00487A02">
      <w:pPr>
        <w:pStyle w:val="InstructionsText2"/>
        <w:numPr>
          <w:ilvl w:val="0"/>
          <w:numId w:val="0"/>
        </w:numPr>
        <w:ind w:left="1353" w:hanging="360"/>
      </w:pPr>
      <w:fldSimple w:instr=" seq paragraphs ">
        <w:r w:rsidR="00CE7221">
          <w:t>185</w:t>
        </w:r>
      </w:fldSimple>
      <w:r w:rsidR="00CE7221">
        <w:t>. W przypadku gdy produkty są wystarczająco jednorodne pod względem modelu wyceny i AVA z tytułu ryzyka modelu, dokonuje się ich scalenia i wykazuje się je w jednym wierszu w celu maksymalizacji zakresu tego wzoru w odniesieniu do wyliczonej dla danej instytucji całkowitej AVA z tytułu ryzyka modelu na poziomie kategorii.</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4" w:name="_Toc119064926"/>
      <w:r>
        <w:rPr>
          <w:rFonts w:ascii="Times New Roman" w:hAnsi="Times New Roman"/>
          <w:sz w:val="24"/>
          <w:u w:val="none"/>
        </w:rPr>
        <w:t>6.3.2.</w:t>
      </w:r>
      <w:r>
        <w:tab/>
      </w:r>
      <w:r>
        <w:rPr>
          <w:rFonts w:ascii="Times New Roman" w:hAnsi="Times New Roman"/>
          <w:sz w:val="24"/>
        </w:rPr>
        <w:t>Instrukcje dotyczące poszczególnych pozycji</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Kolumny</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POZYCJA W RANKINGU</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Pozycja w rankingu stanowi identyfikator wiersza i jest niepowtarzalna dla każdego wiersza we wzorze. Podaje się ją w porządku numerycznym 1, 2, 3 itd., przy czym 1 oznacza największą indywidualną AVA z tytułu ryzyka modelu, 2 – drugą największą itd.</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Wewnętrzna nazwa (alfanumeryczna) modelu stosowana przez instytucję do identyfikacji modelu.</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KATEGORIA RYZYKA</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Kategoria ryzyka (stopy procentowe, waluty obce, kredyty, papiery kapitałowe, towary), która w najbardziej odpowiedni sposób charakteryzuje produkt lub grupę produktów, w stosunku do których występuje konieczność zastosowania korekty wyceny z tytułu ryzyka modelu.</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Instytucje zgłaszają następujące kody:</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stopa procentowa</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lastRenderedPageBreak/>
              <w:t>FX – waluty obce</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kredyty</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papiery kapitałowe</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towary</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Wewnętrzna nazwa (alfanumeryczna) produktu lub grupy produktów zgodnie z wykazem produktów wymaganym na podstawie art. 19 ust. 3 lit. a) rozporządzenia delegowanego (UE) 2016/101, które wyceniono przy użyciu modelu.</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OBSERWOWALNOŚĆ</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Liczba obserwacji cen produktu lub grupy produktów w ciągu ostatnich dwunastu miesięcy, które spełniają którekolwiek z następujących kryteriów:</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zaobserwowana cena jest ceną, po której instytucja zawarła transakcję;</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cenę stanowi możliwa do zweryfikowania cena, po której doszło do zawarcia faktycznej transakcji między osobami trzecimi;</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cenę uzyskano z zatwierdzonego kwotowania.</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Instytucje zgłaszają jedną z następujących wartości: „brak”,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 TYTUŁU RYZYKA MODELU</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 11 ust. 1</w:t>
            </w:r>
            <w:r>
              <w:rPr>
                <w:rFonts w:ascii="Times New Roman" w:hAnsi="Times New Roman"/>
                <w:sz w:val="24"/>
              </w:rPr>
              <w:t xml:space="preserve"> rozporządzenia delegowanego (UE)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Indywidualna AVA z tytułu ryzyka modelu przed uwzględnieniem korzyści z dywersyfikacji, lecz po – w stosownych przypadkach – kompensacji portfela.</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OBLICZONA PRZY ZASTOSOWANIU PODEJŚCIA OPARTEGO NA WIEDZY EKSPERCKIEJ</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Kwoty z kolumny 0050, które wyliczono z zastosowaniem podejścia opartego na wiedzy eksperckiej, jak określono w art. 11 ust. 4 rozporządzenia delegowanego (UE)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 TYM: ZAGREGOWANA Z UŻYCIEM METODY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Kwoty z kolumny 0050, które zagregowano z użyciem metody 2 określonej w załączniku do rozporządzenia delegowanego (UE) 2016/101. Kwoty te odpowiadają FV – PV zgodnie z terminologią stosowaną w tym załączniku.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ZAGREGOWANA AVA OBLICZONA ZGODNIE Z METODĄ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Udział, jaki w całkowitej AVA z tytułu ryzyka modelu na poziomie kategorii wyliczonej zgodnie z art. 11 ust. 7</w:t>
            </w:r>
            <w:r>
              <w:rPr>
                <w:rFonts w:ascii="Times New Roman" w:hAnsi="Times New Roman"/>
                <w:sz w:val="24"/>
              </w:rPr>
              <w:t xml:space="preserve"> rozporządzenia delegowanego (UE) 2016/101, </w:t>
            </w:r>
            <w:r>
              <w:rPr>
                <w:rStyle w:val="InstructionsTabelleberschrift"/>
                <w:rFonts w:ascii="Times New Roman" w:hAnsi="Times New Roman"/>
                <w:b w:val="0"/>
                <w:sz w:val="24"/>
                <w:u w:val="none"/>
              </w:rPr>
              <w:t>mają indywidualne AVA z tytułu ryzyka modelu, które zagregowano z użyciem metody 2 określonej w załączniku</w:t>
            </w:r>
            <w:r>
              <w:rPr>
                <w:rFonts w:ascii="Times New Roman" w:hAnsi="Times New Roman"/>
                <w:sz w:val="24"/>
              </w:rPr>
              <w:t xml:space="preserve"> do tego rozporządzenia (UE)</w:t>
            </w:r>
            <w:r>
              <w:rPr>
                <w:rStyle w:val="InstructionsTabelleberschrift"/>
                <w:rFonts w:ascii="Times New Roman" w:hAnsi="Times New Roman"/>
                <w:b w:val="0"/>
                <w:sz w:val="24"/>
                <w:u w:val="none"/>
              </w:rPr>
              <w:t xml:space="preserve">. </w:t>
            </w:r>
            <w:r>
              <w:rPr>
                <w:rFonts w:ascii="Times New Roman" w:hAnsi="Times New Roman"/>
                <w:sz w:val="24"/>
              </w:rPr>
              <w:t>Kwota ta odpowiada APVA zgodnie z terminologią stosowaną w załączniku.</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AKTYWA I ZOBOWIĄZANIA WYCENIANE WEDŁUG WARTOŚCI GODZIWEJ</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Wartość bezwzględna aktywów i zobowiązań wycenianych według wartości godziwej, które wycenia się zgodnie z modelem zgłoszonym w kolumnie 0010, jak wykazano w sprawozdaniu finansowym sporządzonym na podstawie mających zastosowanie standardów.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AKTYWA WYCENIANE WEDŁUG WARTOŚCI GODZIWEJ</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Wartość bezwzględna aktywów wycenianych według wartości godziwej, które wycenia się zgodnie z modelem zgłoszonym w kolumnie 0010, jak wykazano w sprawozdaniu finansowym sporządzonym na podstawie mających zastosowanie standardów</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ZOBOWIĄZANIA WYCENIANE WEDŁUG WARTOŚCI GODZIWEJ</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Wartość bezwzględna zobowiązań wycenianych według wartości godziwej, które wycenia się zgodnie z modelem zgłoszonym w kolumnie 0010, jak wykazano w sprawozdaniu finansowym sporządzonym na podstawie mających zastosowanie standardów.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RÓŻNICA Z TYTUŁU IPV (BADANIE DANYCH WYJŚCIOWYCH)</w:t>
            </w:r>
          </w:p>
          <w:p w14:paraId="142B7D31" w14:textId="2330344F"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nieskorygowanych kwot różnicy („różnica z tytułu IPV”) obliczonych na ostatni dzień miesiąca przypadający jak najbliżej dnia sprawozdawczego w ramach procesu niezależnej weryfikacji cen przeprowadzonego zgodnie z art. 105 ust. 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r>
              <w:rPr>
                <w:rStyle w:val="InstructionsTabelleberschrift"/>
                <w:rFonts w:ascii="Times New Roman" w:hAnsi="Times New Roman"/>
                <w:b w:val="0"/>
                <w:sz w:val="24"/>
                <w:u w:val="none"/>
              </w:rPr>
              <w:t xml:space="preserve"> w odniesieniu do najlepszych dostępnych niezależnych danych dotyczących odnośnego produktu lub odnośnej grupy produktów.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Nieskorygowane kwoty różnicy dotyczą nieskorygowanych różnic między wycenami wygenerowanymi przez system transakcyjny a wycenami będącymi wynikiem comiesięcznego procesu IPV.</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wyliczeniach różnicy z tytułu IPV nie uwzględnia się żadnych skorygowanych kwot różnicy wykazanych w księgach i rejestrach instytucji na ostatni dzień danego miesiąca.</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tym miejscu uwzględnia się wyłącznie wyniki, które skalibrowano w oparciu o ceny instrumentów, które przyporządkowano by do tego samego produktu (badanie danych wyjściowych). Nie uwzględnia się wyników badania danych wejściowych przeprowadzanego w oparciu o dane rynkowe stanowiące dane wejściowe, które skalibrowano w oparciu o różne produkty.</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ZAKRES IPV (BADANIE DANYCH WYJŚCIOWYCH)</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Odsetek pozycji przyporządkowanych do modelu ważonego AVA z tytułu ryzyka modelu, który pokryty jest wynikami badania danych wyjściowych IPV podanymi w kolumnie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KOREKTY WARTOŚCI GODZIWEJ</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Korekty wartości godziwej określone w kolumnach 0190 i 0240 we wzorze C 32.02, które zastosowano do pozycji przyporządkowanych do</w:t>
            </w:r>
            <w:r>
              <w:rPr>
                <w:rFonts w:ascii="Times New Roman" w:hAnsi="Times New Roman"/>
                <w:sz w:val="24"/>
              </w:rPr>
              <w:t xml:space="preserve"> modelu w kolumnie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ZYSKI I STRATY Z POCZĄTKOWEGO UJĘCIA</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Korekty określone w kolumnie 0260 we wzorze C 32.02, które zastosowano do pozycji przyporządkowanych do</w:t>
            </w:r>
            <w:r>
              <w:rPr>
                <w:rFonts w:ascii="Times New Roman" w:hAnsi="Times New Roman"/>
                <w:sz w:val="24"/>
              </w:rPr>
              <w:t xml:space="preserve"> modelu w kolumnie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5" w:name="_Toc119064927"/>
      <w:r>
        <w:rPr>
          <w:rFonts w:ascii="Times New Roman" w:hAnsi="Times New Roman"/>
          <w:sz w:val="24"/>
          <w:u w:val="none"/>
        </w:rPr>
        <w:t xml:space="preserve">6.4 </w:t>
      </w:r>
      <w:r>
        <w:rPr>
          <w:rFonts w:ascii="Times New Roman" w:hAnsi="Times New Roman"/>
          <w:sz w:val="24"/>
        </w:rPr>
        <w:t>C 32.04 – Ostrożna wycena: AVA z tytułu pozycji o dużej koncentracji (PruVal 4)</w:t>
      </w:r>
      <w:bookmarkEnd w:id="765"/>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119064928"/>
      <w:r>
        <w:rPr>
          <w:rFonts w:ascii="Times New Roman" w:hAnsi="Times New Roman"/>
          <w:sz w:val="24"/>
          <w:u w:val="none"/>
        </w:rPr>
        <w:t>6.4.1.</w:t>
      </w:r>
      <w:r>
        <w:tab/>
      </w:r>
      <w:r>
        <w:rPr>
          <w:rFonts w:ascii="Times New Roman" w:hAnsi="Times New Roman"/>
          <w:sz w:val="24"/>
        </w:rPr>
        <w:t>Uwagi ogólne</w:t>
      </w:r>
      <w:bookmarkEnd w:id="766"/>
      <w:r>
        <w:rPr>
          <w:rFonts w:ascii="Times New Roman" w:hAnsi="Times New Roman"/>
          <w:sz w:val="24"/>
          <w:u w:val="none"/>
        </w:rPr>
        <w:t xml:space="preserve"> </w:t>
      </w:r>
    </w:p>
    <w:p w14:paraId="77C9E5D7" w14:textId="77777777" w:rsidR="00113E45" w:rsidRPr="002A677E" w:rsidRDefault="0043455E" w:rsidP="00487A02">
      <w:pPr>
        <w:pStyle w:val="InstructionsText2"/>
        <w:numPr>
          <w:ilvl w:val="0"/>
          <w:numId w:val="0"/>
        </w:numPr>
        <w:ind w:left="1353" w:hanging="360"/>
      </w:pPr>
      <w:fldSimple w:instr=" seq paragraphs ">
        <w:r w:rsidR="00CE7221">
          <w:t>186</w:t>
        </w:r>
      </w:fldSimple>
      <w:r w:rsidR="00CE7221">
        <w:t>. Wzór ten wypełniają wyłącznie instytucje, które przekraczają – na swoim poziomie – próg, o którym mowa w art. 4 ust. 1 rozporządzenia delegowanego (UE) 2016/101. Instytucje, które są częścią grupy przekraczającej próg w ujęciu skonsolidowanym, mają obowiązek wypełnić ten wzór tylko wówczas, gdy również one same na swoim poziomie przekraczają ten próg.</w:t>
      </w:r>
    </w:p>
    <w:p w14:paraId="17836AA9" w14:textId="77777777" w:rsidR="00113E45" w:rsidRPr="002A677E" w:rsidRDefault="0043455E" w:rsidP="00487A02">
      <w:pPr>
        <w:pStyle w:val="InstructionsText2"/>
        <w:numPr>
          <w:ilvl w:val="0"/>
          <w:numId w:val="0"/>
        </w:numPr>
        <w:ind w:left="1353" w:hanging="360"/>
      </w:pPr>
      <w:fldSimple w:instr=" seq paragraphs ">
        <w:r w:rsidR="00CE7221">
          <w:t>187</w:t>
        </w:r>
      </w:fldSimple>
      <w:r w:rsidR="00CE7221">
        <w:t xml:space="preserve">. Wzór ten stosuje się do zgłaszania szczegółowych informacji na temat pierwszych 20 (pod względem wysokości AVA) indywidualnych AVA z tytułu pozycji o dużej koncentracji, które stanowią wkład do całkowitej AVA z tytułu pozycji o dużej koncentracji na poziomie kategorii obliczonej zgodnie z art. 14 rozporządzenia delegowanego (UE) 2016/101. Informacje te odpowiadają informacjom zgłaszanym w kolumnie 0070 we wzorze C 32.02. </w:t>
      </w:r>
    </w:p>
    <w:p w14:paraId="279F8B1F" w14:textId="77777777" w:rsidR="00113E45" w:rsidRPr="002A677E" w:rsidRDefault="0043455E" w:rsidP="00487A02">
      <w:pPr>
        <w:pStyle w:val="InstructionsText2"/>
        <w:numPr>
          <w:ilvl w:val="0"/>
          <w:numId w:val="0"/>
        </w:numPr>
        <w:ind w:left="1353" w:hanging="360"/>
      </w:pPr>
      <w:fldSimple w:instr=" seq paragraphs ">
        <w:r w:rsidR="00CE7221">
          <w:t>188</w:t>
        </w:r>
      </w:fldSimple>
      <w:r w:rsidR="00CE7221">
        <w:t>. Pierwsze 20 AVA z tytułu pozycji o dużej koncentracji oraz odnośne informacje na temat produktu zgłasza się w porządku malejącym, począwszy od największej indywidualnej AVA z tytułu pozycji o dużej koncentracji.</w:t>
      </w:r>
    </w:p>
    <w:p w14:paraId="2EA8E0CE" w14:textId="3EF2F8F5" w:rsidR="00113E45" w:rsidRPr="002A677E" w:rsidRDefault="0043455E" w:rsidP="00487A02">
      <w:pPr>
        <w:pStyle w:val="InstructionsText2"/>
        <w:numPr>
          <w:ilvl w:val="0"/>
          <w:numId w:val="0"/>
        </w:numPr>
        <w:ind w:left="1353" w:hanging="360"/>
      </w:pPr>
      <w:fldSimple w:instr=" seq paragraphs ">
        <w:r w:rsidR="00CE7221">
          <w:t>189</w:t>
        </w:r>
      </w:fldSimple>
      <w:r w:rsidR="00CE7221">
        <w:t>. Produkty odpowiadające tym największym indywidualnym AVA z tytułu pozycji o dużej koncentracji zgłasza się przy użyciu wykazu produktów wymaganego na podstawie art. 19 ust. 3 lit. a) rozporządzenia delegowanego (UE) 2016/101.</w:t>
      </w:r>
    </w:p>
    <w:p w14:paraId="1FC50FB0" w14:textId="77777777" w:rsidR="00113E45" w:rsidRPr="002A677E" w:rsidRDefault="0043455E" w:rsidP="00487A02">
      <w:pPr>
        <w:pStyle w:val="InstructionsText2"/>
        <w:numPr>
          <w:ilvl w:val="0"/>
          <w:numId w:val="0"/>
        </w:numPr>
        <w:ind w:left="1353" w:hanging="360"/>
      </w:pPr>
      <w:fldSimple w:instr=" seq paragraphs ">
        <w:r w:rsidR="00CE7221">
          <w:t>190</w:t>
        </w:r>
      </w:fldSimple>
      <w:r w:rsidR="00CE7221">
        <w:t>. Pozycje, które są jednorodne pod względem metody wyliczania AVA, w miarę możliwości agreguje się, aby zmaksymalizować zakres tego wzoru.</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64929"/>
      <w:r>
        <w:rPr>
          <w:rFonts w:ascii="Times New Roman" w:hAnsi="Times New Roman"/>
          <w:sz w:val="24"/>
          <w:u w:val="none"/>
        </w:rPr>
        <w:t>6.4.2.</w:t>
      </w:r>
      <w:r>
        <w:tab/>
      </w:r>
      <w:r>
        <w:rPr>
          <w:rFonts w:ascii="Times New Roman" w:hAnsi="Times New Roman"/>
          <w:sz w:val="24"/>
        </w:rPr>
        <w:t>Instrukcje dotyczące poszczególnych pozycji</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Kolumny</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POZYCJA W RANKINGU</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Pozycja w rankingu stanowi identyfikator wiersza i jest niepowtarzalna dla każdego wiersza we wzorze. Podaje się ją w porządku numerycznym 1, 2, 3 itd., przy czym 1 oznacza największą AVA z tytułu pozycji o dużej koncentracji, 2 – drugą największą itd.</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KATEGORIA RYZYKA</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Kategoria ryzyka (stopy procentowe, waluty obce, kredyty, papiery kapitałowe, towary), która w najbardziej odpowiedni sposób charakteryzuje pozycję.</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Instytucje zgłaszają następujące kody:</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stopa procentowa</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waluty obce</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kredyty</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papiery kapitałowe</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towary</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Wewnętrzna nazwa produktu lub grupy produktów zgodnie z wykazem produktów wymaganym na podstawie</w:t>
            </w:r>
            <w:r>
              <w:t xml:space="preserve"> art. 19 ust. 3 lit. a) </w:t>
            </w:r>
            <w:r>
              <w:rPr>
                <w:rFonts w:ascii="Times New Roman" w:hAnsi="Times New Roman"/>
                <w:sz w:val="24"/>
              </w:rPr>
              <w:t>rozporządzenia delegowanego (UE) 2016/101</w:t>
            </w:r>
            <w:r>
              <w:t>.</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INSTRUMENT BAZOWY</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Wewnętrzna nazwa instrumentu bazowego lub instrumentów bazowych w przypadku instrumentów pochodnych lub instrumentów w przypadku instrumentów niebędących instrumentem pochodnym.</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WIELKOŚĆ POZYCJI O DUŻEJ KONCENTRACJI</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Wielkość podlegającej wycenie indywidualnej pozycji o dużej koncentracji zidentyfikowanej zgodnie z art. 14 ust. 1 lit. a) rozporządzenia delegowanego (UE) 2016/101, wyrażona w jednostkach określonych w kolumnie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MIARA WIELKOŚCI</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Jednostka miary wielkości stosowana wewnętrznie w ramach procesu identyfikacji podlegającej wycenie pozycji o dużej koncentracji do wyliczenia wielkości pozycji o dużej koncentracji, o której mowa w kolumnie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 przypadku pozycji w obligacjach lub papierach kapitałowych należy podać jednostkę stosowaną</w:t>
            </w:r>
            <w:r>
              <w:rPr>
                <w:rFonts w:ascii="Times New Roman" w:hAnsi="Times New Roman"/>
                <w:sz w:val="24"/>
              </w:rPr>
              <w:t xml:space="preserve"> do celów wewnętrznego zarządzania ryzykiem, taką jak </w:t>
            </w:r>
            <w:r>
              <w:rPr>
                <w:rStyle w:val="InstructionsTabelleberschrift"/>
                <w:rFonts w:ascii="Times New Roman" w:hAnsi="Times New Roman"/>
                <w:b w:val="0"/>
                <w:sz w:val="24"/>
                <w:u w:val="none"/>
              </w:rPr>
              <w:t xml:space="preserve">„liczba obligacji”, „liczba akcji” lub „wartość rynkowa”.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W przypadku pozycji w instrumentach pochodnych należy podać jednostkę stosowano do celów wewnętrznego zarządzania ryzykiem, taką jak „PV01; EUR za przesunięcie równoległe krzywej rentowności o 1 punkt bazowy”.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WARTOŚĆ RYNKOWA</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rynkowa pozycji.</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OKRES OSTROŻNEGO WYJŚCIA</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Okres ostrożnego wyjścia wyrażony jako liczba dni oszacowana na podstawie</w:t>
            </w:r>
            <w:r>
              <w:rPr>
                <w:rFonts w:ascii="Times New Roman" w:hAnsi="Times New Roman"/>
                <w:sz w:val="24"/>
              </w:rPr>
              <w:t xml:space="preserve"> art. 14 ust. 1 lit. b) rozporządzenia delegowanego (UE)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 TYTUŁU POZYCJI O DUŻEJ KONCENTRACJI</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AVA z tytułu pozycji o dużej koncentracji wyliczona zgodnie z art. 14 ust. 1</w:t>
            </w:r>
            <w:r>
              <w:rPr>
                <w:rFonts w:ascii="Times New Roman" w:hAnsi="Times New Roman"/>
                <w:sz w:val="24"/>
              </w:rPr>
              <w:t xml:space="preserve"> rozporządzenia delegowanego (UE) 2016/101 </w:t>
            </w:r>
            <w:r>
              <w:rPr>
                <w:rStyle w:val="InstructionsTabelleberschrift"/>
                <w:rFonts w:ascii="Times New Roman" w:hAnsi="Times New Roman"/>
                <w:b w:val="0"/>
                <w:sz w:val="24"/>
                <w:u w:val="none"/>
              </w:rPr>
              <w:t>w odniesieniu do danej podlegającej wycenie indywidualnej pozycji o dużej koncentracji.</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KOREKTA WARTOŚCI GODZIWEJ Z TYTUŁU POZYCJI O DUŻEJ KONCENTRACJI</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wszelkich korekt wartości godziwej dokonanych w celu odzwierciedlenia faktu, że pozycja zagregowana utrzymywana przez instytucję jest większa niż normalna wielkość obrotu lub większa niż wielkości pozycji stanowiące podstawę kwotowań lub transakcji, które są wykorzystywane do kalibracji ceny lub danych wejściowych stosowanych w modelu wyceny.</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Zgłaszana kwota musi odpowiadać kwocie, którą zastosowano do danej podlegającej wycenie indywidualnej pozycji o dużej koncentracji.</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RÓŻNICA Z TYTUŁU IPV</w:t>
            </w:r>
          </w:p>
          <w:p w14:paraId="244D69CC" w14:textId="1F9BCDA3"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Suma nieskorygowanych kwot różnicy („różnica z tytułu IPV”) obliczonych na ostatni dzień miesiąca przypadający jak najbliżej dnia sprawozdawczego w ramach procesu niezależnej weryfikacji cen przeprowadzonego zgodnie z art. 105 ust. 8 rozporządzenia (UE) </w:t>
            </w:r>
            <w:r w:rsidRPr="0043455E">
              <w:rPr>
                <w:rStyle w:val="InstructionsTabelleberschrift"/>
                <w:rFonts w:ascii="Times New Roman" w:hAnsi="Times New Roman"/>
                <w:b w:val="0"/>
                <w:sz w:val="24"/>
                <w:u w:val="none"/>
              </w:rPr>
              <w:t>nr</w:t>
            </w:r>
            <w:r w:rsidR="0043455E" w:rsidRPr="0043455E">
              <w:rPr>
                <w:rStyle w:val="InstructionsTabelleberschrift"/>
                <w:rFonts w:ascii="Times New Roman" w:hAnsi="Times New Roman"/>
                <w:b w:val="0"/>
                <w:sz w:val="24"/>
                <w:u w:val="none"/>
              </w:rPr>
              <w:t> </w:t>
            </w:r>
            <w:r w:rsidRPr="0043455E">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w:t>
            </w:r>
            <w:r>
              <w:rPr>
                <w:rFonts w:ascii="Times New Roman" w:hAnsi="Times New Roman"/>
                <w:sz w:val="24"/>
              </w:rPr>
              <w:t xml:space="preserve"> </w:t>
            </w:r>
            <w:r>
              <w:rPr>
                <w:rStyle w:val="InstructionsTabelleberschrift"/>
                <w:rFonts w:ascii="Times New Roman" w:hAnsi="Times New Roman"/>
                <w:b w:val="0"/>
                <w:sz w:val="24"/>
                <w:u w:val="none"/>
              </w:rPr>
              <w:t xml:space="preserve">w odniesieniu do najlepszych dostępnych niezależnych danych dotyczących danej podlegającej wycenie indywidualnej pozycji o dużej koncentracji.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Nieskorygowane kwoty różnicy dotyczą nieskorygowanych różnic między wycenami wygenerowanymi przez system transakcyjny a wycenami będącymi wynikiem comiesięcznego procesu IPV.</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wyliczeniach różnicy z tytułu IPV nie uwzględnia się żadnych skorygowanych kwot różnicy wykazanych w księgach i rejestrach instytucji na ostatni dzień danego miesiąca.</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119064930"/>
      <w:r>
        <w:rPr>
          <w:rFonts w:ascii="Times New Roman" w:hAnsi="Times New Roman"/>
          <w:sz w:val="24"/>
          <w:u w:val="none"/>
        </w:rPr>
        <w:t>7.</w:t>
      </w:r>
      <w:r>
        <w:tab/>
      </w:r>
      <w:r>
        <w:rPr>
          <w:rFonts w:ascii="Times New Roman" w:hAnsi="Times New Roman"/>
          <w:sz w:val="24"/>
        </w:rPr>
        <w:t>C 33.00 – Ekspozycje wobec sektora instytucji rządowych i samorządowych (GOV)</w:t>
      </w:r>
      <w:bookmarkEnd w:id="768"/>
      <w:bookmarkEnd w:id="769"/>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119064931"/>
      <w:r>
        <w:rPr>
          <w:rFonts w:ascii="Times New Roman" w:hAnsi="Times New Roman"/>
          <w:sz w:val="24"/>
          <w:u w:val="none"/>
        </w:rPr>
        <w:t>7.1.</w:t>
      </w:r>
      <w:r>
        <w:tab/>
      </w:r>
      <w:r>
        <w:rPr>
          <w:rFonts w:ascii="Times New Roman" w:hAnsi="Times New Roman"/>
          <w:sz w:val="24"/>
        </w:rPr>
        <w:t>Uwagi ogólne</w:t>
      </w:r>
      <w:bookmarkEnd w:id="770"/>
      <w:bookmarkEnd w:id="771"/>
      <w:bookmarkEnd w:id="772"/>
      <w:r>
        <w:rPr>
          <w:rFonts w:ascii="Times New Roman" w:hAnsi="Times New Roman"/>
          <w:sz w:val="24"/>
        </w:rPr>
        <w:t xml:space="preserve"> </w:t>
      </w:r>
    </w:p>
    <w:p w14:paraId="5C6E2259" w14:textId="45F122E3" w:rsidR="00FD54FC" w:rsidRPr="002A677E" w:rsidRDefault="0043455E" w:rsidP="00487A02">
      <w:pPr>
        <w:pStyle w:val="InstructionsText2"/>
        <w:numPr>
          <w:ilvl w:val="0"/>
          <w:numId w:val="0"/>
        </w:numPr>
        <w:ind w:left="1353" w:hanging="360"/>
      </w:pPr>
      <w:fldSimple w:instr=" seq paragraphs ">
        <w:r w:rsidR="00CE7221">
          <w:t>191</w:t>
        </w:r>
      </w:fldSimple>
      <w:r w:rsidR="00CE7221">
        <w:t>.</w:t>
      </w:r>
      <w:r w:rsidR="00CE7221">
        <w:tab/>
        <w:t xml:space="preserve"> Informacje do celów wzoru C 33.00 obejmują wszystkie ekspozycje wobec „sektora instytucji rządowych i samorządowych” zgodnie z definicją w </w:t>
      </w:r>
      <w:r w:rsidR="00CE7221" w:rsidRPr="0043455E">
        <w:t>pkt</w:t>
      </w:r>
      <w:r w:rsidRPr="0043455E">
        <w:t> </w:t>
      </w:r>
      <w:r w:rsidR="00CE7221" w:rsidRPr="0043455E">
        <w:t>4</w:t>
      </w:r>
      <w:r w:rsidR="00CE7221">
        <w:t>2 lit. b) załącznika V do niniejszego rozporządzenia wykonawczego.</w:t>
      </w:r>
    </w:p>
    <w:p w14:paraId="08288A06" w14:textId="3C41F3E0" w:rsidR="00FD54FC" w:rsidRPr="002A677E" w:rsidRDefault="0043455E" w:rsidP="00487A02">
      <w:pPr>
        <w:pStyle w:val="InstructionsText2"/>
        <w:numPr>
          <w:ilvl w:val="0"/>
          <w:numId w:val="0"/>
        </w:numPr>
        <w:ind w:left="1353" w:hanging="360"/>
      </w:pPr>
      <w:fldSimple w:instr=" seq paragraphs ">
        <w:r w:rsidR="00CE7221">
          <w:t>192</w:t>
        </w:r>
      </w:fldSimple>
      <w:r w:rsidR="00CE7221">
        <w:t>.</w:t>
      </w:r>
      <w:r w:rsidR="00CE7221">
        <w:tab/>
        <w:t xml:space="preserve"> Jeżeli ekspozycje wobec „sektora instytucji rządowych i samorządowych” podlegają wymogom w zakresie funduszy własnych zgodnie z częścią trzecią tytuł II rozporządzenia (UE) </w:t>
      </w:r>
      <w:r w:rsidR="00CE7221" w:rsidRPr="0043455E">
        <w:t>nr</w:t>
      </w:r>
      <w:r w:rsidRPr="0043455E">
        <w:t> </w:t>
      </w:r>
      <w:r w:rsidR="00CE7221" w:rsidRPr="0043455E">
        <w:t>5</w:t>
      </w:r>
      <w:r w:rsidR="00CE7221">
        <w:t xml:space="preserve">75/2013, ekspozycje wobec „sektora instytucji rządowych i samorządowych” są zawarte w różnych kategoriach ekspozycji zgodnie z art. 112 i 147 tego rozporządzenia, jak określono w instrukcjach na potrzeby wypełniania wzorów C 07.00, C 08.01 i C 08.02. </w:t>
      </w:r>
    </w:p>
    <w:p w14:paraId="1643CBEB" w14:textId="28FA9C92" w:rsidR="00FD54FC" w:rsidRPr="002A677E" w:rsidRDefault="0043455E" w:rsidP="00487A02">
      <w:pPr>
        <w:pStyle w:val="InstructionsText2"/>
        <w:numPr>
          <w:ilvl w:val="0"/>
          <w:numId w:val="0"/>
        </w:numPr>
        <w:ind w:left="1353" w:hanging="360"/>
      </w:pPr>
      <w:fldSimple w:instr=" seq paragraphs ">
        <w:r w:rsidR="00CE7221">
          <w:t>193</w:t>
        </w:r>
      </w:fldSimple>
      <w:r w:rsidR="00CE7221">
        <w:t>.</w:t>
      </w:r>
      <w:r w:rsidR="00CE7221">
        <w:tab/>
        <w:t xml:space="preserve"> Na potrzeby przyporządkowania kategorii ekspozycji wykorzystywanych do obliczania wymogów kapitałowych zgodnie z rozporządzeniem (UE) </w:t>
      </w:r>
      <w:r w:rsidR="00CE7221" w:rsidRPr="0043455E">
        <w:t>nr</w:t>
      </w:r>
      <w:r w:rsidRPr="0043455E">
        <w:t> </w:t>
      </w:r>
      <w:r w:rsidR="00CE7221" w:rsidRPr="0043455E">
        <w:t>5</w:t>
      </w:r>
      <w:r w:rsidR="00CE7221">
        <w:t xml:space="preserve">75/2013 do sektora kontrahenta „sektor instytucji rządowych i samorządowych” przestrzega się tabeli 2 (metoda standardowa) i tabeli 3 (metoda IRB) zawartych w części 3 załącznika V do niniejszego rozporządzenia wykonawczego. </w:t>
      </w:r>
    </w:p>
    <w:p w14:paraId="41F2B1A4" w14:textId="77777777" w:rsidR="00FD54FC" w:rsidRPr="002A677E" w:rsidRDefault="0043455E" w:rsidP="00487A02">
      <w:pPr>
        <w:pStyle w:val="InstructionsText2"/>
        <w:numPr>
          <w:ilvl w:val="0"/>
          <w:numId w:val="0"/>
        </w:numPr>
        <w:ind w:left="1353" w:hanging="360"/>
      </w:pPr>
      <w:fldSimple w:instr=" seq paragraphs ">
        <w:r w:rsidR="00CE7221">
          <w:t>194</w:t>
        </w:r>
      </w:fldSimple>
      <w:r w:rsidR="00CE7221">
        <w:t xml:space="preserve">. Informacje zgłasza się w odniesieniu do całkowitych zagregowanych ekspozycji (co oznacza sumę dla wszystkich krajów, w których bank ma ekspozycje wobec państwa) oraz w odniesieniu do każdego kraju na podstawie siedziby kontrahenta według lokalizacji bezpośredniego dłużnika. </w:t>
      </w:r>
    </w:p>
    <w:p w14:paraId="1695AE0F" w14:textId="77777777" w:rsidR="00FD54FC" w:rsidRPr="002A677E" w:rsidRDefault="0043455E" w:rsidP="00487A02">
      <w:pPr>
        <w:pStyle w:val="InstructionsText2"/>
        <w:numPr>
          <w:ilvl w:val="0"/>
          <w:numId w:val="0"/>
        </w:numPr>
        <w:ind w:left="1353" w:hanging="360"/>
      </w:pPr>
      <w:fldSimple w:instr=" seq paragraphs ">
        <w:r w:rsidR="00CE7221">
          <w:t>195</w:t>
        </w:r>
      </w:fldSimple>
      <w:r w:rsidR="00CE7221">
        <w:t>.</w:t>
      </w:r>
      <w:r w:rsidR="00CE7221">
        <w:tab/>
        <w:t xml:space="preserve"> Przypisania ekspozycji do kategorii ekspozycji lub do jurysdykcji dokonuje się bez uwzględniania technik ograniczania ryzyka kredytowego, a w szczególności bez uwzględniania efektów substytucyjnych. Jednakże obliczenia wartości ekspozycji i kwot ekspozycji ważonej ryzykiem dla każdej kategorii ekspozycji i każdej jurysdykcji uwzględniają wpływ technik ograniczania ryzyka kredytowego, w tym efektów substytucyjnych. </w:t>
      </w:r>
    </w:p>
    <w:p w14:paraId="074321E3" w14:textId="77777777" w:rsidR="00FD54FC" w:rsidRPr="002A677E" w:rsidRDefault="0043455E" w:rsidP="00487A02">
      <w:pPr>
        <w:pStyle w:val="InstructionsText2"/>
        <w:numPr>
          <w:ilvl w:val="0"/>
          <w:numId w:val="0"/>
        </w:numPr>
        <w:ind w:left="1353" w:hanging="360"/>
      </w:pPr>
      <w:fldSimple w:instr=" seq paragraphs ">
        <w:r w:rsidR="00CE7221">
          <w:t>196</w:t>
        </w:r>
      </w:fldSimple>
      <w:r w:rsidR="00CE7221">
        <w:t>.</w:t>
      </w:r>
      <w:r w:rsidR="00CE7221">
        <w:tab/>
        <w:t xml:space="preserve"> Zgłaszanie informacji dotyczących ekspozycji wobec „sektora instytucji rządowych i samorządowych” według jurysdykcji siedziby bezpośredniego kontrahenta innej niż krajowa jurysdykcja instytucji sprawozdającej podlega progom określonym w art. 6 ust. 3 niniejszego rozporządzenia wykonawczego.</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3" w:name="_Toc367202009"/>
      <w:bookmarkStart w:id="774" w:name="_Toc473561057"/>
      <w:bookmarkStart w:id="775" w:name="_Toc119064932"/>
      <w:r>
        <w:rPr>
          <w:rFonts w:ascii="Times New Roman" w:hAnsi="Times New Roman"/>
          <w:sz w:val="24"/>
          <w:u w:val="none"/>
        </w:rPr>
        <w:t>7.2.</w:t>
      </w:r>
      <w:r>
        <w:tab/>
      </w:r>
      <w:r>
        <w:rPr>
          <w:rFonts w:ascii="Times New Roman" w:hAnsi="Times New Roman"/>
          <w:sz w:val="24"/>
        </w:rPr>
        <w:t>Zakres wzoru</w:t>
      </w:r>
      <w:bookmarkEnd w:id="773"/>
      <w:r>
        <w:rPr>
          <w:rFonts w:ascii="Times New Roman" w:hAnsi="Times New Roman"/>
          <w:sz w:val="24"/>
        </w:rPr>
        <w:t xml:space="preserve"> dotyczącego ekspozycji wobec „sektora instytucji rządowych i samorządowych”</w:t>
      </w:r>
      <w:bookmarkEnd w:id="774"/>
      <w:bookmarkEnd w:id="775"/>
    </w:p>
    <w:p w14:paraId="4ABEC63C" w14:textId="77777777" w:rsidR="00FD54FC" w:rsidRPr="002A677E" w:rsidRDefault="0043455E" w:rsidP="00487A02">
      <w:pPr>
        <w:pStyle w:val="InstructionsText2"/>
        <w:numPr>
          <w:ilvl w:val="0"/>
          <w:numId w:val="0"/>
        </w:numPr>
        <w:ind w:left="1353" w:hanging="360"/>
      </w:pPr>
      <w:fldSimple w:instr=" seq paragraphs ">
        <w:r w:rsidR="00CE7221">
          <w:t>197</w:t>
        </w:r>
      </w:fldSimple>
      <w:r w:rsidR="00CE7221">
        <w:t>.</w:t>
      </w:r>
      <w:r w:rsidR="00CE7221">
        <w:tab/>
        <w:t xml:space="preserve"> Zakres wzoru GOV obejmuje bezpośrednie ekspozycje bilansowe, pozabilansowe oraz z tytułu instrumentów pochodnych wobec „sektora instytucji rządowych i samorządowych” w portfelach bankowym i handlowym. Ponadto wymagana jest również pozycja uzupełniająca dotycząca ekspozycji pośrednich w formie kredytowych instrumentów pochodnych sprzedanych w związku z ekspozycjami wobec sektora instytucji rządowych i samorządowych.</w:t>
      </w:r>
    </w:p>
    <w:p w14:paraId="13C7BD2C" w14:textId="344D17EE" w:rsidR="00FD54FC" w:rsidRPr="002A677E" w:rsidRDefault="0043455E" w:rsidP="00487A02">
      <w:pPr>
        <w:pStyle w:val="InstructionsText2"/>
        <w:numPr>
          <w:ilvl w:val="0"/>
          <w:numId w:val="0"/>
        </w:numPr>
        <w:ind w:left="1353" w:hanging="360"/>
      </w:pPr>
      <w:fldSimple w:instr=" seq paragraphs ">
        <w:r w:rsidR="00CE7221">
          <w:t>198</w:t>
        </w:r>
      </w:fldSimple>
      <w:r w:rsidR="00CE7221">
        <w:t>.</w:t>
      </w:r>
      <w:r w:rsidR="00CE7221">
        <w:tab/>
        <w:t xml:space="preserve"> Ekspozycja jest ekspozycją bezpośrednią, jeżeli bezpośredni kontrahent jest podmiotem objętym definicją „sektora instytucji rządowych i samorządowych” przedstawioną w </w:t>
      </w:r>
      <w:r w:rsidR="00CE7221" w:rsidRPr="0043455E">
        <w:t>pkt</w:t>
      </w:r>
      <w:r w:rsidRPr="0043455E">
        <w:t> </w:t>
      </w:r>
      <w:r w:rsidR="00CE7221" w:rsidRPr="0043455E">
        <w:t>4</w:t>
      </w:r>
      <w:r w:rsidR="00CE7221">
        <w:t xml:space="preserve">2 lit. b) załącznika V do niniejszego rozporządzenia wykonawczego. </w:t>
      </w:r>
    </w:p>
    <w:p w14:paraId="70B0FE7F" w14:textId="77777777" w:rsidR="00FD54FC" w:rsidRPr="002A677E" w:rsidRDefault="0043455E" w:rsidP="00487A02">
      <w:pPr>
        <w:pStyle w:val="InstructionsText2"/>
        <w:numPr>
          <w:ilvl w:val="0"/>
          <w:numId w:val="0"/>
        </w:numPr>
        <w:ind w:left="1353" w:hanging="360"/>
      </w:pPr>
      <w:fldSimple w:instr=" seq paragraphs ">
        <w:r w:rsidR="00CE7221">
          <w:t>199</w:t>
        </w:r>
      </w:fldSimple>
      <w:r w:rsidR="00CE7221">
        <w:t>.</w:t>
      </w:r>
      <w:r w:rsidR="00CE7221">
        <w:tab/>
        <w:t xml:space="preserve"> Wzór jest podzielony na dwie sekcje. Pierwsza sekcja opiera się na podziale ekspozycji według ryzyka, podejścia regulacyjnego i kategorii ekspozycji, natomiast druga sekcja opiera się na podziale według rezydualnego termin zapadalności.</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119064933"/>
      <w:r>
        <w:rPr>
          <w:rFonts w:ascii="Times New Roman" w:hAnsi="Times New Roman"/>
          <w:sz w:val="24"/>
          <w:u w:val="none"/>
        </w:rPr>
        <w:t>7.3.</w:t>
      </w:r>
      <w:r>
        <w:tab/>
      </w:r>
      <w:r>
        <w:rPr>
          <w:rFonts w:ascii="Times New Roman" w:hAnsi="Times New Roman"/>
          <w:sz w:val="24"/>
        </w:rPr>
        <w:t>Instrukcje dotyczące poszczególnych pozycji</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Kolumny</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Instrukcje</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EKSPOZYCJE BEZPOŚREDNIE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BILANSOWE</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Całkowita wartość bilansowa brutto aktywów finansowych niebędących instrumentami pochodnymi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0DF2592D"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Zagregowana wartość bilansowa brutto, określona zgodnie z częścią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4 załącznika V do niniejszego rozporządzenia wykonawczego, aktywów finansowych niebędących instrumentami pochodnymi wobec sektora instytucji rządowych i samorządowych, dla wszystkich portfeli księgowych zgodnie z MSSF lub krajowymi ogólnie przyjętymi zasadami rachunkowości opartymi na dyrektywie Rady 86/635/EWG zdefiniowanych w części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5–22 załącznika V do niniejszego rozporządzenia wykonawczego i wymienionych w kolumnach 0030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Korekty z tytułu ostrożnej wyceny nie zmniejszają wartości bilansowej brutto ekspozycji w portfelu handlowym i portfelu bankowym wycenianych według wartości godziwej.</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Całkowita wartość bilansowa aktywów finansowych niebędących instrumentami pochodnymi (po odliczeniu pozycji krótkich)</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7D3ED7EE"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Zagregowana wartość bilansowa, określona zgodnie z częścią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7 załącznika V do niniejszego rozporządzenia wykonawczego, aktywów finansowych niebędących instrumentami pochodnymi wobec sektora instytucji rządowych i samorządowych, dla wszystkich portfeli księgowych zgodnie z MSSF lub krajowymi ogólnie przyjętymi zasadami rachunkowości opartymi na dyrektywie Rady 86/635/EWG zdefiniowanych w części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5–22 załącznika V do niniejszego rozporządzenia wykonawczego i wymienionych w kolumnach 0030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120, po odliczeniu pozycji krótkich.</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Jeżeli instytucja posiada pozycję krótką dla tego samego rezydualnego terminu zapadalności i względem tego samego bezpośredniego kontrahenta, która to pozycja jest denominowana w tej samej walucie, wartość bilansową pozycji krótkiej kompensuje się z wartością bilansową pozycji bezpośredniej. Jeżeli otrzymana w ten sposób kwota netto jest kwotą ujemną, przypisuje się jej wartość zero. Jeżeli instytucja posiada pozycję krótką bez odpowiadającej jej pozycji bezpośredniej, na potrzeby tej kolumny przyjmuje się, że kwota tej pozycji krótkiej jest równa zero.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WEDŁUG PORTFELI KSIĘGOWYCH</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Zagregowana wartość bilansowa aktywów finansowych niebędących instrumentami pochodnymi, zgodnie z definicją zawartą w wierszu powyżej niniejszej tabeli, wobec sektora instytucji rządowych i samorządowych, w podziale na portfele księgowe zgodnie z mającymi zastosowanie standardami rachunkowości.</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Aktywa finansowe przeznaczone do obrotu</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69DC727E" w:rsidR="00FD54FC" w:rsidRPr="002A677E" w:rsidRDefault="001C79CB" w:rsidP="00FD54FC">
            <w:pPr>
              <w:spacing w:before="0" w:after="0"/>
              <w:ind w:left="33"/>
              <w:rPr>
                <w:rFonts w:ascii="Times New Roman" w:hAnsi="Times New Roman"/>
                <w:bCs/>
                <w:sz w:val="24"/>
              </w:rPr>
            </w:pPr>
            <w:r>
              <w:rPr>
                <w:rFonts w:ascii="Times New Roman" w:hAnsi="Times New Roman"/>
                <w:sz w:val="24"/>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ppkt (ii); MSSF 9 załącznik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z przeznaczeniem do obrotu</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F07CDAC" w:rsidR="00FD54FC" w:rsidRPr="002A677E" w:rsidRDefault="00245E37" w:rsidP="00FD54FC">
            <w:pPr>
              <w:spacing w:before="0" w:after="0"/>
              <w:ind w:left="33"/>
              <w:rPr>
                <w:rFonts w:ascii="Times New Roman" w:hAnsi="Times New Roman"/>
                <w:bCs/>
                <w:sz w:val="24"/>
              </w:rPr>
            </w:pPr>
            <w:r>
              <w:rPr>
                <w:rFonts w:ascii="Times New Roman" w:hAnsi="Times New Roman"/>
                <w:sz w:val="24"/>
              </w:rPr>
              <w:t xml:space="preserve">Art. 32 i 33 dyrektywy Rady 86/635/EWG; część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6 załącznika V do niniejszego rozporządzenia wykonawczego;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dyrektywy 2013/34/UE</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Podlegają zgłoszeniu przez instytucje tylko zgodnie z krajowymi ogólnie przyjętymi zasadami rachunkowości.</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836936"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nieprzeznaczone do obrotu wyceniane obowiązkowo według wartości godziwej przez wynik finansowy</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4B037806" w:rsidR="00FD54FC" w:rsidRPr="00836936" w:rsidRDefault="00FD54FC" w:rsidP="00FD54FC">
            <w:pPr>
              <w:spacing w:before="0" w:after="0"/>
              <w:ind w:left="33"/>
              <w:rPr>
                <w:rFonts w:ascii="Times New Roman" w:hAnsi="Times New Roman"/>
                <w:bCs/>
                <w:sz w:val="24"/>
                <w:lang w:val="en-US"/>
              </w:rPr>
            </w:pPr>
            <w:r w:rsidRPr="00836936">
              <w:rPr>
                <w:rFonts w:ascii="Times New Roman" w:hAnsi="Times New Roman"/>
                <w:sz w:val="24"/>
                <w:lang w:val="en-US"/>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sidRPr="00836936">
              <w:rPr>
                <w:rFonts w:ascii="Times New Roman" w:hAnsi="Times New Roman"/>
                <w:sz w:val="24"/>
                <w:lang w:val="en-US"/>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sidRPr="00836936">
              <w:rPr>
                <w:rFonts w:ascii="Times New Roman" w:hAnsi="Times New Roman"/>
                <w:sz w:val="24"/>
                <w:lang w:val="en-US"/>
              </w:rPr>
              <w:t xml:space="preserve"> ppkt (ii);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sidRPr="00836936">
              <w:rPr>
                <w:rFonts w:ascii="Times New Roman" w:hAnsi="Times New Roman"/>
                <w:sz w:val="24"/>
                <w:lang w:val="en-US"/>
              </w:rPr>
              <w:t>.1.4</w:t>
            </w:r>
          </w:p>
          <w:p w14:paraId="32109D70" w14:textId="77777777" w:rsidR="00FD54FC" w:rsidRPr="00836936" w:rsidRDefault="00FD54FC" w:rsidP="00FD54FC">
            <w:pPr>
              <w:spacing w:before="0" w:after="0"/>
              <w:ind w:left="33"/>
              <w:rPr>
                <w:rFonts w:ascii="Times New Roman" w:hAnsi="Times New Roman"/>
                <w:bCs/>
                <w:sz w:val="24"/>
                <w:lang w:val="en-US"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wyceniane według wartości godziwej przez wynik finansowy</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5109260B"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ppkt (i);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.1.5,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dyrektywy 2013/34/UE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obrotu wyceniane według wartości godziwej przez wynik finansowy</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5C26F6AC" w:rsidR="00FD54FC" w:rsidRPr="002A677E" w:rsidRDefault="002F78EA" w:rsidP="00FD54FC">
            <w:pPr>
              <w:spacing w:before="0" w:after="0"/>
              <w:ind w:left="33"/>
              <w:rPr>
                <w:rFonts w:ascii="Times New Roman" w:hAnsi="Times New Roman"/>
                <w:bCs/>
                <w:sz w:val="24"/>
              </w:rPr>
            </w:pPr>
            <w:r>
              <w:rPr>
                <w:rFonts w:ascii="Times New Roman" w:hAnsi="Times New Roman"/>
                <w:sz w:val="24"/>
              </w:rPr>
              <w:t xml:space="preserve">Art. 36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dyrektywy Rady 86/635/EWG;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dyrektywy 2013/34/UE</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 z krajowymi ogólnie przyjętymi zasadami rachunkowości.</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836936"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wyceniane według wartości godziwej przez inne całkowite dochody</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6DFF2BE" w:rsidR="00FD54FC" w:rsidRPr="00836936" w:rsidRDefault="00FD54FC" w:rsidP="00FD54FC">
            <w:pPr>
              <w:spacing w:before="0" w:after="0"/>
              <w:ind w:left="33"/>
              <w:rPr>
                <w:rFonts w:ascii="Times New Roman" w:hAnsi="Times New Roman"/>
                <w:bCs/>
                <w:sz w:val="24"/>
                <w:lang w:val="en-US"/>
              </w:rPr>
            </w:pPr>
            <w:r w:rsidRPr="00836936">
              <w:rPr>
                <w:rFonts w:ascii="Times New Roman" w:hAnsi="Times New Roman"/>
                <w:sz w:val="24"/>
                <w:lang w:val="en-US"/>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sidRPr="00836936">
              <w:rPr>
                <w:rFonts w:ascii="Times New Roman" w:hAnsi="Times New Roman"/>
                <w:sz w:val="24"/>
                <w:lang w:val="en-US"/>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sidRPr="00836936">
              <w:rPr>
                <w:rFonts w:ascii="Times New Roman" w:hAnsi="Times New Roman"/>
                <w:sz w:val="24"/>
                <w:lang w:val="en-US"/>
              </w:rPr>
              <w:t xml:space="preserve">;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sidRPr="00836936">
              <w:rPr>
                <w:rFonts w:ascii="Times New Roman" w:hAnsi="Times New Roman"/>
                <w:sz w:val="24"/>
                <w:lang w:val="en-US"/>
              </w:rPr>
              <w:t>.1.2A</w:t>
            </w:r>
          </w:p>
          <w:p w14:paraId="2F412666" w14:textId="77777777" w:rsidR="00FD54FC" w:rsidRPr="00836936" w:rsidRDefault="00FD54FC" w:rsidP="00FD54FC">
            <w:pPr>
              <w:spacing w:before="0" w:after="0"/>
              <w:ind w:left="33"/>
              <w:rPr>
                <w:rFonts w:ascii="Times New Roman" w:hAnsi="Times New Roman"/>
                <w:b/>
                <w:bCs/>
                <w:sz w:val="24"/>
                <w:lang w:val="en-US"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obrotu wyceniane według wartości godziwej ustalanej metodą praw własności</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0A7B986C" w:rsidR="00FD54FC" w:rsidRPr="002A677E" w:rsidRDefault="00EC38B2" w:rsidP="00FD54FC">
            <w:pPr>
              <w:spacing w:before="0" w:after="0"/>
              <w:ind w:left="33"/>
              <w:rPr>
                <w:rFonts w:ascii="Times New Roman" w:hAnsi="Times New Roman"/>
                <w:bCs/>
                <w:sz w:val="24"/>
              </w:rPr>
            </w:pPr>
            <w:r>
              <w:rPr>
                <w:rFonts w:ascii="Times New Roman" w:hAnsi="Times New Roman"/>
                <w:sz w:val="24"/>
              </w:rPr>
              <w:t xml:space="preserve">Art. 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dyrektywy 2013/34/UE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 z krajowymi ogólnie przyjętymi zasadami rachunkowości.</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wyceniane według kosztu zamortyzowanego</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14F1A5E2"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MSSF 7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f)</w:t>
            </w:r>
            <w:r>
              <w:rPr>
                <w:rFonts w:ascii="Times New Roman" w:hAnsi="Times New Roman"/>
                <w:sz w:val="24"/>
              </w:rPr>
              <w:t xml:space="preserve">;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.1.2; część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5 załącznika V do niniejszego rozporządzenia wykonawczego;</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obrotu wyceniane metodą ceny nabycia</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74261480" w:rsidR="00FD54FC" w:rsidRPr="002A677E" w:rsidRDefault="002F78EA" w:rsidP="00FD54FC">
            <w:pPr>
              <w:spacing w:before="0" w:after="0"/>
              <w:ind w:left="33"/>
              <w:rPr>
                <w:rFonts w:ascii="Times New Roman" w:hAnsi="Times New Roman"/>
                <w:bCs/>
                <w:sz w:val="24"/>
              </w:rPr>
            </w:pP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5 dyrektywy Rady 86/635/EWG;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i)</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dyrektywy 2013/34/UE; część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6 załącznika V do niniejszego rozporządzenia wykonawczego;</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 z krajowymi ogólnie przyjętymi zasadami rachunkowości.</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Inne aktywa finansowe niebędące instrumentami pochodnymi nieprzeznaczone do obrotu</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1D109C25" w:rsidR="00FD54FC" w:rsidRPr="002A677E" w:rsidRDefault="002B004B" w:rsidP="00FD54FC">
            <w:pPr>
              <w:spacing w:before="0" w:after="0"/>
              <w:ind w:left="33"/>
              <w:rPr>
                <w:rFonts w:ascii="Times New Roman" w:hAnsi="Times New Roman"/>
                <w:bCs/>
                <w:sz w:val="24"/>
              </w:rPr>
            </w:pP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7 dyrektywy Rady 86/635/EWG;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7</w:t>
            </w:r>
            <w:r>
              <w:rPr>
                <w:rFonts w:ascii="Times New Roman" w:hAnsi="Times New Roman"/>
                <w:sz w:val="24"/>
              </w:rPr>
              <w:t xml:space="preserve"> dyrektywy 2013/34/UE; część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6 załącznika V do niniejszego rozporządzenia wykonawczego;</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Podlegają zgłoszeniu przez instytucje tylko zgodnie z krajowymi ogólnie przyjętymi zasadami rachunkowości.</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Pozycje krótkie</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22C4824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Wartość bilansowa pozycji krótkich zgodnie z definicją w MSSF 9 pkt BA.7 lit. b), jeżeli bezpośredni kontrahent należy do sektora instytucji rządowych i samorządowych zgodnie z definicją w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55–160 niniejszego załącznika.</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Pozycje krótkie powstają, jeżeli instytucja sprzedaje papiery wartościowe nabyte w ramach transakcji kredytu z otrzymanym przyrzeczeniem odkupu lub pożyczone w ramach transakcji udzielenia pożyczki papierów wartościowych.</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Wartością bilansową jest wartość godziwa pozycji krótkich.</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69B1A0F"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Pozycje krótkie zgłasza się według przedziału rezydualnego terminu zapadalności, określonego w wierszach 0170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230, oraz według bezpośredniego kontrahenta.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Pozycje krótkie zgłaszane w tej kolumnie mogą być kompensowane z pozycjami o takim samym rezydualnym terminie zapadalności, których stroną jest ten sam bezpośredni kontrahent i które denominowane są w takiej samej walucie, jak zgłoszono w kolumnach 0030–0120, aby uzyskać pozycję netto zgłoszoną w kolumnie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W tym: pozycje krótkie z tytułu kredytów z otrzymanym przyrzeczeniem odkupu zaklasyfikowanych jako aktywa finansowe przeznaczone do obrotu lub aktywa finansowe z przeznaczeniem do obrotu</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3962583E"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Wartość bilansowa pozycji krótkich zgodnie z definicją w MSSF 9 pkt BA.7 lit. b), które powstają, gdy instytucja sprzedaje papiery wartościowe nabyte w ramach transakcji kredytu z otrzymanym przyrzeczeniem odkupu, a bezpośrednim kontrahentem tych papierów wartościowych jest sektor instytucji rządowych i samorządowych, i które są ujęte w portfelach księgowych aktywów finansowych przeznaczonych do obrotu lub aktywów finansowych z przeznaczeniem do obrotu (kolumny 0030 </w:t>
            </w:r>
            <w:r w:rsidRPr="0043455E">
              <w:rPr>
                <w:rFonts w:ascii="Times New Roman" w:hAnsi="Times New Roman"/>
                <w:sz w:val="24"/>
              </w:rPr>
              <w:t>lub</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 kolumnie tej nie uwzględnia się pozycji krótkich, które powstają, gdy sprzedane papiery wartościowe zostały pożyczone w ramach transakcji udzielenia pożyczki papierów wartościowych.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Skumulowana utrata wartości</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6F55D9E9"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Zagregowana skumulowana utrata wartości związana z aktywami finansowymi niebędącymi instrumentami pochodnymi zgłoszonymi w kolumnach 0080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120 (część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7</w:t>
            </w:r>
            <w:r>
              <w:rPr>
                <w:rFonts w:ascii="Times New Roman" w:hAnsi="Times New Roman"/>
                <w:sz w:val="24"/>
              </w:rPr>
              <w:t>0 i 71 załącznika V do niniejszego rozporządzenia wykonawczego)</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Skumulowana utrata wartości – w tym: z tytułu aktywów finansowych wycenianych według wartości godziwej przez inne całkowite dochody lub aktywów finansowych niebędących instrumentami pochodnymi nieprzeznaczonych do obrotu wycenianych według wartości godziwej przez kapitały</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Zagregowana skumulowana utrata wartości związana z aktywami finansowymi niebędącymi instrumentami pochodnymi zgłoszonymi w kolumnach 0080 i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Skumulowane ujemne zmiany wartości godziwej z powodu ryzyka kredytowego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4B1BB782" w:rsidR="00FD54FC" w:rsidRPr="002A677E" w:rsidRDefault="00FD54FC" w:rsidP="00E863C1">
            <w:pPr>
              <w:spacing w:before="0" w:after="0"/>
              <w:ind w:left="33"/>
              <w:rPr>
                <w:rFonts w:ascii="Times New Roman" w:hAnsi="Times New Roman"/>
                <w:bCs/>
                <w:sz w:val="24"/>
              </w:rPr>
            </w:pPr>
            <w:r>
              <w:rPr>
                <w:rFonts w:ascii="Times New Roman" w:hAnsi="Times New Roman"/>
                <w:sz w:val="24"/>
              </w:rPr>
              <w:t xml:space="preserve">Suma skumulowanych ujemnych zmian wartości godziwej z powodu ryzyka kredytowego związanych z pozycjami zgłoszonymi w kolumnach 0050, 0060, 0070, 0080 i 0090 (część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9 załącznika V do niniejszego rozporządzenia wykonawczego).</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 z powodu ryzyka kredytowego – w tym: z tytułu aktywów finansowych nieprzeznaczonych do obrotu wycenianych obowiązkowo według wartości godziwej przez wynik finansowy, aktywów finansowych wyznaczonych jako wyceniane według wartości godziwej przez wynik finansowy lub aktywów finansowych nieprzeznaczonych do obrotu wycenianych według wartości godziwej przez wynik finansowy</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Suma skumulowanych ujemnych zmian wartości godziwej z powodu ryzyka kredytowego związanych z pozycjami zgłoszonymi w kolumnach 0050, 0060 i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 z powodu ryzyka kredytowego – w tym: z tytułu aktywów finansowych wycenianych według wartości godziwej przez inne całkowite dochody lub aktywów finansowych niebędących instrumentami pochodnymi nieprzeznaczonych do obrotu wycenianych według wartości godziwej przez kapitały</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Suma skumulowanych ujemnych zmian wartości godziwej z powodu ryzyka kredytowego związanych z pozycjami zgłoszonymi w kolumnach 0080 i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3CE1EFF9"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Bezpośrednie pozycje w instrumentach pochodnych zgłasza się w kolumnach 0200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W odniesieniu do zgłaszania instrumentów pochodnych podlegających zarówno ryzyku kredytowemu kontrahenta, jak i narzutom kapitałowym z tytułu ryzyka rynkowego – zob. instrukcje dotyczące podziału wierszy.</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 o dodatniej wartości godziwej</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Wszystkie instrumenty pochodne z kontrahentem należącym do sektora instytucji rządowych i samorządowych o dodatniej wartości godziwej dla instytucji w dniu sprawozdawczym, niezależnie od tego, czy instrumenty te są wykorzystywane w ramach kwalifikującego się powiązania zabezpieczającego, są przeznaczone do obrotu lub są ujęte w portfelu handlowym zgodnie z MSSF lub krajowymi ogólnie przyjętymi zasadami rachunkowości opartymi na dyrektywie Rady 86/635/EWG.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0511B96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Instrumenty pochodne wykorzystywane w ramach zabezpieczenia ekonomicznego zgłasza się w tej pozycji, jeżeli są one ujęte w portfelach księgowych obejmujących pozycje przeznaczone do obrotu lub pozycje z przeznaczeniem do obrotu (część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20, 124, 125 oraz 137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40 załącznika V do niniejszego rozporządzenia wykonawczego).</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Instrumenty pochodne o dodatniej wartości godziwej: Wartość bilansowa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Wartość bilansowa instrumentów pochodnych ujętych jako aktywa finansowe na sprawozdawczy dzień odniesienia.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Zgodnie z krajowymi ogólnie przyjętymi zasadami rachunkowości opartymi na dyrektywie Rady 86/635/EWG, instrumenty pochodne, które należy zgłosić w tych kolumnach, obejmują instrumenty pochodne wyceniane według ceny nabycia lub według niższej z dwóch wartości: ceny nabycia lub wartości rynkowej, ujęte w portfelu handlowym lub wyznaczone jako instrumenty zabezpieczające.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 o dodatniej wartości godziwej: Wartość nominalna</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1275902B"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Zgodnie z MSSF i krajowymi ogólnie przyjętymi zasadami rachunkowości opartymi na dyrektywie Rady 86/635/EWG, wartość nominalna, zgodnie z definicją w części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33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35 załącznika V do niniejszego rozporządzenia wykonawczego, wszystkich instrumentów pochodnych nierozliczonych jeszcze na sprawozdawczy dzień odniesienia, których kontrahentem jest sektor instytucji rządowych i samorządowych, zgodnie z definicją w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91–196 niniejszego załącznika, a ich wartość godziwa instrumentu pochodnego jest dodatnia dla instytucji na sprawozdawczy dzień odniesienia.</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 o ujemnej wartości godziwej</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Wszystkie instrumenty pochodne z kontrahentem należącym do sektora instytucji rządowych i samorządowych o ujemnej wartości godziwej dla instytucji w sprawozdawczym dniu odniesienia, niezależnie od tego, czy instrumenty te są wykorzystywane w ramach kwalifikującego się powiązania zabezpieczającego lub są przeznaczone do obrotu lub są ujęte w portfelu handlowym zgodnie z MSSF lub krajowymi ogólnie przyjętymi zasadami rachunkowości opartymi na dyrektywie Rady 86/635/EWG.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29BF9873"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Instrumenty pochodne wykorzystywane w ramach zabezpieczenia ekonomicznego zgłasza się w tej pozycji, jeżeli są one ujęte w portfelach księgowych obejmujących pozycje przeznaczone do obrotu lub pozycje z przeznaczeniem do obrotu (część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20, 124, 125 oraz 137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40 załącznika V do niniejszego rozporządzenia wykonawczego).</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Instrumenty pochodne o ujemnej wartości godziwej: Wartość bilansowa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Wartość bilansowa instrumentów pochodnych ujętych jako zobowiązania finansowe na sprawozdawczy dzień odniesienia.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Zgodnie z krajowymi ogólnie przyjętymi zasadami rachunkowości opartymi na dyrektywie Rady 86/635/EWG, instrumenty pochodne, które należy zgłosić w tych kolum</w:t>
            </w:r>
            <w:r>
              <w:rPr>
                <w:rFonts w:ascii="Times New Roman" w:hAnsi="Times New Roman"/>
                <w:sz w:val="24"/>
              </w:rPr>
              <w:lastRenderedPageBreak/>
              <w:t xml:space="preserve">nach, obejmują instrumenty pochodne wyceniane według ceny nabycia lub według niższej z dwóch wartości: ceny nabycia lub wartości rynkowej, ujęte w portfelu handlowym lub wyznaczone jako instrumenty zabezpieczające.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Instrumenty pochodne o ujemnej wartości godziwej: Wartość nominalna</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14F050C9"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Zgodnie z MSSF i krajowymi ogólnie przyjętymi zasadami rachunkowości opartymi na dyrektywie Rady 86/635/EWG, wartość nominalna, zgodnie z definicją w części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33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35 załącznika V do niniejszego rozporządzenia wykonawczego, wszystkich instrumentów pochodnych nierozliczonych jeszcze na dzień odniesienia, których kontrahentem jest sektor instytucji rządowych i samorządowych, zgodnie z definicją w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91–196 niniejszego załącznika, a ich wartość godziwa instrumentu pochodnego jest ujemna dla instytucji na sprawozdawczy dzień odniesienia.</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POZABILANSOWE</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Wartość nominalna</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358DA1C2"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Jeżeli bezpośrednim kontrahentem pozycji pozabilansowej jest sektor instytucji rządowych i samorządowych zgodnie z definicją w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55–160 niniejszego załącznika – wartość nominalna zobowiązań i gwarancji finansowych, które nie są uznawane za instrumenty pochodne zgodnie z MSSF lub krajowymi ogólnie przyjętymi zasadami rachunkowości opartymi na dyrektywie Rady 86/635/EWG (część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02–119 załącznika V do niniejszego rozporządzenia wykonawczego).</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6E40D086"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Zgodnie z częścią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3 i 44 załącznika V do niniejszego rozporządzenia wykonawczego sektor instytucji rządowych i samorządowych jest bezpośrednim kontrahentem: a) w ramach udzielonej gwarancji finansowej, jeżeli jest bezpośrednim kontrahentem gwarantowanego instrumentu dłużnego, oraz b) w ramach udzielonego zobowiązania do udzielenia pożyczki i innego udzielonego zobowiązania, jeżeli jest kontrahentem, którego ryzyko kredytowe przejmuje instytucja sprawozdająca.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Rezerwy</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5A7E276F" w:rsidR="00FD54FC" w:rsidRPr="002A677E" w:rsidRDefault="002F78EA" w:rsidP="00FD54FC">
            <w:pPr>
              <w:spacing w:before="0" w:after="0"/>
              <w:ind w:left="33"/>
              <w:rPr>
                <w:rFonts w:ascii="Times New Roman" w:hAnsi="Times New Roman"/>
                <w:bCs/>
                <w:sz w:val="24"/>
              </w:rPr>
            </w:pPr>
            <w:r>
              <w:rPr>
                <w:rFonts w:ascii="Times New Roman" w:hAnsi="Times New Roman"/>
                <w:sz w:val="24"/>
              </w:rPr>
              <w:t xml:space="preserve">„Zobowiązania” określone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oraz „pozycje pozabilansowe” określone w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7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1,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8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3 dyrektywy Rady 86/635/EWG;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.2.1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c)</w:t>
            </w:r>
            <w:r>
              <w:rPr>
                <w:rFonts w:ascii="Times New Roman" w:hAnsi="Times New Roman"/>
                <w:sz w:val="24"/>
              </w:rPr>
              <w:t xml:space="preserve"> ppkt (ii),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d)</w:t>
            </w:r>
            <w:r>
              <w:rPr>
                <w:rFonts w:ascii="Times New Roman" w:hAnsi="Times New Roman"/>
                <w:sz w:val="24"/>
              </w:rPr>
              <w:t xml:space="preserve"> ppkt (ii), MSSF 9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.5.20; MSR 37, MSSF 4, część 2.11 załącznika V do niniejszego rozporządzenia wykonawczego.</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Rezerwy z tytułu wszystkich ekspozycji pozabilansowych bez względu na sposób ich wyceny, z wyjątkiem ekspozycji wycenianych według wartości godziwej przez wynik finansowy zgodnie z MSSF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Zgodnie z MSSF utratę wartości udzielonego zobowiązania do udzielenia pożyczki zgłasza się w kolumnie 150, w przypadku gdy instytucja nie jest w stanie odrębnie określić oczekiwanych strat kredytowych związanych z wykorzystaną i niewykorzystaną kwotą instrumentu dłużnego. W przypadku gdy połączone oczekiwane straty kredytowe dla tego instrumentu finansowego przekraczają wartość bilansową brutto elementu pożyczki w ramach tego instrumentu, pozostałe saldo oczekiwanych strat kredytowych zgłasza się jako rezerwę w kolumnie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Skumulowane ujemne zmiany wartości godziwej z powodu ryzyka kredytowego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1EC0BFA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 przypadku pozycji pozabilansowych wycenianych według wartości godziwej przez wynik finansowy zgodnie z MSSF 9 – skumulowane ujemne zmiany wartości godziwej z powodu ryzyka kredytowego (część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10 załącznika V do niniejszego rozporządzenia wykonawczego).</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Pozycja uzupełniająca: kredytowe instrumenty pochodne sprzedane w związku z ekspozycjami wobec sektora instytucji rządowych i samorządowych</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0B225C6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Należy zgłosić kredytowe instrumenty pochodne, które nie spełniają definicji gwarancji finansowych określonych w załączniku V część 2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8, których instytucja sprawozdająca udzieliła kontrahentom innym niż sektor instytucji rządowych i samorządowych i których ekspozycją referencyjną jest sektor instytucji rządowych i samorządowych.</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5FF548E6"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Kolumn tych nie zgłasza się dla ekspozycji w podziale według ryzyka, podejścia regulacyjnego i kategorii ekspozycji (wiersze 0020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 o dodatniej wartości godziwej – wartość bilansowa</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Zagregowana wartość bilansowa kredytowych instrumentów pochodnych sprzedanych w związku ze zgłoszonymi ekspozycjami wobec sektora instytucji rządowych i samorządowych, których wartość godziwa jest dodatnia dla instytucji na sprawozdawczy dzień odniesienia, bez uwzględniania korekt z tytułu ostrożnej wyceny.</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W przypadku instrumentów pochodnych zgodnie z MSSF kwota, którą należy zgłosić w tej kolumnie, jest wartością bilansową instrumentów pochodnych będących aktywami finansowymi na dzień sprawozdawczy.</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W przypadku instrumentów pochodnych zgodnie z krajowymi ogólnie przyjętymi zasadami rachunkowości opartymi na dyrektywie Rady 86/635/EWG kwota, którą należy zgłosić w tej kolumnie, jest wartością godziwą instrumentów pochodnych o dodatniej wartości godziwej na sprawozdawczy dzień odniesienia, bez względu na sposób ich ujęcia.</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Instrumenty pochodne o ujemnej wartości godziwej – wartość bilansowa</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Zagregowana wartość bilansowa kredytowych instrumentów pochodnych sprzedanych w związku ze zgłoszonymi ekspozycjami wobec sektora instytucji rządowych i samorządowych, których wartość godziwa jest ujemna dla instytucji na sprawozdawczy dzień odniesienia, bez uwzględniania korekt z tytułu ostrożnej wyceny.</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W przypadku instrumentów pochodnych zgodnie z MSSF kwota, którą należy zgłosić w tej kolumnie, jest wartością bilansową instrumentów pochodnych będących zobowiązaniami finansowymi na dzień sprawozdawczy.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 xml:space="preserve">W przypadku instrumentów pochodnych zgodnie z krajowymi ogólnie przyjętymi zasadami rachunkowości opartymi na dyrektywie Rady 86/635/EWG kwota, którą należy zgłosić w tej kolumnie, jest wartością godziwą instrumentów pochodnych o ujemnej </w:t>
            </w:r>
            <w:r>
              <w:rPr>
                <w:rFonts w:ascii="Times New Roman" w:hAnsi="Times New Roman"/>
                <w:sz w:val="24"/>
              </w:rPr>
              <w:lastRenderedPageBreak/>
              <w:t>wartości godziwej na sprawozdawczy dzień odniesienia, bez względu na sposób ich ujęcia.</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Wartość ekspozycji</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Wartość ekspozycji dla ekspozycji podlegających ramom ryzyka kredytowego.</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381F078B"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Dla ekspozycji w ramach metody standardowej: zob. art. 111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ekspozycji w ramach metody IRB: zob. art. 166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30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zdanie drugie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W odniesieniu do zgłaszania instrumentów pochodnych podlegających zarówno ryzyku kredytowemu kontrahenta, jak i narzutom kapitałowym z tytułu ryzyka rynkowego – zob. instrukcje dotyczące podziału wierszy.</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Ekspozycji zgłoszonych w kolumnach 0270 i 0280 nie bierze się pod uwagę na potrzeby przedmiotowej kolumny, ponieważ wartość podaną w przedmiotowej kolumnie ustala się wyłącznie w oparciu o ekspozycje bezpośrednie.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Kwota ekspozycji ważonej ryzykiem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Kwota ekspozycji ważonej ryzykiem dla ekspozycji podlegających ramom ryzyka kredytowego.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5E552044"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Dla ekspozycji w ramach metody standardowej: zob. art. 113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Dla ekspozycji w ramach metody IRB: zob. art. 153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i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2A71E5A4"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Do celów zgłaszania ekspozycji bezpośrednich objętych zakresem art. 271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 podlegających wymogom w zakresie funduszy własnych z tytułu zarówno ryzyka kredytowego kontrahenta, jak i ryzyka rynkowego – zob. instrukcje dotyczące podziału wierszy.</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Ekspozycje zgłoszone w kolumnach 0270 i 0280 nie są brane pod uwagę na potrzeby przedmiotowej kolumny, ponieważ wartość podaną w przedmiotowej kolumnie ustala się wyłącznie w oparciu o ekspozycje bezpośrednie.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Wiersze</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Instrukcje</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PODZIAŁ EKSPOZYCJI WEDŁUG PODEJŚCIA REGULACYJNEGO</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całkowite</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664E57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Suma ekspozycji wobec sektora instytucji rządowych i samorządowych, zgodnie z definicją w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91–196 niniejszego załącznika.</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Ekspozycje podlegające ryzyku kredytowemu</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4576FE3"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Suma ekspozycji wobec sektora instytucji rządowych i samorządowych, która jest ważona ryzykiem zgodnie z częścią trzecią tytuł 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Eks</w:t>
            </w:r>
            <w:r>
              <w:rPr>
                <w:rFonts w:ascii="Times New Roman" w:hAnsi="Times New Roman"/>
                <w:sz w:val="24"/>
              </w:rPr>
              <w:lastRenderedPageBreak/>
              <w:t xml:space="preserve">pozycje podlegające ramom ryzyka kredytowego obejmują ekspozycje zarówno z portfela bankowego, jak i z portfela handlowego podlegające narzutowi kapitałowemu z tytułu ryzyka kredytowego kontrahenta.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75115AB6"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Ekspozycje bezpośrednie objęte zakresem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71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które podlegają wymogom w zakresie funduszy własnych z tytułu zarówno ryzyka kredytowego kontrahenta, jak i ryzyka rynkowego, zgłasza się zarówno w wierszach dotyczących ryzyka kredytowego (0020–0155), jak i w wierszu dotyczącym ryzyka rynkowego (0160): ekspozycje z tytułu ryzyka kredytowego kontrahenta zgłasza się w wierszach dotyczących ryzyka kredytowego, a ekspozycje z tytułu ryzyka rynkowego zgłasza się w wierszu dotyczącym ryzyka rynkowego.</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Metoda standardowa</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5005980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sektora instytucji rządowych i samorządowych, które są ważone ryzykiem zgodnie z częścią trzecią tytuł II rozdział 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tym ekspozycje z portfela bankowego, w przypadku których ważenie ryzykiem zgodnie z tym rozdziałem uwzględnia ryzyko kredytowe kontrahenta.</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rządów centralnych</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3D1335E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rządami centralnymi. Ekspozycje te są przypisywane do kategorii ekspozycji „ekspozycje wobec rządów centralnych lub banków centralnych” zgodnie z art. 112 i 114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jak określono w instrukcjach dla wzoru C 07.00,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samorządów regionalnych lub władz lokalnych</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42D24023"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samorządami regionalnymi lub władzami lokalnymi. Ekspozycje te są przypisywane do kategorii ekspozycji „ekspozycje wobec samorządów regionalnych lub władz lokalnych” zgodnie z art. 112 i 115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jak określono w instrukcjach dla wzoru C 07.00,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podmiotów sektora publicznego</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0EB0673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podmiotami sektora publicznego. Ekspozycje te są przypisywane do kategorii ekspozycji „ekspozycje wobec podmiotów sektora publicznego” zgodnie z art. 112 i 116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jak określono w instrukcjach dla wzoru C 07.00, z wyjątkiem instrukcji dotyczących przeniesienia ekspozycji wobec sektora instytucji rządowych i samorządowych do innych kategorii ekspozycji wskutek stosowania technik ograniczania ryzyka </w:t>
            </w:r>
            <w:r>
              <w:rPr>
                <w:rFonts w:ascii="Times New Roman" w:hAnsi="Times New Roman"/>
                <w:sz w:val="24"/>
              </w:rPr>
              <w:lastRenderedPageBreak/>
              <w:t>kredytowego z uwzględnieniem efektów substytucyjnych w odniesieniu do ekspozycji, które to instrukcje nie mają zastosowania.</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organizacji międzynarodowych</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5A79A3E7" w:rsidR="00FD54FC" w:rsidRPr="002A677E" w:rsidRDefault="00530BA1"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organizacjami międzynarodowymi. Ekspozycje te są przypisywane do kategorii ekspozycji „ekspozycje wobec organizacji międzynarodowych” zgodnie z art. 112 i 118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jak określono w instrukcjach dla wzoru C 07.00,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Inne ekspozycje wobec sektora instytucji rządowych i samorządowych objęte metodą standardową</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7C48CA5E" w:rsidR="00CE47AF" w:rsidRPr="002A677E" w:rsidRDefault="00530BA1" w:rsidP="00FD54FC">
            <w:pPr>
              <w:spacing w:before="0" w:after="0"/>
              <w:ind w:left="33"/>
              <w:rPr>
                <w:rFonts w:ascii="Times New Roman" w:hAnsi="Times New Roman"/>
                <w:bCs/>
                <w:sz w:val="24"/>
              </w:rPr>
            </w:pPr>
            <w:r>
              <w:rPr>
                <w:rFonts w:ascii="Times New Roman" w:hAnsi="Times New Roman"/>
                <w:sz w:val="24"/>
              </w:rPr>
              <w:t xml:space="preserve">Ekspozycje wobec sektora instytucji rządowych i samorządowych inne niż uwzględnione w wierszach 0040–0070 powyżej, które przypisano do klasy ekspozycji według metody standardowej zgodnie z art. 112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do celów obliczania wymogów w zakresie funduszy własnych.</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Metoda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00D16E3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sektora instytucji rządowych i samorządowych, które są ważone ryzykiem zgodnie z częścią trzecią tytuł II rozdział 3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 tym ekspozycje z portfela bankowego, w przypadku których ważenie ryzykiem zgodnie z tym rozdziałem uwzględnia ryzyko kredytowe kontrahenta.</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rządów centralnych</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546F831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rządami centralnymi, przypisywane do kategorii ekspozycji „ekspozycje wobec rządów centralnych i banków centralnych” zgodnie z art. 147 ust. 3 lit. 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samorządów regionalnych lub władz lokalnych [ekspozycje wobec rządów centralnych i banków centralnych]</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2EA82D43"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samorządami regionalnymi lub władzami lokalnymi, przypisywane do kategorii ekspozycji „ekspozycje wobec rządów centralnych i banków centralnych” zgodnie z art. 147 ust. 3 lit. 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jak określono w instrukcjach dla wzoru C 08.01 i C 08.02, z wyjątkiem instrukcji dotyczących przeniesienia ekspozycji wobec sektora instytucji rządowych i samorządowych do innych kategorii ekspozycji wskutek stosowania technik </w:t>
            </w:r>
            <w:r>
              <w:rPr>
                <w:rFonts w:ascii="Times New Roman" w:hAnsi="Times New Roman"/>
                <w:sz w:val="24"/>
              </w:rPr>
              <w:lastRenderedPageBreak/>
              <w:t>ograniczania ryzyka kredytowego z uwzględnieniem efektów substytucyjnych w odniesieniu do ekspozycji, które to instrukcje nie mają zastosowania.</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samorządów regionalnych lub władz lokalnych [ekspozycje wobec instytucji]</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36E29AFD"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samorządami regionalnymi lub władzami lokalnymi, przypisywane do kategorii ekspozycji „ekspozycje wobec instytucji” zgodnie z art. 147 ust. 4 lit. a)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podmiotów sektora publicznego [ekspozycje wobec rządów centralnych i banków centralnych]</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7F44369"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podmiotami sektora publicznego zgodnie z art. 4 ust. 1 </w:t>
            </w:r>
            <w:r w:rsidRPr="0043455E">
              <w:rPr>
                <w:rFonts w:ascii="Times New Roman" w:hAnsi="Times New Roman"/>
                <w:sz w:val="24"/>
              </w:rPr>
              <w:t>pkt</w:t>
            </w:r>
            <w:r w:rsidR="0043455E" w:rsidRPr="0043455E">
              <w:rPr>
                <w:rFonts w:ascii="Times New Roman" w:hAnsi="Times New Roman"/>
                <w:sz w:val="24"/>
              </w:rPr>
              <w:t> </w:t>
            </w:r>
            <w:r w:rsidRPr="0043455E">
              <w:rPr>
                <w:rFonts w:ascii="Times New Roman" w:hAnsi="Times New Roman"/>
                <w:sz w:val="24"/>
              </w:rPr>
              <w:t>8</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przypisywane do kategorii ekspozycji „ekspozycje wobec rządów centralnych i banków centralnych” zgodnie z art. 147 ust. 3 lit. a) tego rozporządzenia,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podmiotów sektora publicznego [ekspozycje wobec instytucji]</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730C5B9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podmiotami sektora publicznego zgodnie z art. 4 ust. 8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przypisywane do kategorii ekspozycji „ekspozycje wobec instytucji” zgodnie z art. 147 ust. 4 lit. b) tego rozporządzenia,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wobec organizacji międzynarodowych [ekspozycje wobec rządów centralnych i banków centralnych]</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F23AC6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wobec instytucji rządowych i samorządowych, które są organizacjami międzynarodowymi, przypisywane do kategorii ekspozycji „ekspozycje wobec rządów centralnych i banków centralnych” zgodnie z art. 147 ust. 3 lit. c)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Inne ekspozycje wobec sektora instytucji rządowych i samorządowych objęte metodą wewnętrznych rankingów</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6CDBEBAD" w:rsidR="00530BA1" w:rsidRPr="002A677E" w:rsidRDefault="00530BA1" w:rsidP="00530BA1">
            <w:pPr>
              <w:spacing w:before="0" w:after="0"/>
              <w:ind w:left="33"/>
              <w:rPr>
                <w:rFonts w:ascii="Times New Roman" w:hAnsi="Times New Roman"/>
                <w:bCs/>
                <w:sz w:val="24"/>
              </w:rPr>
            </w:pPr>
            <w:r>
              <w:rPr>
                <w:rFonts w:ascii="Times New Roman" w:hAnsi="Times New Roman"/>
                <w:sz w:val="24"/>
              </w:rPr>
              <w:t xml:space="preserve">Ekspozycje wobec sektora instytucji rządowych i samorządowych inne niż uwzględnione w wierszach 0090–0140 powyżej, które przypisano do klasy ekspozycji według metody wewnętrznych rankingów zgodnie z art. 147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do celów obliczania wymogów w zakresie funduszy własnych.</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Ekspozycje podlegające ryzyku rynkowemu</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65722FBF" w:rsidR="00262B22" w:rsidRPr="002A677E" w:rsidRDefault="00DA4AAE" w:rsidP="00FD54FC">
            <w:pPr>
              <w:spacing w:before="0" w:after="0"/>
              <w:ind w:left="33"/>
              <w:rPr>
                <w:rFonts w:ascii="Times New Roman" w:hAnsi="Times New Roman"/>
                <w:bCs/>
                <w:sz w:val="24"/>
              </w:rPr>
            </w:pPr>
            <w:r>
              <w:rPr>
                <w:rFonts w:ascii="Times New Roman" w:hAnsi="Times New Roman"/>
                <w:sz w:val="24"/>
              </w:rPr>
              <w:t xml:space="preserve">Przedmiotowy wiersz obejmuje pozycje, dla których oblicza się jeden z następujących wymogów w zakresie funduszy własnych zgodnie z częścią trzecią tytuł IV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CD907EF" w14:textId="28AF59A1"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 xml:space="preserve">wymogi w zakresie funduszy własnych z tytułu ryzyka pozycji zgodnie z art. 326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D123908" w14:textId="3D2F32ED" w:rsidR="00FD54FC" w:rsidRPr="002A677E" w:rsidRDefault="00AB5C94" w:rsidP="000911FE">
            <w:pPr>
              <w:pStyle w:val="ListParagraph"/>
              <w:numPr>
                <w:ilvl w:val="0"/>
                <w:numId w:val="31"/>
              </w:numPr>
            </w:pPr>
            <w:r>
              <w:rPr>
                <w:rFonts w:ascii="Times New Roman" w:hAnsi="Times New Roman"/>
                <w:sz w:val="24"/>
              </w:rPr>
              <w:t xml:space="preserve">wymogi w zakresie funduszy własnych z tytułu ryzyka szczególnego lub ryzyka ogólnego zgodnie z częścią trzecią tytuł IV rozdział 5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6F22E69C" w14:textId="69CA711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Ekspozycje bezpośrednie objęte zakresem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71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które podlegają wymogom w zakresie funduszy własnych z tytułu zarówno ryzyka kredytowego kontrahenta, jak i ryzyka rynkowego, zgłasza się zarówno w wierszach dotyczących ryzyka kredytowego (0020–0155), jak i w wierszu dotyczącym ryzyka rynkowego (0160): ekspozycję z tytułu ryzyka kredytowego kontrahenta zgłasza się w wierszach dotyczących ryzyka kredytowego, a ekspozycję z tytułu ryzyka rynkowego zgłasza się w wierszu dotyczącym ryzyka rynkowego.</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PODZIAŁ CAŁKOWITYCH EKSPOZYCJI WEDŁUG REZYDUALNEGO TERMINU ZAPADALNOŚCI</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Rezydualny termin zapadalności oblicza się jako dni między terminem zapadalności wynikającym z umowy a sprawozdawczym dniem odniesienia dla wszystkich pozycji.</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Ekspozycje wobec sektora instytucji rządowych i samorządowych dzieli się według rezydualnego terminu zapadalności i przypisuje do następujących przedziałów:</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149930EF"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 miesiące [</w:t>
            </w:r>
            <w:r w:rsidR="0043455E" w:rsidRPr="0043455E">
              <w:rPr>
                <w:rFonts w:ascii="Times New Roman" w:hAnsi="Times New Roman"/>
                <w:sz w:val="24"/>
              </w:rPr>
              <w:t xml:space="preserve">: </w:t>
            </w:r>
            <w:r>
              <w:rPr>
                <w:rFonts w:ascii="Times New Roman" w:hAnsi="Times New Roman"/>
                <w:sz w:val="24"/>
              </w:rPr>
              <w:t>mniej niż 90 dni;</w:t>
            </w:r>
          </w:p>
          <w:p w14:paraId="2395D862" w14:textId="680CAFEE"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 miesiące – 1 rok [</w:t>
            </w:r>
            <w:r w:rsidR="0043455E" w:rsidRPr="0043455E">
              <w:rPr>
                <w:rFonts w:ascii="Times New Roman" w:hAnsi="Times New Roman"/>
                <w:sz w:val="24"/>
              </w:rPr>
              <w:t xml:space="preserve">: </w:t>
            </w:r>
            <w:r>
              <w:rPr>
                <w:rFonts w:ascii="Times New Roman" w:hAnsi="Times New Roman"/>
                <w:sz w:val="24"/>
              </w:rPr>
              <w:t>co najmniej 90 dni, ale mniej niż 365 dni;</w:t>
            </w:r>
          </w:p>
          <w:p w14:paraId="469AE544" w14:textId="0F1A65BB"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 rok – 2 lata [</w:t>
            </w:r>
            <w:r w:rsidR="0043455E" w:rsidRPr="0043455E">
              <w:rPr>
                <w:rFonts w:ascii="Times New Roman" w:hAnsi="Times New Roman"/>
                <w:sz w:val="24"/>
              </w:rPr>
              <w:t xml:space="preserve">: </w:t>
            </w:r>
            <w:r>
              <w:rPr>
                <w:rFonts w:ascii="Times New Roman" w:hAnsi="Times New Roman"/>
                <w:sz w:val="24"/>
              </w:rPr>
              <w:t>co najmniej 365 dni, ale mniej niż 730 dni;</w:t>
            </w:r>
          </w:p>
          <w:p w14:paraId="3F5A4E59" w14:textId="1810BD56"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 lata – 3 lata [</w:t>
            </w:r>
            <w:r w:rsidR="0043455E" w:rsidRPr="0043455E">
              <w:rPr>
                <w:rFonts w:ascii="Times New Roman" w:hAnsi="Times New Roman"/>
                <w:sz w:val="24"/>
              </w:rPr>
              <w:t xml:space="preserve">: </w:t>
            </w:r>
            <w:r>
              <w:rPr>
                <w:rFonts w:ascii="Times New Roman" w:hAnsi="Times New Roman"/>
                <w:sz w:val="24"/>
              </w:rPr>
              <w:t>co najmniej 730 dni, ale mniej niż 1 095 dni;</w:t>
            </w:r>
          </w:p>
          <w:p w14:paraId="067C94B6" w14:textId="4EE22FCA"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 lata – 5 lat [</w:t>
            </w:r>
            <w:r w:rsidR="0043455E" w:rsidRPr="0043455E">
              <w:rPr>
                <w:rFonts w:ascii="Times New Roman" w:hAnsi="Times New Roman"/>
                <w:sz w:val="24"/>
              </w:rPr>
              <w:t xml:space="preserve">: </w:t>
            </w:r>
            <w:r>
              <w:rPr>
                <w:rFonts w:ascii="Times New Roman" w:hAnsi="Times New Roman"/>
                <w:sz w:val="24"/>
              </w:rPr>
              <w:t>co najmniej 1 095 dni, ale mniej niż 1 825 dni;</w:t>
            </w:r>
          </w:p>
          <w:p w14:paraId="7461BE90" w14:textId="04A14EEF"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 lat – 10 lat [</w:t>
            </w:r>
            <w:r w:rsidR="0043455E" w:rsidRPr="0043455E">
              <w:rPr>
                <w:rFonts w:ascii="Times New Roman" w:hAnsi="Times New Roman"/>
                <w:sz w:val="24"/>
              </w:rPr>
              <w:t xml:space="preserve">: </w:t>
            </w:r>
            <w:r>
              <w:rPr>
                <w:rFonts w:ascii="Times New Roman" w:hAnsi="Times New Roman"/>
                <w:sz w:val="24"/>
              </w:rPr>
              <w:t>co najmniej 1 825 dni, ale mniej niż 3 650 dni;</w:t>
            </w:r>
          </w:p>
          <w:p w14:paraId="64D8A035" w14:textId="4950F43B"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 lat i więcej</w:t>
            </w:r>
            <w:r w:rsidR="0043455E" w:rsidRPr="0043455E">
              <w:rPr>
                <w:rFonts w:ascii="Times New Roman" w:hAnsi="Times New Roman"/>
                <w:sz w:val="24"/>
              </w:rPr>
              <w:t xml:space="preserve">: </w:t>
            </w:r>
            <w:r>
              <w:rPr>
                <w:rFonts w:ascii="Times New Roman" w:hAnsi="Times New Roman"/>
                <w:sz w:val="24"/>
              </w:rPr>
              <w:t>co najmniej 3 650 dni.</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Jeżeli termin zapadalności wyznaczony w umowie przypada przed sprawozdawczym dniem odniesienia (tj. różnica między sprawozdawczym dniem odniesienia a terminem zapadalności ma wartość ujemną), ekspozycję przypisuje się do koszyka [0–3 miesiące].</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lastRenderedPageBreak/>
              <w:t>Ekspozycje bez rezydualnego terminu zapadalności przypisuje się do koszyka rezydualnego terminu zapadalności w zależności od ich okresu wypowiedzenia lub innych postanowień umownych dotyczących zapadalności. Jeżeli nie wyznaczono żadnego okresu wypowiedzenia ani nie przyjęto żadnych postanowień umownych w kwestii zapadalności, ekspozycje przypisuje się do koszyka rezydualnego terminu zapadalności [10 lat i więcej].</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8" w:name="_Toc19715886"/>
      <w:bookmarkStart w:id="779" w:name="_Toc522019774"/>
      <w:bookmarkStart w:id="780" w:name="_Toc119064934"/>
      <w:r>
        <w:rPr>
          <w:rFonts w:ascii="Times New Roman" w:hAnsi="Times New Roman"/>
          <w:sz w:val="24"/>
          <w:u w:val="none"/>
        </w:rPr>
        <w:t>8.</w:t>
      </w:r>
      <w:r>
        <w:tab/>
      </w:r>
      <w:r>
        <w:rPr>
          <w:rFonts w:ascii="Times New Roman" w:hAnsi="Times New Roman"/>
          <w:sz w:val="24"/>
          <w:u w:val="none"/>
        </w:rPr>
        <w:t>Pokrycie strat z tytułu ekspozycji nieobsługiwanych (NPE LC)</w:t>
      </w:r>
      <w:bookmarkEnd w:id="778"/>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1" w:name="_Toc19715887"/>
      <w:bookmarkStart w:id="782" w:name="_Toc119064935"/>
      <w:r>
        <w:rPr>
          <w:rFonts w:ascii="Times New Roman" w:hAnsi="Times New Roman"/>
          <w:sz w:val="24"/>
          <w:u w:val="none"/>
        </w:rPr>
        <w:t>8.1.</w:t>
      </w:r>
      <w:r>
        <w:tab/>
      </w:r>
      <w:r>
        <w:rPr>
          <w:rFonts w:ascii="Times New Roman" w:hAnsi="Times New Roman"/>
          <w:sz w:val="24"/>
          <w:u w:val="none"/>
        </w:rPr>
        <w:t>Uwagi ogólne</w:t>
      </w:r>
      <w:bookmarkEnd w:id="781"/>
      <w:bookmarkEnd w:id="782"/>
      <w:r>
        <w:rPr>
          <w:rFonts w:ascii="Times New Roman" w:hAnsi="Times New Roman"/>
          <w:sz w:val="24"/>
          <w:u w:val="none"/>
        </w:rPr>
        <w:t xml:space="preserve"> </w:t>
      </w:r>
    </w:p>
    <w:p w14:paraId="2FE9C10F" w14:textId="36337971" w:rsidR="00DD00B4" w:rsidRPr="002A677E" w:rsidRDefault="0043455E" w:rsidP="00487A02">
      <w:pPr>
        <w:pStyle w:val="InstructionsText2"/>
        <w:numPr>
          <w:ilvl w:val="0"/>
          <w:numId w:val="0"/>
        </w:numPr>
        <w:ind w:left="1353" w:hanging="360"/>
        <w:rPr>
          <w:noProof/>
        </w:rPr>
      </w:pPr>
      <w:fldSimple w:instr=" seq paragraphs ">
        <w:r w:rsidR="00840A22">
          <w:t>200</w:t>
        </w:r>
      </w:fldSimple>
      <w:r w:rsidR="00840A22">
        <w:t xml:space="preserve">. Wzory dotyczące pokrywania strat z tytułu ekspozycji nieobsługiwanych zawierają informacje na temat ekspozycji nieobsługiwanych potrzebne do obliczenia wysokości wymogu w zakresie minimalnego pokrycia strat w odniesieniu do ekspozycji nieobsługiwanych, jak określono w art. 47a, 47b i 47c rozporządzenia (UE) </w:t>
      </w:r>
      <w:r w:rsidR="00840A22" w:rsidRPr="0043455E">
        <w:t>nr</w:t>
      </w:r>
      <w:r w:rsidRPr="0043455E">
        <w:t> </w:t>
      </w:r>
      <w:r w:rsidR="00840A22" w:rsidRPr="0043455E">
        <w:t>5</w:t>
      </w:r>
      <w:r w:rsidR="00840A22">
        <w:t>75/2013.</w:t>
      </w:r>
    </w:p>
    <w:p w14:paraId="35A02FEC" w14:textId="77777777" w:rsidR="00DD00B4" w:rsidRPr="002A677E" w:rsidRDefault="0043455E" w:rsidP="00487A02">
      <w:pPr>
        <w:pStyle w:val="InstructionsText2"/>
        <w:numPr>
          <w:ilvl w:val="0"/>
          <w:numId w:val="0"/>
        </w:numPr>
        <w:ind w:left="1353" w:hanging="360"/>
      </w:pPr>
      <w:fldSimple w:instr=" seq paragraphs ">
        <w:r w:rsidR="00CE7221">
          <w:t>201</w:t>
        </w:r>
      </w:fldSimple>
      <w:r w:rsidR="00CE7221">
        <w:t>. Grupa wzorów obejmuje zestaw trzech wzorów:</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obliczanie odliczeń z tytułu ekspozycji nieobsługiwanych (C 35.01): jest to wzór zawierający ogólne informacje na temat mającej zastosowanie kwoty niedoboru pokrycia, którą oblicza się jako różnicę między całkowitymi wymogami minimalnego pokrycia strat z tytułu ekspozycji nieobsługiwanych a łącznymi rezerwami i korektami lub odliczeniami, których już dokonano. Wzór obejmuje zarówno ekspozycje nieobsługiwane, których nie objęto działaniami restrukturyzacyjnymi, jak i nieobsługiwane ekspozycje restrukturyzowane;</w:t>
      </w:r>
    </w:p>
    <w:p w14:paraId="017B9046" w14:textId="60CD1F08"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wymogi minimalnego pokrycia strat i wartości ekspozycji w przypadku ekspozycji nieobsługiwanych, z wyłączeniem ekspozycji restrukturyzowanych, które są objęte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(C 35.02): w przedmiotowym wzorze oblicza się całkowite wymogi minimalnego pokrycia strat z tytułu ekspozycji nieobsługiwanych, które nie są nieobsługiwanymi ekspozycjami restrukturyzowanymi, które są objęte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wskazując czynniki, jakie należy zastosować w odniesieniu do wartości ekspozycji na potrzeby tego obliczenia, biorąc pod uwagę to, czy ekspozycja jest zabezpieczona, czy też nie, a także uwzględniając czas, jaki upłynął od chwili, gdy ekspozycja stała się ekspozycją nieobsługiwaną;</w:t>
      </w:r>
    </w:p>
    <w:p w14:paraId="2B5F79D0" w14:textId="04C50AD3"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wymogi minimalnego pokrycia strat i wartości ekspozycji w przypadku nieobsługiwanych ekspozycji restrukturyzowanych, które są objęte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(C 35.03): w przedmiotowym wzorze oblicza się całkowite wymogi minimalnego pokrycia strat z tytułu nieobsługiwanych ekspozycji restrukturyzowanych, które są objęte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wskazując czynniki, jakie należy zastosować w odniesieniu do wartości ekspozycji na potrzeby tego obliczenia, biorąc pod uwagę to, czy ekspozycja jest zabezpieczona, czy też nie, a także uwzględniając czas, jaki upłynął od chwili, gdy ekspozycja stała się ekspozycją nieobsługiwaną. </w:t>
      </w:r>
    </w:p>
    <w:p w14:paraId="08D0E4C0" w14:textId="55398E27" w:rsidR="00DD00B4" w:rsidRPr="002A677E" w:rsidRDefault="0043455E" w:rsidP="00487A02">
      <w:pPr>
        <w:pStyle w:val="InstructionsText2"/>
        <w:numPr>
          <w:ilvl w:val="0"/>
          <w:numId w:val="0"/>
        </w:numPr>
        <w:ind w:left="1353" w:hanging="360"/>
      </w:pPr>
      <w:fldSimple w:instr=" seq paragraphs ">
        <w:r w:rsidR="00CE7221">
          <w:t>202</w:t>
        </w:r>
      </w:fldSimple>
      <w:r w:rsidR="00CE7221">
        <w:t>. Wymóg minimalnego pokrycia strat z tytułu ekspozycji nieobsługiwanych ma zastosowanie do (i) ekspozycji powstałych w dniu 26 kwietnia 20</w:t>
      </w:r>
      <w:r w:rsidR="00CE7221" w:rsidRPr="0043455E">
        <w:t>19</w:t>
      </w:r>
      <w:r w:rsidRPr="0043455E">
        <w:t> </w:t>
      </w:r>
      <w:r w:rsidR="00CE7221" w:rsidRPr="0043455E">
        <w:t>r.</w:t>
      </w:r>
      <w:r w:rsidR="00CE7221">
        <w:t xml:space="preserve"> i później, </w:t>
      </w:r>
      <w:r w:rsidR="00CE7221">
        <w:lastRenderedPageBreak/>
        <w:t>które stały się ekspozycjami nieobsługiwanymi, oraz (ii) ekspozycji powstałych przed dniem 26 kwietnia 20</w:t>
      </w:r>
      <w:r w:rsidR="00CE7221" w:rsidRPr="0043455E">
        <w:t>19</w:t>
      </w:r>
      <w:r w:rsidRPr="0043455E">
        <w:t> </w:t>
      </w:r>
      <w:r w:rsidR="00CE7221" w:rsidRPr="0043455E">
        <w:t>r.</w:t>
      </w:r>
      <w:r w:rsidR="00CE7221">
        <w:t xml:space="preserve"> i zmienionych po tym dniu w sposób skutkujący zwiększeniem ich wartości wobec dłużnika (art. 469a rozporządzenia (UE) </w:t>
      </w:r>
      <w:r w:rsidR="00CE7221" w:rsidRPr="0043455E">
        <w:t>nr</w:t>
      </w:r>
      <w:r w:rsidRPr="0043455E">
        <w:t> </w:t>
      </w:r>
      <w:r w:rsidR="00CE7221" w:rsidRPr="0043455E">
        <w:t>5</w:t>
      </w:r>
      <w:r w:rsidR="00CE7221">
        <w:t>75/2013), które stały się ekspozycjami nieobsługiwanymi.</w:t>
      </w:r>
    </w:p>
    <w:p w14:paraId="50E45877" w14:textId="1515DAB0" w:rsidR="00DD00B4" w:rsidRPr="002A677E" w:rsidRDefault="0043455E" w:rsidP="00487A02">
      <w:pPr>
        <w:pStyle w:val="InstructionsText2"/>
        <w:numPr>
          <w:ilvl w:val="0"/>
          <w:numId w:val="0"/>
        </w:numPr>
        <w:ind w:left="1353" w:hanging="360"/>
      </w:pPr>
      <w:fldSimple w:instr=" seq paragraphs ">
        <w:r w:rsidR="00CE7221">
          <w:t>203</w:t>
        </w:r>
      </w:fldSimple>
      <w:r w:rsidR="00CE7221">
        <w:t xml:space="preserve">. Instytucje obliczają kwotę odliczeń z tytułu ekspozycji nieobsługiwanych zgodnie z art. 47c ust. 1 lit. a) i b) rozporządzenia (UE) </w:t>
      </w:r>
      <w:r w:rsidR="00CE7221" w:rsidRPr="0043455E">
        <w:t>nr</w:t>
      </w:r>
      <w:r w:rsidRPr="0043455E">
        <w:t> </w:t>
      </w:r>
      <w:r w:rsidR="00CE7221" w:rsidRPr="0043455E">
        <w:t>5</w:t>
      </w:r>
      <w:r w:rsidR="00CE7221">
        <w:t>75/2013, uwzględniając wymogi minimalnego pokrycia strat oraz łączne rezerwy i korekty lub odliczenia na poziomie pojedynczej ekspozycji („dla danej transakcji”), a nie na poziomie dłużnika ani portfela.</w:t>
      </w:r>
    </w:p>
    <w:p w14:paraId="6322A857" w14:textId="1F23182D" w:rsidR="00DD00B4" w:rsidRPr="002A677E" w:rsidRDefault="0043455E" w:rsidP="00487A02">
      <w:pPr>
        <w:pStyle w:val="InstructionsText2"/>
        <w:numPr>
          <w:ilvl w:val="0"/>
          <w:numId w:val="0"/>
        </w:numPr>
        <w:ind w:left="1353" w:hanging="360"/>
      </w:pPr>
      <w:fldSimple w:instr=" seq paragraphs ">
        <w:r w:rsidR="00CE7221">
          <w:t>204</w:t>
        </w:r>
      </w:fldSimple>
      <w:r w:rsidR="00CE7221">
        <w:t xml:space="preserve">. Na potrzeby obliczania odliczeń z tytułu ekspozycji nieobsługiwanych instytucje dokonują rozróżnienia między niezabezpieczoną a zabezpieczoną częścią ekspozycji nieobsługiwanej zgodnie z art. 47c ust. 1 rozporządzenia (UE) </w:t>
      </w:r>
      <w:r w:rsidR="00CE7221" w:rsidRPr="0043455E">
        <w:t>nr</w:t>
      </w:r>
      <w:r w:rsidRPr="0043455E">
        <w:t> </w:t>
      </w:r>
      <w:r w:rsidR="00CE7221" w:rsidRPr="0043455E">
        <w:t>5</w:t>
      </w:r>
      <w:r w:rsidR="00CE7221">
        <w:t>75/2013. W tym celu instytucje zgłaszają wartości ekspozycji i wymogi minimalnego pokrycia strat odrębnie dla niezabezpieczonej części ekspozycji nieobsługiwanych i dla zabezpieczonej części tych ekspozycji.</w:t>
      </w:r>
    </w:p>
    <w:p w14:paraId="43A10D03" w14:textId="4F588E4B" w:rsidR="00DD00B4" w:rsidRPr="002A677E" w:rsidRDefault="0043455E" w:rsidP="00487A02">
      <w:pPr>
        <w:pStyle w:val="InstructionsText2"/>
        <w:numPr>
          <w:ilvl w:val="0"/>
          <w:numId w:val="0"/>
        </w:numPr>
        <w:ind w:left="1353" w:hanging="360"/>
      </w:pPr>
      <w:fldSimple w:instr=" seq paragraphs ">
        <w:r w:rsidR="00CE7221">
          <w:t>205</w:t>
        </w:r>
      </w:fldSimple>
      <w:r w:rsidR="00CE7221">
        <w:t xml:space="preserve">. Na potrzeby przyporządkowania odpowiednich mających zastosowanie wskaźników i obliczania wymogów minimalnego pokrycia strat instytucje klasyfikują zabezpieczoną część ekspozycji nieobsługiwanych w zależności od rodzaju ochrony kredytowej zgodnie z </w:t>
      </w:r>
      <w:r w:rsidR="00CE7221" w:rsidRPr="0043455E">
        <w:t>art.</w:t>
      </w:r>
      <w:r w:rsidRPr="0043455E">
        <w:t> </w:t>
      </w:r>
      <w:r w:rsidR="00CE7221" w:rsidRPr="0043455E">
        <w:t>4</w:t>
      </w:r>
      <w:r w:rsidR="00CE7221">
        <w:t xml:space="preserve">7c </w:t>
      </w:r>
      <w:r w:rsidR="00CE7221" w:rsidRPr="0043455E">
        <w:t>ust.</w:t>
      </w:r>
      <w:r w:rsidRPr="0043455E">
        <w:t> </w:t>
      </w:r>
      <w:r w:rsidR="00CE7221" w:rsidRPr="0043455E">
        <w:t>3</w:t>
      </w:r>
      <w:r w:rsidR="00CE7221">
        <w:t xml:space="preserve"> rozporządzenia (UE) </w:t>
      </w:r>
      <w:r w:rsidR="00CE7221" w:rsidRPr="0043455E">
        <w:t>nr</w:t>
      </w:r>
      <w:r w:rsidRPr="0043455E">
        <w:t> </w:t>
      </w:r>
      <w:r w:rsidR="00CE7221" w:rsidRPr="0043455E">
        <w:t>5</w:t>
      </w:r>
      <w:r w:rsidR="00CE7221">
        <w:t xml:space="preserve">75/2013 w następujący sposób: (i) „zabezpieczona nieruchomością lub stanowiąca kredyt na nieruchomość mieszkalną gwarantowany przez uznanego dostawcę ochrony, o którym mowa w </w:t>
      </w:r>
      <w:r w:rsidR="00CE7221" w:rsidRPr="0043455E">
        <w:t>art.</w:t>
      </w:r>
      <w:r w:rsidRPr="0043455E">
        <w:t> </w:t>
      </w:r>
      <w:r w:rsidR="00CE7221" w:rsidRPr="0043455E">
        <w:t>2</w:t>
      </w:r>
      <w:r w:rsidR="00CE7221">
        <w:t xml:space="preserve">01”, (ii) „zabezpieczona inną ochroną kredytową rzeczywistą lub nierzeczywistą” lub (iii) „gwarantowana lub ubezpieczona przez oficjalną agencję kredytów eksportowych”. Jeżeli ekspozycja nieobsługiwana jest zabezpieczona więcej niż jednym rodzajem ochrony kredytowej, właściwą dla niej wartość ekspozycji przypisuje się stosownie do jakości ochrony kredytowej, począwszy od ochrony o najwyższej jakości.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3" w:name="_Toc19715888"/>
      <w:bookmarkStart w:id="784" w:name="_Toc119064936"/>
      <w:r>
        <w:rPr>
          <w:rFonts w:ascii="Times New Roman" w:hAnsi="Times New Roman"/>
          <w:sz w:val="24"/>
          <w:u w:val="none"/>
        </w:rPr>
        <w:t xml:space="preserve">8.2. C 35.01 – </w:t>
      </w:r>
      <w:bookmarkEnd w:id="779"/>
      <w:r>
        <w:rPr>
          <w:rFonts w:ascii="Times New Roman" w:hAnsi="Times New Roman"/>
          <w:sz w:val="24"/>
          <w:u w:val="none"/>
        </w:rPr>
        <w:t>OBLICZANIE ODLICZEŃ Z TYTUŁU EKSPOZYCJI NIEOBSŁUGIWANYCH (NPE LC1)</w:t>
      </w:r>
      <w:bookmarkEnd w:id="783"/>
      <w:bookmarkEnd w:id="784"/>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5" w:name="_Toc119064937"/>
      <w:r>
        <w:rPr>
          <w:rFonts w:ascii="Times New Roman" w:hAnsi="Times New Roman"/>
          <w:sz w:val="24"/>
        </w:rPr>
        <w:t>Instrukcje dotyczące poszczególnych pozycji</w:t>
      </w:r>
      <w:bookmarkEnd w:id="785"/>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6" w:name="_Toc19715889"/>
            <w:r>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Instrukcje</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Czas, jaki upłynął od momentu zaklasyfikowania ekspozycji jako nieobsługiwanej</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„Czas, jaki upłynął od momentu zaklasyfikowania ekspozycji jako nieobsługiwanej” oznacza czas w latach, jaki upłynął od momentu zaklasyfikowania ekspozycji jako nieobsługiwanej do dnia odniesienia. W odniesieniu do zakupionych ekspozycji nieobsługiwanych czas w latach liczy się od dnia pierwotnego zaklasyfikowania tych ekspozycji jako nieobsługiwane, a nie od dnia ich zakupu. </w:t>
            </w:r>
          </w:p>
          <w:p w14:paraId="3CACD559" w14:textId="77777777" w:rsidR="00DD00B4" w:rsidRPr="002A677E" w:rsidRDefault="00DD00B4" w:rsidP="00DD00B4">
            <w:pPr>
              <w:rPr>
                <w:rFonts w:ascii="Times New Roman" w:hAnsi="Times New Roman"/>
                <w:sz w:val="24"/>
              </w:rPr>
            </w:pPr>
            <w:r>
              <w:rPr>
                <w:rFonts w:ascii="Times New Roman" w:hAnsi="Times New Roman"/>
                <w:sz w:val="24"/>
              </w:rPr>
              <w:t>Instytucje zgłaszają dane na temat ekspozycji, w przypadku których dzień odniesienia przypada w odpowiednim przedziale czasu odpowiadającym mierzonemu w latach okresowi po sklasyfikowaniu ekspozycji jako nieobsługiwane, niezależnie od jakichkolwiek zastosowanych działań restrukturyzacyjnych.</w:t>
            </w:r>
          </w:p>
          <w:p w14:paraId="4D817EF7" w14:textId="77777777" w:rsidR="00DD00B4" w:rsidRPr="002A677E" w:rsidRDefault="00DD00B4" w:rsidP="00DD00B4">
            <w:pPr>
              <w:rPr>
                <w:rFonts w:ascii="Times New Roman" w:hAnsi="Times New Roman"/>
                <w:sz w:val="24"/>
              </w:rPr>
            </w:pPr>
            <w:r>
              <w:rPr>
                <w:rFonts w:ascii="Times New Roman" w:hAnsi="Times New Roman"/>
                <w:sz w:val="24"/>
              </w:rPr>
              <w:lastRenderedPageBreak/>
              <w:t>W przypadku przedziału „&gt; X lat, &lt;= Y lat” instytucje zgłaszają dane na temat ekspozycji, w przypadku których dzień odniesienia odpowiada okresowi między pierwszym a ostatnim dniem roku Y po sklasyfikowaniu tych ekspozycji jako nieobsługiwane.</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Ogółem</w:t>
            </w:r>
          </w:p>
          <w:p w14:paraId="195DD8B3" w14:textId="1D640ABC" w:rsidR="00DD00B4" w:rsidRPr="002A677E" w:rsidRDefault="00DD00B4" w:rsidP="00DD00B4">
            <w:pPr>
              <w:rPr>
                <w:rFonts w:ascii="Times New Roman" w:hAnsi="Times New Roman"/>
                <w:sz w:val="24"/>
              </w:rPr>
            </w:pPr>
            <w:r>
              <w:rPr>
                <w:rFonts w:ascii="Times New Roman" w:hAnsi="Times New Roman"/>
                <w:sz w:val="24"/>
              </w:rPr>
              <w:t xml:space="preserve">Instytucje zgłaszają sumę wszystkich kolumn </w:t>
            </w:r>
            <w:r w:rsidRPr="0043455E">
              <w:rPr>
                <w:rFonts w:ascii="Times New Roman" w:hAnsi="Times New Roman"/>
                <w:sz w:val="24"/>
              </w:rPr>
              <w:t>od</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010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6"/>
          <w:p w14:paraId="4AFEBFF2" w14:textId="77777777" w:rsidR="00DD00B4" w:rsidRPr="002A677E" w:rsidRDefault="00DD00B4" w:rsidP="00DD00B4">
            <w:pPr>
              <w:rPr>
                <w:rFonts w:ascii="Times New Roman" w:hAnsi="Times New Roman"/>
                <w:sz w:val="24"/>
              </w:rPr>
            </w:pPr>
            <w:r>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Instrukcje</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Mająca zastosowanie kwota niedoboru pokrycia</w:t>
            </w:r>
          </w:p>
          <w:p w14:paraId="51563B67" w14:textId="1206E532" w:rsidR="00DD00B4" w:rsidRPr="002A677E" w:rsidRDefault="002327CE"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Na potrzeby obliczania mającej zastosowanie kwoty niedoboru pokrycia instytucje odliczają rezerwy i korekty lub odliczenia razem (ograniczone) (wiersz 0080) od całkowitego wymogu minimalnego pokrycia strat z tytułu ekspozycji nieobsługiwanych (wiersz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Mająca zastosowanie kwota niedoboru pokrycia (tj. niedobór w zakresie całkowitego wymogu minimalnego pokrycia strat z tytułu ekspozycji nieobsługiwanych) nie może być mniejsza niż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Całkowity wymóg minimalnego pokrycia strat z tytułu ekspozycji nieobsługiwanych</w:t>
            </w:r>
          </w:p>
          <w:p w14:paraId="79CCC5B2" w14:textId="1E3BA7E5" w:rsidR="00DD00B4" w:rsidRPr="002A677E" w:rsidRDefault="002327CE"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Na potrzeby obliczania całkowitego wymogu minimalnego pokrycia strat z tytułu ekspozycji nieobsługiwanych instytucje sumują minimalne wymogi pokrycia strat z tytułu niezabezpieczonej części ekspozycji nieobsługiwanych (wiersz 0030) z minimalnymi wymogami pokrycia strat z tytułu zabezpieczonej części ekspozycji nieobsługiwanych (wiersz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Niezabezpieczona część ekspozycji nieobsługiwanych</w:t>
            </w:r>
            <w:r>
              <w:rPr>
                <w:rFonts w:ascii="Times New Roman" w:hAnsi="Times New Roman"/>
                <w:sz w:val="24"/>
              </w:rPr>
              <w:t xml:space="preserve"> </w:t>
            </w:r>
          </w:p>
          <w:p w14:paraId="220025F2" w14:textId="1D751C86" w:rsidR="00DD00B4" w:rsidRPr="002A677E" w:rsidRDefault="00DD00B4"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Instytucja zgłasza całkowity wymóg minimalnego pokrycia strat z tytułu niezabezpieczonej części ekspozycji nieobsługiwanych, tj. sumę uzyskaną w wyniku obliczeń przeprowadzonych na poziomie ekspozycji.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Kwota zgłaszana w każdej kolumnie odpowiada sumie kwot zgłoszonych w odpowiednich kolumnach w wierszu 0020 wzoru C 35.02 i w wierszu 0020 wzoru 35.03 (w stosownych przypadkach).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Zabezpieczona część ekspozycji nieobsługiwanych</w:t>
            </w:r>
          </w:p>
          <w:p w14:paraId="00F4CCB6" w14:textId="4CB2A09E" w:rsidR="00DD00B4" w:rsidRPr="002A677E" w:rsidRDefault="003B09EA"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Instytucje zgłaszają całkowity wymóg minimalnego pokrycia strat z tytułu zabezpieczonej części ekspozycji nieobsługiwanych, tj. sumę uzyskaną w wyniku obliczeń przeprowadzonych na poziomie ekspozycji.</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lastRenderedPageBreak/>
              <w:t>Kwota zgłaszana w każdej kolumnie odpowiada sumie kwot zgłoszonych w odpowiednich kolumnach w wierszach 0030–0050 wzoru C 35.02 i w wierszach 0030–0040 wzoru 35.03 (w stosownych przypadkach).</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Wartość ekspozycji</w:t>
            </w:r>
          </w:p>
          <w:p w14:paraId="6171E166" w14:textId="6D3D9341" w:rsidR="00DD00B4" w:rsidRPr="002A677E" w:rsidRDefault="00DD00B4" w:rsidP="00DD00B4">
            <w:pPr>
              <w:rPr>
                <w:rFonts w:ascii="Times New Roman" w:hAnsi="Times New Roman"/>
                <w:sz w:val="24"/>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Instytucje zgłaszają całkowitą wartość ekspozycji dla ekspozycji nieobsługiwanych obejmującą zarówno ekspozycje niezabezpieczone, jak i ekspozycje zabezpieczone. Wartość ta odpowiada sumie wiesza 0060 i wiersza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Niezabezpieczona część ekspozycji nieobsługiwanych</w:t>
            </w:r>
            <w:r>
              <w:rPr>
                <w:rFonts w:ascii="Times New Roman" w:hAnsi="Times New Roman"/>
                <w:sz w:val="24"/>
              </w:rPr>
              <w:t xml:space="preserve"> </w:t>
            </w:r>
          </w:p>
          <w:p w14:paraId="3946BEC3" w14:textId="06C9D838" w:rsidR="00DD00B4" w:rsidRPr="002A677E" w:rsidRDefault="00623EAD" w:rsidP="00DD00B4">
            <w:pPr>
              <w:rPr>
                <w:rFonts w:ascii="Times New Roman" w:hAnsi="Times New Roman"/>
                <w:sz w:val="24"/>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Zabezpieczona część ekspozycji nieobsługiwanych</w:t>
            </w:r>
          </w:p>
          <w:p w14:paraId="456BC00D" w14:textId="7F1DBF0D" w:rsidR="00DD00B4" w:rsidRPr="002A677E" w:rsidRDefault="00623EAD" w:rsidP="00DD00B4">
            <w:pPr>
              <w:rPr>
                <w:rFonts w:ascii="Times New Roman" w:hAnsi="Times New Roman"/>
                <w:b/>
                <w:sz w:val="24"/>
                <w:u w:val="single"/>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Rezerwy i korekty lub odliczenia razem (ograniczone)</w:t>
            </w:r>
          </w:p>
          <w:p w14:paraId="135CD7AC" w14:textId="6F18BDB3" w:rsidR="00DD00B4" w:rsidRPr="002A677E" w:rsidRDefault="00DD00B4" w:rsidP="00DD00B4">
            <w:pPr>
              <w:rPr>
                <w:rFonts w:ascii="Times New Roman" w:hAnsi="Times New Roman"/>
                <w:sz w:val="24"/>
              </w:rPr>
            </w:pPr>
            <w:r>
              <w:rPr>
                <w:rFonts w:ascii="Times New Roman" w:hAnsi="Times New Roman"/>
                <w:sz w:val="24"/>
              </w:rPr>
              <w:t xml:space="preserve">Instytucje zgłaszają ograniczoną kwotę sumy pozycji figurujących w wierszach 0100–0150 zgodnie z art. 47c ust. 1 lit.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Maksymalny poziom ograniczonych rezerw i korekt lub odliczeń odpowiada kwocie wymogu minimalnego pokrycia strat na poziomie ekspozycji.</w:t>
            </w:r>
          </w:p>
          <w:p w14:paraId="6BCA9662" w14:textId="77777777" w:rsidR="00DD00B4" w:rsidRPr="002A677E" w:rsidRDefault="00DD00B4" w:rsidP="00DD00B4">
            <w:pPr>
              <w:rPr>
                <w:rFonts w:ascii="Times New Roman" w:hAnsi="Times New Roman"/>
                <w:sz w:val="24"/>
              </w:rPr>
            </w:pPr>
            <w:r>
              <w:rPr>
                <w:rFonts w:ascii="Times New Roman" w:hAnsi="Times New Roman"/>
                <w:sz w:val="24"/>
              </w:rPr>
              <w:t>Ograniczoną kwotę oblicza się osobno dla każdej ekspozycji jako mniejszą z następujących dwóch kwot: kwoty wymogu minimalnego pokrycia strat z tytułu danej ekspozycji oraz kwoty rezerw i korekt lub odliczeń razem dla tej samej ekspozycji.</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Rezerwy i korekty lub odliczenia razem (nieograniczone)</w:t>
            </w:r>
          </w:p>
          <w:p w14:paraId="389D4B70" w14:textId="5F67FCB3" w:rsidR="00DD00B4" w:rsidRPr="002A677E" w:rsidRDefault="00DD00B4" w:rsidP="00DD00B4">
            <w:pPr>
              <w:jc w:val="left"/>
              <w:rPr>
                <w:rFonts w:ascii="Times New Roman" w:hAnsi="Times New Roman"/>
                <w:sz w:val="24"/>
              </w:rPr>
            </w:pPr>
            <w:r>
              <w:rPr>
                <w:rFonts w:ascii="Times New Roman" w:hAnsi="Times New Roman"/>
                <w:sz w:val="24"/>
              </w:rPr>
              <w:t xml:space="preserve">Instytucje zgłaszają sumę nieograniczonej kwoty pozycji figurujących w wierszach 0100–0150 zgodnie z art. 47c ust. 1 lit. b)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Kwota rezerw i korekt lub odliczeń (nieograniczona) nie ogranicza się wyłącznie do kwoty wymogu minimalnego pokrycia strat na poziomie ekspozycji.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Korekty z tytułu szczególnego ryzyka kredytowego</w:t>
            </w:r>
          </w:p>
          <w:p w14:paraId="03A1D174" w14:textId="6A69EDE0" w:rsidR="00DD00B4" w:rsidRPr="002A677E" w:rsidRDefault="00DD00B4" w:rsidP="003B09EA">
            <w:pPr>
              <w:jc w:val="left"/>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Dodatkowe korekty wyceny</w:t>
            </w:r>
          </w:p>
          <w:p w14:paraId="7318E356" w14:textId="0C5E39FA"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Inne redukcje funduszy własnych</w:t>
            </w:r>
          </w:p>
          <w:p w14:paraId="4A40893B" w14:textId="1482DBD7"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Kwota niedoboru pokrycia w przypadku stosowania metody IRB</w:t>
            </w:r>
          </w:p>
          <w:p w14:paraId="16E4F616" w14:textId="20193FA7"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(iv)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Różnica między ceną zakupu a kwotą należną od dłużnika</w:t>
            </w:r>
          </w:p>
          <w:p w14:paraId="314BE812" w14:textId="5D3090A2"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(v)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Kwoty spisane przez instytucję od czasu sklasyfikowania danej ekspozycji jako nieobsługiwanej</w:t>
            </w:r>
          </w:p>
          <w:p w14:paraId="436645CA" w14:textId="06AA1D53"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b)</w:t>
            </w:r>
            <w:r>
              <w:rPr>
                <w:rFonts w:ascii="Times New Roman" w:hAnsi="Times New Roman"/>
                <w:sz w:val="24"/>
              </w:rPr>
              <w:t xml:space="preserve"> pkt (vi)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7" w:name="_Toc19715890"/>
      <w:bookmarkStart w:id="788" w:name="_Toc119064938"/>
      <w:r>
        <w:rPr>
          <w:rFonts w:ascii="Times New Roman" w:hAnsi="Times New Roman"/>
          <w:sz w:val="24"/>
        </w:rPr>
        <w:t>C 35.02 – WYMOGI MINIMALNEGO POKRYCIA STRAT I WARTOŚCI EKSPOZYCJI W PRZYPADKU EKSPOZYCJI NIEOBSŁUGIWANYCH, Z WYŁĄCZENIEM EKSPOZYCJI RESTRUKTURYZOWANYCH, KTÓRE SĄ OBJĘTE ART. 47C UST. 6 ROZPORZĄDZENIA (UE) NR 575/2013 (NPE LC2)</w:t>
      </w:r>
      <w:bookmarkStart w:id="789" w:name="_Toc19715891"/>
      <w:bookmarkEnd w:id="787"/>
      <w:bookmarkEnd w:id="789"/>
      <w:bookmarkEnd w:id="788"/>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0" w:name="_Toc19715892"/>
      <w:bookmarkStart w:id="791" w:name="_Toc119064939"/>
      <w:r>
        <w:rPr>
          <w:rFonts w:ascii="Times New Roman" w:hAnsi="Times New Roman"/>
          <w:sz w:val="24"/>
        </w:rPr>
        <w:t>Instrukcje dotyczące poszczególnych pozycji</w:t>
      </w:r>
      <w:bookmarkEnd w:id="790"/>
      <w:bookmarkEnd w:id="79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Instrukcje</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Czas, jaki upłynął od momentu zaklasyfikowania ekspozycji jako nieobsługiwanej</w:t>
            </w:r>
          </w:p>
          <w:p w14:paraId="6F1F73EA" w14:textId="4A8A2CDD" w:rsidR="00DD00B4" w:rsidRPr="002A677E" w:rsidRDefault="00DD00B4" w:rsidP="00DD00B4">
            <w:pPr>
              <w:rPr>
                <w:rFonts w:ascii="Times New Roman" w:hAnsi="Times New Roman"/>
                <w:sz w:val="24"/>
              </w:rPr>
            </w:pPr>
            <w:r>
              <w:rPr>
                <w:rFonts w:ascii="Times New Roman" w:hAnsi="Times New Roman"/>
                <w:sz w:val="24"/>
              </w:rPr>
              <w:t>„Czas, jaki upłynął od momentu zaklasyfikowania ekspozycji jako nieobsługiwanej” oznacza czas w latach, jaki upłynął od momentu zaklasyfikowania ekspozycji jako nieobsługiwanej. Instytucje zgłaszają dane na temat ekspozycji, w przypadku których dzień odniesienia przypada w odpowiednim przedziale czasu odpowiadającym mierzonemu w latach okresowi po sklasyfikowaniu ekspozycji jako nieobsługiwane, niezależnie od jakichkolwiek zastosowanych działań restrukturyzacyjnych.</w:t>
            </w:r>
          </w:p>
          <w:p w14:paraId="24AECEC5" w14:textId="77777777" w:rsidR="00DD00B4" w:rsidRPr="002A677E" w:rsidRDefault="00DD00B4" w:rsidP="00DD00B4">
            <w:pPr>
              <w:rPr>
                <w:rFonts w:ascii="Times New Roman" w:hAnsi="Times New Roman"/>
                <w:sz w:val="24"/>
              </w:rPr>
            </w:pPr>
            <w:r>
              <w:rPr>
                <w:rFonts w:ascii="Times New Roman" w:hAnsi="Times New Roman"/>
                <w:sz w:val="24"/>
              </w:rPr>
              <w:t>W przypadku przedziału „&gt; X lat, &lt;= Y lat” instytucje zgłaszają dane na temat ekspozycji, w przypadku których dzień odniesienia odpowiada okresowi między pierwszym a ostatnim dniem roku Y po sklasyfikowaniu tych ekspozycji jako nieobsługiwane.</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Ogółem</w:t>
            </w:r>
          </w:p>
          <w:p w14:paraId="5DF2DC7E" w14:textId="458C6867" w:rsidR="00DD00B4" w:rsidRPr="002A677E" w:rsidRDefault="00DD00B4" w:rsidP="00DD00B4">
            <w:pPr>
              <w:rPr>
                <w:rFonts w:ascii="Times New Roman" w:hAnsi="Times New Roman"/>
                <w:sz w:val="24"/>
                <w:u w:val="single"/>
              </w:rPr>
            </w:pPr>
            <w:r>
              <w:rPr>
                <w:rFonts w:ascii="Times New Roman" w:hAnsi="Times New Roman"/>
                <w:sz w:val="24"/>
              </w:rPr>
              <w:t xml:space="preserve">Instytucje zgłaszają sumę wszystkich kolumn </w:t>
            </w:r>
            <w:r w:rsidRPr="0043455E">
              <w:rPr>
                <w:rFonts w:ascii="Times New Roman" w:hAnsi="Times New Roman"/>
                <w:sz w:val="24"/>
              </w:rPr>
              <w:t>od</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010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Instrukcje</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Całkowity wymóg minimalnego pokrycia strat</w:t>
            </w:r>
          </w:p>
          <w:p w14:paraId="3A476185" w14:textId="38BA7B0B" w:rsidR="00DD00B4" w:rsidRPr="002A677E" w:rsidRDefault="00FC223C"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F74FB1D" w14:textId="12C99650" w:rsidR="00DD00B4" w:rsidRPr="002A677E" w:rsidRDefault="00DD00B4" w:rsidP="00DD00B4">
            <w:pPr>
              <w:rPr>
                <w:rFonts w:ascii="Times New Roman" w:hAnsi="Times New Roman"/>
                <w:sz w:val="24"/>
              </w:rPr>
            </w:pPr>
            <w:r>
              <w:rPr>
                <w:rFonts w:ascii="Times New Roman" w:hAnsi="Times New Roman"/>
                <w:sz w:val="24"/>
              </w:rPr>
              <w:t xml:space="preserve">Na potrzeby obliczania całkowitego wymogu minimalnego pokrycia strat z tytułu ekspozycji nieobsługiwanych, z wyłączeniem ekspozycji restrukturyzowanych,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instytucje sumują wymóg minimalnego pokrycia strat z tytułu niezabezpieczonej części ekspozycji nieobsługiwanych (wiersz 0020) z wymogiem minimalnego pokrycia strat z tytułu zabezpieczonej części ekspozycji nieobsługiwanych (wiersze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Niezabezpieczona część ekspozycji nieobsługiwanych</w:t>
            </w:r>
          </w:p>
          <w:p w14:paraId="24BFE0E9" w14:textId="51CAB9E5" w:rsidR="00DD00B4" w:rsidRPr="002A677E" w:rsidRDefault="00DD00B4"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Wymóg minimalnego pokrycia strat oblicza się poprzez przemnożenie zsumowanych wartości ekspozycji w wierszu 0070 przez odpowiedni współczynnik dla poszczególnych kolumn.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Część ekspozycji nieobsługiwanych zabezpieczona nieruchomością lub stanowiąca kredyt na nieruchomość mieszkalną gwarantowany przez uznanego dostawcę ochrony kredytowej </w:t>
            </w:r>
          </w:p>
          <w:p w14:paraId="6D42FB8A" w14:textId="26B5FB07" w:rsidR="00DD00B4" w:rsidRPr="002A677E" w:rsidRDefault="003B09EA"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b), c), d), f), h) oraz 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Wymóg minimalnego pokrycia strat oblicza się poprzez przemnożenie zsumowanych wartości ekspozycji w wierszu 0080 przez odpowiedni współczynnik dla poszczególnych kolumn.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Część ekspozycji nieobsługiwanych zabezpieczona innymi rodzajami ochrony kredytowej rzeczywistej lub nierzeczywistej</w:t>
            </w:r>
          </w:p>
          <w:p w14:paraId="7260657F" w14:textId="2A43931A" w:rsidR="00DD00B4" w:rsidRPr="002A677E" w:rsidRDefault="003B09EA"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b), c), e) oraz g)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Wymóg minimalnego pokrycia strat oblicza się poprzez przemnożenie zsumowanych wartości ekspozycji w wierszu 0090 przez odpowiedni współczynnik dla poszczególnych kolumn.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Część ekspozycji nieobsługiwanych gwarantowana lub ubezpieczona przez oficjalną agencję kredytów eksportowych</w:t>
            </w:r>
          </w:p>
          <w:p w14:paraId="69F42878" w14:textId="0C66FAE2" w:rsidR="00DD00B4" w:rsidRPr="002A677E" w:rsidRDefault="00A14679" w:rsidP="00DD00B4">
            <w:pPr>
              <w:jc w:val="left"/>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Wymóg minimalnego pokrycia strat oblicza się poprzez przemnożenie zsumowanych wartości ekspozycji w wierszu 0100 przez odpowiedni współczynnik dla poszczególnych kolumn.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Wartość ekspozycji</w:t>
            </w:r>
          </w:p>
          <w:p w14:paraId="2FBE3F91" w14:textId="383F199F" w:rsidR="00DD00B4" w:rsidRPr="002A677E" w:rsidRDefault="00A14679" w:rsidP="00DD00B4">
            <w:pPr>
              <w:jc w:val="left"/>
              <w:rPr>
                <w:rFonts w:ascii="Times New Roman" w:hAnsi="Times New Roman"/>
                <w:sz w:val="24"/>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Na potrzeby obliczeń wartości wiersza 0060 instytucje sumują wartości ekspozycji zgłoszone w odniesieniu do niezabezpieczonej części ekspozycji nieobsługiwanych (wiersz 0070), części ekspozycji nieobsługiwanych zabezpieczonej nieruchomością lub stanowiącej kredyt na nieruchomość mieszkalną gwarantowany przez uznanego dostawcę ochrony (wiersz 0080), części ekspozycji nieobsługiwanych zabezpieczonej inną ochroną kredytową rzeczywistą lub nierzeczywistą (wiersz 0090) i części ekspozycji nieobsługiwanych zabezpieczonej lub ubezpieczonej przez oficjalną agencję kredytów eksportowych (wiersz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Niezabezpieczona część ekspozycji nieobsługiwanych</w:t>
            </w:r>
          </w:p>
          <w:p w14:paraId="7B1F2DD3" w14:textId="00655139" w:rsidR="00DD00B4" w:rsidRPr="002A677E" w:rsidRDefault="009D30AF" w:rsidP="00DD00B4">
            <w:pPr>
              <w:jc w:val="left"/>
              <w:rPr>
                <w:rFonts w:ascii="Times New Roman" w:hAnsi="Times New Roman"/>
                <w:sz w:val="24"/>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Instytucje zgłaszają całkowitą wartość niezabezpieczonej części ekspozycji nieobsługiwanych w podziale na czas, jaki upłynął od momentu uznania tych ekspozycji za nieobsługiwane.</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14:paraId="56630187" w14:textId="7C035CFD" w:rsidR="00DD00B4" w:rsidRPr="002A677E" w:rsidRDefault="00DD00B4" w:rsidP="00DD00B4">
            <w:pPr>
              <w:rPr>
                <w:rFonts w:ascii="Times New Roman" w:hAnsi="Times New Roman"/>
                <w:sz w:val="24"/>
              </w:rPr>
            </w:pPr>
            <w:r>
              <w:rPr>
                <w:rFonts w:ascii="Times New Roman" w:hAnsi="Times New Roman"/>
                <w:sz w:val="24"/>
              </w:rPr>
              <w:lastRenderedPageBreak/>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b), c), d), f), h) oraz 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F3E758E" w14:textId="06014922" w:rsidR="00DD00B4" w:rsidRPr="002A677E" w:rsidRDefault="00441F78" w:rsidP="00E67B4A">
            <w:pPr>
              <w:rPr>
                <w:rFonts w:ascii="Times New Roman" w:hAnsi="Times New Roman"/>
                <w:b/>
                <w:sz w:val="24"/>
                <w:u w:val="single"/>
              </w:rPr>
            </w:pPr>
            <w:r>
              <w:rPr>
                <w:rFonts w:ascii="Times New Roman" w:hAnsi="Times New Roman"/>
                <w:sz w:val="24"/>
              </w:rPr>
              <w:t xml:space="preserve">Instytucje zgłaszają całkowitą wartość ekspozycji dla części ekspozycji nieobsługiwanych zabezpieczonej nieruchomością zgodnie z częścią trzecią tytuł 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lub stanowiącej kredyt na nieruchomość mieszkalną gwarantowany przez uznanego dostawcę ochrony kredytowej, o którym mowa w art. 201 tego rozporządzenia.</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Część ekspozycji nieobsługiwanych zabezpieczona innymi rodzajami ochrony kredytowej rzeczywistej lub nierzeczywistej</w:t>
            </w:r>
          </w:p>
          <w:p w14:paraId="742A6F49" w14:textId="7AF07CC2" w:rsidR="00DD00B4" w:rsidRPr="002A677E" w:rsidRDefault="00C259E2" w:rsidP="00DD00B4">
            <w:pPr>
              <w:jc w:val="left"/>
              <w:rPr>
                <w:rFonts w:ascii="Times New Roman" w:hAnsi="Times New Roman"/>
                <w:sz w:val="24"/>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b), c), e) oraz g)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w:t>
            </w:r>
          </w:p>
          <w:p w14:paraId="1AFC29A6" w14:textId="4AC9F560" w:rsidR="00DD00B4" w:rsidRPr="002A677E" w:rsidRDefault="00441F78" w:rsidP="00E67B4A">
            <w:pPr>
              <w:jc w:val="left"/>
              <w:rPr>
                <w:rFonts w:ascii="Times New Roman" w:hAnsi="Times New Roman"/>
                <w:sz w:val="24"/>
              </w:rPr>
            </w:pPr>
            <w:r>
              <w:rPr>
                <w:rFonts w:ascii="Times New Roman" w:hAnsi="Times New Roman"/>
                <w:sz w:val="24"/>
              </w:rPr>
              <w:t xml:space="preserve">Instytucje zgłaszają całkowitą wartość ekspozycji dla części ekspozycji nieobsługiwanych zabezpieczonej innymi rodzajami ochrony kredytowej rzeczywistej lub nierzeczywistej zgodnie z częścią trzecią tytuł 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Część ekspozycji nieobsługiwanych gwarantowana lub ubezpieczona przez oficjalną agencję kredytów eksportowych</w:t>
            </w:r>
          </w:p>
          <w:p w14:paraId="53CE9387" w14:textId="3EE0366C" w:rsidR="00DD00B4" w:rsidRPr="002A677E" w:rsidRDefault="00BD5F43" w:rsidP="00DD00B4">
            <w:pPr>
              <w:jc w:val="left"/>
              <w:rPr>
                <w:rFonts w:ascii="Times New Roman" w:hAnsi="Times New Roman"/>
                <w:sz w:val="24"/>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6FE7597" w14:textId="758F41EA" w:rsidR="00DD00B4" w:rsidRPr="002A677E" w:rsidRDefault="00441F78" w:rsidP="00441F78">
            <w:pPr>
              <w:jc w:val="left"/>
              <w:rPr>
                <w:rFonts w:ascii="Times New Roman" w:hAnsi="Times New Roman"/>
                <w:b/>
                <w:sz w:val="24"/>
                <w:u w:val="single"/>
              </w:rPr>
            </w:pPr>
            <w:r>
              <w:rPr>
                <w:rFonts w:ascii="Times New Roman" w:hAnsi="Times New Roman"/>
                <w:sz w:val="24"/>
              </w:rPr>
              <w:t xml:space="preserve">Instytucje zgłaszają całkowitą wartość ekspozycji dla części ekspozycji nieobsługiwanych zabezpieczonej lub ubezpieczonej przez oficjalną agencję kredytów eksportowych lub gwarantowanych bądź kontrgwarantowanych przez innego uznanego dostawcę ochrony, o którym mowa w art. 47c ust. 4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2" w:name="_Toc19715893"/>
      <w:bookmarkStart w:id="793" w:name="_Toc119064940"/>
      <w:r>
        <w:rPr>
          <w:rFonts w:ascii="Times New Roman" w:hAnsi="Times New Roman"/>
          <w:sz w:val="24"/>
        </w:rPr>
        <w:t>C 35.03 – WYMOGI MINIMALNEGO POKRYCIA STRAT I WARTOŚCI EKSPOZYCJI W PRZYPADKU NIEOBSŁUGIWANYCH EKSPOZYCJI RESTRUKTURYZOWANYCH, KTÓRE SĄ OBJĘTE ART. 47C UST. 6 ROZPORZĄDZENIA (UE) NR 575/2013 (NPE LC3)</w:t>
      </w:r>
      <w:bookmarkStart w:id="794" w:name="_Toc19715894"/>
      <w:bookmarkEnd w:id="792"/>
      <w:bookmarkEnd w:id="794"/>
      <w:bookmarkEnd w:id="793"/>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5" w:name="_Toc19715895"/>
      <w:bookmarkStart w:id="796" w:name="_Toc119064941"/>
      <w:r>
        <w:rPr>
          <w:rFonts w:ascii="Times New Roman" w:hAnsi="Times New Roman"/>
          <w:sz w:val="24"/>
        </w:rPr>
        <w:t>Instrukcje dotyczące poszczególnych pozycji</w:t>
      </w:r>
      <w:bookmarkEnd w:id="795"/>
      <w:bookmarkEnd w:id="79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Instrukcje</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Czas, jaki upłynął od momentu zaklasyfikowania ekspozycji jako nieobsługiwanej</w:t>
            </w:r>
          </w:p>
          <w:p w14:paraId="3D3EBC38" w14:textId="77777777" w:rsidR="00DD00B4" w:rsidRPr="002A677E" w:rsidRDefault="00DD00B4" w:rsidP="00DD00B4">
            <w:pPr>
              <w:rPr>
                <w:rFonts w:ascii="Times New Roman" w:hAnsi="Times New Roman"/>
                <w:sz w:val="24"/>
              </w:rPr>
            </w:pPr>
            <w:r>
              <w:rPr>
                <w:rFonts w:ascii="Times New Roman" w:hAnsi="Times New Roman"/>
                <w:sz w:val="24"/>
              </w:rPr>
              <w:t>„Czas, jaki upłynął od momentu zaklasyfikowania ekspozycji jako nieobsługiwanej” oznacza czas w latach, jaki upłynął od momentu zaklasyfikowania ekspozycji jako nieobsługiwanej. Instytucje zgłaszają dane na temat ekspozycji, w przypadku których dzień odniesienia przypada w odpowiednim przedziale czasu odpowiadającym mierzonemu w latach okresowi po sklasyfikowaniu ekspozycji jako nieobsługiwane, niezależnie od jakichkolwiek zastosowanych działań restrukturyzacyjnych.</w:t>
            </w:r>
          </w:p>
          <w:p w14:paraId="2AC789BC" w14:textId="77777777" w:rsidR="00DD00B4" w:rsidRPr="002A677E" w:rsidRDefault="00DD00B4" w:rsidP="00DD00B4">
            <w:pPr>
              <w:rPr>
                <w:rFonts w:ascii="Times New Roman" w:hAnsi="Times New Roman"/>
                <w:sz w:val="24"/>
              </w:rPr>
            </w:pPr>
            <w:r>
              <w:rPr>
                <w:rFonts w:ascii="Times New Roman" w:hAnsi="Times New Roman"/>
                <w:sz w:val="24"/>
              </w:rPr>
              <w:t>W przypadku przedziału „&gt; X lat, &lt;= Y lat” instytucje zgłaszają dane na temat ekspozycji, w przypadku których dzień odniesienia odpowiada okresowi między pierwszym a ostatnim dniem roku Y po sklasyfikowaniu tych ekspozycji jako nieobsługiwane.</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Ogółem</w:t>
            </w:r>
          </w:p>
          <w:p w14:paraId="736FFBDA" w14:textId="1094B944" w:rsidR="00DD00B4" w:rsidRPr="002A677E" w:rsidRDefault="00DD00B4" w:rsidP="00DD00B4">
            <w:pPr>
              <w:rPr>
                <w:rFonts w:ascii="Times New Roman" w:hAnsi="Times New Roman"/>
                <w:b/>
                <w:sz w:val="24"/>
                <w:u w:val="single"/>
              </w:rPr>
            </w:pPr>
            <w:r>
              <w:rPr>
                <w:rFonts w:ascii="Times New Roman" w:hAnsi="Times New Roman"/>
                <w:sz w:val="24"/>
              </w:rPr>
              <w:t xml:space="preserve">Instytucje zgłaszają sumę wszystkich kolumn </w:t>
            </w:r>
            <w:r w:rsidRPr="0043455E">
              <w:rPr>
                <w:rFonts w:ascii="Times New Roman" w:hAnsi="Times New Roman"/>
                <w:sz w:val="24"/>
              </w:rPr>
              <w:t>od</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 xml:space="preserve">010 </w:t>
            </w:r>
            <w:r w:rsidRPr="0043455E">
              <w:rPr>
                <w:rFonts w:ascii="Times New Roman" w:hAnsi="Times New Roman"/>
                <w:sz w:val="24"/>
              </w:rPr>
              <w:t>do</w:t>
            </w:r>
            <w:r w:rsidR="0043455E" w:rsidRPr="0043455E">
              <w:rPr>
                <w:rFonts w:ascii="Times New Roman" w:hAnsi="Times New Roman"/>
                <w:sz w:val="24"/>
              </w:rPr>
              <w:t> </w:t>
            </w:r>
            <w:r w:rsidRPr="0043455E">
              <w:rPr>
                <w:rFonts w:ascii="Times New Roman" w:hAnsi="Times New Roman"/>
                <w:sz w:val="24"/>
              </w:rPr>
              <w:t>0</w:t>
            </w:r>
            <w:r>
              <w:rPr>
                <w:rFonts w:ascii="Times New Roman" w:hAnsi="Times New Roman"/>
                <w:sz w:val="24"/>
              </w:rPr>
              <w:t>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Instrukcje</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Całkowity wymóg minimalnego pokrycia strat</w:t>
            </w:r>
          </w:p>
          <w:p w14:paraId="3C6F9C3C" w14:textId="1E5089E5" w:rsidR="00DD00B4" w:rsidRPr="002A677E" w:rsidRDefault="00DD00B4"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0C972EE" w14:textId="6FCBCFF0" w:rsidR="00DD00B4" w:rsidRPr="002A677E" w:rsidRDefault="00DD00B4" w:rsidP="00A648C2">
            <w:pPr>
              <w:rPr>
                <w:rFonts w:ascii="Times New Roman" w:hAnsi="Times New Roman"/>
                <w:sz w:val="24"/>
              </w:rPr>
            </w:pPr>
            <w:r>
              <w:rPr>
                <w:rFonts w:ascii="Times New Roman" w:hAnsi="Times New Roman"/>
                <w:sz w:val="24"/>
              </w:rPr>
              <w:t xml:space="preserve">Na potrzeby obliczeń całkowitego wymogu minimalnego pokrycia strat z tytułu nieobsługiwanych ekspozycji restrukturyzowanych,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instytucje sumują wymogi minimalnego pokrycia strat dla niezabezpieczonej części restrukturyzowanych ekspozycji nieobsługiwanych (wiersz 0020), części restrukturyzowanych ekspozycji nieobsługiwanych zabezpieczonej nieruchomością lub stanowiącej kredyt na nieruchomość mieszkalną gwarantowany przez uznanego dostawcę ochrony (wiersz 0030) i części restrukturyzowanych ekspozycji nieobsługiwanych zabezpieczonej inną ochroną kredytową rzeczywistą lub nierzeczywistą (wiersz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Niezabezpieczona część ekspozycji nieobsługiwanych</w:t>
            </w:r>
          </w:p>
          <w:p w14:paraId="4099803A" w14:textId="7F4DBF72" w:rsidR="00DD00B4" w:rsidRPr="002A677E" w:rsidRDefault="00A648C2"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BD9128D" w14:textId="48B98613" w:rsidR="00DD00B4" w:rsidRPr="002A677E" w:rsidRDefault="00303974" w:rsidP="00303974">
            <w:pPr>
              <w:rPr>
                <w:rFonts w:ascii="Times New Roman" w:hAnsi="Times New Roman"/>
                <w:sz w:val="24"/>
              </w:rPr>
            </w:pPr>
            <w:r>
              <w:rPr>
                <w:rFonts w:ascii="Times New Roman" w:hAnsi="Times New Roman"/>
                <w:sz w:val="24"/>
              </w:rPr>
              <w:t xml:space="preserve">Instytucje zgłaszają całkowity wymóg minimalnego pokrycia strat z tytułu niezabezpieczonej części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tj. sumę uzyskaną w wyniku obliczeń przeprowadzonych na poziomie ekspozycji.</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14:paraId="3D9FC58F" w14:textId="384ABE5F" w:rsidR="00DD00B4" w:rsidRPr="002A677E" w:rsidRDefault="003B09EA" w:rsidP="00DD00B4">
            <w:pPr>
              <w:rPr>
                <w:rFonts w:ascii="Times New Roman" w:hAnsi="Times New Roman"/>
                <w:sz w:val="24"/>
              </w:rPr>
            </w:pPr>
            <w:r>
              <w:rPr>
                <w:rFonts w:ascii="Times New Roman" w:hAnsi="Times New Roman"/>
                <w:sz w:val="24"/>
              </w:rPr>
              <w:t xml:space="preserve">Art. 47c ust. 1 lit. a) pkt (ii) i art. 47c ust. 3 lit. a), b), c), d), f), h) oraz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356AD33F" w14:textId="1BD15E61" w:rsidR="00DD00B4" w:rsidRPr="002A677E" w:rsidRDefault="00303974" w:rsidP="00E67B4A">
            <w:pPr>
              <w:rPr>
                <w:rFonts w:ascii="Times New Roman" w:hAnsi="Times New Roman"/>
                <w:b/>
                <w:sz w:val="24"/>
                <w:u w:val="single"/>
              </w:rPr>
            </w:pPr>
            <w:r>
              <w:rPr>
                <w:rFonts w:ascii="Times New Roman" w:hAnsi="Times New Roman"/>
                <w:sz w:val="24"/>
              </w:rPr>
              <w:t xml:space="preserve">Instytucje zgłaszają całkowity wymóg minimalnego pokrycia strat dla części restrukturyzowanych ekspozycji nieobsługiwanych zabezpieczonej nieruchomością zgodnie z częścią trzecią tytuł 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lub stanowiącej kredyt na nieruchomość mieszkalną gwarantowany przez uznanego dostawcę ochrony kredytowej, o którym mowa w art. 201 tego rozporządzenia, które są objęte art. 47c ust. 6 tego rozporządzenia, tj. sumę obliczeń dokonanych na poziomie ekspozycji.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Część ekspozycji nieobsługiwanych zabezpieczona innymi rodzajami ochrony kredytowej rzeczywistej lub nierzeczywistej</w:t>
            </w:r>
          </w:p>
          <w:p w14:paraId="3D8A5075" w14:textId="1B3877AF" w:rsidR="00DD00B4" w:rsidRPr="002A677E" w:rsidRDefault="003B09EA" w:rsidP="00DD00B4">
            <w:pPr>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pkt (ii),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b), c), e) oraz g),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E3D68AC" w14:textId="1A011055" w:rsidR="00DD00B4" w:rsidRPr="002A677E" w:rsidRDefault="00303974" w:rsidP="00303974">
            <w:pPr>
              <w:rPr>
                <w:rFonts w:ascii="Times New Roman" w:hAnsi="Times New Roman"/>
                <w:sz w:val="24"/>
              </w:rPr>
            </w:pPr>
            <w:r>
              <w:rPr>
                <w:rFonts w:ascii="Times New Roman" w:hAnsi="Times New Roman"/>
                <w:sz w:val="24"/>
              </w:rPr>
              <w:t xml:space="preserve">Instytucje zgłaszają całkowity wymóg minimalnego pokrycia strat z tytułu części restrukturyzowanych ekspozycji nieobsługiwanych zabezpieczonych inną ochroną kredytową rzeczywistą lub nierzeczywistą,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tj. sumę uzyskaną w wyniku obliczeń przeprowadzonych na poziomie ekspozycji.</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Wartość ekspozycji</w:t>
            </w:r>
          </w:p>
          <w:p w14:paraId="37B9F3D5" w14:textId="3EEEFE35" w:rsidR="00DD00B4" w:rsidRPr="002A677E" w:rsidRDefault="00233577" w:rsidP="00DD00B4">
            <w:pPr>
              <w:rPr>
                <w:rFonts w:ascii="Times New Roman" w:hAnsi="Times New Roman"/>
                <w:sz w:val="24"/>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oraz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lastRenderedPageBreak/>
              <w:t xml:space="preserve">Na potrzeby obliczeń wartości ekspozycji instytucje sumują, w stosownych przypadkach, wartości ekspozycji dla niezabezpieczonej części ekspozycji nieobsługiwanych (wiersz 0060), części ekspozycji nieobsługiwanych zabezpieczonej nieruchomością lub stanowiącej kredyt na nieruchomość mieszkalną gwarantowany przez uznanego dostawcę ochrony (wiersz 0070) oraz części ekspozycji nieobsługiwanych zabezpieczonej inną ochroną kredytową rzeczywistą lub nierzeczywistą (wiersz 0120).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Niezabezpieczona część ekspozycji nieobsługiwanych</w:t>
            </w:r>
          </w:p>
          <w:p w14:paraId="39625700" w14:textId="3032A12D" w:rsidR="00DD00B4" w:rsidRPr="002A677E" w:rsidRDefault="00233577" w:rsidP="00DD00B4">
            <w:pPr>
              <w:jc w:val="left"/>
              <w:rPr>
                <w:rFonts w:ascii="Times New Roman" w:hAnsi="Times New Roman"/>
                <w:sz w:val="24"/>
              </w:rPr>
            </w:pPr>
            <w:r>
              <w:rPr>
                <w:rFonts w:ascii="Times New Roman" w:hAnsi="Times New Roman"/>
                <w:sz w:val="24"/>
              </w:rPr>
              <w:t xml:space="preserve">Art. 47a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2</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0CB07F08" w14:textId="3ADF3B4F" w:rsidR="00DD00B4" w:rsidRPr="002A677E" w:rsidRDefault="00303974" w:rsidP="00303974">
            <w:pPr>
              <w:rPr>
                <w:rFonts w:ascii="Times New Roman" w:hAnsi="Times New Roman"/>
                <w:b/>
                <w:sz w:val="24"/>
                <w:u w:val="single"/>
              </w:rPr>
            </w:pPr>
            <w:r>
              <w:rPr>
                <w:rFonts w:ascii="Times New Roman" w:hAnsi="Times New Roman"/>
                <w:sz w:val="24"/>
              </w:rPr>
              <w:t xml:space="preserve">Instytucje zgłaszają całkowitą wartość ekspozycji dla niezabezpieczonej części restrukturyzowanych ekspozycji nieobsługiwanych, które są objęte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jeżeli pierwszym działaniem restrukturyzacyjnym ekspozycję objęto między pierwszym a ostatnim dniem drugiego roku po sklasyfikowaniu danej ekspozycji jako ekspozycji nieobsługiwanej (&gt; 1 rok; &lt;= 2 lata).</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14:paraId="2F389D69" w14:textId="6AB1EECA" w:rsidR="00DD00B4" w:rsidRPr="002A677E" w:rsidRDefault="006C0EF3" w:rsidP="00DD00B4">
            <w:pPr>
              <w:rPr>
                <w:rFonts w:ascii="Times New Roman" w:hAnsi="Times New Roman"/>
                <w:sz w:val="24"/>
              </w:rPr>
            </w:pPr>
            <w:r>
              <w:rPr>
                <w:rFonts w:ascii="Times New Roman" w:hAnsi="Times New Roman"/>
                <w:sz w:val="24"/>
              </w:rPr>
              <w:t xml:space="preserve">Art. 47a ust. 2, art. 47c ust. 1 i art. 47c ust. 3 lit. a), b), c), d), f), h) oraz i),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29FB8F53" w14:textId="167869B9" w:rsidR="00DD00B4" w:rsidRPr="002A677E" w:rsidRDefault="00303974" w:rsidP="00F75233">
            <w:pPr>
              <w:rPr>
                <w:rFonts w:ascii="Times New Roman" w:hAnsi="Times New Roman"/>
                <w:b/>
                <w:sz w:val="24"/>
                <w:u w:val="single"/>
              </w:rPr>
            </w:pPr>
            <w:r>
              <w:rPr>
                <w:rFonts w:ascii="Times New Roman" w:hAnsi="Times New Roman"/>
                <w:sz w:val="24"/>
              </w:rPr>
              <w:t xml:space="preserve">Instytucje zgłaszają całkowitą wartość ekspozycji dla części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zabezpieczonej nieruchomością zgodnie z częścią trzecią tytuł II tego rozporządzenia lub stanowiącej kredyt na nieruchomość mieszkalną gwarantowany przez uznanego dostawcę ochrony kredytowej, o którym mowa w art. 201 tego rozporządzenia.</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i &lt;= 3 lata po sklasyfikowaniu jako ekspozycja nieobsługiwana</w:t>
            </w:r>
          </w:p>
          <w:p w14:paraId="37E8AA50" w14:textId="5DB94C88" w:rsidR="00DD00B4" w:rsidRPr="002A677E" w:rsidRDefault="00DD00B4" w:rsidP="00DD00B4">
            <w:pPr>
              <w:rPr>
                <w:rFonts w:ascii="Times New Roman" w:hAnsi="Times New Roman"/>
                <w:b/>
                <w:sz w:val="24"/>
                <w:u w:val="single"/>
              </w:rPr>
            </w:pPr>
            <w:r>
              <w:rPr>
                <w:rFonts w:ascii="Times New Roman" w:hAnsi="Times New Roman"/>
                <w:sz w:val="24"/>
              </w:rPr>
              <w:t xml:space="preserve">Instytucje zgłaszają wartość ekspozycji dla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zabezpieczonych nieruchomością lub stanowiących kredyt na nieruchomość mieszkalną gwarantowany przez uznanego dostawcę ochrony kredytowej, jeżeli pierwszym działaniem restrukturyzacyjnym ekspozycję objęto między pierwszym a ostatnim dniem trzeciego roku po sklasyfikowaniu danej ekspozycji jako ekspozycji nieobsługiwanej.</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i &lt;= 4 lat po sklasyfikowaniu jako ekspozycja nieobsługiwana</w:t>
            </w:r>
          </w:p>
          <w:p w14:paraId="0932C52B" w14:textId="006BB08F" w:rsidR="00DD00B4" w:rsidRPr="002A677E" w:rsidRDefault="00DD00B4" w:rsidP="00DD00B4">
            <w:pPr>
              <w:rPr>
                <w:rFonts w:ascii="Times New Roman" w:hAnsi="Times New Roman"/>
                <w:b/>
                <w:sz w:val="24"/>
                <w:u w:val="single"/>
              </w:rPr>
            </w:pPr>
            <w:r>
              <w:rPr>
                <w:rFonts w:ascii="Times New Roman" w:hAnsi="Times New Roman"/>
                <w:sz w:val="24"/>
              </w:rPr>
              <w:t xml:space="preserve">Instytucje zgłaszają wartość ekspozycji dla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zabezpieczonych nieruchomością lub stanowiących kredyt na nieruchomość mieszkalną gwarantowany przez uznanego dostawcę ochrony kredytowej, jeżeli pierwszym działaniem restrukturyzacyjnym ekspozycję objęto między pierwszym a ostatnim dniem czwartego roku po sklasyfikowaniu danej ekspozycji jako ekspozycji nieobsługiwanej.</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i &lt;= 5 lat po sklasyfikowaniu jako ekspozycja nieobsługiwana</w:t>
            </w:r>
          </w:p>
          <w:p w14:paraId="6D3F8794" w14:textId="2AA1AE65" w:rsidR="00DD00B4" w:rsidRPr="002A677E" w:rsidRDefault="00DD00B4" w:rsidP="008D0D6A">
            <w:pPr>
              <w:rPr>
                <w:rFonts w:ascii="Times New Roman" w:hAnsi="Times New Roman"/>
                <w:b/>
                <w:sz w:val="24"/>
                <w:u w:val="single"/>
              </w:rPr>
            </w:pPr>
            <w:r>
              <w:rPr>
                <w:rFonts w:ascii="Times New Roman" w:hAnsi="Times New Roman"/>
                <w:sz w:val="24"/>
              </w:rPr>
              <w:t xml:space="preserve">Instytucje zgłaszają wartość ekspozycji dla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zabezpieczonych nieruchomością lub stanowiących kredyt na nieruchomość mieszkalną gwarantowany </w:t>
            </w:r>
            <w:r>
              <w:rPr>
                <w:rFonts w:ascii="Times New Roman" w:hAnsi="Times New Roman"/>
                <w:sz w:val="24"/>
              </w:rPr>
              <w:lastRenderedPageBreak/>
              <w:t>przez uznanego dostawcę ochrony kredytowej, jeżeli pierwszym działaniem restrukturyzacyjnym ekspozycję objęto między pierwszym a ostatnim dniem piątego roku po sklasyfikowaniu danej ekspozycji jako ekspozycji nieobsługiwanej.</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i &lt;= 6 lat po sklasyfikowaniu jako ekspozycja nieobsługiwana</w:t>
            </w:r>
          </w:p>
          <w:p w14:paraId="74ECA5C1" w14:textId="44073DFC" w:rsidR="00DD00B4" w:rsidRPr="002A677E" w:rsidRDefault="00DD00B4" w:rsidP="008D0D6A">
            <w:pPr>
              <w:rPr>
                <w:rFonts w:ascii="Times New Roman" w:hAnsi="Times New Roman"/>
                <w:b/>
                <w:sz w:val="24"/>
                <w:u w:val="single"/>
              </w:rPr>
            </w:pPr>
            <w:r>
              <w:rPr>
                <w:rFonts w:ascii="Times New Roman" w:hAnsi="Times New Roman"/>
                <w:sz w:val="24"/>
              </w:rPr>
              <w:t xml:space="preserve">Instytucje zgłaszają wartość ekspozycji dla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zabezpieczonych nieruchomością lub stanowiących kredyt na nieruchomość mieszkalną gwarantowany przez uznanego dostawcę ochrony kredytowej, jeżeli pierwszym działaniem restrukturyzacyjnym ekspozycję objęto między pierwszym a ostatnim dniem szóstego roku po sklasyfikowaniu danej ekspozycji jako ekspozycji nieobsługiwanej.</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Część ekspozycji nieobsługiwanych zabezpieczona innymi rodzajami ochrony kredytowej rzeczywistej lub nierzeczywistej</w:t>
            </w:r>
          </w:p>
          <w:p w14:paraId="1EE8A172" w14:textId="67D5D186" w:rsidR="00DD00B4" w:rsidRPr="002A677E" w:rsidRDefault="00DD00B4" w:rsidP="00DD00B4">
            <w:pPr>
              <w:jc w:val="left"/>
              <w:rPr>
                <w:rFonts w:ascii="Times New Roman" w:hAnsi="Times New Roman"/>
                <w:sz w:val="24"/>
              </w:rPr>
            </w:pPr>
            <w:r>
              <w:rPr>
                <w:rFonts w:ascii="Times New Roman" w:hAnsi="Times New Roman"/>
                <w:sz w:val="24"/>
              </w:rPr>
              <w:t xml:space="preserve">Art. 47c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1</w:t>
            </w:r>
            <w:r>
              <w:rPr>
                <w:rFonts w:ascii="Times New Roman" w:hAnsi="Times New Roman"/>
                <w:sz w:val="24"/>
              </w:rPr>
              <w:t xml:space="preserve">,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3</w:t>
            </w:r>
            <w:r>
              <w:rPr>
                <w:rFonts w:ascii="Times New Roman" w:hAnsi="Times New Roman"/>
                <w:sz w:val="24"/>
              </w:rPr>
              <w:t xml:space="preserve"> </w:t>
            </w:r>
            <w:r w:rsidRPr="0043455E">
              <w:rPr>
                <w:rFonts w:ascii="Times New Roman" w:hAnsi="Times New Roman"/>
                <w:sz w:val="24"/>
              </w:rPr>
              <w:t>lit.</w:t>
            </w:r>
            <w:r w:rsidR="0043455E" w:rsidRPr="0043455E">
              <w:rPr>
                <w:rFonts w:ascii="Times New Roman" w:hAnsi="Times New Roman"/>
                <w:sz w:val="24"/>
              </w:rPr>
              <w:t> </w:t>
            </w:r>
            <w:r w:rsidRPr="0043455E">
              <w:rPr>
                <w:rFonts w:ascii="Times New Roman" w:hAnsi="Times New Roman"/>
                <w:sz w:val="24"/>
              </w:rPr>
              <w:t>a)</w:t>
            </w:r>
            <w:r>
              <w:rPr>
                <w:rFonts w:ascii="Times New Roman" w:hAnsi="Times New Roman"/>
                <w:sz w:val="24"/>
              </w:rPr>
              <w:t xml:space="preserve">, b), c), e) oraz g), </w:t>
            </w:r>
            <w:r w:rsidRPr="0043455E">
              <w:rPr>
                <w:rFonts w:ascii="Times New Roman" w:hAnsi="Times New Roman"/>
                <w:sz w:val="24"/>
              </w:rPr>
              <w:t>art.</w:t>
            </w:r>
            <w:r w:rsidR="0043455E" w:rsidRPr="0043455E">
              <w:rPr>
                <w:rFonts w:ascii="Times New Roman" w:hAnsi="Times New Roman"/>
                <w:sz w:val="24"/>
              </w:rPr>
              <w:t> </w:t>
            </w:r>
            <w:r w:rsidRPr="0043455E">
              <w:rPr>
                <w:rFonts w:ascii="Times New Roman" w:hAnsi="Times New Roman"/>
                <w:sz w:val="24"/>
              </w:rPr>
              <w:t>4</w:t>
            </w:r>
            <w:r>
              <w:rPr>
                <w:rFonts w:ascii="Times New Roman" w:hAnsi="Times New Roman"/>
                <w:sz w:val="24"/>
              </w:rPr>
              <w:t xml:space="preserve">7c </w:t>
            </w:r>
            <w:r w:rsidRPr="0043455E">
              <w:rPr>
                <w:rFonts w:ascii="Times New Roman" w:hAnsi="Times New Roman"/>
                <w:sz w:val="24"/>
              </w:rPr>
              <w:t>ust.</w:t>
            </w:r>
            <w:r w:rsidR="0043455E" w:rsidRPr="0043455E">
              <w:rPr>
                <w:rFonts w:ascii="Times New Roman" w:hAnsi="Times New Roman"/>
                <w:sz w:val="24"/>
              </w:rPr>
              <w:t> </w:t>
            </w:r>
            <w:r w:rsidRPr="0043455E">
              <w:rPr>
                <w:rFonts w:ascii="Times New Roman" w:hAnsi="Times New Roman"/>
                <w:sz w:val="24"/>
              </w:rPr>
              <w:t>6</w:t>
            </w:r>
            <w:r>
              <w:rPr>
                <w:rFonts w:ascii="Times New Roman" w:hAnsi="Times New Roman"/>
                <w:sz w:val="24"/>
              </w:rPr>
              <w:t xml:space="preserve">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p w14:paraId="5D8662BC" w14:textId="0E1E6EEF" w:rsidR="00DD00B4" w:rsidRPr="002A677E" w:rsidRDefault="00303974" w:rsidP="003175FE">
            <w:pPr>
              <w:rPr>
                <w:rFonts w:ascii="Times New Roman" w:hAnsi="Times New Roman"/>
                <w:b/>
                <w:sz w:val="24"/>
                <w:u w:val="single"/>
              </w:rPr>
            </w:pPr>
            <w:r>
              <w:rPr>
                <w:rFonts w:ascii="Times New Roman" w:hAnsi="Times New Roman"/>
                <w:sz w:val="24"/>
              </w:rPr>
              <w:t xml:space="preserve">Instytucje zgłaszają całkowitą wartość ekspozycji dla części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zabezpieczonej innymi rodzajami ochrony kredytowej rzeczywistej lub nierzeczywistej zgodnie z częścią trzecią tytuł II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i &lt;= 3 lata po sklasyfikowaniu jako ekspozycja nieobsługiwana</w:t>
            </w:r>
          </w:p>
          <w:p w14:paraId="0775FEE8" w14:textId="50A993C7" w:rsidR="00DD00B4" w:rsidRPr="002A677E" w:rsidRDefault="00DD00B4" w:rsidP="008D0D6A">
            <w:pPr>
              <w:rPr>
                <w:rFonts w:ascii="Times New Roman" w:hAnsi="Times New Roman"/>
                <w:b/>
                <w:sz w:val="24"/>
              </w:rPr>
            </w:pPr>
            <w:r>
              <w:rPr>
                <w:rFonts w:ascii="Times New Roman" w:hAnsi="Times New Roman"/>
                <w:sz w:val="24"/>
              </w:rPr>
              <w:t xml:space="preserve">Instytucje zgłaszają wartość ekspozycji dla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zabezpieczonych innymi rodzajami ochrony kredytowej rzeczywistej lub nierzeczywistej, jeżeli pierwszym działaniem restrukturyzacyjnym ekspozycję objęto między pierwszym a ostatnim dniem trzeciego roku po sklasyfikowaniu danej ekspozycji jako ekspozycji nieobsługiwanej.</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i &lt;= 4 lat po sklasyfikowaniu jako ekspozycja nieobsługiwana</w:t>
            </w:r>
          </w:p>
          <w:p w14:paraId="166EB0FC" w14:textId="05AB6FA9" w:rsidR="00DD00B4" w:rsidRPr="002A677E" w:rsidRDefault="00DD00B4" w:rsidP="008D0D6A">
            <w:pPr>
              <w:rPr>
                <w:rFonts w:ascii="Times New Roman" w:hAnsi="Times New Roman"/>
                <w:b/>
                <w:sz w:val="24"/>
                <w:u w:val="single"/>
              </w:rPr>
            </w:pPr>
            <w:r>
              <w:rPr>
                <w:rFonts w:ascii="Times New Roman" w:hAnsi="Times New Roman"/>
                <w:sz w:val="24"/>
              </w:rPr>
              <w:t xml:space="preserve">Instytucje zgłaszają wartość ekspozycji dla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zabezpieczonych innymi rodzajami ochrony kredytowej rzeczywistej lub nierzeczywistej, jeżeli pierwszym działaniem restrukturyzacyjnym ekspozycję objęto między pierwszym a ostatnim dniem czwartego roku po sklasyfikowaniu danej ekspozycji jako ekspozycji nieobsługiwanej.</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i &lt;= 5 lat po sklasyfikowaniu jako ekspozycja nieobsługiwana</w:t>
            </w:r>
          </w:p>
          <w:p w14:paraId="6BE36D18" w14:textId="7401FF93" w:rsidR="00DD00B4" w:rsidRPr="002A677E" w:rsidRDefault="00DD00B4" w:rsidP="008D0D6A">
            <w:pPr>
              <w:rPr>
                <w:rFonts w:ascii="Times New Roman" w:hAnsi="Times New Roman"/>
                <w:b/>
                <w:sz w:val="24"/>
                <w:u w:val="single"/>
              </w:rPr>
            </w:pPr>
            <w:r>
              <w:rPr>
                <w:rFonts w:ascii="Times New Roman" w:hAnsi="Times New Roman"/>
                <w:sz w:val="24"/>
              </w:rPr>
              <w:t xml:space="preserve">Instytucje zgłaszają wartość ekspozycji dla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75/2013, zabezpieczonych innymi rodzajami ochrony kredytowej rzeczywistej lub nierzeczywistej, jeżeli pierwszym działaniem restrukturyzacyjnym ekspozycję objęto między pierwszym a ostatnim dniem piątego roku po sklasyfikowaniu danej ekspozycji jako ekspozycji nieobsługiwanej.</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i &lt;= 6 lat po sklasyfikowaniu jako ekspozycja nieobsługiwana</w:t>
            </w:r>
          </w:p>
          <w:p w14:paraId="66B47D67" w14:textId="7971116A" w:rsidR="00DD00B4" w:rsidRPr="002A677E" w:rsidRDefault="00DD00B4" w:rsidP="00DD00B4">
            <w:pPr>
              <w:rPr>
                <w:rFonts w:ascii="Times New Roman" w:hAnsi="Times New Roman"/>
                <w:b/>
                <w:sz w:val="24"/>
                <w:u w:val="single"/>
              </w:rPr>
            </w:pPr>
            <w:r>
              <w:rPr>
                <w:rFonts w:ascii="Times New Roman" w:hAnsi="Times New Roman"/>
                <w:sz w:val="24"/>
              </w:rPr>
              <w:t xml:space="preserve">Instytucje zgłaszają wartość ekspozycji dla restrukturyzowanych ekspozycji nieobsługiwanych, które są objęte art. 47c ust. 6 rozporządzenia (UE) </w:t>
            </w:r>
            <w:r w:rsidRPr="0043455E">
              <w:rPr>
                <w:rFonts w:ascii="Times New Roman" w:hAnsi="Times New Roman"/>
                <w:sz w:val="24"/>
              </w:rPr>
              <w:t>nr</w:t>
            </w:r>
            <w:r w:rsidR="0043455E" w:rsidRPr="0043455E">
              <w:rPr>
                <w:rFonts w:ascii="Times New Roman" w:hAnsi="Times New Roman"/>
                <w:sz w:val="24"/>
              </w:rPr>
              <w:t> </w:t>
            </w:r>
            <w:r w:rsidRPr="0043455E">
              <w:rPr>
                <w:rFonts w:ascii="Times New Roman" w:hAnsi="Times New Roman"/>
                <w:sz w:val="24"/>
              </w:rPr>
              <w:t>5</w:t>
            </w:r>
            <w:r>
              <w:rPr>
                <w:rFonts w:ascii="Times New Roman" w:hAnsi="Times New Roman"/>
                <w:sz w:val="24"/>
              </w:rPr>
              <w:t xml:space="preserve">75/2013, zabezpieczonych innymi rodzajami ochrony kredytowej rzeczywistej lub nierzeczywistej, jeżeli pierwszym </w:t>
            </w:r>
            <w:r>
              <w:rPr>
                <w:rFonts w:ascii="Times New Roman" w:hAnsi="Times New Roman"/>
                <w:sz w:val="24"/>
              </w:rPr>
              <w:lastRenderedPageBreak/>
              <w:t>działaniem restrukturyzacyjnym ekspozycję objęto między pierwszym a ostatnim dniem szóstego roku po sklasyfikowaniu danej ekspozycji jako ekspozycji nieobsługiwanej.</w:t>
            </w:r>
            <w:r w:rsidR="004B26B6">
              <w:rPr>
                <w:rFonts w:ascii="Times New Roman" w:hAnsi="Times New Roman"/>
                <w:sz w:val="24"/>
              </w:rPr>
              <w:t>”</w:t>
            </w:r>
          </w:p>
        </w:tc>
      </w:tr>
    </w:tbl>
    <w:p w14:paraId="59BBB927" w14:textId="77777777" w:rsidR="00DD00B4" w:rsidRPr="002A677E" w:rsidRDefault="00DD00B4" w:rsidP="006452A4">
      <w:pPr>
        <w:spacing w:after="0"/>
        <w:rPr>
          <w:rStyle w:val="InstructionsTabelleText"/>
          <w:rFonts w:ascii="Times New Roman" w:hAnsi="Times New Roman"/>
          <w:sz w:val="24"/>
        </w:rPr>
      </w:pPr>
      <w:bookmarkStart w:id="797" w:name="_GoBack"/>
      <w:bookmarkEnd w:id="797"/>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43455E" w:rsidRDefault="0043455E" w:rsidP="00D946DB">
      <w:pPr>
        <w:spacing w:before="0" w:after="0"/>
      </w:pPr>
      <w:r>
        <w:separator/>
      </w:r>
    </w:p>
  </w:endnote>
  <w:endnote w:type="continuationSeparator" w:id="0">
    <w:p w14:paraId="7F0097E6" w14:textId="77777777" w:rsidR="0043455E" w:rsidRDefault="0043455E" w:rsidP="00D946DB">
      <w:pPr>
        <w:spacing w:before="0" w:after="0"/>
      </w:pPr>
      <w:r>
        <w:continuationSeparator/>
      </w:r>
    </w:p>
  </w:endnote>
  <w:endnote w:type="continuationNotice" w:id="1">
    <w:p w14:paraId="582EA0C6" w14:textId="77777777" w:rsidR="0043455E" w:rsidRDefault="004345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74E981B3" w:rsidR="0043455E" w:rsidRPr="00ED1956" w:rsidRDefault="0043455E">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EF7528">
      <w:rPr>
        <w:rFonts w:ascii="Times New Roman" w:hAnsi="Times New Roman"/>
        <w:noProof/>
        <w:sz w:val="22"/>
      </w:rPr>
      <w:t>8</w:t>
    </w:r>
    <w:r>
      <w:rPr>
        <w:rFonts w:ascii="Times New Roman" w:hAnsi="Times New Roman"/>
        <w:sz w:val="22"/>
      </w:rPr>
      <w:fldChar w:fldCharType="end"/>
    </w:r>
  </w:p>
  <w:p w14:paraId="4D97BBA9" w14:textId="77777777" w:rsidR="0043455E" w:rsidRDefault="004345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7E250613" w:rsidR="0043455E" w:rsidRPr="00E85358" w:rsidRDefault="0043455E">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EF7528">
      <w:rPr>
        <w:noProof/>
        <w:sz w:val="22"/>
      </w:rPr>
      <w:t>1</w:t>
    </w:r>
    <w:r>
      <w:rPr>
        <w:sz w:val="22"/>
      </w:rPr>
      <w:fldChar w:fldCharType="end"/>
    </w:r>
  </w:p>
  <w:p w14:paraId="0503D57B" w14:textId="77777777" w:rsidR="0043455E" w:rsidRDefault="004345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43455E" w:rsidRDefault="0043455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43455E" w:rsidRDefault="0043455E">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65AE07E7" w:rsidR="0043455E" w:rsidRPr="00ED1956" w:rsidRDefault="0043455E">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D47DD">
      <w:rPr>
        <w:rFonts w:ascii="Times New Roman" w:hAnsi="Times New Roman"/>
        <w:noProof/>
        <w:sz w:val="20"/>
      </w:rPr>
      <w:t>298</w:t>
    </w:r>
    <w:r>
      <w:rPr>
        <w:rFonts w:ascii="Times New Roman" w:hAnsi="Times New Roman"/>
        <w:sz w:val="20"/>
      </w:rPr>
      <w:fldChar w:fldCharType="end"/>
    </w:r>
  </w:p>
  <w:p w14:paraId="416ED6B6" w14:textId="77777777" w:rsidR="0043455E" w:rsidRPr="00A772B4" w:rsidRDefault="0043455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43455E" w:rsidRDefault="0043455E" w:rsidP="00D946DB">
      <w:pPr>
        <w:spacing w:before="0" w:after="0"/>
      </w:pPr>
      <w:r>
        <w:separator/>
      </w:r>
    </w:p>
  </w:footnote>
  <w:footnote w:type="continuationSeparator" w:id="0">
    <w:p w14:paraId="3252B889" w14:textId="77777777" w:rsidR="0043455E" w:rsidRDefault="0043455E" w:rsidP="00D946DB">
      <w:pPr>
        <w:spacing w:before="0" w:after="0"/>
      </w:pPr>
      <w:r>
        <w:continuationSeparator/>
      </w:r>
    </w:p>
  </w:footnote>
  <w:footnote w:type="continuationNotice" w:id="1">
    <w:p w14:paraId="467512DB" w14:textId="77777777" w:rsidR="0043455E" w:rsidRDefault="0043455E">
      <w:pPr>
        <w:spacing w:before="0" w:after="0"/>
      </w:pPr>
    </w:p>
  </w:footnote>
  <w:footnote w:id="2">
    <w:p w14:paraId="46598FF6" w14:textId="616F3692" w:rsidR="0043455E" w:rsidRPr="005B592F" w:rsidRDefault="0043455E"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 xml:space="preserve">Rozporządzenie delegowane Komisji (UE) </w:t>
      </w:r>
      <w:r w:rsidRPr="0043455E">
        <w:rPr>
          <w:color w:val="444444"/>
          <w:sz w:val="20"/>
        </w:rPr>
        <w:t>nr 2</w:t>
      </w:r>
      <w:r>
        <w:rPr>
          <w:color w:val="444444"/>
          <w:sz w:val="20"/>
        </w:rPr>
        <w:t>41/2014 z dnia 7 stycznia 20</w:t>
      </w:r>
      <w:r w:rsidRPr="0043455E">
        <w:rPr>
          <w:color w:val="444444"/>
          <w:sz w:val="20"/>
        </w:rPr>
        <w:t>14 r.</w:t>
      </w:r>
      <w:r>
        <w:rPr>
          <w:color w:val="444444"/>
          <w:sz w:val="20"/>
        </w:rPr>
        <w:t xml:space="preserve"> uzupełniające rozporządzenie Parlamentu Europejskiego i Rady (UE) </w:t>
      </w:r>
      <w:r w:rsidRPr="0043455E">
        <w:rPr>
          <w:color w:val="444444"/>
          <w:sz w:val="20"/>
        </w:rPr>
        <w:t>nr 5</w:t>
      </w:r>
      <w:r>
        <w:rPr>
          <w:color w:val="444444"/>
          <w:sz w:val="20"/>
        </w:rPr>
        <w:t>75/2013 w odniesieniu do regulacyjnych standardów technicznych dotyczących wymogów w zakresie funduszy własnych obowiązujących instytucje (Dz.U. L 74 z 14.3.2014, s. 8)</w:t>
      </w:r>
      <w:r>
        <w:rPr>
          <w:rStyle w:val="Emphasis"/>
          <w:color w:val="444444"/>
          <w:sz w:val="20"/>
        </w:rPr>
        <w:t>.</w:t>
      </w:r>
    </w:p>
  </w:footnote>
  <w:footnote w:id="3">
    <w:p w14:paraId="005D3DD6" w14:textId="5E77E46B" w:rsidR="0043455E" w:rsidRPr="005B592F" w:rsidRDefault="0043455E"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Siódma dyrektywa Rady 83/349/EWG z dnia 13 czerwca 19</w:t>
      </w:r>
      <w:r w:rsidRPr="0043455E">
        <w:rPr>
          <w:rFonts w:ascii="Times New Roman" w:hAnsi="Times New Roman"/>
          <w:color w:val="444444"/>
          <w:sz w:val="20"/>
        </w:rPr>
        <w:t>83 r.</w:t>
      </w:r>
      <w:r>
        <w:rPr>
          <w:rFonts w:ascii="Times New Roman" w:hAnsi="Times New Roman"/>
          <w:color w:val="444444"/>
          <w:sz w:val="20"/>
        </w:rPr>
        <w:t xml:space="preserve"> wydana na podstawie art. 54 ust. 3 lit. g) Traktatu w sprawie skonsolidowanych sprawozdań finansowych (Dz.U. L 193 z 18.7.1983, s. 1).</w:t>
      </w:r>
    </w:p>
  </w:footnote>
  <w:footnote w:id="4">
    <w:p w14:paraId="1419F291" w14:textId="461E1A1B" w:rsidR="0043455E" w:rsidRPr="005B592F" w:rsidRDefault="0043455E"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Dyrektywa Parlamentu Europejskiego i Rady 2009/65/WE z dnia 13 lipca 20</w:t>
      </w:r>
      <w:r w:rsidRPr="0043455E">
        <w:rPr>
          <w:rFonts w:ascii="Times New Roman" w:hAnsi="Times New Roman"/>
          <w:color w:val="444444"/>
          <w:sz w:val="20"/>
        </w:rPr>
        <w:t>09 r.</w:t>
      </w:r>
      <w:r>
        <w:rPr>
          <w:rFonts w:ascii="Times New Roman" w:hAnsi="Times New Roman"/>
          <w:color w:val="444444"/>
          <w:sz w:val="20"/>
        </w:rPr>
        <w:t xml:space="preserve"> w sprawie koordynacji przepisów ustawowych, wykonawczych i administracyjnych odnoszących się do przedsiębiorstw zbiorowego inwestowania w zbywalne papiery wartościowe (UCITS) (Dz.U. L 302 z 17.11.2009, s. 32).</w:t>
      </w:r>
    </w:p>
  </w:footnote>
  <w:footnote w:id="5">
    <w:p w14:paraId="427B6484" w14:textId="716F46F8" w:rsidR="0043455E" w:rsidRPr="0002267E" w:rsidRDefault="0043455E"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 xml:space="preserve">Rozporządzenie delegowane Komisji (UE) </w:t>
      </w:r>
      <w:r w:rsidRPr="0043455E">
        <w:rPr>
          <w:rFonts w:ascii="Times New Roman" w:hAnsi="Times New Roman"/>
          <w:color w:val="444444"/>
          <w:sz w:val="20"/>
        </w:rPr>
        <w:t>nr 1</w:t>
      </w:r>
      <w:r>
        <w:rPr>
          <w:rFonts w:ascii="Times New Roman" w:hAnsi="Times New Roman"/>
          <w:color w:val="444444"/>
          <w:sz w:val="20"/>
        </w:rPr>
        <w:t>152/2014 z dnia 4 czerwca 20</w:t>
      </w:r>
      <w:r w:rsidRPr="0043455E">
        <w:rPr>
          <w:rFonts w:ascii="Times New Roman" w:hAnsi="Times New Roman"/>
          <w:color w:val="444444"/>
          <w:sz w:val="20"/>
        </w:rPr>
        <w:t>14 r.</w:t>
      </w:r>
      <w:r>
        <w:rPr>
          <w:rFonts w:ascii="Times New Roman" w:hAnsi="Times New Roman"/>
          <w:color w:val="444444"/>
          <w:sz w:val="20"/>
        </w:rPr>
        <w:t xml:space="preserve"> uzupełniające dyrektywę Parlamentu Europejskiego i Rady 2013/36/UE w odniesieniu do regulacyjnych standardów technicznych dotyczących ustalania lokalizacji geograficznej odnośnych ekspozycji kredytowych na potrzeby obliczania specyficznych dla instytucji wskaźników bufora antycyklicznego (Dz.U. L 309 z 30.10.2014, s. 5).</w:t>
      </w:r>
    </w:p>
  </w:footnote>
  <w:footnote w:id="6">
    <w:p w14:paraId="12CBFADF" w14:textId="2E5A7029" w:rsidR="0043455E" w:rsidRPr="0002267E" w:rsidRDefault="0043455E"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Rozporządzenie Parlamentu Europejskiego i Rady (UE) 2017/2402 z dnia 12 grudnia 20</w:t>
      </w:r>
      <w:r w:rsidRPr="0043455E">
        <w:rPr>
          <w:rFonts w:ascii="Times New Roman" w:hAnsi="Times New Roman"/>
          <w:color w:val="444444"/>
          <w:sz w:val="20"/>
        </w:rPr>
        <w:t>17 r.</w:t>
      </w:r>
      <w:r>
        <w:rPr>
          <w:rFonts w:ascii="Times New Roman" w:hAnsi="Times New Roman"/>
          <w:color w:val="444444"/>
          <w:sz w:val="20"/>
        </w:rPr>
        <w:t xml:space="preserve"> w sprawie ustanowienia ogólnych ram dla sekurytyzacji oraz utworzenia szczególnych ram dla prostych, przejrzystych i standardowych sekurytyzacji, a także zmieniające dyrektywy 2009/65/WE, 2009/138/WE i 2011/61/UE oraz rozporządzenia (WE) </w:t>
      </w:r>
      <w:r w:rsidRPr="0043455E">
        <w:rPr>
          <w:rFonts w:ascii="Times New Roman" w:hAnsi="Times New Roman"/>
          <w:color w:val="444444"/>
          <w:sz w:val="20"/>
        </w:rPr>
        <w:t>nr 1</w:t>
      </w:r>
      <w:r>
        <w:rPr>
          <w:rFonts w:ascii="Times New Roman" w:hAnsi="Times New Roman"/>
          <w:color w:val="444444"/>
          <w:sz w:val="20"/>
        </w:rPr>
        <w:t xml:space="preserve">060/2009 i (UE) </w:t>
      </w:r>
      <w:r w:rsidRPr="0043455E">
        <w:rPr>
          <w:rFonts w:ascii="Times New Roman" w:hAnsi="Times New Roman"/>
          <w:color w:val="444444"/>
          <w:sz w:val="20"/>
        </w:rPr>
        <w:t>nr 6</w:t>
      </w:r>
      <w:r>
        <w:rPr>
          <w:rFonts w:ascii="Times New Roman" w:hAnsi="Times New Roman"/>
          <w:color w:val="444444"/>
          <w:sz w:val="20"/>
        </w:rPr>
        <w:t>48/2012 (Dz.U. L 347 z 28.12.2017, s. 35).</w:t>
      </w:r>
    </w:p>
  </w:footnote>
  <w:footnote w:id="7">
    <w:p w14:paraId="3663FDAD" w14:textId="08047796" w:rsidR="0043455E" w:rsidRPr="002409C1" w:rsidRDefault="0043455E"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„Jednostki samodzielne” nie należą do grupy skonsolidowanej, ani nie konsolidują się samodzielnie w tym samym państwie, w którym podlegają wymogom w zakresie funduszy własnych.</w:t>
      </w:r>
    </w:p>
  </w:footnote>
  <w:footnote w:id="8">
    <w:p w14:paraId="3507A652" w14:textId="2A7D78B3" w:rsidR="0043455E" w:rsidRPr="00B828CC" w:rsidRDefault="0043455E">
      <w:pPr>
        <w:pStyle w:val="FootnoteText"/>
      </w:pPr>
      <w:r>
        <w:rPr>
          <w:rStyle w:val="FootnoteReference"/>
        </w:rPr>
        <w:footnoteRef/>
      </w:r>
      <w:r>
        <w:t xml:space="preserve"> </w:t>
      </w:r>
      <w:r>
        <w:rPr>
          <w:rFonts w:ascii="Times New Roman" w:hAnsi="Times New Roman"/>
          <w:sz w:val="20"/>
        </w:rPr>
        <w:t xml:space="preserve">Rozporządzenie delegowane Komisji (UE) </w:t>
      </w:r>
      <w:r w:rsidRPr="0043455E">
        <w:rPr>
          <w:rFonts w:ascii="Times New Roman" w:hAnsi="Times New Roman"/>
          <w:sz w:val="20"/>
        </w:rPr>
        <w:t>nr 5</w:t>
      </w:r>
      <w:r>
        <w:rPr>
          <w:rFonts w:ascii="Times New Roman" w:hAnsi="Times New Roman"/>
          <w:sz w:val="20"/>
        </w:rPr>
        <w:t>25/2014 z dnia 12 marca 20</w:t>
      </w:r>
      <w:r w:rsidRPr="0043455E">
        <w:rPr>
          <w:rFonts w:ascii="Times New Roman" w:hAnsi="Times New Roman"/>
          <w:sz w:val="20"/>
        </w:rPr>
        <w:t>14 r.</w:t>
      </w:r>
      <w:r>
        <w:rPr>
          <w:rFonts w:ascii="Times New Roman" w:hAnsi="Times New Roman"/>
          <w:sz w:val="20"/>
        </w:rPr>
        <w:t xml:space="preserve"> uzupełniające rozporządzenie Parlamentu Europejskiego i Rady (UE) </w:t>
      </w:r>
      <w:r w:rsidRPr="0043455E">
        <w:rPr>
          <w:rFonts w:ascii="Times New Roman" w:hAnsi="Times New Roman"/>
          <w:sz w:val="20"/>
        </w:rPr>
        <w:t>nr 5</w:t>
      </w:r>
      <w:r>
        <w:rPr>
          <w:rFonts w:ascii="Times New Roman" w:hAnsi="Times New Roman"/>
          <w:sz w:val="20"/>
        </w:rPr>
        <w:t>75/2013 w odniesieniu do regulacyjnych standardów technicznych dotyczących definicji rynku (Dz.U. L 148 z 20.5.2014, s. 15)</w:t>
      </w:r>
      <w:r>
        <w:rPr>
          <w:rFonts w:ascii="Times New Roman" w:hAnsi="Times New Roman"/>
          <w:i/>
          <w:sz w:val="20"/>
        </w:rPr>
        <w:t>.</w:t>
      </w:r>
    </w:p>
  </w:footnote>
  <w:footnote w:id="9">
    <w:p w14:paraId="018474C7" w14:textId="4F069BC2" w:rsidR="0043455E" w:rsidRPr="00A11C6E" w:rsidRDefault="0043455E">
      <w:pPr>
        <w:pStyle w:val="FootnoteText"/>
      </w:pPr>
      <w:r>
        <w:rPr>
          <w:rStyle w:val="FootnoteReference"/>
        </w:rPr>
        <w:footnoteRef/>
      </w:r>
      <w:r>
        <w:t xml:space="preserve"> Rozporządzenie wykonawcze Komisji (UE) </w:t>
      </w:r>
      <w:r w:rsidRPr="0043455E">
        <w:t>nr 9</w:t>
      </w:r>
      <w:r>
        <w:t>45/2014 z dnia 4 września 20</w:t>
      </w:r>
      <w:r w:rsidRPr="0043455E">
        <w:t>14 r.</w:t>
      </w:r>
      <w:r>
        <w:t xml:space="preserve"> ustanawiające wykonawcze standardy techniczne dotyczące stosownych indeksów o odpowiednim poziomie dywersyfikacji zgodnie z rozporządzeniem Parlamentu Europejskiego i Rady (UE) </w:t>
      </w:r>
      <w:r w:rsidRPr="0043455E">
        <w:t>nr 5</w:t>
      </w:r>
      <w:r>
        <w:t>75/2013.</w:t>
      </w:r>
    </w:p>
  </w:footnote>
  <w:footnote w:id="10">
    <w:p w14:paraId="5180B9BA" w14:textId="06DBCDF0" w:rsidR="0043455E" w:rsidRPr="00B828CC" w:rsidRDefault="0043455E">
      <w:pPr>
        <w:pStyle w:val="FootnoteText"/>
      </w:pPr>
      <w:r>
        <w:rPr>
          <w:rStyle w:val="FootnoteReference"/>
        </w:rPr>
        <w:footnoteRef/>
      </w:r>
      <w:r>
        <w:t xml:space="preserve"> Rozporządzenie delegowane Komisji (UE) 2016/101 z dnia 26 października 20</w:t>
      </w:r>
      <w:r w:rsidRPr="0043455E">
        <w:t>15 r.</w:t>
      </w:r>
      <w:r>
        <w:t xml:space="preserve"> uzupełniające rozporządzenie Parlamentu Europejskiego i Rady (UE) </w:t>
      </w:r>
      <w:r w:rsidRPr="0043455E">
        <w:t>nr 5</w:t>
      </w:r>
      <w:r>
        <w:t>75/2013 w odniesieniu do regulacyjnych standardów technicznych dotyczących ostrożnej wyceny zgodnie z art. 105 ust. 14 (Dz.U. L 21 z 28.1.2016, s. 54).</w:t>
      </w:r>
    </w:p>
  </w:footnote>
  <w:footnote w:id="11">
    <w:p w14:paraId="526200B1" w14:textId="3BA4C532" w:rsidR="0043455E" w:rsidRPr="009B688D" w:rsidRDefault="0043455E"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 xml:space="preserve">Rozporządzenie (WE) </w:t>
      </w:r>
      <w:r w:rsidRPr="0043455E">
        <w:rPr>
          <w:sz w:val="20"/>
        </w:rPr>
        <w:t>nr 1</w:t>
      </w:r>
      <w:r>
        <w:rPr>
          <w:sz w:val="20"/>
        </w:rPr>
        <w:t>606/2002 Parlamentu Europejskiego i Rady z dnia 19 lipca 20</w:t>
      </w:r>
      <w:r w:rsidRPr="0043455E">
        <w:rPr>
          <w:sz w:val="20"/>
        </w:rPr>
        <w:t>02 r.</w:t>
      </w:r>
      <w:r>
        <w:rPr>
          <w:sz w:val="20"/>
        </w:rPr>
        <w:t xml:space="preserve"> w sprawie stosowania międzynarodowych standardów rachunkowości </w:t>
      </w:r>
      <w:r>
        <w:rPr>
          <w:rStyle w:val="Emphasis"/>
          <w:i w:val="0"/>
          <w:sz w:val="20"/>
        </w:rPr>
        <w:t>(Dz.U. L 243 z 11.9.2002, s. 1)</w:t>
      </w:r>
      <w:r>
        <w:rPr>
          <w:sz w:val="20"/>
        </w:rPr>
        <w:t>.</w:t>
      </w:r>
    </w:p>
    <w:p w14:paraId="14C16FBA" w14:textId="77777777" w:rsidR="0043455E" w:rsidRPr="0016282F" w:rsidRDefault="0043455E" w:rsidP="0016282F">
      <w:pPr>
        <w:pStyle w:val="FootnoteText"/>
        <w:ind w:left="567" w:hanging="567"/>
      </w:pPr>
    </w:p>
  </w:footnote>
  <w:footnote w:id="12">
    <w:p w14:paraId="3B6054DF" w14:textId="7C353F23" w:rsidR="0043455E" w:rsidRPr="00535792" w:rsidRDefault="0043455E"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Dyrektywa Parlamentu Europejskiego i Rady 2013/34/UE w sprawie rocznych sprawozdań finansowych, skonsolidowanych sprawozdań finansowych i powiązanych sprawozdań niektórych rodzajów jednostek, zmieniająca dyrektywę Parlamentu Europejskiego i Rady 2006/43/WE oraz uchylająca dyrektywy Rady 78/660/EWG i 83/349/EWG (Dz.U. L 182 z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43455E" w:rsidRDefault="0043455E">
    <w:pPr>
      <w:pStyle w:val="Header"/>
    </w:pPr>
    <w:r>
      <w:rPr>
        <w:noProof/>
        <w:lang w:eastAsia="pl-PL"/>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43455E" w:rsidRPr="003B6094" w:rsidRDefault="0043455E">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UNB – Standardowe wykorzystani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CvgST6PgIAAGYEAAAOAAAAAAAA&#10;AAAAAAAAAC4CAABkcnMvZTJvRG9jLnhtbFBLAQItABQABgAIAAAAIQA0gToW2gAAAAMBAAAPAAAA&#10;AAAAAAAAAAAAAJgEAABkcnMvZG93bnJldi54bWxQSwUGAAAAAAQABADzAAAAnwUAAAAA&#10;" filled="f" stroked="f">
              <v:textbox style="mso-fit-shape-to-text:t" inset="5pt,0,0,0">
                <w:txbxContent>
                  <w:p w14:paraId="65175392" w14:textId="4AEDF1D6" w:rsidR="0043455E" w:rsidRPr="003B6094" w:rsidRDefault="0043455E">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43455E" w:rsidRDefault="0043455E">
    <w:pPr>
      <w:pStyle w:val="Header"/>
    </w:pPr>
    <w:r>
      <w:rPr>
        <w:noProof/>
        <w:lang w:eastAsia="pl-PL"/>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43455E" w:rsidRPr="003B6094" w:rsidRDefault="0043455E">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UNB – Standardowe wykorzystani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b1BuJQQIAAG0EAAAOAAAA&#10;AAAAAAAAAAAAAC4CAABkcnMvZTJvRG9jLnhtbFBLAQItABQABgAIAAAAIQA0gToW2gAAAAMBAAAP&#10;AAAAAAAAAAAAAAAAAJsEAABkcnMvZG93bnJldi54bWxQSwUGAAAAAAQABADzAAAAogUAAAAA&#10;" filled="f" stroked="f">
              <v:textbox style="mso-fit-shape-to-text:t" inset="5pt,0,0,0">
                <w:txbxContent>
                  <w:p w14:paraId="5E3DFA35" w14:textId="0AB4BE24" w:rsidR="0043455E" w:rsidRPr="003B6094" w:rsidRDefault="0043455E">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43455E" w:rsidRDefault="0043455E">
    <w:pPr>
      <w:pStyle w:val="Header"/>
    </w:pPr>
    <w:r>
      <w:rPr>
        <w:noProof/>
        <w:lang w:eastAsia="pl-PL"/>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43455E" w:rsidRPr="003B6094" w:rsidRDefault="0043455E">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UNB – Standardowe wykorzystani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sXwPkICAABtBAAADgAA&#10;AAAAAAAAAAAAAAAuAgAAZHJzL2Uyb0RvYy54bWxQSwECLQAUAAYACAAAACEANIE6FtoAAAADAQAA&#10;DwAAAAAAAAAAAAAAAACcBAAAZHJzL2Rvd25yZXYueG1sUEsFBgAAAAAEAAQA8wAAAKMFAAAAAA==&#10;" filled="f" stroked="f">
              <v:textbox style="mso-fit-shape-to-text:t" inset="5pt,0,0,0">
                <w:txbxContent>
                  <w:p w14:paraId="26EFF338" w14:textId="5E526244" w:rsidR="0043455E" w:rsidRPr="003B6094" w:rsidRDefault="0043455E">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43455E" w:rsidRDefault="0043455E">
    <w:pPr>
      <w:rPr>
        <w:rFonts w:ascii="Arial" w:hAnsi="Arial" w:cs="Arial"/>
      </w:rPr>
    </w:pPr>
    <w:r>
      <w:rPr>
        <w:rFonts w:ascii="Arial" w:hAnsi="Arial"/>
        <w:noProof/>
        <w:lang w:eastAsia="pl-PL"/>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43455E" w:rsidRPr="003B6094" w:rsidRDefault="0043455E">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UNB – Standardowe wykorzystani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mxU9WkICAABtBAAADgAA&#10;AAAAAAAAAAAAAAAuAgAAZHJzL2Uyb0RvYy54bWxQSwECLQAUAAYACAAAACEANIE6FtoAAAADAQAA&#10;DwAAAAAAAAAAAAAAAACcBAAAZHJzL2Rvd25yZXYueG1sUEsFBgAAAAAEAAQA8wAAAKMFAAAAAA==&#10;" filled="f" stroked="f">
              <v:textbox style="mso-fit-shape-to-text:t" inset="5pt,0,0,0">
                <w:txbxContent>
                  <w:p w14:paraId="338E9168" w14:textId="7F6D1353" w:rsidR="0043455E" w:rsidRPr="003B6094" w:rsidRDefault="0043455E">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A9943998"/>
    <w:lvl w:ilvl="0" w:tplc="236EA62C">
      <w:start w:val="1"/>
      <w:numFmt w:val="decimal"/>
      <w:pStyle w:val="InstructionsText2"/>
      <w:lvlText w:val="%1."/>
      <w:lvlJc w:val="left"/>
      <w:pPr>
        <w:ind w:left="1353" w:hanging="360"/>
      </w:pPr>
      <w:rPr>
        <w:rFonts w:cs="Times New Roman"/>
      </w:rPr>
    </w:lvl>
    <w:lvl w:ilvl="1" w:tplc="08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9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455E"/>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6B6"/>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7DD"/>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6936"/>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537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EF7528"/>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9985"/>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aliases w:val="Title 2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l-P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D379D9-5970-408A-BAAB-8CBD98A3F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300</Pages>
  <Words>94064</Words>
  <Characters>595431</Characters>
  <Application>Microsoft Office Word</Application>
  <DocSecurity>0</DocSecurity>
  <Lines>14522</Lines>
  <Paragraphs>7413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682082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11</cp:revision>
  <dcterms:created xsi:type="dcterms:W3CDTF">2022-10-04T08:37:00Z</dcterms:created>
  <dcterms:modified xsi:type="dcterms:W3CDTF">2022-11-11T12:37:00Z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