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w:t>
      </w:r>
      <w:r w:rsidR="00290B0A" w:rsidRPr="000E60D6">
        <w:rPr>
          <w:rFonts w:ascii="Times New Roman" w:hAnsi="Times New Roman"/>
          <w:b/>
          <w:color w:val="000000" w:themeColor="text1"/>
          <w:sz w:val="20"/>
          <w:szCs w:val="20"/>
        </w:rPr>
        <w:t>A</w:t>
      </w:r>
      <w:r w:rsidR="00290B0A">
        <w:rPr>
          <w:rFonts w:ascii="Times New Roman" w:hAnsi="Times New Roman"/>
          <w:b/>
          <w:color w:val="000000" w:themeColor="text1"/>
          <w:sz w:val="20"/>
          <w:szCs w:val="20"/>
        </w:rPr>
        <w:t>NNEX</w:t>
      </w:r>
      <w:r w:rsidR="00290B0A" w:rsidRPr="000E60D6">
        <w:rPr>
          <w:rFonts w:ascii="Times New Roman" w:hAnsi="Times New Roman"/>
          <w:b/>
          <w:color w:val="000000" w:themeColor="text1"/>
          <w:sz w:val="20"/>
          <w:szCs w:val="20"/>
        </w:rPr>
        <w:t xml:space="preserve"> </w:t>
      </w:r>
      <w:r w:rsidR="0088603C" w:rsidRPr="000E60D6">
        <w:rPr>
          <w:rFonts w:ascii="Times New Roman" w:hAnsi="Times New Roman"/>
          <w:b/>
          <w:color w:val="000000" w:themeColor="text1"/>
          <w:sz w:val="20"/>
          <w:szCs w:val="20"/>
        </w:rPr>
        <w:t>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sidRPr="000E60D6">
        <w:rPr>
          <w:rFonts w:ascii="Times New Roman" w:hAnsi="Times New Roman"/>
          <w:b/>
          <w:color w:val="000000" w:themeColor="text1"/>
          <w:sz w:val="20"/>
          <w:szCs w:val="20"/>
        </w:rPr>
        <w:t>Instructions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0B755F4" w14:textId="1EC508DB" w:rsidR="00421CDC" w:rsidRPr="00D92B3C" w:rsidRDefault="001D258F">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00C673AC"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509909032" w:history="1">
        <w:r w:rsidR="00421CDC" w:rsidRPr="00D92B3C">
          <w:rPr>
            <w:rStyle w:val="Hyperlink"/>
            <w:rFonts w:ascii="Times New Roman" w:hAnsi="Times New Roman" w:cs="Times New Roman"/>
            <w:lang w:val="en-GB"/>
          </w:rPr>
          <w:t>I.</w:t>
        </w:r>
        <w:r w:rsidR="00421CDC" w:rsidRPr="00D92B3C">
          <w:rPr>
            <w:lang w:val="en-GB" w:eastAsia="en-GB"/>
          </w:rPr>
          <w:tab/>
        </w:r>
        <w:r w:rsidR="00421CDC" w:rsidRPr="00D92B3C">
          <w:rPr>
            <w:rStyle w:val="Hyperlink"/>
            <w:rFonts w:ascii="Times New Roman" w:hAnsi="Times New Roman" w:cs="Times New Roman"/>
            <w:lang w:val="en-GB"/>
          </w:rPr>
          <w:t>General instructions</w:t>
        </w:r>
        <w:r w:rsidR="00421CDC" w:rsidRPr="00D92B3C">
          <w:rPr>
            <w:webHidden/>
            <w:lang w:val="en-GB"/>
          </w:rPr>
          <w:tab/>
        </w:r>
        <w:r w:rsidRPr="00D92B3C">
          <w:rPr>
            <w:webHidden/>
            <w:lang w:val="en-GB"/>
          </w:rPr>
          <w:fldChar w:fldCharType="begin"/>
        </w:r>
        <w:r w:rsidR="00421CDC" w:rsidRPr="00D92B3C">
          <w:rPr>
            <w:webHidden/>
            <w:lang w:val="en-GB"/>
          </w:rPr>
          <w:instrText xml:space="preserve"> PAGEREF _Toc509909032 \h </w:instrText>
        </w:r>
        <w:r w:rsidRPr="00D92B3C">
          <w:rPr>
            <w:webHidden/>
            <w:lang w:val="en-GB"/>
          </w:rPr>
        </w:r>
        <w:r w:rsidRPr="00D92B3C">
          <w:rPr>
            <w:webHidden/>
            <w:lang w:val="en-GB"/>
          </w:rPr>
          <w:fldChar w:fldCharType="separate"/>
        </w:r>
        <w:r w:rsidR="00A72513">
          <w:rPr>
            <w:webHidden/>
            <w:lang w:val="en-GB"/>
          </w:rPr>
          <w:t>2</w:t>
        </w:r>
        <w:r w:rsidRPr="00D92B3C">
          <w:rPr>
            <w:webHidden/>
            <w:lang w:val="en-GB"/>
          </w:rPr>
          <w:fldChar w:fldCharType="end"/>
        </w:r>
      </w:hyperlink>
    </w:p>
    <w:p w14:paraId="4469724B" w14:textId="2334D292" w:rsidR="00421CDC" w:rsidRPr="00D92B3C" w:rsidRDefault="0075382A">
      <w:pPr>
        <w:pStyle w:val="TOC2"/>
        <w:rPr>
          <w:lang w:val="en-GB" w:eastAsia="en-GB"/>
        </w:rPr>
      </w:pPr>
      <w:hyperlink w:anchor="_Toc509909033" w:history="1">
        <w:r w:rsidR="00421CDC" w:rsidRPr="00D92B3C">
          <w:rPr>
            <w:rStyle w:val="Hyperlink"/>
            <w:rFonts w:ascii="Times New Roman" w:hAnsi="Times New Roman" w:cs="Times New Roman"/>
            <w:lang w:val="en-GB"/>
          </w:rPr>
          <w:t>I.1</w:t>
        </w:r>
        <w:r w:rsidR="00421CDC" w:rsidRPr="00D92B3C">
          <w:rPr>
            <w:lang w:val="en-GB" w:eastAsia="en-GB"/>
          </w:rPr>
          <w:tab/>
        </w:r>
        <w:r w:rsidR="00421CDC" w:rsidRPr="00D92B3C">
          <w:rPr>
            <w:rStyle w:val="Hyperlink"/>
            <w:rFonts w:ascii="Times New Roman" w:hAnsi="Times New Roman" w:cs="Times New Roman"/>
            <w:lang w:val="en-GB"/>
          </w:rPr>
          <w:t>Structure</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_Toc509909033 \h </w:instrText>
        </w:r>
        <w:r w:rsidR="001D258F" w:rsidRPr="00D92B3C">
          <w:rPr>
            <w:webHidden/>
            <w:lang w:val="en-GB"/>
          </w:rPr>
        </w:r>
        <w:r w:rsidR="001D258F" w:rsidRPr="00D92B3C">
          <w:rPr>
            <w:webHidden/>
            <w:lang w:val="en-GB"/>
          </w:rPr>
          <w:fldChar w:fldCharType="separate"/>
        </w:r>
        <w:r w:rsidR="00A72513">
          <w:rPr>
            <w:webHidden/>
            <w:lang w:val="en-GB"/>
          </w:rPr>
          <w:t>2</w:t>
        </w:r>
        <w:r w:rsidR="001D258F" w:rsidRPr="00D92B3C">
          <w:rPr>
            <w:webHidden/>
            <w:lang w:val="en-GB"/>
          </w:rPr>
          <w:fldChar w:fldCharType="end"/>
        </w:r>
      </w:hyperlink>
    </w:p>
    <w:p w14:paraId="1C527C71" w14:textId="5299B09B" w:rsidR="00421CDC" w:rsidRPr="00D92B3C" w:rsidRDefault="0075382A">
      <w:pPr>
        <w:pStyle w:val="TOC2"/>
        <w:rPr>
          <w:lang w:val="en-GB" w:eastAsia="en-GB"/>
        </w:rPr>
      </w:pPr>
      <w:hyperlink w:anchor="_Toc509909034" w:history="1">
        <w:r w:rsidR="00421CDC" w:rsidRPr="00D92B3C">
          <w:rPr>
            <w:rStyle w:val="Hyperlink"/>
            <w:rFonts w:ascii="Times New Roman" w:hAnsi="Times New Roman" w:cs="Times New Roman"/>
            <w:lang w:val="en-GB"/>
          </w:rPr>
          <w:t>I.2</w:t>
        </w:r>
        <w:r w:rsidR="00421CDC" w:rsidRPr="00D92B3C">
          <w:rPr>
            <w:lang w:val="en-GB" w:eastAsia="en-GB"/>
          </w:rPr>
          <w:tab/>
        </w:r>
        <w:r w:rsidR="00421CDC" w:rsidRPr="00D92B3C">
          <w:rPr>
            <w:rStyle w:val="Hyperlink"/>
            <w:rFonts w:ascii="Times New Roman" w:hAnsi="Times New Roman" w:cs="Times New Roman"/>
            <w:lang w:val="en-GB"/>
          </w:rPr>
          <w:t>References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_Toc509909034 \h </w:instrText>
        </w:r>
        <w:r w:rsidR="001D258F" w:rsidRPr="00D92B3C">
          <w:rPr>
            <w:webHidden/>
            <w:lang w:val="en-GB"/>
          </w:rPr>
        </w:r>
        <w:r w:rsidR="001D258F" w:rsidRPr="00D92B3C">
          <w:rPr>
            <w:webHidden/>
            <w:lang w:val="en-GB"/>
          </w:rPr>
          <w:fldChar w:fldCharType="separate"/>
        </w:r>
        <w:r w:rsidR="00A72513">
          <w:rPr>
            <w:webHidden/>
            <w:lang w:val="en-GB"/>
          </w:rPr>
          <w:t>2</w:t>
        </w:r>
        <w:r w:rsidR="001D258F" w:rsidRPr="00D92B3C">
          <w:rPr>
            <w:webHidden/>
            <w:lang w:val="en-GB"/>
          </w:rPr>
          <w:fldChar w:fldCharType="end"/>
        </w:r>
      </w:hyperlink>
    </w:p>
    <w:p w14:paraId="237CC2AF" w14:textId="624B1DFD" w:rsidR="00421CDC" w:rsidRPr="00D92B3C" w:rsidRDefault="0075382A">
      <w:pPr>
        <w:pStyle w:val="TOC2"/>
        <w:rPr>
          <w:lang w:val="en-GB" w:eastAsia="en-GB"/>
        </w:rPr>
      </w:pPr>
      <w:hyperlink w:anchor="_Toc509909035" w:history="1">
        <w:r w:rsidR="00421CDC" w:rsidRPr="00D92B3C">
          <w:rPr>
            <w:rStyle w:val="Hyperlink"/>
            <w:rFonts w:ascii="Times New Roman" w:hAnsi="Times New Roman" w:cs="Times New Roman"/>
            <w:lang w:val="en-GB"/>
          </w:rPr>
          <w:t>I.3</w:t>
        </w:r>
        <w:r w:rsidR="00421CDC" w:rsidRPr="00D92B3C">
          <w:rPr>
            <w:lang w:val="en-GB" w:eastAsia="en-GB"/>
          </w:rPr>
          <w:tab/>
        </w:r>
        <w:r w:rsidR="00421CDC" w:rsidRPr="00D92B3C">
          <w:rPr>
            <w:rStyle w:val="Hyperlink"/>
            <w:rFonts w:ascii="Times New Roman" w:hAnsi="Times New Roman" w:cs="Times New Roman"/>
            <w:lang w:val="en-GB"/>
          </w:rPr>
          <w:t>Accounting standards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_Toc509909035 \h </w:instrText>
        </w:r>
        <w:r w:rsidR="001D258F" w:rsidRPr="00D92B3C">
          <w:rPr>
            <w:webHidden/>
            <w:lang w:val="en-GB"/>
          </w:rPr>
        </w:r>
        <w:r w:rsidR="001D258F" w:rsidRPr="00D92B3C">
          <w:rPr>
            <w:webHidden/>
            <w:lang w:val="en-GB"/>
          </w:rPr>
          <w:fldChar w:fldCharType="separate"/>
        </w:r>
        <w:r w:rsidR="00A72513">
          <w:rPr>
            <w:webHidden/>
            <w:lang w:val="en-GB"/>
          </w:rPr>
          <w:t>3</w:t>
        </w:r>
        <w:r w:rsidR="001D258F" w:rsidRPr="00D92B3C">
          <w:rPr>
            <w:webHidden/>
            <w:lang w:val="en-GB"/>
          </w:rPr>
          <w:fldChar w:fldCharType="end"/>
        </w:r>
      </w:hyperlink>
    </w:p>
    <w:p w14:paraId="04457FEE" w14:textId="1F9749E9" w:rsidR="00421CDC" w:rsidRPr="00D92B3C" w:rsidRDefault="0075382A">
      <w:pPr>
        <w:pStyle w:val="TOC2"/>
        <w:rPr>
          <w:lang w:val="en-GB" w:eastAsia="en-GB"/>
        </w:rPr>
      </w:pPr>
      <w:hyperlink w:anchor="_Toc509909036" w:history="1">
        <w:r w:rsidR="00421CDC" w:rsidRPr="00D92B3C">
          <w:rPr>
            <w:rStyle w:val="Hyperlink"/>
            <w:rFonts w:ascii="Times New Roman" w:hAnsi="Times New Roman" w:cs="Times New Roman"/>
            <w:lang w:val="en-GB"/>
          </w:rPr>
          <w:t>I.4</w:t>
        </w:r>
        <w:r w:rsidR="00421CDC" w:rsidRPr="00D92B3C">
          <w:rPr>
            <w:lang w:val="en-GB" w:eastAsia="en-GB"/>
          </w:rPr>
          <w:tab/>
        </w:r>
        <w:r w:rsidR="00421CDC" w:rsidRPr="00D92B3C">
          <w:rPr>
            <w:rStyle w:val="Hyperlink"/>
            <w:rFonts w:ascii="Times New Roman" w:hAnsi="Times New Roman" w:cs="Times New Roman"/>
            <w:lang w:val="en-GB"/>
          </w:rPr>
          <w:t>Scope of consolidation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_Toc509909036 \h </w:instrText>
        </w:r>
        <w:r w:rsidR="001D258F" w:rsidRPr="00D92B3C">
          <w:rPr>
            <w:webHidden/>
            <w:lang w:val="en-GB"/>
          </w:rPr>
        </w:r>
        <w:r w:rsidR="001D258F" w:rsidRPr="00D92B3C">
          <w:rPr>
            <w:webHidden/>
            <w:lang w:val="en-GB"/>
          </w:rPr>
          <w:fldChar w:fldCharType="separate"/>
        </w:r>
        <w:r w:rsidR="00A72513">
          <w:rPr>
            <w:webHidden/>
            <w:lang w:val="en-GB"/>
          </w:rPr>
          <w:t>3</w:t>
        </w:r>
        <w:r w:rsidR="001D258F" w:rsidRPr="00D92B3C">
          <w:rPr>
            <w:webHidden/>
            <w:lang w:val="en-GB"/>
          </w:rPr>
          <w:fldChar w:fldCharType="end"/>
        </w:r>
      </w:hyperlink>
    </w:p>
    <w:p w14:paraId="79498475" w14:textId="67FEE872" w:rsidR="00421CDC" w:rsidRPr="00D92B3C" w:rsidRDefault="0075382A">
      <w:pPr>
        <w:pStyle w:val="TOC2"/>
        <w:rPr>
          <w:lang w:val="en-GB" w:eastAsia="en-GB"/>
        </w:rPr>
      </w:pPr>
      <w:hyperlink w:anchor="_Toc509909037" w:history="1">
        <w:r w:rsidR="00421CDC" w:rsidRPr="00D92B3C">
          <w:rPr>
            <w:rStyle w:val="Hyperlink"/>
            <w:rFonts w:ascii="Times New Roman" w:hAnsi="Times New Roman" w:cs="Times New Roman"/>
            <w:lang w:val="en-GB"/>
          </w:rPr>
          <w:t>I.5</w:t>
        </w:r>
        <w:r w:rsidR="00421CDC" w:rsidRPr="00D92B3C">
          <w:rPr>
            <w:lang w:val="en-GB" w:eastAsia="en-GB"/>
          </w:rPr>
          <w:tab/>
        </w:r>
        <w:r w:rsidR="00421CDC" w:rsidRPr="00D92B3C">
          <w:rPr>
            <w:rStyle w:val="Hyperlink"/>
            <w:rFonts w:ascii="Times New Roman" w:hAnsi="Times New Roman" w:cs="Times New Roman"/>
            <w:lang w:val="en-GB"/>
          </w:rPr>
          <w:t>Numbering and other conventions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_Toc509909037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146B62C9" w14:textId="44F68959" w:rsidR="00421CDC" w:rsidRPr="00D92B3C" w:rsidRDefault="0075382A">
      <w:pPr>
        <w:pStyle w:val="TOC2"/>
        <w:rPr>
          <w:lang w:val="en-GB" w:eastAsia="en-GB"/>
        </w:rPr>
      </w:pPr>
      <w:hyperlink w:anchor="_Toc509909038" w:history="1">
        <w:r w:rsidR="00421CDC" w:rsidRPr="00D92B3C">
          <w:rPr>
            <w:rStyle w:val="Hyperlink"/>
            <w:rFonts w:ascii="Times New Roman" w:hAnsi="Times New Roman" w:cs="Times New Roman"/>
            <w:lang w:val="en-GB"/>
          </w:rPr>
          <w:t>II.</w:t>
        </w:r>
        <w:r w:rsidR="00421CDC" w:rsidRPr="00D92B3C">
          <w:rPr>
            <w:lang w:val="en-GB" w:eastAsia="en-GB"/>
          </w:rPr>
          <w:tab/>
        </w:r>
        <w:r w:rsidR="00421CDC" w:rsidRPr="00D92B3C">
          <w:rPr>
            <w:rStyle w:val="Hyperlink"/>
            <w:rFonts w:ascii="Times New Roman" w:hAnsi="Times New Roman" w:cs="Times New Roman"/>
            <w:lang w:val="en-GB"/>
          </w:rPr>
          <w:t>Template-related instructions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_Toc509909038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76B96A3F" w14:textId="2ED191CA" w:rsidR="00421CDC" w:rsidRPr="00D92B3C" w:rsidRDefault="0075382A">
      <w:pPr>
        <w:pStyle w:val="TOC2"/>
        <w:rPr>
          <w:lang w:val="en-GB" w:eastAsia="en-GB"/>
        </w:rPr>
      </w:pPr>
      <w:hyperlink w:anchor="_Toc509909039" w:history="1">
        <w:r w:rsidR="00421CDC" w:rsidRPr="00D92B3C">
          <w:rPr>
            <w:rStyle w:val="Hyperlink"/>
            <w:rFonts w:ascii="Times New Roman" w:hAnsi="Times New Roman" w:cs="Times New Roman"/>
            <w:lang w:val="en-GB"/>
          </w:rPr>
          <w:t>II.1</w:t>
        </w:r>
        <w:r w:rsidR="00421CDC" w:rsidRPr="00D92B3C">
          <w:rPr>
            <w:lang w:val="en-GB" w:eastAsia="en-GB"/>
          </w:rPr>
          <w:tab/>
        </w:r>
        <w:r w:rsidR="00421CDC" w:rsidRPr="00D92B3C">
          <w:rPr>
            <w:rStyle w:val="Hyperlink"/>
            <w:rFonts w:ascii="Times New Roman" w:hAnsi="Times New Roman" w:cs="Times New Roman"/>
            <w:lang w:val="en-GB"/>
          </w:rPr>
          <w:t>Z 01.00 - Organisational structure (ORG)</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_Toc509909039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422DD9B0" w14:textId="35999C72" w:rsidR="00421CDC" w:rsidRPr="00D92B3C" w:rsidRDefault="0075382A">
      <w:pPr>
        <w:pStyle w:val="TOC2"/>
        <w:rPr>
          <w:lang w:val="en-GB" w:eastAsia="en-GB"/>
        </w:rPr>
      </w:pPr>
      <w:hyperlink w:anchor="_Toc509909040" w:history="1">
        <w:r w:rsidR="00421CDC" w:rsidRPr="00D92B3C">
          <w:rPr>
            <w:rStyle w:val="Hyperlink"/>
            <w:rFonts w:ascii="Times New Roman" w:hAnsi="Times New Roman" w:cs="Times New Roman"/>
            <w:lang w:val="en-GB"/>
          </w:rPr>
          <w:t>II.2</w:t>
        </w:r>
        <w:r w:rsidR="00421CDC" w:rsidRPr="00D92B3C">
          <w:rPr>
            <w:lang w:val="en-GB" w:eastAsia="en-GB"/>
          </w:rPr>
          <w:tab/>
        </w:r>
        <w:r w:rsidR="00421CDC" w:rsidRPr="00D92B3C">
          <w:rPr>
            <w:rStyle w:val="Hyperlink"/>
            <w:rFonts w:ascii="Times New Roman" w:hAnsi="Times New Roman" w:cs="Times New Roman"/>
            <w:lang w:val="en-GB"/>
          </w:rPr>
          <w:t>Z 02.00 - Liability Structure (LIAB)</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_Toc509909040 \h </w:instrText>
        </w:r>
        <w:r w:rsidR="001D258F" w:rsidRPr="00D92B3C">
          <w:rPr>
            <w:webHidden/>
            <w:lang w:val="en-GB"/>
          </w:rPr>
        </w:r>
        <w:r w:rsidR="001D258F" w:rsidRPr="00D92B3C">
          <w:rPr>
            <w:webHidden/>
            <w:lang w:val="en-GB"/>
          </w:rPr>
          <w:fldChar w:fldCharType="separate"/>
        </w:r>
        <w:r w:rsidR="00A72513">
          <w:rPr>
            <w:webHidden/>
            <w:lang w:val="en-GB"/>
          </w:rPr>
          <w:t>7</w:t>
        </w:r>
        <w:r w:rsidR="001D258F" w:rsidRPr="00D92B3C">
          <w:rPr>
            <w:webHidden/>
            <w:lang w:val="en-GB"/>
          </w:rPr>
          <w:fldChar w:fldCharType="end"/>
        </w:r>
      </w:hyperlink>
    </w:p>
    <w:p w14:paraId="740516DE" w14:textId="41FCD400" w:rsidR="00421CDC" w:rsidRPr="00D92B3C" w:rsidRDefault="0075382A">
      <w:pPr>
        <w:pStyle w:val="TOC2"/>
        <w:rPr>
          <w:lang w:val="en-GB" w:eastAsia="en-GB"/>
        </w:rPr>
      </w:pPr>
      <w:hyperlink w:anchor="_Toc509909041" w:history="1">
        <w:r w:rsidR="00421CDC" w:rsidRPr="00D92B3C">
          <w:rPr>
            <w:rStyle w:val="Hyperlink"/>
            <w:rFonts w:ascii="Times New Roman" w:hAnsi="Times New Roman" w:cs="Times New Roman"/>
            <w:lang w:val="en-GB"/>
          </w:rPr>
          <w:t>II.3</w:t>
        </w:r>
        <w:r w:rsidR="00421CDC" w:rsidRPr="00D92B3C">
          <w:rPr>
            <w:lang w:val="en-GB" w:eastAsia="en-GB"/>
          </w:rPr>
          <w:tab/>
        </w:r>
        <w:r w:rsidR="00421CDC" w:rsidRPr="00D92B3C">
          <w:rPr>
            <w:rStyle w:val="Hyperlink"/>
            <w:rFonts w:ascii="Times New Roman" w:hAnsi="Times New Roman" w:cs="Times New Roman"/>
            <w:lang w:val="en-GB"/>
          </w:rPr>
          <w:t>Z 03.00 - Own funds requirements (OWN)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_Toc509909041 \h </w:instrText>
        </w:r>
        <w:r w:rsidR="001D258F" w:rsidRPr="00D92B3C">
          <w:rPr>
            <w:webHidden/>
            <w:lang w:val="en-GB"/>
          </w:rPr>
        </w:r>
        <w:r w:rsidR="001D258F" w:rsidRPr="00D92B3C">
          <w:rPr>
            <w:webHidden/>
            <w:lang w:val="en-GB"/>
          </w:rPr>
          <w:fldChar w:fldCharType="separate"/>
        </w:r>
        <w:r w:rsidR="00A72513">
          <w:rPr>
            <w:webHidden/>
            <w:lang w:val="en-GB"/>
          </w:rPr>
          <w:t>14</w:t>
        </w:r>
        <w:r w:rsidR="001D258F" w:rsidRPr="00D92B3C">
          <w:rPr>
            <w:webHidden/>
            <w:lang w:val="en-GB"/>
          </w:rPr>
          <w:fldChar w:fldCharType="end"/>
        </w:r>
      </w:hyperlink>
    </w:p>
    <w:p w14:paraId="024B2C00" w14:textId="3C25151B" w:rsidR="00421CDC" w:rsidRPr="00D92B3C" w:rsidRDefault="0075382A">
      <w:pPr>
        <w:pStyle w:val="TOC2"/>
        <w:rPr>
          <w:lang w:val="en-GB" w:eastAsia="en-GB"/>
        </w:rPr>
      </w:pPr>
      <w:hyperlink w:anchor="_Toc509909042" w:history="1">
        <w:r w:rsidR="00421CDC" w:rsidRPr="00D92B3C">
          <w:rPr>
            <w:rStyle w:val="Hyperlink"/>
            <w:rFonts w:ascii="Times New Roman" w:hAnsi="Times New Roman" w:cs="Times New Roman"/>
            <w:lang w:val="en-GB"/>
          </w:rPr>
          <w:t>II.4</w:t>
        </w:r>
        <w:r w:rsidR="00421CDC" w:rsidRPr="00D92B3C">
          <w:rPr>
            <w:lang w:val="en-GB" w:eastAsia="en-GB"/>
          </w:rPr>
          <w:tab/>
        </w:r>
        <w:r w:rsidR="00421CDC" w:rsidRPr="00D92B3C">
          <w:rPr>
            <w:rStyle w:val="Hyperlink"/>
            <w:rFonts w:ascii="Times New Roman" w:hAnsi="Times New Roman" w:cs="Times New Roman"/>
            <w:lang w:val="en-GB"/>
          </w:rPr>
          <w:t>Z 04.00 - Intragroup financial interconnections (IFC)</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_Toc509909042 \h </w:instrText>
        </w:r>
        <w:r w:rsidR="001D258F" w:rsidRPr="00D92B3C">
          <w:rPr>
            <w:webHidden/>
            <w:lang w:val="en-GB"/>
          </w:rPr>
        </w:r>
        <w:r w:rsidR="001D258F" w:rsidRPr="00D92B3C">
          <w:rPr>
            <w:webHidden/>
            <w:lang w:val="en-GB"/>
          </w:rPr>
          <w:fldChar w:fldCharType="separate"/>
        </w:r>
        <w:r w:rsidR="00A72513">
          <w:rPr>
            <w:webHidden/>
            <w:lang w:val="en-GB"/>
          </w:rPr>
          <w:t>17</w:t>
        </w:r>
        <w:r w:rsidR="001D258F" w:rsidRPr="00D92B3C">
          <w:rPr>
            <w:webHidden/>
            <w:lang w:val="en-GB"/>
          </w:rPr>
          <w:fldChar w:fldCharType="end"/>
        </w:r>
      </w:hyperlink>
    </w:p>
    <w:p w14:paraId="18E3BE77" w14:textId="541CD36A" w:rsidR="00421CDC" w:rsidRPr="00D92B3C" w:rsidRDefault="0075382A">
      <w:pPr>
        <w:pStyle w:val="TOC2"/>
        <w:rPr>
          <w:lang w:val="en-GB" w:eastAsia="en-GB"/>
        </w:rPr>
      </w:pPr>
      <w:hyperlink w:anchor="_Toc509909043" w:history="1">
        <w:r w:rsidR="00421CDC" w:rsidRPr="00D92B3C">
          <w:rPr>
            <w:rStyle w:val="Hyperlink"/>
            <w:rFonts w:ascii="Times New Roman" w:hAnsi="Times New Roman" w:cs="Times New Roman"/>
            <w:lang w:val="en-GB"/>
          </w:rPr>
          <w:t>II.5</w:t>
        </w:r>
        <w:r w:rsidR="00421CDC" w:rsidRPr="00D92B3C">
          <w:rPr>
            <w:lang w:val="en-GB" w:eastAsia="en-GB"/>
          </w:rPr>
          <w:tab/>
        </w:r>
        <w:r w:rsidR="00421CDC" w:rsidRPr="00D92B3C">
          <w:rPr>
            <w:rStyle w:val="Hyperlink"/>
            <w:rFonts w:ascii="Times New Roman" w:hAnsi="Times New Roman" w:cs="Times New Roman"/>
            <w:lang w:val="en-GB"/>
          </w:rPr>
          <w:t>Z 05.01 and Z 05.02 - Major Counterparties (MCP)</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_Toc509909043 \h </w:instrText>
        </w:r>
        <w:r w:rsidR="001D258F" w:rsidRPr="00D92B3C">
          <w:rPr>
            <w:webHidden/>
            <w:lang w:val="en-GB"/>
          </w:rPr>
        </w:r>
        <w:r w:rsidR="001D258F" w:rsidRPr="00D92B3C">
          <w:rPr>
            <w:webHidden/>
            <w:lang w:val="en-GB"/>
          </w:rPr>
          <w:fldChar w:fldCharType="separate"/>
        </w:r>
        <w:r w:rsidR="00A72513">
          <w:rPr>
            <w:webHidden/>
            <w:lang w:val="en-GB"/>
          </w:rPr>
          <w:t>19</w:t>
        </w:r>
        <w:r w:rsidR="001D258F" w:rsidRPr="00D92B3C">
          <w:rPr>
            <w:webHidden/>
            <w:lang w:val="en-GB"/>
          </w:rPr>
          <w:fldChar w:fldCharType="end"/>
        </w:r>
      </w:hyperlink>
    </w:p>
    <w:p w14:paraId="740E9320" w14:textId="49E0A5BF" w:rsidR="00421CDC" w:rsidRPr="00D92B3C" w:rsidRDefault="0075382A">
      <w:pPr>
        <w:pStyle w:val="TOC2"/>
        <w:rPr>
          <w:lang w:val="en-GB" w:eastAsia="en-GB"/>
        </w:rPr>
      </w:pPr>
      <w:hyperlink w:anchor="_Toc509909044" w:history="1">
        <w:r w:rsidR="00421CDC" w:rsidRPr="00D92B3C">
          <w:rPr>
            <w:rStyle w:val="Hyperlink"/>
            <w:rFonts w:ascii="Times New Roman" w:hAnsi="Times New Roman" w:cs="Times New Roman"/>
            <w:lang w:val="en-GB"/>
          </w:rPr>
          <w:t>II.6</w:t>
        </w:r>
        <w:r w:rsidR="00421CDC" w:rsidRPr="00D92B3C">
          <w:rPr>
            <w:lang w:val="en-GB" w:eastAsia="en-GB"/>
          </w:rPr>
          <w:tab/>
        </w:r>
        <w:r w:rsidR="00421CDC" w:rsidRPr="00D92B3C">
          <w:rPr>
            <w:rStyle w:val="Hyperlink"/>
            <w:rFonts w:ascii="Times New Roman" w:hAnsi="Times New Roman" w:cs="Times New Roman"/>
            <w:lang w:val="en-GB"/>
          </w:rPr>
          <w:t>Z 06.00 - Deposit insurance (DIS)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_Toc509909044 \h </w:instrText>
        </w:r>
        <w:r w:rsidR="001D258F" w:rsidRPr="00D92B3C">
          <w:rPr>
            <w:webHidden/>
            <w:lang w:val="en-GB"/>
          </w:rPr>
        </w:r>
        <w:r w:rsidR="001D258F" w:rsidRPr="00D92B3C">
          <w:rPr>
            <w:webHidden/>
            <w:lang w:val="en-GB"/>
          </w:rPr>
          <w:fldChar w:fldCharType="separate"/>
        </w:r>
        <w:r w:rsidR="00A72513">
          <w:rPr>
            <w:webHidden/>
            <w:lang w:val="en-GB"/>
          </w:rPr>
          <w:t>22</w:t>
        </w:r>
        <w:r w:rsidR="001D258F" w:rsidRPr="00D92B3C">
          <w:rPr>
            <w:webHidden/>
            <w:lang w:val="en-GB"/>
          </w:rPr>
          <w:fldChar w:fldCharType="end"/>
        </w:r>
      </w:hyperlink>
    </w:p>
    <w:p w14:paraId="6E2F36CC" w14:textId="279F41B4" w:rsidR="00421CDC" w:rsidRPr="00D92B3C" w:rsidRDefault="0075382A">
      <w:pPr>
        <w:pStyle w:val="TOC2"/>
        <w:rPr>
          <w:lang w:val="en-GB" w:eastAsia="en-GB"/>
        </w:rPr>
      </w:pPr>
      <w:hyperlink w:anchor="_Toc509909045" w:history="1">
        <w:r w:rsidR="00421CDC" w:rsidRPr="00D92B3C">
          <w:rPr>
            <w:rStyle w:val="Hyperlink"/>
            <w:rFonts w:ascii="Times New Roman" w:hAnsi="Times New Roman" w:cs="Times New Roman"/>
            <w:lang w:val="en-GB"/>
          </w:rPr>
          <w:t>II.7</w:t>
        </w:r>
        <w:r w:rsidR="00421CDC" w:rsidRPr="00D92B3C">
          <w:rPr>
            <w:lang w:val="en-GB" w:eastAsia="en-GB"/>
          </w:rPr>
          <w:tab/>
        </w:r>
        <w:r w:rsidR="00421CDC" w:rsidRPr="00D92B3C">
          <w:rPr>
            <w:rStyle w:val="Hyperlink"/>
            <w:rFonts w:ascii="Times New Roman" w:hAnsi="Times New Roman" w:cs="Times New Roman"/>
            <w:lang w:val="en-GB"/>
          </w:rPr>
          <w:t>Critical functions and core business lines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_Toc509909045 \h </w:instrText>
        </w:r>
        <w:r w:rsidR="001D258F" w:rsidRPr="00D92B3C">
          <w:rPr>
            <w:webHidden/>
            <w:lang w:val="en-GB"/>
          </w:rPr>
        </w:r>
        <w:r w:rsidR="001D258F" w:rsidRPr="00D92B3C">
          <w:rPr>
            <w:webHidden/>
            <w:lang w:val="en-GB"/>
          </w:rPr>
          <w:fldChar w:fldCharType="separate"/>
        </w:r>
        <w:r w:rsidR="00A72513">
          <w:rPr>
            <w:webHidden/>
            <w:lang w:val="en-GB"/>
          </w:rPr>
          <w:t>25</w:t>
        </w:r>
        <w:r w:rsidR="001D258F" w:rsidRPr="00D92B3C">
          <w:rPr>
            <w:webHidden/>
            <w:lang w:val="en-GB"/>
          </w:rPr>
          <w:fldChar w:fldCharType="end"/>
        </w:r>
      </w:hyperlink>
    </w:p>
    <w:p w14:paraId="245619D6" w14:textId="777AF58D" w:rsidR="00421CDC" w:rsidRPr="00D92B3C" w:rsidRDefault="0075382A">
      <w:pPr>
        <w:pStyle w:val="TOC2"/>
        <w:rPr>
          <w:lang w:val="en-GB" w:eastAsia="en-GB"/>
        </w:rPr>
      </w:pPr>
      <w:hyperlink w:anchor="_Toc509909046" w:history="1">
        <w:r w:rsidR="00421CDC" w:rsidRPr="00D92B3C">
          <w:rPr>
            <w:rStyle w:val="Hyperlink"/>
            <w:rFonts w:ascii="Times New Roman" w:hAnsi="Times New Roman" w:cs="Times New Roman"/>
            <w:lang w:val="en-GB"/>
          </w:rPr>
          <w:t>II.8</w:t>
        </w:r>
        <w:r w:rsidR="00421CDC" w:rsidRPr="00D92B3C">
          <w:rPr>
            <w:lang w:val="en-GB" w:eastAsia="en-GB"/>
          </w:rPr>
          <w:tab/>
        </w:r>
        <w:r w:rsidR="00421CDC" w:rsidRPr="00D92B3C">
          <w:rPr>
            <w:rStyle w:val="Hyperlink"/>
            <w:rFonts w:ascii="Times New Roman" w:hAnsi="Times New Roman" w:cs="Times New Roman"/>
            <w:lang w:val="en-GB"/>
          </w:rPr>
          <w:t>Z 08.00 - Critical services (SERV)</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_Toc509909046 \h </w:instrText>
        </w:r>
        <w:r w:rsidR="001D258F" w:rsidRPr="00D92B3C">
          <w:rPr>
            <w:webHidden/>
            <w:lang w:val="en-GB"/>
          </w:rPr>
        </w:r>
        <w:r w:rsidR="001D258F" w:rsidRPr="00D92B3C">
          <w:rPr>
            <w:webHidden/>
            <w:lang w:val="en-GB"/>
          </w:rPr>
          <w:fldChar w:fldCharType="separate"/>
        </w:r>
        <w:r w:rsidR="00A72513">
          <w:rPr>
            <w:webHidden/>
            <w:lang w:val="en-GB"/>
          </w:rPr>
          <w:t>33</w:t>
        </w:r>
        <w:r w:rsidR="001D258F" w:rsidRPr="00D92B3C">
          <w:rPr>
            <w:webHidden/>
            <w:lang w:val="en-GB"/>
          </w:rPr>
          <w:fldChar w:fldCharType="end"/>
        </w:r>
      </w:hyperlink>
    </w:p>
    <w:p w14:paraId="1629E59C" w14:textId="7A414114" w:rsidR="00421CDC" w:rsidRPr="00D92B3C" w:rsidRDefault="0075382A">
      <w:pPr>
        <w:pStyle w:val="TOC2"/>
        <w:rPr>
          <w:lang w:val="en-GB" w:eastAsia="en-GB"/>
        </w:rPr>
      </w:pPr>
      <w:hyperlink w:anchor="_Toc509909047" w:history="1">
        <w:r w:rsidR="00421CDC" w:rsidRPr="00D92B3C">
          <w:rPr>
            <w:rStyle w:val="Hyperlink"/>
            <w:rFonts w:ascii="Times New Roman" w:hAnsi="Times New Roman" w:cs="Times New Roman"/>
            <w:lang w:val="en-GB"/>
          </w:rPr>
          <w:t>II.9</w:t>
        </w:r>
        <w:r w:rsidR="00421CDC" w:rsidRPr="00D92B3C">
          <w:rPr>
            <w:lang w:val="en-GB" w:eastAsia="en-GB"/>
          </w:rPr>
          <w:tab/>
        </w:r>
        <w:r w:rsidR="00421CDC" w:rsidRPr="00D92B3C">
          <w:rPr>
            <w:rStyle w:val="Hyperlink"/>
            <w:rFonts w:ascii="Times New Roman" w:hAnsi="Times New Roman" w:cs="Times New Roman"/>
            <w:lang w:val="en-GB"/>
          </w:rPr>
          <w:t>Z 09.00 - FMI Services - Providers and Users - Mapping to Critical Functions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_Toc509909047 \h </w:instrText>
        </w:r>
        <w:r w:rsidR="001D258F" w:rsidRPr="00D92B3C">
          <w:rPr>
            <w:webHidden/>
            <w:lang w:val="en-GB"/>
          </w:rPr>
        </w:r>
        <w:r w:rsidR="001D258F" w:rsidRPr="00D92B3C">
          <w:rPr>
            <w:webHidden/>
            <w:lang w:val="en-GB"/>
          </w:rPr>
          <w:fldChar w:fldCharType="separate"/>
        </w:r>
        <w:r w:rsidR="00A72513">
          <w:rPr>
            <w:webHidden/>
            <w:lang w:val="en-GB"/>
          </w:rPr>
          <w:t>37</w:t>
        </w:r>
        <w:r w:rsidR="001D258F" w:rsidRPr="00D92B3C">
          <w:rPr>
            <w:webHidden/>
            <w:lang w:val="en-GB"/>
          </w:rPr>
          <w:fldChar w:fldCharType="end"/>
        </w:r>
      </w:hyperlink>
    </w:p>
    <w:p w14:paraId="605A545B" w14:textId="0009DCAE" w:rsidR="00421CDC" w:rsidRPr="00D92B3C" w:rsidRDefault="0075382A">
      <w:pPr>
        <w:pStyle w:val="TOC2"/>
        <w:rPr>
          <w:lang w:val="en-GB" w:eastAsia="en-GB"/>
        </w:rPr>
      </w:pPr>
      <w:hyperlink w:anchor="_Toc509909048" w:history="1">
        <w:r w:rsidR="00421CDC" w:rsidRPr="00D92B3C">
          <w:rPr>
            <w:rStyle w:val="Hyperlink"/>
            <w:rFonts w:ascii="Times New Roman" w:hAnsi="Times New Roman" w:cs="Times New Roman"/>
            <w:lang w:val="en-GB"/>
          </w:rPr>
          <w:t>II.10</w:t>
        </w:r>
        <w:r w:rsidR="00421CDC" w:rsidRPr="00D92B3C">
          <w:rPr>
            <w:lang w:val="en-GB" w:eastAsia="en-GB"/>
          </w:rPr>
          <w:tab/>
        </w:r>
        <w:r w:rsidR="00421CDC" w:rsidRPr="00D92B3C">
          <w:rPr>
            <w:rStyle w:val="Hyperlink"/>
            <w:rFonts w:ascii="Times New Roman" w:hAnsi="Times New Roman" w:cs="Times New Roman"/>
            <w:lang w:val="en-GB"/>
          </w:rPr>
          <w:t>Critical information systems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_Toc509909048 \h </w:instrText>
        </w:r>
        <w:r w:rsidR="001D258F" w:rsidRPr="00D92B3C">
          <w:rPr>
            <w:webHidden/>
            <w:lang w:val="en-GB"/>
          </w:rPr>
        </w:r>
        <w:r w:rsidR="001D258F" w:rsidRPr="00D92B3C">
          <w:rPr>
            <w:webHidden/>
            <w:lang w:val="en-GB"/>
          </w:rPr>
          <w:fldChar w:fldCharType="separate"/>
        </w:r>
        <w:r w:rsidR="00A72513">
          <w:rPr>
            <w:webHidden/>
            <w:lang w:val="en-GB"/>
          </w:rPr>
          <w:t>39</w:t>
        </w:r>
        <w:r w:rsidR="001D258F" w:rsidRPr="00D92B3C">
          <w:rPr>
            <w:webHidden/>
            <w:lang w:val="en-GB"/>
          </w:rPr>
          <w:fldChar w:fldCharType="end"/>
        </w:r>
      </w:hyperlink>
    </w:p>
    <w:p w14:paraId="04631A3A" w14:textId="77777777" w:rsidR="00385C06" w:rsidRPr="00D92B3C" w:rsidRDefault="001D258F"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0" w:name="_Toc492542318"/>
      <w:r w:rsidRPr="00D92B3C">
        <w:rPr>
          <w:rFonts w:ascii="Times New Roman" w:hAnsi="Times New Roman" w:cs="Times New Roman"/>
          <w:color w:val="000000" w:themeColor="text1"/>
          <w:sz w:val="20"/>
          <w:szCs w:val="20"/>
          <w:lang w:val="en-GB"/>
        </w:rP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1" w:name="_Toc509909032"/>
      <w:r w:rsidRPr="00D92B3C">
        <w:rPr>
          <w:rFonts w:ascii="Times New Roman" w:hAnsi="Times New Roman" w:cs="Times New Roman"/>
          <w:szCs w:val="20"/>
        </w:rPr>
        <w:lastRenderedPageBreak/>
        <w:t>General instructions</w:t>
      </w:r>
      <w:bookmarkEnd w:id="0"/>
      <w:bookmarkEnd w:id="1"/>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2" w:name="_Toc509909033"/>
      <w:r w:rsidRPr="00D92B3C">
        <w:rPr>
          <w:rFonts w:ascii="Times New Roman" w:hAnsi="Times New Roman" w:cs="Times New Roman"/>
          <w:szCs w:val="20"/>
        </w:rPr>
        <w:t>Structure</w:t>
      </w:r>
      <w:bookmarkEnd w:id="2"/>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r w:rsidR="0090323D">
        <w:rPr>
          <w:rFonts w:ascii="Times New Roman" w:hAnsi="Times New Roman" w:cs="Times New Roman"/>
          <w:color w:val="000000" w:themeColor="text1"/>
          <w:sz w:val="20"/>
          <w:szCs w:val="20"/>
          <w:lang w:val="en-GB"/>
        </w:rPr>
        <w:t>.</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‘Information </w:t>
      </w:r>
      <w:r w:rsidR="00CC130F">
        <w:rPr>
          <w:rFonts w:ascii="Times New Roman" w:hAnsi="Times New Roman" w:cs="Times New Roman"/>
          <w:color w:val="000000" w:themeColor="text1"/>
          <w:sz w:val="20"/>
          <w:szCs w:val="20"/>
          <w:lang w:val="en-GB"/>
        </w:rPr>
        <w:t xml:space="preserve">on </w:t>
      </w:r>
      <w:r w:rsidRPr="00D92B3C">
        <w:rPr>
          <w:rFonts w:ascii="Times New Roman" w:hAnsi="Times New Roman" w:cs="Times New Roman"/>
          <w:color w:val="000000" w:themeColor="text1"/>
          <w:sz w:val="20"/>
          <w:szCs w:val="20"/>
          <w:lang w:val="en-GB"/>
        </w:rPr>
        <w:t>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06.00 - Deposit insurance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 xml:space="preserve">07.03 - Mapping of </w:t>
      </w:r>
      <w:r w:rsidR="007F3F35">
        <w:rPr>
          <w:rFonts w:ascii="Times New Roman" w:hAnsi="Times New Roman" w:cs="Times New Roman"/>
          <w:color w:val="000000" w:themeColor="text1"/>
          <w:sz w:val="20"/>
          <w:szCs w:val="20"/>
          <w:lang w:val="en-GB"/>
        </w:rPr>
        <w:t>c</w:t>
      </w:r>
      <w:r w:rsidR="007F3F35" w:rsidRPr="00D92B3C">
        <w:rPr>
          <w:rFonts w:ascii="Times New Roman" w:hAnsi="Times New Roman" w:cs="Times New Roman"/>
          <w:color w:val="000000" w:themeColor="text1"/>
          <w:sz w:val="20"/>
          <w:szCs w:val="20"/>
          <w:lang w:val="en-GB"/>
        </w:rPr>
        <w:t xml:space="preserve">ore </w:t>
      </w:r>
      <w:r w:rsidR="007F3F35">
        <w:rPr>
          <w:rFonts w:ascii="Times New Roman" w:hAnsi="Times New Roman" w:cs="Times New Roman"/>
          <w:color w:val="000000" w:themeColor="text1"/>
          <w:sz w:val="20"/>
          <w:szCs w:val="20"/>
          <w:lang w:val="en-GB"/>
        </w:rPr>
        <w:t>b</w:t>
      </w:r>
      <w:r w:rsidR="007F3F35" w:rsidRPr="00D92B3C">
        <w:rPr>
          <w:rFonts w:ascii="Times New Roman" w:hAnsi="Times New Roman" w:cs="Times New Roman"/>
          <w:color w:val="000000" w:themeColor="text1"/>
          <w:sz w:val="20"/>
          <w:szCs w:val="20"/>
          <w:lang w:val="en-GB"/>
        </w:rPr>
        <w:t xml:space="preserve">usiness </w:t>
      </w:r>
      <w:r w:rsidR="007F3F35">
        <w:rPr>
          <w:rFonts w:ascii="Times New Roman" w:hAnsi="Times New Roman" w:cs="Times New Roman"/>
          <w:color w:val="000000" w:themeColor="text1"/>
          <w:sz w:val="20"/>
          <w:szCs w:val="20"/>
          <w:lang w:val="en-GB"/>
        </w:rPr>
        <w:t>l</w:t>
      </w:r>
      <w:r w:rsidR="007F3F35" w:rsidRPr="00D92B3C">
        <w:rPr>
          <w:rFonts w:ascii="Times New Roman" w:hAnsi="Times New Roman" w:cs="Times New Roman"/>
          <w:color w:val="000000" w:themeColor="text1"/>
          <w:sz w:val="20"/>
          <w:szCs w:val="20"/>
          <w:lang w:val="en-GB"/>
        </w:rPr>
        <w:t xml:space="preserve">ines </w:t>
      </w:r>
      <w:r w:rsidR="00CF0FD3">
        <w:rPr>
          <w:rFonts w:ascii="Times New Roman" w:hAnsi="Times New Roman" w:cs="Times New Roman"/>
          <w:color w:val="000000" w:themeColor="text1"/>
          <w:sz w:val="20"/>
          <w:szCs w:val="20"/>
          <w:lang w:val="en-GB"/>
        </w:rPr>
        <w:t>to</w:t>
      </w:r>
      <w:r w:rsidR="00CF0FD3" w:rsidRPr="00D92B3C">
        <w:rPr>
          <w:rFonts w:ascii="Times New Roman" w:hAnsi="Times New Roman" w:cs="Times New Roman"/>
          <w:color w:val="000000" w:themeColor="text1"/>
          <w:sz w:val="20"/>
          <w:szCs w:val="20"/>
          <w:lang w:val="en-GB"/>
        </w:rPr>
        <w:t xml:space="preserve"> </w:t>
      </w:r>
      <w:r w:rsidR="008C52B1" w:rsidRPr="00D92B3C">
        <w:rPr>
          <w:rFonts w:ascii="Times New Roman" w:hAnsi="Times New Roman" w:cs="Times New Roman"/>
          <w:color w:val="000000" w:themeColor="text1"/>
          <w:sz w:val="20"/>
          <w:szCs w:val="20"/>
          <w:lang w:val="en-GB"/>
        </w:rPr>
        <w:t>legal entit</w:t>
      </w:r>
      <w:r w:rsidR="00CF0FD3">
        <w:rPr>
          <w:rFonts w:ascii="Times New Roman" w:hAnsi="Times New Roman" w:cs="Times New Roman"/>
          <w:color w:val="000000" w:themeColor="text1"/>
          <w:sz w:val="20"/>
          <w:szCs w:val="20"/>
          <w:lang w:val="en-GB"/>
        </w:rPr>
        <w:t>ies</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 xml:space="preserve">07.04 - Mapping of critical functions </w:t>
      </w:r>
      <w:r w:rsidR="00CF0FD3">
        <w:rPr>
          <w:rFonts w:ascii="Times New Roman" w:hAnsi="Times New Roman" w:cs="Times New Roman"/>
          <w:color w:val="000000" w:themeColor="text1"/>
          <w:sz w:val="20"/>
          <w:szCs w:val="20"/>
          <w:lang w:val="en-GB"/>
        </w:rPr>
        <w:t>to</w:t>
      </w:r>
      <w:r w:rsidRPr="00D92B3C">
        <w:rPr>
          <w:rFonts w:ascii="Times New Roman" w:hAnsi="Times New Roman" w:cs="Times New Roman"/>
          <w:color w:val="000000" w:themeColor="text1"/>
          <w:sz w:val="20"/>
          <w:szCs w:val="20"/>
          <w:lang w:val="en-GB"/>
        </w:rPr>
        <w:t xml:space="preserve">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w:t>
      </w:r>
      <w:r w:rsidR="000D31B7">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 xml:space="preserve"> </w:t>
      </w:r>
      <w:r w:rsidR="006F50B4" w:rsidRPr="006F50B4">
        <w:rPr>
          <w:rFonts w:ascii="Times New Roman" w:hAnsi="Times New Roman" w:cs="Times New Roman"/>
          <w:color w:val="000000" w:themeColor="text1"/>
          <w:sz w:val="20"/>
          <w:szCs w:val="20"/>
          <w:lang w:val="en-GB"/>
        </w:rPr>
        <w:t>FMI Services - Providers and Users - Mapping to Critical Functions (FMI)</w:t>
      </w:r>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3" w:name="_Toc509909034"/>
      <w:r w:rsidRPr="00D92B3C">
        <w:rPr>
          <w:rFonts w:ascii="Times New Roman" w:hAnsi="Times New Roman" w:cs="Times New Roman"/>
          <w:szCs w:val="20"/>
        </w:rPr>
        <w:t>References</w:t>
      </w:r>
      <w:bookmarkEnd w:id="3"/>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‘BCBS’ means the Basel Committee on Banking Supervision of the Bank for International Settlements</w:t>
      </w:r>
      <w:r w:rsidR="004219AD" w:rsidRPr="00D92B3C">
        <w:rPr>
          <w:rFonts w:ascii="Times New Roman" w:hAnsi="Times New Roman"/>
          <w:color w:val="000000" w:themeColor="text1"/>
          <w:sz w:val="20"/>
          <w:szCs w:val="20"/>
          <w:lang w:eastAsia="en-GB"/>
        </w:rPr>
        <w:t>;</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‘CPMI’ means the Committee on Payments and Market Infrastructures of the Bank for International Settlements</w:t>
      </w:r>
      <w:r w:rsidR="004219AD" w:rsidRPr="00D92B3C">
        <w:rPr>
          <w:rFonts w:ascii="Times New Roman" w:hAnsi="Times New Roman"/>
          <w:color w:val="000000" w:themeColor="text1"/>
          <w:sz w:val="20"/>
          <w:szCs w:val="20"/>
          <w:lang w:eastAsia="en-GB"/>
        </w:rPr>
        <w:t>;</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‘FINREP’ means financial information templates included in Annexes III and IV of</w:t>
      </w:r>
      <w:r w:rsidR="0090323D" w:rsidRPr="0090323D">
        <w:rPr>
          <w:rFonts w:ascii="Times New Roman" w:hAnsi="Times New Roman"/>
          <w:color w:val="000000" w:themeColor="text1"/>
          <w:sz w:val="20"/>
          <w:szCs w:val="20"/>
          <w:lang w:eastAsia="en-GB"/>
        </w:rPr>
        <w:t xml:space="preserve"> </w:t>
      </w:r>
      <w:r w:rsidR="0090323D" w:rsidRPr="00D92B3C">
        <w:rPr>
          <w:rFonts w:ascii="Times New Roman" w:hAnsi="Times New Roman"/>
          <w:color w:val="000000" w:themeColor="text1"/>
          <w:sz w:val="20"/>
          <w:szCs w:val="20"/>
          <w:lang w:eastAsia="en-GB"/>
        </w:rPr>
        <w:t xml:space="preserve">Commission Implementing Regulation (EU) </w:t>
      </w:r>
      <w:r w:rsidR="00B06D73">
        <w:rPr>
          <w:rFonts w:ascii="Times New Roman" w:hAnsi="Times New Roman"/>
          <w:color w:val="000000" w:themeColor="text1"/>
          <w:sz w:val="20"/>
          <w:szCs w:val="20"/>
          <w:lang w:eastAsia="en-GB"/>
        </w:rPr>
        <w:t>2021</w:t>
      </w:r>
      <w:r w:rsidR="0090323D" w:rsidRPr="00D92B3C">
        <w:rPr>
          <w:rFonts w:ascii="Times New Roman" w:hAnsi="Times New Roman"/>
          <w:color w:val="000000" w:themeColor="text1"/>
          <w:sz w:val="20"/>
          <w:szCs w:val="20"/>
          <w:lang w:eastAsia="en-GB"/>
        </w:rPr>
        <w:t>/</w:t>
      </w:r>
      <w:r w:rsidR="00B06D73">
        <w:rPr>
          <w:rFonts w:ascii="Times New Roman" w:hAnsi="Times New Roman"/>
          <w:color w:val="000000" w:themeColor="text1"/>
          <w:sz w:val="20"/>
          <w:szCs w:val="20"/>
          <w:lang w:eastAsia="en-GB"/>
        </w:rPr>
        <w:t>451</w:t>
      </w:r>
      <w:r w:rsidR="0090323D" w:rsidRPr="007C4DBB">
        <w:rPr>
          <w:rStyle w:val="FootnoteReference"/>
          <w:rFonts w:ascii="Times New Roman" w:hAnsi="Times New Roman"/>
          <w:sz w:val="20"/>
          <w:szCs w:val="20"/>
        </w:rPr>
        <w:footnoteReference w:id="1"/>
      </w:r>
      <w:r w:rsidRPr="00D92B3C">
        <w:rPr>
          <w:rFonts w:ascii="Times New Roman" w:hAnsi="Times New Roman"/>
          <w:color w:val="000000" w:themeColor="text1"/>
          <w:sz w:val="20"/>
          <w:szCs w:val="20"/>
          <w:lang w:eastAsia="en-GB"/>
        </w:rPr>
        <w:t>, and complementary instructions included in Annex V of</w:t>
      </w:r>
      <w:r w:rsidR="0090323D">
        <w:rPr>
          <w:rFonts w:ascii="Times New Roman" w:hAnsi="Times New Roman"/>
          <w:color w:val="000000" w:themeColor="text1"/>
          <w:sz w:val="20"/>
          <w:szCs w:val="20"/>
          <w:lang w:eastAsia="en-GB"/>
        </w:rPr>
        <w:t xml:space="preserve"> that </w:t>
      </w:r>
      <w:r w:rsidR="00307D71">
        <w:rPr>
          <w:rFonts w:ascii="Times New Roman" w:hAnsi="Times New Roman"/>
          <w:color w:val="000000" w:themeColor="text1"/>
          <w:sz w:val="20"/>
          <w:szCs w:val="20"/>
          <w:lang w:eastAsia="en-GB"/>
        </w:rPr>
        <w:t xml:space="preserve">Implementing </w:t>
      </w:r>
      <w:r w:rsidR="0090323D">
        <w:rPr>
          <w:rFonts w:ascii="Times New Roman" w:hAnsi="Times New Roman"/>
          <w:color w:val="000000" w:themeColor="text1"/>
          <w:sz w:val="20"/>
          <w:szCs w:val="20"/>
          <w:lang w:eastAsia="en-GB"/>
        </w:rPr>
        <w:t>Regulation</w:t>
      </w:r>
      <w:r w:rsidR="004219AD" w:rsidRPr="00D92B3C">
        <w:rPr>
          <w:rFonts w:ascii="Times New Roman" w:hAnsi="Times New Roman"/>
          <w:color w:val="000000" w:themeColor="text1"/>
          <w:sz w:val="20"/>
          <w:szCs w:val="20"/>
          <w:lang w:eastAsia="en-GB"/>
        </w:rPr>
        <w:t>;</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w:t>
      </w:r>
      <w:r w:rsidR="001504A7">
        <w:rPr>
          <w:rFonts w:ascii="Times New Roman" w:hAnsi="Times New Roman"/>
          <w:color w:val="000000" w:themeColor="text1"/>
          <w:sz w:val="20"/>
          <w:szCs w:val="20"/>
          <w:lang w:eastAsia="en-GB"/>
        </w:rPr>
        <w:t xml:space="preserve">Commission </w:t>
      </w:r>
      <w:r w:rsidRPr="007C4DBB">
        <w:rPr>
          <w:rFonts w:ascii="Times New Roman" w:hAnsi="Times New Roman"/>
          <w:color w:val="000000" w:themeColor="text1"/>
          <w:sz w:val="20"/>
          <w:szCs w:val="20"/>
          <w:lang w:eastAsia="en-GB"/>
        </w:rPr>
        <w:t>Implement</w:t>
      </w:r>
      <w:r w:rsidR="004219AD" w:rsidRPr="00D92B3C">
        <w:rPr>
          <w:rFonts w:ascii="Times New Roman" w:hAnsi="Times New Roman"/>
          <w:color w:val="000000" w:themeColor="text1"/>
          <w:sz w:val="20"/>
          <w:szCs w:val="20"/>
          <w:lang w:eastAsia="en-GB"/>
        </w:rPr>
        <w:t xml:space="preserve">ing Regulation (EU) </w:t>
      </w:r>
      <w:r w:rsidR="001504A7">
        <w:rPr>
          <w:rFonts w:ascii="Times New Roman" w:hAnsi="Times New Roman"/>
          <w:color w:val="000000" w:themeColor="text1"/>
          <w:sz w:val="20"/>
          <w:szCs w:val="20"/>
          <w:lang w:eastAsia="en-GB"/>
        </w:rPr>
        <w:t>2021/451</w:t>
      </w:r>
      <w:r w:rsidR="004219AD" w:rsidRPr="00D92B3C">
        <w:rPr>
          <w:rFonts w:ascii="Times New Roman" w:hAnsi="Times New Roman"/>
          <w:color w:val="000000" w:themeColor="text1"/>
          <w:sz w:val="20"/>
          <w:szCs w:val="20"/>
          <w:lang w:eastAsia="en-GB"/>
        </w:rPr>
        <w:t>;</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w:t>
      </w:r>
      <w:r w:rsidR="001504A7">
        <w:rPr>
          <w:rFonts w:ascii="Times New Roman" w:hAnsi="Times New Roman"/>
          <w:color w:val="000000" w:themeColor="text1"/>
          <w:sz w:val="20"/>
          <w:szCs w:val="20"/>
          <w:lang w:eastAsia="en-GB"/>
        </w:rPr>
        <w:t xml:space="preserve">Commission </w:t>
      </w:r>
      <w:r w:rsidRPr="007C4DBB">
        <w:rPr>
          <w:rFonts w:ascii="Times New Roman" w:hAnsi="Times New Roman"/>
          <w:color w:val="000000" w:themeColor="text1"/>
          <w:sz w:val="20"/>
          <w:szCs w:val="20"/>
          <w:lang w:eastAsia="en-GB"/>
        </w:rPr>
        <w:t>Implement</w:t>
      </w:r>
      <w:r w:rsidR="004219AD" w:rsidRPr="00D92B3C">
        <w:rPr>
          <w:rFonts w:ascii="Times New Roman" w:hAnsi="Times New Roman"/>
          <w:color w:val="000000" w:themeColor="text1"/>
          <w:sz w:val="20"/>
          <w:szCs w:val="20"/>
          <w:lang w:eastAsia="en-GB"/>
        </w:rPr>
        <w:t xml:space="preserve">ing Regulation (EU) </w:t>
      </w:r>
      <w:r w:rsidR="001504A7">
        <w:rPr>
          <w:rFonts w:ascii="Times New Roman" w:hAnsi="Times New Roman"/>
          <w:color w:val="000000" w:themeColor="text1"/>
          <w:sz w:val="20"/>
          <w:szCs w:val="20"/>
          <w:lang w:eastAsia="en-GB"/>
        </w:rPr>
        <w:t>2021/451</w:t>
      </w:r>
      <w:r w:rsidR="004219AD" w:rsidRPr="00D92B3C">
        <w:rPr>
          <w:rFonts w:ascii="Times New Roman" w:hAnsi="Times New Roman"/>
          <w:color w:val="000000" w:themeColor="text1"/>
          <w:sz w:val="20"/>
          <w:szCs w:val="20"/>
          <w:lang w:eastAsia="en-GB"/>
        </w:rPr>
        <w:t>;</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‘FSB’ means Financial Stability Board</w:t>
      </w:r>
      <w:r w:rsidR="004219AD" w:rsidRPr="00D92B3C">
        <w:rPr>
          <w:rFonts w:ascii="Times New Roman" w:hAnsi="Times New Roman"/>
          <w:color w:val="000000" w:themeColor="text1"/>
          <w:sz w:val="20"/>
          <w:szCs w:val="20"/>
          <w:lang w:eastAsia="en-GB"/>
        </w:rPr>
        <w: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‘IAS’ means International Accounting Standards as </w:t>
      </w:r>
      <w:r w:rsidR="00B171D9">
        <w:rPr>
          <w:rFonts w:ascii="Times New Roman" w:hAnsi="Times New Roman"/>
          <w:color w:val="000000" w:themeColor="text1"/>
          <w:sz w:val="20"/>
          <w:szCs w:val="20"/>
          <w:lang w:eastAsia="en-GB"/>
        </w:rPr>
        <w:t>referred to</w:t>
      </w:r>
      <w:r w:rsidR="00B171D9" w:rsidRPr="00D92B3C">
        <w:rPr>
          <w:rFonts w:ascii="Times New Roman" w:hAnsi="Times New Roman"/>
          <w:color w:val="000000" w:themeColor="text1"/>
          <w:sz w:val="20"/>
          <w:szCs w:val="20"/>
          <w:lang w:eastAsia="en-GB"/>
        </w:rPr>
        <w:t xml:space="preserve"> </w:t>
      </w:r>
      <w:r w:rsidRPr="00D92B3C">
        <w:rPr>
          <w:rFonts w:ascii="Times New Roman" w:hAnsi="Times New Roman"/>
          <w:color w:val="000000" w:themeColor="text1"/>
          <w:sz w:val="20"/>
          <w:szCs w:val="20"/>
          <w:lang w:eastAsia="en-GB"/>
        </w:rPr>
        <w:t xml:space="preserve">in Article 2 of </w:t>
      </w:r>
      <w:r w:rsidRPr="00BB34DC">
        <w:rPr>
          <w:rFonts w:ascii="Times New Roman" w:hAnsi="Times New Roman"/>
          <w:color w:val="000000" w:themeColor="text1"/>
          <w:sz w:val="20"/>
          <w:szCs w:val="20"/>
          <w:lang w:eastAsia="en-GB"/>
        </w:rPr>
        <w:t>Regulation (EC) No 1606/2002</w:t>
      </w:r>
      <w:r w:rsidR="004219AD" w:rsidRPr="00BB34D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BB34DC">
        <w:rPr>
          <w:rFonts w:ascii="Times New Roman" w:hAnsi="Times New Roman"/>
          <w:color w:val="000000" w:themeColor="text1"/>
          <w:sz w:val="20"/>
          <w:szCs w:val="20"/>
          <w:lang w:eastAsia="en-GB"/>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‘IFRS’ means International Financial Reporting Standards </w:t>
      </w:r>
      <w:r w:rsidR="008E5720">
        <w:rPr>
          <w:rFonts w:ascii="Times New Roman" w:hAnsi="Times New Roman"/>
          <w:color w:val="000000" w:themeColor="text1"/>
          <w:sz w:val="20"/>
          <w:szCs w:val="20"/>
          <w:lang w:eastAsia="en-GB"/>
        </w:rPr>
        <w:t>referred to</w:t>
      </w:r>
      <w:r w:rsidRPr="00D92B3C">
        <w:rPr>
          <w:rFonts w:ascii="Times New Roman" w:hAnsi="Times New Roman"/>
          <w:color w:val="000000" w:themeColor="text1"/>
          <w:sz w:val="20"/>
          <w:szCs w:val="20"/>
          <w:lang w:eastAsia="en-GB"/>
        </w:rPr>
        <w:t xml:space="preserve"> in Article 2 of Regulation (EC) No 1606/2002</w:t>
      </w:r>
      <w:r w:rsidR="004219AD" w:rsidRPr="00D92B3C">
        <w:rPr>
          <w:rFonts w:ascii="Times New Roman" w:hAnsi="Times New Roman"/>
          <w:color w:val="000000" w:themeColor="text1"/>
          <w:sz w:val="20"/>
          <w:szCs w:val="20"/>
          <w:lang w:eastAsia="en-GB"/>
        </w:rPr>
        <w:t>;</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lang w:eastAsia="en-GB"/>
        </w:rPr>
      </w:pPr>
      <w:r w:rsidRPr="00BE563C">
        <w:rPr>
          <w:rFonts w:ascii="Times New Roman" w:hAnsi="Times New Roman"/>
          <w:color w:val="000000" w:themeColor="text1"/>
          <w:sz w:val="20"/>
          <w:szCs w:val="20"/>
          <w:lang w:eastAsia="en-GB"/>
        </w:rPr>
        <w:t>‘LEI</w:t>
      </w:r>
      <w:r w:rsidR="00CC130F" w:rsidRPr="00BE563C">
        <w:rPr>
          <w:rFonts w:ascii="Times New Roman" w:hAnsi="Times New Roman"/>
          <w:color w:val="000000" w:themeColor="text1"/>
          <w:sz w:val="20"/>
          <w:szCs w:val="20"/>
          <w:lang w:eastAsia="en-GB"/>
        </w:rPr>
        <w:t xml:space="preserve"> code</w:t>
      </w:r>
      <w:r w:rsidRPr="00BE563C">
        <w:rPr>
          <w:rFonts w:ascii="Times New Roman" w:hAnsi="Times New Roman"/>
          <w:color w:val="000000" w:themeColor="text1"/>
          <w:sz w:val="20"/>
          <w:szCs w:val="20"/>
          <w:lang w:eastAsia="en-GB"/>
        </w:rPr>
        <w:t>’</w:t>
      </w:r>
      <w:r w:rsidRPr="00D92B3C">
        <w:rPr>
          <w:rFonts w:ascii="Times New Roman" w:hAnsi="Times New Roman"/>
          <w:color w:val="000000" w:themeColor="text1"/>
          <w:sz w:val="20"/>
          <w:szCs w:val="20"/>
          <w:lang w:eastAsia="en-GB"/>
        </w:rPr>
        <w:t xml:space="preserve"> means </w:t>
      </w:r>
      <w:r w:rsidR="00495346">
        <w:rPr>
          <w:rFonts w:ascii="Times New Roman" w:hAnsi="Times New Roman"/>
          <w:color w:val="000000" w:themeColor="text1"/>
          <w:sz w:val="20"/>
          <w:szCs w:val="20"/>
          <w:lang w:eastAsia="en-GB"/>
        </w:rPr>
        <w:t>the</w:t>
      </w:r>
      <w:r w:rsidR="000B7FDA" w:rsidRPr="00D92B3C">
        <w:rPr>
          <w:rFonts w:ascii="Times New Roman" w:hAnsi="Times New Roman"/>
          <w:color w:val="000000" w:themeColor="text1"/>
          <w:sz w:val="20"/>
          <w:szCs w:val="20"/>
          <w:lang w:eastAsia="en-GB"/>
        </w:rPr>
        <w:t xml:space="preserve"> Legal Entity Identifier</w:t>
      </w:r>
      <w:r w:rsidR="00DB2A12" w:rsidRPr="00D92B3C">
        <w:rPr>
          <w:rFonts w:ascii="Times New Roman" w:hAnsi="Times New Roman"/>
          <w:color w:val="000000" w:themeColor="text1"/>
          <w:sz w:val="20"/>
          <w:szCs w:val="20"/>
          <w:lang w:eastAsia="en-GB"/>
        </w:rPr>
        <w:t xml:space="preserve"> code</w:t>
      </w:r>
      <w:r w:rsidR="0090323D">
        <w:rPr>
          <w:rStyle w:val="FootnoteReference"/>
          <w:color w:val="000000" w:themeColor="text1"/>
          <w:lang w:eastAsia="en-GB"/>
        </w:rPr>
        <w:footnoteReference w:id="3"/>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counterparty</w:t>
      </w:r>
      <w:r w:rsidR="004219AD" w:rsidRPr="00D92B3C">
        <w:rPr>
          <w:rFonts w:ascii="Times New Roman" w:hAnsi="Times New Roman"/>
          <w:color w:val="000000" w:themeColor="text1"/>
          <w:sz w:val="20"/>
          <w:szCs w:val="20"/>
          <w:lang w:eastAsia="en-GB"/>
        </w:rPr>
        <w:t>;</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w:t>
      </w:r>
      <w:r w:rsidR="000D31B7">
        <w:rPr>
          <w:rFonts w:ascii="Times New Roman" w:hAnsi="Times New Roman"/>
          <w:color w:val="000000" w:themeColor="text1"/>
          <w:sz w:val="20"/>
          <w:szCs w:val="20"/>
          <w:lang w:eastAsia="en-GB"/>
        </w:rPr>
        <w:t>n</w:t>
      </w:r>
      <w:r w:rsidRPr="00D92B3C">
        <w:rPr>
          <w:rFonts w:ascii="Times New Roman" w:hAnsi="Times New Roman"/>
          <w:color w:val="000000" w:themeColor="text1"/>
          <w:sz w:val="20"/>
          <w:szCs w:val="20"/>
          <w:lang w:eastAsia="en-GB"/>
        </w:rPr>
        <w:t xml:space="preserve">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F47556">
        <w:rPr>
          <w:rFonts w:ascii="Times New Roman" w:hAnsi="Times New Roman"/>
          <w:color w:val="000000" w:themeColor="text1"/>
          <w:sz w:val="20"/>
          <w:szCs w:val="20"/>
          <w:lang w:eastAsia="en-GB"/>
        </w:rPr>
        <w:t xml:space="preserve">Council </w:t>
      </w:r>
      <w:r w:rsidR="009B02AF" w:rsidRPr="00D92B3C">
        <w:rPr>
          <w:rFonts w:ascii="Times New Roman" w:hAnsi="Times New Roman"/>
          <w:color w:val="000000" w:themeColor="text1"/>
          <w:sz w:val="20"/>
          <w:szCs w:val="20"/>
          <w:lang w:eastAsia="en-GB"/>
        </w:rPr>
        <w:t>Directive 86/635/EEC</w:t>
      </w:r>
      <w:r w:rsidR="00876809">
        <w:rPr>
          <w:rStyle w:val="FootnoteReference"/>
          <w:color w:val="000000" w:themeColor="text1"/>
          <w:lang w:eastAsia="en-GB"/>
        </w:rPr>
        <w:footnoteReference w:id="4"/>
      </w:r>
      <w:r w:rsidR="00876809">
        <w:rPr>
          <w:rFonts w:ascii="Times New Roman" w:hAnsi="Times New Roman"/>
          <w:color w:val="000000" w:themeColor="text1"/>
          <w:sz w:val="20"/>
          <w:szCs w:val="20"/>
          <w:lang w:eastAsia="en-GB"/>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4" w:name="_Toc509909035"/>
      <w:r w:rsidRPr="00D92B3C">
        <w:rPr>
          <w:rFonts w:ascii="Times New Roman" w:hAnsi="Times New Roman" w:cs="Times New Roman"/>
          <w:szCs w:val="20"/>
        </w:rPr>
        <w:t>Accounting standards</w:t>
      </w:r>
      <w:bookmarkEnd w:id="4"/>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 xml:space="preserve">Unless otherwise specified in </w:t>
      </w:r>
      <w:r w:rsidR="004834F1">
        <w:rPr>
          <w:rFonts w:ascii="Times New Roman" w:hAnsi="Times New Roman" w:cs="Times New Roman"/>
          <w:sz w:val="20"/>
          <w:szCs w:val="20"/>
          <w:lang w:val="en-GB"/>
        </w:rPr>
        <w:t>this Annex</w:t>
      </w:r>
      <w:r w:rsidRPr="00D52306">
        <w:rPr>
          <w:rFonts w:ascii="Times New Roman" w:hAnsi="Times New Roman" w:cs="Times New Roman"/>
          <w:sz w:val="20"/>
          <w:szCs w:val="20"/>
          <w:lang w:val="en-GB"/>
        </w:rPr>
        <w:t>,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 xml:space="preserve">Implementing Regulation (EU) </w:t>
      </w:r>
      <w:r w:rsidR="00B01E2F">
        <w:rPr>
          <w:rFonts w:ascii="Times New Roman" w:hAnsi="Times New Roman" w:cs="Times New Roman"/>
          <w:sz w:val="20"/>
          <w:szCs w:val="20"/>
          <w:lang w:val="en-GB"/>
        </w:rPr>
        <w:t>2021/451</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1C2C0D">
        <w:rPr>
          <w:rFonts w:ascii="Times New Roman" w:hAnsi="Times New Roman" w:cs="Times New Roman"/>
          <w:sz w:val="20"/>
          <w:szCs w:val="20"/>
          <w:lang w:val="en-GB"/>
        </w:rPr>
        <w:t>that</w:t>
      </w:r>
      <w:r w:rsidR="001C2C0D" w:rsidRPr="00D52306">
        <w:rPr>
          <w:rFonts w:ascii="Times New Roman" w:hAnsi="Times New Roman" w:cs="Times New Roman"/>
          <w:sz w:val="20"/>
          <w:szCs w:val="20"/>
          <w:lang w:val="en-GB"/>
        </w:rPr>
        <w:t xml:space="preserve"> </w:t>
      </w:r>
      <w:r w:rsidR="004219AD" w:rsidRPr="00D52306">
        <w:rPr>
          <w:rFonts w:ascii="Times New Roman" w:hAnsi="Times New Roman" w:cs="Times New Roman"/>
          <w:sz w:val="20"/>
          <w:szCs w:val="20"/>
          <w:lang w:val="en-GB"/>
        </w:rPr>
        <w:t xml:space="preserve">Regulation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5" w:name="_Toc509909036"/>
      <w:r w:rsidRPr="00D92B3C">
        <w:rPr>
          <w:rFonts w:ascii="Times New Roman" w:hAnsi="Times New Roman" w:cs="Times New Roman"/>
          <w:szCs w:val="20"/>
        </w:rPr>
        <w:t>Scope of consolidation</w:t>
      </w:r>
      <w:bookmarkEnd w:id="5"/>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lang w:val="en-GB"/>
        </w:rPr>
      </w:pPr>
      <w:r w:rsidRPr="00044142">
        <w:rPr>
          <w:rFonts w:ascii="Times New Roman" w:hAnsi="Times New Roman" w:cs="Times New Roman"/>
          <w:sz w:val="20"/>
          <w:szCs w:val="20"/>
          <w:lang w:val="en-GB"/>
        </w:rPr>
        <w:t xml:space="preserve">This framework </w:t>
      </w:r>
      <w:r w:rsidR="00D35823" w:rsidRPr="00044142">
        <w:rPr>
          <w:rFonts w:ascii="Times New Roman" w:hAnsi="Times New Roman" w:cs="Times New Roman"/>
          <w:sz w:val="20"/>
          <w:szCs w:val="20"/>
          <w:lang w:val="en-GB"/>
        </w:rPr>
        <w:t>refers</w:t>
      </w:r>
      <w:r w:rsidRPr="00044142">
        <w:rPr>
          <w:rFonts w:ascii="Times New Roman" w:hAnsi="Times New Roman" w:cs="Times New Roman"/>
          <w:sz w:val="20"/>
          <w:szCs w:val="20"/>
          <w:lang w:val="en-GB"/>
        </w:rPr>
        <w:t xml:space="preserve">, depending on the template, </w:t>
      </w:r>
      <w:r w:rsidR="00110C6B" w:rsidRPr="00044142">
        <w:rPr>
          <w:rFonts w:ascii="Times New Roman" w:hAnsi="Times New Roman" w:cs="Times New Roman"/>
          <w:sz w:val="20"/>
          <w:szCs w:val="20"/>
          <w:lang w:val="en-GB"/>
        </w:rPr>
        <w:t>to</w:t>
      </w:r>
      <w:r w:rsidR="00CF3051" w:rsidRPr="00044142">
        <w:rPr>
          <w:rFonts w:ascii="Times New Roman" w:hAnsi="Times New Roman" w:cs="Times New Roman"/>
          <w:sz w:val="20"/>
          <w:szCs w:val="20"/>
          <w:lang w:val="en-GB"/>
        </w:rPr>
        <w:t>:</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BF16D7">
        <w:rPr>
          <w:rFonts w:ascii="Times New Roman" w:hAnsi="Times New Roman"/>
          <w:sz w:val="20"/>
          <w:szCs w:val="20"/>
        </w:rPr>
        <w:t>consolidation</w:t>
      </w:r>
      <w:r w:rsidR="000B112C" w:rsidRPr="00BF16D7">
        <w:rPr>
          <w:rFonts w:ascii="Times New Roman" w:hAnsi="Times New Roman"/>
          <w:sz w:val="20"/>
          <w:szCs w:val="20"/>
        </w:rPr>
        <w:t xml:space="preserve"> </w:t>
      </w:r>
      <w:r w:rsidRPr="00BF16D7">
        <w:rPr>
          <w:rFonts w:ascii="Times New Roman" w:hAnsi="Times New Roman"/>
          <w:sz w:val="20"/>
          <w:szCs w:val="20"/>
        </w:rPr>
        <w:t>on the basis of accounting consolidation</w:t>
      </w:r>
      <w:r w:rsidR="006A6662" w:rsidRPr="00BF16D7">
        <w:rPr>
          <w:rFonts w:ascii="Times New Roman" w:hAnsi="Times New Roman"/>
          <w:sz w:val="20"/>
          <w:szCs w:val="20"/>
        </w:rPr>
        <w:t xml:space="preserve"> (entities included in the consolidated financial statements</w:t>
      </w:r>
      <w:r w:rsidR="00CF3051" w:rsidRPr="00BF16D7">
        <w:rPr>
          <w:rFonts w:ascii="Times New Roman" w:hAnsi="Times New Roman"/>
          <w:sz w:val="20"/>
          <w:szCs w:val="20"/>
        </w:rPr>
        <w:t xml:space="preserve"> </w:t>
      </w:r>
      <w:r w:rsidR="00D56851">
        <w:rPr>
          <w:rFonts w:ascii="Times New Roman" w:hAnsi="Times New Roman"/>
          <w:sz w:val="20"/>
          <w:szCs w:val="20"/>
        </w:rPr>
        <w:t>in accordance with</w:t>
      </w:r>
      <w:r w:rsidR="00B01E2F">
        <w:rPr>
          <w:rFonts w:ascii="Times New Roman" w:hAnsi="Times New Roman"/>
          <w:sz w:val="20"/>
          <w:szCs w:val="20"/>
        </w:rPr>
        <w:t xml:space="preserve"> </w:t>
      </w:r>
      <w:r w:rsidR="00CF3051" w:rsidRPr="00BF16D7">
        <w:rPr>
          <w:rFonts w:ascii="Times New Roman" w:hAnsi="Times New Roman"/>
          <w:sz w:val="20"/>
          <w:szCs w:val="20"/>
        </w:rPr>
        <w:t>the applicable accounting framework</w:t>
      </w:r>
      <w:r w:rsidR="006A6662" w:rsidRPr="00BF16D7">
        <w:rPr>
          <w:rFonts w:ascii="Times New Roman" w:hAnsi="Times New Roman"/>
          <w:sz w:val="20"/>
          <w:szCs w:val="20"/>
        </w:rPr>
        <w:t>)</w:t>
      </w:r>
      <w:r w:rsidR="00A95BC4" w:rsidRPr="00BF16D7">
        <w:rPr>
          <w:rFonts w:ascii="Times New Roman" w:hAnsi="Times New Roman"/>
          <w:sz w:val="20"/>
          <w:szCs w:val="20"/>
        </w:rPr>
        <w:t>;</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BF16D7">
        <w:rPr>
          <w:rFonts w:ascii="Times New Roman" w:hAnsi="Times New Roman"/>
          <w:sz w:val="20"/>
          <w:szCs w:val="20"/>
        </w:rPr>
        <w:t xml:space="preserve">prudential consolidation </w:t>
      </w:r>
      <w:r w:rsidR="00CF3051" w:rsidRPr="00BF16D7">
        <w:rPr>
          <w:rFonts w:ascii="Times New Roman" w:hAnsi="Times New Roman"/>
          <w:sz w:val="20"/>
          <w:szCs w:val="20"/>
        </w:rPr>
        <w:t xml:space="preserve">(entities within the scope of consolidation </w:t>
      </w:r>
      <w:r w:rsidR="00B01E2F">
        <w:rPr>
          <w:rFonts w:ascii="Times New Roman" w:hAnsi="Times New Roman"/>
          <w:sz w:val="20"/>
          <w:szCs w:val="20"/>
        </w:rPr>
        <w:t>according to</w:t>
      </w:r>
      <w:r w:rsidR="00CF3051" w:rsidRPr="00BF16D7">
        <w:rPr>
          <w:rFonts w:ascii="Times New Roman" w:hAnsi="Times New Roman"/>
          <w:sz w:val="20"/>
          <w:szCs w:val="20"/>
        </w:rPr>
        <w:t xml:space="preserve">  Part One</w:t>
      </w:r>
      <w:r w:rsidR="0021415D">
        <w:rPr>
          <w:rFonts w:ascii="Times New Roman" w:hAnsi="Times New Roman"/>
          <w:sz w:val="20"/>
          <w:szCs w:val="20"/>
        </w:rPr>
        <w:t>, Title II, Chapter 2</w:t>
      </w:r>
      <w:r w:rsidR="006A530F">
        <w:rPr>
          <w:rFonts w:ascii="Times New Roman" w:hAnsi="Times New Roman"/>
          <w:sz w:val="20"/>
          <w:szCs w:val="20"/>
        </w:rPr>
        <w:t>,</w:t>
      </w:r>
      <w:r w:rsidR="00CF3051" w:rsidRPr="00BF16D7">
        <w:rPr>
          <w:rFonts w:ascii="Times New Roman" w:hAnsi="Times New Roman"/>
          <w:sz w:val="20"/>
          <w:szCs w:val="20"/>
        </w:rPr>
        <w:t xml:space="preserve"> of </w:t>
      </w:r>
      <w:r w:rsidR="00063EEC" w:rsidRPr="00BF16D7">
        <w:rPr>
          <w:rFonts w:ascii="Times New Roman" w:hAnsi="Times New Roman"/>
          <w:sz w:val="20"/>
          <w:szCs w:val="20"/>
        </w:rPr>
        <w:t>Regulation (EU) No 575/2013 of the European Parliament and of the Council</w:t>
      </w:r>
      <w:r w:rsidR="00876809" w:rsidRPr="00BF16D7">
        <w:rPr>
          <w:rStyle w:val="FootnoteReference"/>
          <w:rFonts w:ascii="Times New Roman" w:hAnsi="Times New Roman"/>
          <w:sz w:val="20"/>
          <w:szCs w:val="20"/>
        </w:rPr>
        <w:footnoteReference w:id="5"/>
      </w:r>
      <w:r w:rsidR="0056619B" w:rsidRPr="00BF16D7">
        <w:rPr>
          <w:rFonts w:ascii="Times New Roman" w:hAnsi="Times New Roman"/>
          <w:sz w:val="20"/>
          <w:szCs w:val="20"/>
        </w:rPr>
        <w:t>)</w:t>
      </w:r>
      <w:r w:rsidR="00876809" w:rsidRPr="00BF16D7">
        <w:rPr>
          <w:rFonts w:ascii="Times New Roman" w:hAnsi="Times New Roman"/>
          <w:sz w:val="20"/>
          <w:szCs w:val="20"/>
        </w:rPr>
        <w:t xml:space="preserve"> </w:t>
      </w:r>
      <w:r w:rsidR="00CF3051" w:rsidRPr="00BF16D7">
        <w:rPr>
          <w:rFonts w:ascii="Times New Roman" w:hAnsi="Times New Roman"/>
          <w:sz w:val="20"/>
          <w:szCs w:val="20"/>
        </w:rPr>
        <w:t>at the level of the Union parent undertaking</w:t>
      </w:r>
      <w:r w:rsidR="00770C09" w:rsidRPr="00BF16D7">
        <w:rPr>
          <w:rFonts w:ascii="Times New Roman" w:hAnsi="Times New Roman"/>
          <w:sz w:val="20"/>
          <w:szCs w:val="20"/>
        </w:rPr>
        <w:t>;</w:t>
      </w:r>
      <w:r w:rsidR="00CF3051" w:rsidRPr="00BF16D7">
        <w:rPr>
          <w:rFonts w:ascii="Times New Roman" w:hAnsi="Times New Roman"/>
          <w:sz w:val="20"/>
          <w:szCs w:val="20"/>
        </w:rPr>
        <w:t xml:space="preserve">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sidRPr="00BF16D7">
        <w:rPr>
          <w:rFonts w:ascii="Times New Roman" w:hAnsi="Times New Roman"/>
          <w:sz w:val="20"/>
          <w:szCs w:val="20"/>
        </w:rPr>
        <w:t xml:space="preserve">consolidation at the level of </w:t>
      </w:r>
      <w:r w:rsidR="00BA4315" w:rsidRPr="00BF16D7">
        <w:rPr>
          <w:rFonts w:ascii="Times New Roman" w:hAnsi="Times New Roman"/>
          <w:sz w:val="20"/>
          <w:szCs w:val="20"/>
        </w:rPr>
        <w:t xml:space="preserve">the resolution entity for </w:t>
      </w:r>
      <w:r w:rsidRPr="00BF16D7">
        <w:rPr>
          <w:rFonts w:ascii="Times New Roman" w:hAnsi="Times New Roman"/>
          <w:sz w:val="20"/>
          <w:szCs w:val="20"/>
        </w:rPr>
        <w:t xml:space="preserve">the </w:t>
      </w:r>
      <w:r w:rsidR="00CF3051" w:rsidRPr="00BF16D7">
        <w:rPr>
          <w:rFonts w:ascii="Times New Roman" w:hAnsi="Times New Roman"/>
          <w:sz w:val="20"/>
          <w:szCs w:val="20"/>
        </w:rPr>
        <w:t>resolution group.</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6" w:name="_Toc509909037"/>
      <w:r w:rsidRPr="00D92B3C">
        <w:rPr>
          <w:rFonts w:ascii="Times New Roman" w:hAnsi="Times New Roman" w:cs="Times New Roman"/>
          <w:szCs w:val="20"/>
        </w:rPr>
        <w:t>Numbering and other conventions</w:t>
      </w:r>
      <w:bookmarkEnd w:id="6"/>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 instructions</w:t>
      </w:r>
      <w:r w:rsidR="004834F1">
        <w:rPr>
          <w:rFonts w:ascii="Times New Roman" w:hAnsi="Times New Roman" w:cs="Times New Roman"/>
          <w:sz w:val="20"/>
          <w:szCs w:val="20"/>
          <w:lang w:val="en-GB"/>
        </w:rPr>
        <w:t xml:space="preserve"> in this Annex</w:t>
      </w:r>
      <w:r w:rsidR="000B669C"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xml:space="preserve">, </w:t>
      </w:r>
      <w:r w:rsidR="00D56851">
        <w:rPr>
          <w:rFonts w:ascii="Times New Roman" w:hAnsi="Times New Roman" w:cs="Times New Roman"/>
          <w:sz w:val="20"/>
          <w:szCs w:val="20"/>
          <w:lang w:val="en-GB"/>
        </w:rPr>
        <w:t xml:space="preserve">that uses numerical codes </w:t>
      </w:r>
      <w:r w:rsidRPr="00D92B3C">
        <w:rPr>
          <w:rFonts w:ascii="Times New Roman" w:hAnsi="Times New Roman" w:cs="Times New Roman"/>
          <w:sz w:val="20"/>
          <w:szCs w:val="20"/>
          <w:lang w:val="en-GB"/>
        </w:rPr>
        <w:t>when referring to the columns, rows and cells of the templates. These numerical codes are extensively used in the validation rules.</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lang w:val="en-GB"/>
        </w:rPr>
      </w:pPr>
      <w:r>
        <w:rPr>
          <w:rFonts w:ascii="Times New Roman" w:hAnsi="Times New Roman" w:cs="Times New Roman"/>
          <w:sz w:val="20"/>
          <w:szCs w:val="20"/>
          <w:lang w:val="en-GB"/>
        </w:rPr>
        <w:lastRenderedPageBreak/>
        <w:t>The following general notations are used:</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{Template;Row;Column}</w:t>
      </w:r>
      <w:r>
        <w:rPr>
          <w:rFonts w:ascii="Times New Roman" w:hAnsi="Times New Roman" w:cs="Times New Roman"/>
          <w:sz w:val="20"/>
          <w:szCs w:val="20"/>
          <w:lang w:val="en-GB"/>
        </w:rPr>
        <w:t xml:space="preserve"> </w:t>
      </w:r>
      <w:r w:rsidR="00840179" w:rsidRPr="00D92B3C">
        <w:rPr>
          <w:rFonts w:ascii="Times New Roman" w:hAnsi="Times New Roman" w:cs="Times New Roman"/>
          <w:sz w:val="20"/>
          <w:szCs w:val="20"/>
          <w:lang w:val="en-GB"/>
        </w:rPr>
        <w:t>to refer to columns, rows</w:t>
      </w:r>
      <w:r w:rsidR="004E0581" w:rsidRPr="00D92B3C">
        <w:rPr>
          <w:rFonts w:ascii="Times New Roman" w:hAnsi="Times New Roman" w:cs="Times New Roman"/>
          <w:sz w:val="20"/>
          <w:szCs w:val="20"/>
          <w:lang w:val="en-GB"/>
        </w:rPr>
        <w:t xml:space="preserve"> and cells of a template</w:t>
      </w:r>
      <w:r>
        <w:rPr>
          <w:rFonts w:ascii="Times New Roman" w:hAnsi="Times New Roman" w:cs="Times New Roman"/>
          <w:sz w:val="20"/>
          <w:szCs w:val="20"/>
          <w:lang w:val="en-GB"/>
        </w:rPr>
        <w:t>;</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{Row;Column}</w:t>
      </w:r>
      <w:r>
        <w:rPr>
          <w:rFonts w:ascii="Times New Roman" w:hAnsi="Times New Roman" w:cs="Times New Roman"/>
          <w:sz w:val="20"/>
          <w:szCs w:val="20"/>
          <w:lang w:val="en-GB"/>
        </w:rPr>
        <w:t xml:space="preserve"> i</w:t>
      </w:r>
      <w:r w:rsidR="00863EFA" w:rsidRPr="00D92B3C">
        <w:rPr>
          <w:rFonts w:ascii="Times New Roman" w:hAnsi="Times New Roman" w:cs="Times New Roman"/>
          <w:sz w:val="20"/>
          <w:szCs w:val="20"/>
          <w:lang w:val="en-GB"/>
        </w:rPr>
        <w:t xml:space="preserve">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00863EFA" w:rsidRPr="00D92B3C">
        <w:rPr>
          <w:rFonts w:ascii="Times New Roman" w:hAnsi="Times New Roman" w:cs="Times New Roman"/>
          <w:sz w:val="20"/>
          <w:szCs w:val="20"/>
          <w:lang w:val="en-GB"/>
        </w:rPr>
        <w:t xml:space="preserve">used, </w:t>
      </w:r>
      <w:r>
        <w:rPr>
          <w:rFonts w:ascii="Times New Roman" w:hAnsi="Times New Roman" w:cs="Times New Roman"/>
          <w:sz w:val="20"/>
          <w:szCs w:val="20"/>
          <w:lang w:val="en-GB"/>
        </w:rPr>
        <w:t>without</w:t>
      </w:r>
      <w:r w:rsidR="00863EFA" w:rsidRPr="00D92B3C">
        <w:rPr>
          <w:rFonts w:ascii="Times New Roman" w:hAnsi="Times New Roman" w:cs="Times New Roman"/>
          <w:sz w:val="20"/>
          <w:szCs w:val="20"/>
          <w:lang w:val="en-GB"/>
        </w:rPr>
        <w:t xml:space="preserve"> refer</w:t>
      </w:r>
      <w:r>
        <w:rPr>
          <w:rFonts w:ascii="Times New Roman" w:hAnsi="Times New Roman" w:cs="Times New Roman"/>
          <w:sz w:val="20"/>
          <w:szCs w:val="20"/>
          <w:lang w:val="en-GB"/>
        </w:rPr>
        <w:t>ring</w:t>
      </w:r>
      <w:r w:rsidR="00863EFA" w:rsidRPr="00D92B3C">
        <w:rPr>
          <w:rFonts w:ascii="Times New Roman" w:hAnsi="Times New Roman" w:cs="Times New Roman"/>
          <w:sz w:val="20"/>
          <w:szCs w:val="20"/>
          <w:lang w:val="en-GB"/>
        </w:rPr>
        <w:t xml:space="preserve"> to a template</w:t>
      </w:r>
      <w:r>
        <w:rPr>
          <w:rFonts w:ascii="Times New Roman" w:hAnsi="Times New Roman" w:cs="Times New Roman"/>
          <w:sz w:val="20"/>
          <w:szCs w:val="20"/>
          <w:lang w:val="en-GB"/>
        </w:rPr>
        <w:t>;</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{Template;Row}</w:t>
      </w:r>
      <w:r>
        <w:rPr>
          <w:rFonts w:ascii="Times New Roman" w:hAnsi="Times New Roman" w:cs="Times New Roman"/>
          <w:sz w:val="20"/>
          <w:szCs w:val="20"/>
          <w:lang w:val="en-GB"/>
        </w:rPr>
        <w:t xml:space="preserve"> i</w:t>
      </w:r>
      <w:r w:rsidR="00863EFA" w:rsidRPr="00D92B3C">
        <w:rPr>
          <w:rFonts w:ascii="Times New Roman" w:hAnsi="Times New Roman" w:cs="Times New Roman"/>
          <w:sz w:val="20"/>
          <w:szCs w:val="20"/>
          <w:lang w:val="en-GB"/>
        </w:rPr>
        <w:t>n the case of templates with only one column, only rows are referred to</w:t>
      </w:r>
      <w:r>
        <w:rPr>
          <w:rFonts w:ascii="Times New Roman" w:hAnsi="Times New Roman" w:cs="Times New Roman"/>
          <w:sz w:val="20"/>
          <w:szCs w:val="20"/>
          <w:lang w:val="en-GB"/>
        </w:rPr>
        <w:t>;</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lang w:val="en-GB"/>
        </w:rPr>
      </w:pPr>
      <w:r>
        <w:rPr>
          <w:rFonts w:ascii="Times New Roman" w:hAnsi="Times New Roman" w:cs="Times New Roman"/>
          <w:sz w:val="20"/>
          <w:szCs w:val="20"/>
          <w:lang w:val="en-GB"/>
        </w:rPr>
        <w:t>a</w:t>
      </w:r>
      <w:r w:rsidR="00863EFA" w:rsidRPr="00D92B3C">
        <w:rPr>
          <w:rFonts w:ascii="Times New Roman" w:hAnsi="Times New Roman" w:cs="Times New Roman"/>
          <w:sz w:val="20"/>
          <w:szCs w:val="20"/>
          <w:lang w:val="en-GB"/>
        </w:rPr>
        <w:t>n asterisk sign is used to express that the validation is done for the rows or columns specified before.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 instructions</w:t>
      </w:r>
      <w:r w:rsidR="0021415D">
        <w:rPr>
          <w:rFonts w:ascii="Times New Roman" w:hAnsi="Times New Roman" w:cs="Times New Roman"/>
          <w:sz w:val="20"/>
          <w:szCs w:val="20"/>
          <w:lang w:val="en-GB"/>
        </w:rPr>
        <w:t xml:space="preserve"> in this Annex</w:t>
      </w:r>
      <w:r w:rsidR="002C034F" w:rsidRPr="00D92B3C">
        <w:rPr>
          <w:rFonts w:ascii="Times New Roman" w:hAnsi="Times New Roman" w:cs="Times New Roman"/>
          <w:sz w:val="20"/>
          <w:szCs w:val="20"/>
          <w:lang w:val="en-GB"/>
        </w:rPr>
        <w:t xml:space="preserve">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w:t>
      </w:r>
      <w:r w:rsidR="004A3B9F">
        <w:rPr>
          <w:rFonts w:ascii="Times New Roman" w:hAnsi="Times New Roman" w:cs="Times New Roman"/>
          <w:sz w:val="20"/>
          <w:szCs w:val="20"/>
          <w:lang w:val="en-GB"/>
        </w:rPr>
        <w:t>shall</w:t>
      </w:r>
      <w:r w:rsidR="004A3B9F" w:rsidRPr="00D92B3C">
        <w:rPr>
          <w:rFonts w:ascii="Times New Roman" w:hAnsi="Times New Roman" w:cs="Times New Roman"/>
          <w:sz w:val="20"/>
          <w:szCs w:val="20"/>
          <w:lang w:val="en-GB"/>
        </w:rPr>
        <w:t xml:space="preserve"> </w:t>
      </w:r>
      <w:r w:rsidR="003B6E4E" w:rsidRPr="00D92B3C">
        <w:rPr>
          <w:rFonts w:ascii="Times New Roman" w:hAnsi="Times New Roman" w:cs="Times New Roman"/>
          <w:sz w:val="20"/>
          <w:szCs w:val="20"/>
          <w:lang w:val="en-GB"/>
        </w:rPr>
        <w:t xml:space="preserve">not </w:t>
      </w:r>
      <w:r w:rsidRPr="00D92B3C">
        <w:rPr>
          <w:rFonts w:ascii="Times New Roman" w:hAnsi="Times New Roman" w:cs="Times New Roman"/>
          <w:sz w:val="20"/>
          <w:szCs w:val="20"/>
          <w:lang w:val="en-GB"/>
        </w:rPr>
        <w:t>contain null value.</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7" w:name="_Toc492542319"/>
      <w:bookmarkStart w:id="8" w:name="_Toc509909038"/>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7"/>
      <w:bookmarkEnd w:id="8"/>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9" w:name="_Toc493236007"/>
      <w:bookmarkStart w:id="10" w:name="_Toc509909039"/>
      <w:bookmarkEnd w:id="9"/>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0"/>
    </w:p>
    <w:p w14:paraId="677C5E01" w14:textId="77777777"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w:t>
      </w:r>
      <w:r w:rsidR="00B00918">
        <w:rPr>
          <w:rFonts w:ascii="Times New Roman" w:hAnsi="Times New Roman" w:cs="Times New Roman"/>
          <w:sz w:val="20"/>
          <w:szCs w:val="20"/>
          <w:lang w:val="en-GB"/>
        </w:rPr>
        <w:t>of</w:t>
      </w:r>
      <w:r w:rsidR="00B00918"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w:t>
      </w:r>
      <w:r w:rsidR="00B00918">
        <w:rPr>
          <w:rFonts w:ascii="Times New Roman" w:hAnsi="Times New Roman" w:cs="Times New Roman"/>
          <w:sz w:val="20"/>
          <w:szCs w:val="20"/>
          <w:lang w:val="en-GB"/>
        </w:rPr>
        <w:t>, point </w:t>
      </w:r>
      <w:r w:rsidR="001B231E" w:rsidRPr="00D92B3C">
        <w:rPr>
          <w:rFonts w:ascii="Times New Roman" w:hAnsi="Times New Roman" w:cs="Times New Roman"/>
          <w:sz w:val="20"/>
          <w:szCs w:val="20"/>
          <w:lang w:val="en-GB"/>
        </w:rPr>
        <w:t>(a)</w:t>
      </w:r>
      <w:r w:rsidR="00B00918">
        <w:rPr>
          <w:rFonts w:ascii="Times New Roman" w:hAnsi="Times New Roman" w:cs="Times New Roman"/>
          <w:sz w:val="20"/>
          <w:szCs w:val="20"/>
          <w:lang w:val="en-GB"/>
        </w:rPr>
        <w:t>,</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14:paraId="14ECDB9F" w14:textId="77777777" w:rsidR="00E13CE3" w:rsidRPr="00D92B3C" w:rsidRDefault="00AF189E" w:rsidP="00EC261B">
      <w:pPr>
        <w:pStyle w:val="Instructionsberschrift3"/>
        <w:rPr>
          <w:lang w:val="en-GB"/>
        </w:rPr>
      </w:pPr>
      <w:r w:rsidRPr="00D92B3C">
        <w:rPr>
          <w:lang w:val="en-GB"/>
        </w:rPr>
        <w:t>Instructions concerning specific positions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54"/>
        <w:gridCol w:w="8172"/>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w:t>
            </w:r>
            <w:r w:rsidR="00CC56A0">
              <w:rPr>
                <w:rFonts w:ascii="Times New Roman" w:hAnsi="Times New Roman" w:cs="Times New Roman"/>
                <w:color w:val="000000" w:themeColor="text1"/>
                <w:spacing w:val="-2"/>
                <w:w w:val="95"/>
                <w:sz w:val="20"/>
                <w:szCs w:val="20"/>
                <w:lang w:val="en-GB"/>
              </w:rPr>
              <w:t>,</w:t>
            </w:r>
            <w:r w:rsidR="00937708" w:rsidRPr="00D92B3C">
              <w:rPr>
                <w:rFonts w:ascii="Times New Roman" w:hAnsi="Times New Roman" w:cs="Times New Roman"/>
                <w:color w:val="000000" w:themeColor="text1"/>
                <w:spacing w:val="-2"/>
                <w:w w:val="95"/>
                <w:sz w:val="20"/>
                <w:szCs w:val="20"/>
                <w:lang w:val="en-GB"/>
              </w:rPr>
              <w:t xml:space="preserve">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if not available</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a code under a uniform codification applicable in the Union or</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if not available</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a national code.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as defined in Article 4(1)</w:t>
            </w:r>
            <w:r w:rsidR="00B00918">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B00918"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B00918" w:rsidRPr="00D92B3C">
              <w:rPr>
                <w:rFonts w:ascii="Times New Roman" w:hAnsi="Times New Roman" w:cs="Times New Roman"/>
                <w:color w:val="000000" w:themeColor="text1"/>
                <w:sz w:val="20"/>
                <w:szCs w:val="20"/>
                <w:lang w:val="en-GB"/>
              </w:rPr>
              <w:t>(1)</w:t>
            </w:r>
            <w:r w:rsidR="00B00918">
              <w:rPr>
                <w:rFonts w:ascii="Times New Roman" w:hAnsi="Times New Roman" w:cs="Times New Roman"/>
                <w:color w:val="000000" w:themeColor="text1"/>
                <w:sz w:val="20"/>
                <w:szCs w:val="20"/>
                <w:lang w:val="en-GB"/>
              </w:rPr>
              <w:t>,</w:t>
            </w:r>
            <w:r w:rsidR="00B00918" w:rsidRPr="00D92B3C">
              <w:rPr>
                <w:rFonts w:ascii="Times New Roman" w:hAnsi="Times New Roman" w:cs="Times New Roman"/>
                <w:color w:val="000000" w:themeColor="text1"/>
                <w:sz w:val="20"/>
                <w:szCs w:val="20"/>
                <w:lang w:val="en-GB"/>
              </w:rPr>
              <w:t xml:space="preserve">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 xml:space="preserve">Directive </w:t>
            </w:r>
            <w:r w:rsidR="00633ADF" w:rsidRPr="00D92B3C">
              <w:rPr>
                <w:rFonts w:ascii="Times New Roman" w:hAnsi="Times New Roman" w:cs="Times New Roman"/>
                <w:color w:val="000000" w:themeColor="text1"/>
                <w:sz w:val="20"/>
                <w:szCs w:val="20"/>
                <w:lang w:val="en-GB"/>
              </w:rPr>
              <w:lastRenderedPageBreak/>
              <w:t>2013/36/EU</w:t>
            </w:r>
            <w:r w:rsidR="007C7591">
              <w:rPr>
                <w:rFonts w:ascii="Times New Roman" w:hAnsi="Times New Roman" w:cs="Times New Roman"/>
                <w:color w:val="000000" w:themeColor="text1"/>
                <w:sz w:val="20"/>
                <w:szCs w:val="20"/>
                <w:lang w:val="en-GB"/>
              </w:rPr>
              <w:t xml:space="preserve"> </w:t>
            </w:r>
            <w:r w:rsidR="007C7591" w:rsidRPr="007C7591">
              <w:rPr>
                <w:rFonts w:ascii="Times New Roman" w:hAnsi="Times New Roman" w:cs="Times New Roman"/>
                <w:color w:val="000000" w:themeColor="text1"/>
                <w:sz w:val="20"/>
                <w:szCs w:val="20"/>
              </w:rPr>
              <w:t>of the European Parliament and of the Council</w:t>
            </w:r>
            <w:r w:rsidR="00633ADF" w:rsidRPr="00D92B3C">
              <w:rPr>
                <w:rStyle w:val="FootnoteReference"/>
                <w:rFonts w:cs="Times New Roman"/>
                <w:color w:val="000000" w:themeColor="text1"/>
                <w:lang w:val="en-GB"/>
              </w:rPr>
              <w:footnoteReference w:id="6"/>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(26)</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0B669C" w:rsidRPr="00D92B3C">
              <w:rPr>
                <w:rFonts w:ascii="Times New Roman" w:hAnsi="Times New Roman" w:cs="Times New Roman"/>
                <w:color w:val="000000" w:themeColor="text1"/>
                <w:sz w:val="20"/>
                <w:szCs w:val="20"/>
                <w:lang w:val="en-GB"/>
              </w:rPr>
              <w:t xml:space="preserv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Pr>
                <w:rFonts w:ascii="Times New Roman" w:hAnsi="Times New Roman" w:cs="Times New Roman"/>
                <w:color w:val="000000" w:themeColor="text1"/>
                <w:sz w:val="20"/>
                <w:szCs w:val="20"/>
                <w:lang w:val="en-GB"/>
              </w:rPr>
              <w:t>point </w:t>
            </w:r>
            <w:r w:rsidR="007C7591" w:rsidRPr="00D92B3C">
              <w:rPr>
                <w:rFonts w:ascii="Times New Roman" w:hAnsi="Times New Roman" w:cs="Times New Roman"/>
                <w:color w:val="000000" w:themeColor="text1"/>
                <w:sz w:val="20"/>
                <w:szCs w:val="20"/>
                <w:lang w:val="en-GB"/>
              </w:rPr>
              <w:t>(20)</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Pr>
                <w:rFonts w:ascii="Times New Roman" w:hAnsi="Times New Roman" w:cs="Times New Roman"/>
                <w:color w:val="000000" w:themeColor="text1"/>
                <w:sz w:val="20"/>
                <w:szCs w:val="20"/>
                <w:lang w:val="en-GB"/>
              </w:rPr>
              <w:t>point </w:t>
            </w:r>
            <w:r w:rsidR="007C7591" w:rsidRPr="00D92B3C">
              <w:rPr>
                <w:rFonts w:ascii="Times New Roman" w:hAnsi="Times New Roman" w:cs="Times New Roman"/>
                <w:color w:val="000000" w:themeColor="text1"/>
                <w:sz w:val="20"/>
                <w:szCs w:val="20"/>
                <w:lang w:val="en-GB"/>
              </w:rPr>
              <w:t>(21)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w:t>
            </w:r>
            <w:r w:rsidR="001E794C">
              <w:rPr>
                <w:rFonts w:ascii="Times New Roman" w:hAnsi="Times New Roman" w:cs="Times New Roman"/>
                <w:color w:val="000000" w:themeColor="text1"/>
                <w:sz w:val="20"/>
                <w:szCs w:val="20"/>
                <w:lang w:val="en-GB"/>
              </w:rPr>
              <w:t>y in a Member State</w:t>
            </w:r>
            <w:r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(30)</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E</w:t>
            </w:r>
            <w:r w:rsidR="00EE1625" w:rsidRPr="00D92B3C">
              <w:rPr>
                <w:rFonts w:ascii="Times New Roman" w:hAnsi="Times New Roman" w:cs="Times New Roman"/>
                <w:color w:val="000000" w:themeColor="text1"/>
                <w:sz w:val="20"/>
                <w:szCs w:val="20"/>
                <w:lang w:val="en-GB"/>
              </w:rPr>
              <w:t>U parent 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EU</w:t>
            </w:r>
            <w:r w:rsidR="002472D0" w:rsidRPr="00D92B3C">
              <w:rPr>
                <w:rFonts w:ascii="Times New Roman" w:hAnsi="Times New Roman" w:cs="Times New Roman"/>
                <w:color w:val="000000" w:themeColor="text1"/>
                <w:sz w:val="20"/>
                <w:szCs w:val="20"/>
                <w:lang w:val="en-GB"/>
              </w:rPr>
              <w:t xml:space="preserve"> parent mixed financial holding companies as defined in Article 4(1)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(33)</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7"/>
            </w:r>
            <w:r w:rsidR="0045115F" w:rsidRPr="00D92B3C">
              <w:rPr>
                <w:rFonts w:ascii="Times New Roman" w:hAnsi="Times New Roman" w:cs="Times New Roman"/>
                <w:color w:val="000000" w:themeColor="text1"/>
                <w:sz w:val="20"/>
                <w:szCs w:val="20"/>
                <w:lang w:val="en-GB"/>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the above mentioned categories.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Yes;</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Report the following abbreviations: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w:t>
            </w:r>
            <w:r w:rsidR="000114E0">
              <w:rPr>
                <w:rFonts w:ascii="Times New Roman" w:hAnsi="Times New Roman" w:cs="Times New Roman"/>
                <w:color w:val="000000" w:themeColor="text1"/>
                <w:spacing w:val="-2"/>
                <w:w w:val="95"/>
                <w:sz w:val="20"/>
                <w:szCs w:val="20"/>
                <w:lang w:val="en-GB"/>
              </w:rPr>
              <w:t xml:space="preserve">in </w:t>
            </w:r>
            <w:r w:rsidR="000114E0" w:rsidRPr="00D92B3C">
              <w:rPr>
                <w:rFonts w:ascii="Times New Roman" w:hAnsi="Times New Roman" w:cs="Times New Roman"/>
                <w:color w:val="000000" w:themeColor="text1"/>
                <w:spacing w:val="-2"/>
                <w:w w:val="95"/>
                <w:sz w:val="20"/>
                <w:szCs w:val="20"/>
                <w:lang w:val="en-GB"/>
              </w:rPr>
              <w:t>accord</w:t>
            </w:r>
            <w:r w:rsidR="000114E0">
              <w:rPr>
                <w:rFonts w:ascii="Times New Roman" w:hAnsi="Times New Roman" w:cs="Times New Roman"/>
                <w:color w:val="000000" w:themeColor="text1"/>
                <w:spacing w:val="-2"/>
                <w:w w:val="95"/>
                <w:sz w:val="20"/>
                <w:szCs w:val="20"/>
                <w:lang w:val="en-GB"/>
              </w:rPr>
              <w:t>ance with</w:t>
            </w:r>
            <w:r w:rsidRPr="00D92B3C">
              <w:rPr>
                <w:rFonts w:ascii="Times New Roman" w:hAnsi="Times New Roman" w:cs="Times New Roman"/>
                <w:color w:val="000000" w:themeColor="text1"/>
                <w:spacing w:val="-2"/>
                <w:w w:val="95"/>
                <w:sz w:val="20"/>
                <w:szCs w:val="20"/>
                <w:lang w:val="en-GB"/>
              </w:rPr>
              <w:t xml:space="preserve">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D444D0" w:rsidRPr="00D92B3C">
              <w:rPr>
                <w:rFonts w:ascii="Times New Roman" w:hAnsi="Times New Roman" w:cs="Times New Roman"/>
                <w:color w:val="000000" w:themeColor="text1"/>
                <w:spacing w:val="-2"/>
                <w:w w:val="95"/>
                <w:sz w:val="20"/>
                <w:szCs w:val="20"/>
                <w:lang w:val="en-GB"/>
              </w:rPr>
              <w:t>;</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286572">
              <w:rPr>
                <w:rFonts w:ascii="Times New Roman" w:hAnsi="Times New Roman" w:cs="Times New Roman"/>
                <w:color w:val="000000" w:themeColor="text1"/>
                <w:spacing w:val="-2"/>
                <w:w w:val="95"/>
                <w:sz w:val="20"/>
                <w:szCs w:val="20"/>
                <w:lang w:val="en-GB"/>
              </w:rPr>
              <w:t>:</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FF6DE0">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FF6DE0">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w:t>
            </w:r>
            <w:r w:rsidR="00FF6DE0">
              <w:rPr>
                <w:rFonts w:ascii="Times New Roman" w:hAnsi="Times New Roman" w:cs="Times New Roman"/>
                <w:color w:val="000000" w:themeColor="text1"/>
                <w:spacing w:val="-2"/>
                <w:w w:val="95"/>
                <w:sz w:val="20"/>
                <w:szCs w:val="20"/>
                <w:lang w:val="en-GB"/>
              </w:rPr>
              <w:t>0</w:t>
            </w:r>
            <w:r w:rsidRPr="00D92B3C">
              <w:rPr>
                <w:rFonts w:ascii="Times New Roman" w:hAnsi="Times New Roman" w:cs="Times New Roman"/>
                <w:color w:val="000000" w:themeColor="text1"/>
                <w:spacing w:val="-2"/>
                <w:w w:val="95"/>
                <w:sz w:val="20"/>
                <w:szCs w:val="20"/>
                <w:lang w:val="en-GB"/>
              </w:rPr>
              <w:t>290;</w:t>
            </w:r>
            <w:r w:rsidR="00FF6DE0">
              <w:rPr>
                <w:rFonts w:ascii="Times New Roman" w:hAnsi="Times New Roman" w:cs="Times New Roman"/>
                <w:color w:val="000000" w:themeColor="text1"/>
                <w:spacing w:val="-2"/>
                <w:w w:val="95"/>
                <w:sz w:val="20"/>
                <w:szCs w:val="20"/>
                <w:lang w:val="en-GB"/>
              </w:rPr>
              <w:t>0</w:t>
            </w:r>
            <w:r w:rsidRPr="00D92B3C">
              <w:rPr>
                <w:rFonts w:ascii="Times New Roman" w:hAnsi="Times New Roman" w:cs="Times New Roman"/>
                <w:color w:val="000000" w:themeColor="text1"/>
                <w:spacing w:val="-2"/>
                <w:w w:val="95"/>
                <w:sz w:val="20"/>
                <w:szCs w:val="20"/>
                <w:lang w:val="en-GB"/>
              </w:rPr>
              <w:t>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008814E2" w:rsidRPr="00D92B3C">
              <w:rPr>
                <w:rFonts w:ascii="Times New Roman" w:hAnsi="Times New Roman" w:cs="Times New Roman"/>
                <w:color w:val="000000" w:themeColor="text1"/>
                <w:spacing w:val="-2"/>
                <w:w w:val="95"/>
                <w:sz w:val="20"/>
                <w:szCs w:val="20"/>
                <w:lang w:val="en-GB"/>
              </w:rPr>
              <w:t>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ntity contributes to the total consolidated leverage ratio exposure of the group the report refers to.</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7B0D67">
              <w:rPr>
                <w:rFonts w:ascii="Times New Roman" w:hAnsi="Times New Roman" w:cs="Times New Roman"/>
                <w:color w:val="000000" w:themeColor="text1"/>
                <w:spacing w:val="-2"/>
                <w:w w:val="95"/>
                <w:sz w:val="20"/>
                <w:szCs w:val="20"/>
                <w:lang w:val="en-GB"/>
              </w:rPr>
              <w:t>e</w:t>
            </w:r>
            <w:r w:rsidR="007B0D67" w:rsidRPr="00D92B3C">
              <w:rPr>
                <w:rFonts w:ascii="Times New Roman" w:hAnsi="Times New Roman" w:cs="Times New Roman"/>
                <w:color w:val="000000" w:themeColor="text1"/>
                <w:spacing w:val="-2"/>
                <w:w w:val="95"/>
                <w:sz w:val="20"/>
                <w:szCs w:val="20"/>
                <w:lang w:val="en-GB"/>
              </w:rPr>
              <w:t>ntity</w:t>
            </w:r>
            <w:r w:rsidRPr="00D92B3C">
              <w:rPr>
                <w:rFonts w:ascii="Times New Roman" w:hAnsi="Times New Roman" w:cs="Times New Roman"/>
                <w:color w:val="000000" w:themeColor="text1"/>
                <w:spacing w:val="-2"/>
                <w:w w:val="95"/>
                <w:sz w:val="20"/>
                <w:szCs w:val="20"/>
                <w:lang w:val="en-GB"/>
              </w:rPr>
              <w:t xml:space="preserve">. Only a direct parent that has more than 5% of voting rights in the </w:t>
            </w:r>
            <w:r w:rsidR="007B0D67">
              <w:rPr>
                <w:rFonts w:ascii="Times New Roman" w:hAnsi="Times New Roman" w:cs="Times New Roman"/>
                <w:color w:val="000000" w:themeColor="text1"/>
                <w:spacing w:val="-2"/>
                <w:w w:val="95"/>
                <w:sz w:val="20"/>
                <w:szCs w:val="20"/>
                <w:lang w:val="en-GB"/>
              </w:rPr>
              <w:t>e</w:t>
            </w:r>
            <w:r w:rsidR="007B0D67" w:rsidRPr="00D92B3C">
              <w:rPr>
                <w:rFonts w:ascii="Times New Roman" w:hAnsi="Times New Roman" w:cs="Times New Roman"/>
                <w:color w:val="000000" w:themeColor="text1"/>
                <w:spacing w:val="-2"/>
                <w:w w:val="95"/>
                <w:sz w:val="20"/>
                <w:szCs w:val="20"/>
                <w:lang w:val="en-GB"/>
              </w:rPr>
              <w:t xml:space="preserve">ntity </w:t>
            </w:r>
            <w:r w:rsidRPr="00D92B3C">
              <w:rPr>
                <w:rFonts w:ascii="Times New Roman" w:hAnsi="Times New Roman" w:cs="Times New Roman"/>
                <w:color w:val="000000" w:themeColor="text1"/>
                <w:spacing w:val="-2"/>
                <w:w w:val="95"/>
                <w:sz w:val="20"/>
                <w:szCs w:val="20"/>
                <w:lang w:val="en-GB"/>
              </w:rPr>
              <w:t>shall be reported</w:t>
            </w:r>
            <w:r w:rsidR="003D1BCE" w:rsidRPr="00D92B3C">
              <w:rPr>
                <w:rFonts w:ascii="Times New Roman" w:hAnsi="Times New Roman" w:cs="Times New Roman"/>
                <w:color w:val="000000" w:themeColor="text1"/>
                <w:spacing w:val="-2"/>
                <w:w w:val="95"/>
                <w:sz w:val="20"/>
                <w:szCs w:val="20"/>
                <w:lang w:val="en-GB"/>
              </w:rPr>
              <w:t>.</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If an entity has more than one direct parent, only the direct parent with the highest capital share – or voting share, if relevant – </w:t>
            </w:r>
            <w:r w:rsidRPr="000109F7">
              <w:rPr>
                <w:rFonts w:ascii="Times New Roman" w:hAnsi="Times New Roman" w:cs="Times New Roman"/>
                <w:color w:val="000000" w:themeColor="text1"/>
                <w:spacing w:val="-2"/>
                <w:w w:val="95"/>
                <w:sz w:val="20"/>
                <w:szCs w:val="20"/>
                <w:lang w:val="en-GB"/>
              </w:rPr>
              <w:t>shall be reported</w:t>
            </w:r>
            <w:r w:rsidRPr="00D92B3C">
              <w:rPr>
                <w:rFonts w:ascii="Times New Roman" w:hAnsi="Times New Roman" w:cs="Times New Roman"/>
                <w:color w:val="000000" w:themeColor="text1"/>
                <w:spacing w:val="-2"/>
                <w:w w:val="95"/>
                <w:sz w:val="20"/>
                <w:szCs w:val="20"/>
                <w:lang w:val="en-GB"/>
              </w:rPr>
              <w:t>.</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7</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lastRenderedPageBreak/>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8</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national code.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9</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20</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DA1278">
              <w:rPr>
                <w:rFonts w:ascii="Times New Roman" w:eastAsia="Cambria" w:hAnsi="Times New Roman" w:cs="Times New Roman"/>
                <w:color w:val="000000" w:themeColor="text1"/>
                <w:spacing w:val="-2"/>
                <w:w w:val="95"/>
                <w:sz w:val="20"/>
                <w:szCs w:val="20"/>
                <w:lang w:val="en-GB"/>
              </w:rPr>
              <w:t>d</w:t>
            </w:r>
            <w:r w:rsidR="00DA1278" w:rsidRPr="00D92B3C">
              <w:rPr>
                <w:rFonts w:ascii="Times New Roman" w:eastAsia="Cambria" w:hAnsi="Times New Roman" w:cs="Times New Roman"/>
                <w:color w:val="000000" w:themeColor="text1"/>
                <w:spacing w:val="-2"/>
                <w:w w:val="95"/>
                <w:sz w:val="20"/>
                <w:szCs w:val="20"/>
                <w:lang w:val="en-GB"/>
              </w:rPr>
              <w:t xml:space="preserve">irect </w:t>
            </w:r>
            <w:r w:rsidRPr="00D92B3C">
              <w:rPr>
                <w:rFonts w:ascii="Times New Roman" w:eastAsia="Cambria" w:hAnsi="Times New Roman" w:cs="Times New Roman"/>
                <w:color w:val="000000" w:themeColor="text1"/>
                <w:spacing w:val="-2"/>
                <w:w w:val="95"/>
                <w:sz w:val="20"/>
                <w:szCs w:val="20"/>
                <w:lang w:val="en-GB"/>
              </w:rPr>
              <w:t xml:space="preserve">parent in the </w:t>
            </w:r>
            <w:r w:rsidR="00DA1278">
              <w:rPr>
                <w:rFonts w:ascii="Times New Roman" w:eastAsia="Cambria" w:hAnsi="Times New Roman" w:cs="Times New Roman"/>
                <w:color w:val="000000" w:themeColor="text1"/>
                <w:spacing w:val="-2"/>
                <w:w w:val="95"/>
                <w:sz w:val="20"/>
                <w:szCs w:val="20"/>
                <w:lang w:val="en-GB"/>
              </w:rPr>
              <w:t>e</w:t>
            </w:r>
            <w:r w:rsidR="00DA1278"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21</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 xml:space="preserve">the </w:t>
            </w:r>
            <w:r w:rsidR="00DA1278">
              <w:rPr>
                <w:rFonts w:ascii="Times New Roman" w:eastAsia="Cambria" w:hAnsi="Times New Roman" w:cs="Times New Roman"/>
                <w:color w:val="000000" w:themeColor="text1"/>
                <w:spacing w:val="-1"/>
                <w:w w:val="95"/>
                <w:sz w:val="20"/>
                <w:szCs w:val="20"/>
                <w:lang w:val="en-GB"/>
              </w:rPr>
              <w:t>e</w:t>
            </w:r>
            <w:r w:rsidR="00DA1278"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14:paraId="7D57015D" w14:textId="77777777" w:rsidR="00E13CE3" w:rsidRPr="00D92B3C" w:rsidRDefault="00E13CE3" w:rsidP="00E13CE3">
      <w:pPr>
        <w:rPr>
          <w:rFonts w:ascii="Times New Roman" w:hAnsi="Times New Roman" w:cs="Times New Roman"/>
          <w:color w:val="000000" w:themeColor="text1"/>
          <w:sz w:val="20"/>
          <w:szCs w:val="20"/>
          <w:lang w:val="en-GB"/>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1" w:name="_Toc492542322"/>
      <w:bookmarkStart w:id="12" w:name="_Toc509909040"/>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11"/>
      <w:bookmarkEnd w:id="12"/>
    </w:p>
    <w:p w14:paraId="5599ADA4" w14:textId="77777777" w:rsidR="005B4526" w:rsidRPr="00D92B3C" w:rsidRDefault="005B4526" w:rsidP="00EC261B">
      <w:pPr>
        <w:pStyle w:val="Instructionsberschrift3"/>
        <w:rPr>
          <w:lang w:val="en-GB"/>
        </w:rPr>
      </w:pPr>
      <w:r w:rsidRPr="00D92B3C">
        <w:rPr>
          <w:lang w:val="en-GB"/>
        </w:rPr>
        <w:t>General remarks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lang w:val="en-GB"/>
        </w:rPr>
      </w:pPr>
      <w:r w:rsidRPr="00DB77B6">
        <w:rPr>
          <w:rFonts w:ascii="Times New Roman" w:hAnsi="Times New Roman" w:cs="Times New Roman"/>
          <w:sz w:val="20"/>
          <w:szCs w:val="20"/>
          <w:lang w:val="en-GB"/>
        </w:rPr>
        <w:t>Where a maturity breakdown is set out in this template, t</w:t>
      </w:r>
      <w:r w:rsidR="00E13CE3" w:rsidRPr="00DB77B6">
        <w:rPr>
          <w:rFonts w:ascii="Times New Roman" w:hAnsi="Times New Roman" w:cs="Times New Roman"/>
          <w:sz w:val="20"/>
          <w:szCs w:val="20"/>
          <w:lang w:val="en-GB"/>
        </w:rPr>
        <w:t>he re</w:t>
      </w:r>
      <w:r w:rsidR="00ED49C4" w:rsidRPr="00DB77B6">
        <w:rPr>
          <w:rFonts w:ascii="Times New Roman" w:hAnsi="Times New Roman" w:cs="Times New Roman"/>
          <w:sz w:val="20"/>
          <w:szCs w:val="20"/>
          <w:lang w:val="en-GB"/>
        </w:rPr>
        <w:t>sidual</w:t>
      </w:r>
      <w:r w:rsidR="00E13CE3" w:rsidRPr="00DB77B6">
        <w:rPr>
          <w:rFonts w:ascii="Times New Roman" w:hAnsi="Times New Roman" w:cs="Times New Roman"/>
          <w:sz w:val="20"/>
          <w:szCs w:val="20"/>
          <w:lang w:val="en-GB"/>
        </w:rPr>
        <w:t xml:space="preserve"> maturity </w:t>
      </w:r>
      <w:r w:rsidRPr="00DB77B6">
        <w:rPr>
          <w:rFonts w:ascii="Times New Roman" w:hAnsi="Times New Roman" w:cs="Times New Roman"/>
          <w:sz w:val="20"/>
          <w:szCs w:val="20"/>
          <w:lang w:val="en-GB"/>
        </w:rPr>
        <w:t xml:space="preserve">shall be </w:t>
      </w:r>
      <w:r w:rsidR="00E13CE3" w:rsidRPr="00DB77B6">
        <w:rPr>
          <w:rFonts w:ascii="Times New Roman" w:hAnsi="Times New Roman" w:cs="Times New Roman"/>
          <w:sz w:val="20"/>
          <w:szCs w:val="20"/>
          <w:lang w:val="en-GB"/>
        </w:rPr>
        <w:t>the time until the contractual maturity</w:t>
      </w:r>
      <w:r w:rsidR="008E116E" w:rsidRPr="00DB77B6">
        <w:rPr>
          <w:rFonts w:ascii="Times New Roman" w:hAnsi="Times New Roman" w:cs="Times New Roman"/>
          <w:sz w:val="20"/>
          <w:szCs w:val="20"/>
          <w:lang w:val="en-GB"/>
        </w:rPr>
        <w:t>. By derogation from that:</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 holder redemption option exercisable prior to the original stated maturity of the instrument, the maturity of the instrument shall be the earliest possible date on which the holder can exercise the redemption option and request redemption or repayment of the instrument</w:t>
      </w:r>
      <w:r w:rsidR="00DA1278">
        <w:rPr>
          <w:rFonts w:ascii="Times New Roman" w:hAnsi="Times New Roman" w:cs="Times New Roman"/>
          <w:sz w:val="20"/>
          <w:szCs w:val="20"/>
          <w:lang w:val="en-GB"/>
        </w:rPr>
        <w: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an incentive for the issuer to call, redeem, repay or repurchase the instrument prior to the original stated maturity of the instrument, the maturity of the instrument shall be the earliest possible date on which the issuer can exercise that option and request redemption or repayment of the instrument</w:t>
      </w:r>
      <w:r w:rsidR="00A7052C">
        <w:rPr>
          <w:rFonts w:ascii="Times New Roman" w:hAnsi="Times New Roman" w:cs="Times New Roman"/>
          <w:sz w:val="20"/>
          <w:szCs w:val="20"/>
          <w:lang w:val="en-GB"/>
        </w:rPr>
        <w: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lang w:val="en-GB"/>
        </w:rPr>
      </w:pPr>
      <w:r>
        <w:rPr>
          <w:rFonts w:ascii="Times New Roman" w:hAnsi="Times New Roman" w:cs="Times New Roman"/>
          <w:sz w:val="20"/>
          <w:szCs w:val="20"/>
          <w:lang w:val="en-GB"/>
        </w:rPr>
        <w:t>w</w:t>
      </w:r>
      <w:r w:rsidR="0025207C">
        <w:rPr>
          <w:rFonts w:ascii="Times New Roman" w:hAnsi="Times New Roman" w:cs="Times New Roman"/>
          <w:sz w:val="20"/>
          <w:szCs w:val="20"/>
          <w:lang w:val="en-GB"/>
        </w:rPr>
        <w:t xml:space="preserve">here the instrument includes </w:t>
      </w:r>
      <w:r w:rsidR="00A941F0">
        <w:rPr>
          <w:rFonts w:ascii="Times New Roman" w:hAnsi="Times New Roman" w:cs="Times New Roman"/>
          <w:sz w:val="20"/>
          <w:szCs w:val="20"/>
          <w:lang w:val="en-GB"/>
        </w:rPr>
        <w:t xml:space="preserve">such </w:t>
      </w:r>
      <w:r w:rsidR="0025207C">
        <w:rPr>
          <w:rFonts w:ascii="Times New Roman" w:hAnsi="Times New Roman" w:cs="Times New Roman"/>
          <w:sz w:val="20"/>
          <w:szCs w:val="20"/>
          <w:lang w:val="en-GB"/>
        </w:rPr>
        <w:t>a</w:t>
      </w:r>
      <w:r w:rsidR="00A941F0">
        <w:rPr>
          <w:rFonts w:ascii="Times New Roman" w:hAnsi="Times New Roman" w:cs="Times New Roman"/>
          <w:sz w:val="20"/>
          <w:szCs w:val="20"/>
          <w:lang w:val="en-GB"/>
        </w:rPr>
        <w:t xml:space="preserve"> call</w:t>
      </w:r>
      <w:r w:rsidR="0025207C">
        <w:rPr>
          <w:rFonts w:ascii="Times New Roman" w:hAnsi="Times New Roman" w:cs="Times New Roman"/>
          <w:sz w:val="20"/>
          <w:szCs w:val="20"/>
          <w:lang w:val="en-GB"/>
        </w:rPr>
        <w:t xml:space="preserve"> option </w:t>
      </w:r>
      <w:r w:rsidR="0025207C" w:rsidRPr="00DB77B6">
        <w:rPr>
          <w:rFonts w:ascii="Times New Roman" w:hAnsi="Times New Roman" w:cs="Times New Roman"/>
          <w:sz w:val="20"/>
          <w:szCs w:val="20"/>
          <w:lang w:val="en-GB"/>
        </w:rPr>
        <w:t xml:space="preserve">for the issuer </w:t>
      </w:r>
      <w:r w:rsidR="0025207C">
        <w:rPr>
          <w:rFonts w:ascii="Times New Roman" w:hAnsi="Times New Roman" w:cs="Times New Roman"/>
          <w:sz w:val="20"/>
          <w:szCs w:val="20"/>
          <w:lang w:val="en-GB"/>
        </w:rPr>
        <w:t xml:space="preserve">with an </w:t>
      </w:r>
      <w:r w:rsidR="0025207C" w:rsidRPr="0025207C">
        <w:rPr>
          <w:rFonts w:ascii="Times New Roman" w:hAnsi="Times New Roman" w:cs="Times New Roman"/>
          <w:sz w:val="20"/>
          <w:szCs w:val="20"/>
          <w:lang w:val="en-GB"/>
        </w:rPr>
        <w:t>unspecified exercise date</w:t>
      </w:r>
      <w:r w:rsidR="0025207C">
        <w:rPr>
          <w:rFonts w:ascii="Times New Roman" w:hAnsi="Times New Roman" w:cs="Times New Roman"/>
          <w:sz w:val="20"/>
          <w:szCs w:val="20"/>
          <w:lang w:val="en-GB"/>
        </w:rPr>
        <w:t xml:space="preserve"> or where the </w:t>
      </w:r>
      <w:r w:rsidR="00A941F0">
        <w:rPr>
          <w:rFonts w:ascii="Times New Roman" w:hAnsi="Times New Roman" w:cs="Times New Roman"/>
          <w:sz w:val="20"/>
          <w:szCs w:val="20"/>
          <w:lang w:val="en-GB"/>
        </w:rPr>
        <w:t>exercise of the option is triggered by specific events, the conservatively estimated likely exercise date shall be reported; regulatory or tax call options shall not be considered for this purpose.</w:t>
      </w:r>
    </w:p>
    <w:p w14:paraId="45C08BF6" w14:textId="712D03E7" w:rsidR="00E13CE3" w:rsidRPr="008E116E" w:rsidRDefault="008E116E" w:rsidP="008E116E">
      <w:pPr>
        <w:pStyle w:val="InstructionsText2"/>
        <w:numPr>
          <w:ilvl w:val="0"/>
          <w:numId w:val="0"/>
        </w:numPr>
        <w:spacing w:before="0"/>
        <w:ind w:left="720"/>
      </w:pPr>
      <w:r w:rsidRPr="00DB77B6">
        <w:rPr>
          <w:rFonts w:ascii="Times New Roman" w:hAnsi="Times New Roman" w:cs="Times New Roman"/>
          <w:sz w:val="20"/>
          <w:szCs w:val="20"/>
          <w:lang w:val="en-GB"/>
        </w:rPr>
        <w:t>In case of i</w:t>
      </w:r>
      <w:r w:rsidR="00E13CE3" w:rsidRPr="00DB77B6">
        <w:rPr>
          <w:rFonts w:ascii="Times New Roman" w:hAnsi="Times New Roman" w:cs="Times New Roman"/>
          <w:sz w:val="20"/>
          <w:szCs w:val="20"/>
          <w:lang w:val="en-GB"/>
        </w:rPr>
        <w:t>nterim payments of principal</w:t>
      </w:r>
      <w:r w:rsidRPr="00DB77B6">
        <w:rPr>
          <w:rFonts w:ascii="Times New Roman" w:hAnsi="Times New Roman" w:cs="Times New Roman"/>
          <w:sz w:val="20"/>
          <w:szCs w:val="20"/>
          <w:lang w:val="en-GB"/>
        </w:rPr>
        <w:t>, the principal</w:t>
      </w:r>
      <w:r w:rsidR="00E13CE3" w:rsidRPr="00DB77B6">
        <w:rPr>
          <w:rFonts w:ascii="Times New Roman" w:hAnsi="Times New Roman" w:cs="Times New Roman"/>
          <w:sz w:val="20"/>
          <w:szCs w:val="20"/>
          <w:lang w:val="en-GB"/>
        </w:rPr>
        <w:t xml:space="preserve"> </w:t>
      </w:r>
      <w:r w:rsidR="00AE420E" w:rsidRPr="00DB77B6">
        <w:rPr>
          <w:rFonts w:ascii="Times New Roman" w:hAnsi="Times New Roman" w:cs="Times New Roman"/>
          <w:sz w:val="20"/>
          <w:szCs w:val="20"/>
          <w:lang w:val="en-GB"/>
        </w:rPr>
        <w:t xml:space="preserve">shall </w:t>
      </w:r>
      <w:r w:rsidR="00E13CE3" w:rsidRPr="00DB77B6">
        <w:rPr>
          <w:rFonts w:ascii="Times New Roman" w:hAnsi="Times New Roman" w:cs="Times New Roman"/>
          <w:sz w:val="20"/>
          <w:szCs w:val="20"/>
          <w:lang w:val="en-GB"/>
        </w:rPr>
        <w:t>be split</w:t>
      </w:r>
      <w:r w:rsidRPr="00DB77B6">
        <w:rPr>
          <w:rFonts w:ascii="Times New Roman" w:hAnsi="Times New Roman" w:cs="Times New Roman"/>
          <w:sz w:val="20"/>
          <w:szCs w:val="20"/>
          <w:lang w:val="en-GB"/>
        </w:rPr>
        <w:t xml:space="preserve"> and allocated</w:t>
      </w:r>
      <w:r w:rsidR="00E13CE3" w:rsidRPr="00DB77B6">
        <w:rPr>
          <w:rFonts w:ascii="Times New Roman" w:hAnsi="Times New Roman" w:cs="Times New Roman"/>
          <w:sz w:val="20"/>
          <w:szCs w:val="20"/>
          <w:lang w:val="en-GB"/>
        </w:rPr>
        <w:t xml:space="preserve"> into the corresponding maturity buckets.</w:t>
      </w:r>
      <w:r w:rsidR="00ED49C4" w:rsidRPr="00DB77B6">
        <w:rPr>
          <w:rFonts w:ascii="Times New Roman" w:hAnsi="Times New Roman" w:cs="Times New Roman"/>
          <w:sz w:val="20"/>
          <w:szCs w:val="20"/>
          <w:lang w:val="en-GB"/>
        </w:rPr>
        <w:t xml:space="preserve"> Where applicable, the maturity shall be considered separately for both the principal amount and accrued interest</w:t>
      </w:r>
      <w:r w:rsidR="00ED49C4" w:rsidRPr="00DB77B6">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A</w:t>
      </w:r>
      <w:r w:rsidR="00296A07" w:rsidRPr="00D92B3C">
        <w:rPr>
          <w:rFonts w:ascii="Times New Roman" w:hAnsi="Times New Roman" w:cs="Times New Roman"/>
          <w:sz w:val="20"/>
          <w:szCs w:val="20"/>
          <w:lang w:val="en-GB"/>
        </w:rPr>
        <w:t xml:space="preserve">mounts reported </w:t>
      </w:r>
      <w:r w:rsidR="00743E08" w:rsidRPr="00D92B3C">
        <w:rPr>
          <w:rFonts w:ascii="Times New Roman" w:hAnsi="Times New Roman" w:cs="Times New Roman"/>
          <w:sz w:val="20"/>
          <w:szCs w:val="20"/>
          <w:lang w:val="en-GB"/>
        </w:rPr>
        <w:t>in this template</w:t>
      </w:r>
      <w:r w:rsidR="00296A07"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00296A07"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00296A07"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00296A07"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However</w:t>
      </w:r>
      <w:r w:rsidR="009927F0"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009927F0"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009927F0"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009927F0"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for FINREP purposes, either under IFRS or nGAAP,</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nGAAP reporting schemes </w:t>
      </w:r>
      <w:r w:rsidR="009927F0"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14:paraId="2CF3C59A" w14:textId="77777777" w:rsidR="00E13CE3" w:rsidRPr="00D92B3C" w:rsidRDefault="00E13CE3" w:rsidP="00EC261B">
      <w:pPr>
        <w:pStyle w:val="Instructionsberschrift3"/>
        <w:rPr>
          <w:lang w:val="en-GB"/>
        </w:rPr>
      </w:pPr>
      <w:r w:rsidRPr="00D92B3C">
        <w:rPr>
          <w:lang w:val="en-GB"/>
        </w:rPr>
        <w:lastRenderedPageBreak/>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A705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E1FA2">
              <w:rPr>
                <w:rFonts w:ascii="Times New Roman" w:eastAsia="Cambria" w:hAnsi="Times New Roman" w:cs="Times New Roman"/>
                <w:color w:val="000000" w:themeColor="text1"/>
                <w:spacing w:val="-2"/>
                <w:w w:val="95"/>
                <w:sz w:val="20"/>
                <w:szCs w:val="20"/>
                <w:lang w:val="en-GB"/>
              </w:rPr>
              <w:t>, paragrap</w:t>
            </w:r>
            <w:r w:rsidR="00437E45">
              <w:rPr>
                <w:rFonts w:ascii="Times New Roman" w:eastAsia="Cambria" w:hAnsi="Times New Roman" w:cs="Times New Roman"/>
                <w:color w:val="000000" w:themeColor="text1"/>
                <w:spacing w:val="-2"/>
                <w:w w:val="95"/>
                <w:sz w:val="20"/>
                <w:szCs w:val="20"/>
                <w:lang w:val="en-GB"/>
              </w:rPr>
              <w:t>h</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42</w:t>
            </w:r>
            <w:r w:rsidR="004E1FA2">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Title I, Article 2.1</w:t>
            </w:r>
            <w:r w:rsidR="004A4353">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8"/>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w:t>
            </w:r>
            <w:r w:rsidR="00A7052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Part 1</w:t>
            </w:r>
            <w:r w:rsidR="00465F41">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5</w:t>
            </w:r>
            <w:r w:rsidR="00167BF3">
              <w:rPr>
                <w:rFonts w:ascii="Times New Roman" w:eastAsia="Cambria" w:hAnsi="Times New Roman" w:cs="Times New Roman"/>
                <w:color w:val="000000" w:themeColor="text1"/>
                <w:spacing w:val="-2"/>
                <w:w w:val="95"/>
                <w:sz w:val="20"/>
                <w:szCs w:val="20"/>
                <w:lang w:val="en-GB"/>
              </w:rPr>
              <w:t>, point </w:t>
            </w:r>
            <w:r w:rsidR="008117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i</w:t>
            </w:r>
            <w:r w:rsidR="0081175C" w:rsidRPr="00D92B3C">
              <w:rPr>
                <w:rFonts w:ascii="Times New Roman" w:eastAsia="Cambria" w:hAnsi="Times New Roman" w:cs="Times New Roman"/>
                <w:color w:val="000000" w:themeColor="text1"/>
                <w:spacing w:val="-2"/>
                <w:w w:val="95"/>
                <w:sz w:val="20"/>
                <w:szCs w:val="20"/>
                <w:lang w:val="en-GB"/>
              </w:rPr>
              <w:t>)</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BE"/>
              </w:rPr>
            </w:pPr>
            <w:r w:rsidRPr="00BB34DC">
              <w:rPr>
                <w:rFonts w:ascii="Times New Roman" w:hAnsi="Times New Roman" w:cs="Times New Roman"/>
                <w:b/>
                <w:color w:val="000000" w:themeColor="text1"/>
                <w:spacing w:val="-2"/>
                <w:w w:val="95"/>
                <w:sz w:val="20"/>
                <w:szCs w:val="20"/>
                <w:lang w:val="fr-BE"/>
              </w:rPr>
              <w:t>Non-financial corporations (non-SMEs)</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21EAE">
              <w:rPr>
                <w:rFonts w:ascii="Times New Roman" w:eastAsia="Cambria" w:hAnsi="Times New Roman" w:cs="Times New Roman"/>
                <w:color w:val="000000" w:themeColor="text1"/>
                <w:spacing w:val="-2"/>
                <w:w w:val="95"/>
                <w:sz w:val="20"/>
                <w:szCs w:val="20"/>
              </w:rPr>
              <w:t>F</w:t>
            </w:r>
            <w:r w:rsidR="00CF4CE8" w:rsidRPr="00C21EAE">
              <w:rPr>
                <w:rFonts w:ascii="Times New Roman" w:eastAsia="Cambria" w:hAnsi="Times New Roman" w:cs="Times New Roman"/>
                <w:color w:val="000000" w:themeColor="text1"/>
                <w:spacing w:val="-2"/>
                <w:w w:val="95"/>
                <w:sz w:val="20"/>
                <w:szCs w:val="20"/>
              </w:rPr>
              <w:t xml:space="preserve">INREP, </w:t>
            </w:r>
            <w:r w:rsidRPr="00C21EAE">
              <w:rPr>
                <w:rFonts w:ascii="Times New Roman" w:eastAsia="Cambria" w:hAnsi="Times New Roman" w:cs="Times New Roman"/>
                <w:color w:val="000000" w:themeColor="text1"/>
                <w:spacing w:val="-2"/>
                <w:w w:val="95"/>
                <w:sz w:val="20"/>
                <w:szCs w:val="20"/>
              </w:rPr>
              <w:t>Annex V</w:t>
            </w:r>
            <w:r w:rsidR="004A4353" w:rsidRPr="00C21EAE">
              <w:rPr>
                <w:rFonts w:ascii="Times New Roman" w:eastAsia="Cambria" w:hAnsi="Times New Roman" w:cs="Times New Roman"/>
                <w:color w:val="000000" w:themeColor="text1"/>
                <w:spacing w:val="-2"/>
                <w:w w:val="95"/>
                <w:sz w:val="20"/>
                <w:szCs w:val="20"/>
              </w:rPr>
              <w:t>,</w:t>
            </w:r>
            <w:r w:rsidRPr="00C21EAE">
              <w:rPr>
                <w:rFonts w:ascii="Times New Roman" w:eastAsia="Cambria" w:hAnsi="Times New Roman" w:cs="Times New Roman"/>
                <w:color w:val="000000" w:themeColor="text1"/>
                <w:spacing w:val="-2"/>
                <w:w w:val="95"/>
                <w:sz w:val="20"/>
                <w:szCs w:val="20"/>
              </w:rPr>
              <w:t xml:space="preserve"> Part 1</w:t>
            </w:r>
            <w:r w:rsidR="00437E45" w:rsidRPr="00C21EAE">
              <w:rPr>
                <w:rFonts w:ascii="Times New Roman" w:eastAsia="Cambria" w:hAnsi="Times New Roman" w:cs="Times New Roman"/>
                <w:color w:val="000000" w:themeColor="text1"/>
                <w:spacing w:val="-2"/>
                <w:w w:val="95"/>
                <w:sz w:val="20"/>
                <w:szCs w:val="20"/>
              </w:rPr>
              <w:t>, paragraph</w:t>
            </w:r>
            <w:r w:rsidR="00F82306" w:rsidRPr="00C21EAE">
              <w:rPr>
                <w:rFonts w:ascii="Times New Roman" w:eastAsia="Cambria" w:hAnsi="Times New Roman" w:cs="Times New Roman"/>
                <w:color w:val="000000" w:themeColor="text1"/>
                <w:spacing w:val="-2"/>
                <w:w w:val="95"/>
                <w:sz w:val="20"/>
                <w:szCs w:val="20"/>
              </w:rPr>
              <w:t xml:space="preserve"> </w:t>
            </w:r>
            <w:r w:rsidR="00CF4CE8" w:rsidRPr="00C21EAE">
              <w:rPr>
                <w:rFonts w:ascii="Times New Roman" w:eastAsia="Cambria" w:hAnsi="Times New Roman" w:cs="Times New Roman"/>
                <w:color w:val="000000" w:themeColor="text1"/>
                <w:spacing w:val="-2"/>
                <w:w w:val="95"/>
                <w:sz w:val="20"/>
                <w:szCs w:val="20"/>
              </w:rPr>
              <w:t>42</w:t>
            </w:r>
            <w:r w:rsidR="00437E45" w:rsidRPr="00C21EAE">
              <w:rPr>
                <w:rFonts w:ascii="Times New Roman" w:eastAsia="Cambria" w:hAnsi="Times New Roman" w:cs="Times New Roman"/>
                <w:color w:val="000000" w:themeColor="text1"/>
                <w:spacing w:val="-2"/>
                <w:w w:val="95"/>
                <w:sz w:val="20"/>
                <w:szCs w:val="20"/>
              </w:rPr>
              <w:t xml:space="preserve">, point </w:t>
            </w:r>
            <w:r w:rsidRPr="00C21EAE">
              <w:rPr>
                <w:rFonts w:ascii="Times New Roman" w:eastAsia="Cambria" w:hAnsi="Times New Roman" w:cs="Times New Roman"/>
                <w:color w:val="000000" w:themeColor="text1"/>
                <w:spacing w:val="-2"/>
                <w:w w:val="95"/>
                <w:sz w:val="20"/>
                <w:szCs w:val="20"/>
              </w:rPr>
              <w:t>(e)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w:t>
            </w:r>
            <w:r w:rsidR="00286572">
              <w:rPr>
                <w:rFonts w:ascii="Times New Roman" w:eastAsia="Cambria" w:hAnsi="Times New Roman" w:cs="Times New Roman"/>
                <w:color w:val="000000" w:themeColor="text1"/>
                <w:spacing w:val="-2"/>
                <w:w w:val="95"/>
                <w:sz w:val="20"/>
                <w:szCs w:val="20"/>
                <w:lang w:val="en-GB"/>
              </w:rPr>
              <w:t>under</w:t>
            </w:r>
            <w:r w:rsidRPr="00D92B3C">
              <w:rPr>
                <w:rFonts w:ascii="Times New Roman" w:eastAsia="Cambria" w:hAnsi="Times New Roman" w:cs="Times New Roman"/>
                <w:color w:val="000000" w:themeColor="text1"/>
                <w:spacing w:val="-2"/>
                <w:w w:val="95"/>
                <w:sz w:val="20"/>
                <w:szCs w:val="20"/>
                <w:lang w:val="en-GB"/>
              </w:rPr>
              <w:t xml:space="preserve"> </w:t>
            </w:r>
            <w:r w:rsidR="001D258F" w:rsidRPr="00BB34DC">
              <w:rPr>
                <w:rFonts w:ascii="Times New Roman" w:eastAsia="Cambria" w:hAnsi="Times New Roman" w:cs="Times New Roman"/>
                <w:color w:val="000000" w:themeColor="text1"/>
                <w:spacing w:val="-2"/>
                <w:w w:val="95"/>
                <w:sz w:val="20"/>
                <w:szCs w:val="20"/>
                <w:lang w:val="en-GB"/>
              </w:rPr>
              <w:t xml:space="preserve">Regulation (EU) </w:t>
            </w:r>
            <w:r w:rsidR="00A24F48">
              <w:rPr>
                <w:rFonts w:ascii="Times New Roman" w:eastAsia="Cambria" w:hAnsi="Times New Roman" w:cs="Times New Roman"/>
                <w:color w:val="000000" w:themeColor="text1"/>
                <w:spacing w:val="-2"/>
                <w:w w:val="95"/>
                <w:sz w:val="20"/>
                <w:szCs w:val="20"/>
                <w:lang w:val="en-GB"/>
              </w:rPr>
              <w:t>2021/379</w:t>
            </w:r>
            <w:r w:rsidR="001D258F" w:rsidRPr="00BB34DC">
              <w:rPr>
                <w:rFonts w:ascii="Times New Roman" w:eastAsia="Cambria" w:hAnsi="Times New Roman" w:cs="Times New Roman"/>
                <w:color w:val="000000" w:themeColor="text1"/>
                <w:spacing w:val="-2"/>
                <w:w w:val="95"/>
                <w:sz w:val="20"/>
                <w:szCs w:val="20"/>
                <w:lang w:val="en-GB"/>
              </w:rPr>
              <w:t xml:space="preserve"> of</w:t>
            </w:r>
            <w:r w:rsidR="00586758" w:rsidRPr="00D92B3C">
              <w:rPr>
                <w:rFonts w:ascii="Times New Roman" w:hAnsi="Times New Roman" w:cs="Times New Roman"/>
                <w:color w:val="000000" w:themeColor="text1"/>
                <w:sz w:val="20"/>
                <w:szCs w:val="20"/>
                <w:lang w:val="en-GB" w:eastAsia="en-GB"/>
              </w:rPr>
              <w:t xml:space="preserve"> </w:t>
            </w:r>
            <w:r w:rsidR="001D258F" w:rsidRPr="00BB34DC">
              <w:rPr>
                <w:rFonts w:ascii="Times New Roman" w:eastAsia="Cambria" w:hAnsi="Times New Roman" w:cs="Times New Roman"/>
                <w:color w:val="000000" w:themeColor="text1"/>
                <w:spacing w:val="-2"/>
                <w:w w:val="95"/>
                <w:sz w:val="20"/>
                <w:szCs w:val="20"/>
                <w:lang w:val="en-GB"/>
              </w:rPr>
              <w:t>the European Central Bank</w:t>
            </w:r>
            <w:r w:rsidR="00586758" w:rsidRPr="00D92B3C">
              <w:rPr>
                <w:rFonts w:ascii="Times New Roman" w:hAnsi="Times New Roman" w:cs="Times New Roman"/>
                <w:color w:val="000000" w:themeColor="text1"/>
                <w:sz w:val="20"/>
                <w:szCs w:val="20"/>
                <w:vertAlign w:val="superscript"/>
                <w:lang w:val="en-GB"/>
              </w:rPr>
              <w:footnoteReference w:id="9"/>
            </w:r>
            <w:r w:rsidRPr="00D92B3C">
              <w:rPr>
                <w:rFonts w:ascii="Times New Roman" w:eastAsia="Cambria" w:hAnsi="Times New Roman" w:cs="Times New Roman"/>
                <w:color w:val="000000" w:themeColor="text1"/>
                <w:spacing w:val="-2"/>
                <w:w w:val="95"/>
                <w:sz w:val="20"/>
                <w:szCs w:val="20"/>
                <w:lang w:val="en-GB"/>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Credit institutions within the meaning of Article 4(1)</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(1)</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167BF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F97BC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All financial corporations and quasi-corporations other than credit institutions such as investment firms, investment funds, insurance companies, pension funds, collective investment undertakings, and clearing houses as well as remaining financial 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43342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8B292D"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points </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administrative bodies and non-commercial undertakings, but excluding public and private companies </w:t>
            </w:r>
            <w:r w:rsidR="00C31CA4">
              <w:rPr>
                <w:rFonts w:ascii="Times New Roman" w:eastAsia="Cambria" w:hAnsi="Times New Roman" w:cs="Times New Roman"/>
                <w:color w:val="000000" w:themeColor="text1"/>
                <w:spacing w:val="-2"/>
                <w:w w:val="95"/>
                <w:sz w:val="20"/>
                <w:szCs w:val="20"/>
                <w:lang w:val="en-GB"/>
              </w:rPr>
              <w:t xml:space="preserve">that are </w:t>
            </w:r>
            <w:r w:rsidRPr="00D92B3C">
              <w:rPr>
                <w:rFonts w:ascii="Times New Roman" w:eastAsia="Cambria" w:hAnsi="Times New Roman" w:cs="Times New Roman"/>
                <w:color w:val="000000" w:themeColor="text1"/>
                <w:spacing w:val="-2"/>
                <w:w w:val="95"/>
                <w:sz w:val="20"/>
                <w:szCs w:val="20"/>
                <w:lang w:val="en-GB"/>
              </w:rPr>
              <w:t>held by th</w:t>
            </w:r>
            <w:r w:rsidR="00433423">
              <w:rPr>
                <w:rFonts w:ascii="Times New Roman" w:eastAsia="Cambria" w:hAnsi="Times New Roman" w:cs="Times New Roman"/>
                <w:color w:val="000000" w:themeColor="text1"/>
                <w:spacing w:val="-2"/>
                <w:w w:val="95"/>
                <w:sz w:val="20"/>
                <w:szCs w:val="20"/>
                <w:lang w:val="en-GB"/>
              </w:rPr>
              <w:t>o</w:t>
            </w:r>
            <w:r w:rsidRPr="00D92B3C">
              <w:rPr>
                <w:rFonts w:ascii="Times New Roman" w:eastAsia="Cambria" w:hAnsi="Times New Roman" w:cs="Times New Roman"/>
                <w:color w:val="000000" w:themeColor="text1"/>
                <w:spacing w:val="-2"/>
                <w:w w:val="95"/>
                <w:sz w:val="20"/>
                <w:szCs w:val="20"/>
                <w:lang w:val="en-GB"/>
              </w:rPr>
              <w:t xml:space="preserve">se administrations </w:t>
            </w:r>
            <w:r w:rsidR="00C31CA4">
              <w:rPr>
                <w:rFonts w:ascii="Times New Roman" w:eastAsia="Cambria" w:hAnsi="Times New Roman" w:cs="Times New Roman"/>
                <w:color w:val="000000" w:themeColor="text1"/>
                <w:spacing w:val="-2"/>
                <w:w w:val="95"/>
                <w:sz w:val="20"/>
                <w:szCs w:val="20"/>
                <w:lang w:val="en-GB"/>
              </w:rPr>
              <w:t>and carry out</w:t>
            </w:r>
            <w:r w:rsidRPr="00D92B3C">
              <w:rPr>
                <w:rFonts w:ascii="Times New Roman" w:eastAsia="Cambria" w:hAnsi="Times New Roman" w:cs="Times New Roman"/>
                <w:color w:val="000000" w:themeColor="text1"/>
                <w:spacing w:val="-2"/>
                <w:w w:val="95"/>
                <w:sz w:val="20"/>
                <w:szCs w:val="20"/>
                <w:lang w:val="en-GB"/>
              </w:rPr>
              <w:t xml:space="preser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the International Monetary Fund and the Bank for International Settlements.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xml:space="preserve">, listed on a </w:t>
            </w:r>
            <w:r w:rsidR="000A3045">
              <w:rPr>
                <w:rFonts w:ascii="Times New Roman" w:hAnsi="Times New Roman" w:cs="Times New Roman"/>
                <w:b/>
                <w:color w:val="000000" w:themeColor="text1"/>
                <w:spacing w:val="-2"/>
                <w:w w:val="95"/>
                <w:sz w:val="20"/>
                <w:szCs w:val="20"/>
                <w:lang w:val="en-GB"/>
              </w:rPr>
              <w:t>trading venue</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 xml:space="preserve">Where the identity of the holder of a security is not known due to the instruments being listed on </w:t>
            </w:r>
            <w:r w:rsidR="000A3045">
              <w:rPr>
                <w:rFonts w:ascii="Times New Roman" w:hAnsi="Times New Roman" w:cs="Times New Roman"/>
                <w:color w:val="000000" w:themeColor="text1"/>
                <w:spacing w:val="-2"/>
                <w:w w:val="95"/>
                <w:sz w:val="20"/>
                <w:szCs w:val="20"/>
                <w:lang w:val="en-GB"/>
              </w:rPr>
              <w:t xml:space="preserve">a trading </w:t>
            </w:r>
            <w:r w:rsidR="000A3045">
              <w:rPr>
                <w:rFonts w:ascii="Times New Roman" w:hAnsi="Times New Roman" w:cs="Times New Roman"/>
                <w:color w:val="000000" w:themeColor="text1"/>
                <w:spacing w:val="-2"/>
                <w:w w:val="95"/>
                <w:sz w:val="20"/>
                <w:szCs w:val="20"/>
                <w:lang w:val="en-GB"/>
              </w:rPr>
              <w:lastRenderedPageBreak/>
              <w:t>venue</w:t>
            </w:r>
            <w:r w:rsidRPr="00D92B3C">
              <w:rPr>
                <w:rFonts w:ascii="Times New Roman" w:hAnsi="Times New Roman" w:cs="Times New Roman"/>
                <w:color w:val="000000" w:themeColor="text1"/>
                <w:spacing w:val="-2"/>
                <w:w w:val="95"/>
                <w:sz w:val="20"/>
                <w:szCs w:val="20"/>
                <w:lang w:val="en-GB"/>
              </w:rPr>
              <w:t>, as defined under Directive 2014/65/EU of the European Parliament and of the Council</w:t>
            </w:r>
            <w:r w:rsidR="00433423">
              <w:rPr>
                <w:rStyle w:val="FootnoteReference"/>
                <w:rFonts w:cs="Times New Roman"/>
                <w:color w:val="000000" w:themeColor="text1"/>
                <w:spacing w:val="-2"/>
                <w:w w:val="95"/>
                <w:lang w:val="en-GB"/>
              </w:rPr>
              <w:footnoteReference w:id="10"/>
            </w:r>
            <w:r w:rsidRPr="00D92B3C">
              <w:rPr>
                <w:rFonts w:ascii="Times New Roman" w:hAnsi="Times New Roman" w:cs="Times New Roman"/>
                <w:color w:val="000000" w:themeColor="text1"/>
                <w:spacing w:val="-2"/>
                <w:w w:val="95"/>
                <w:sz w:val="20"/>
                <w:szCs w:val="20"/>
                <w:lang w:val="en-GB"/>
              </w:rPr>
              <w:t>,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w:t>
            </w:r>
            <w:r w:rsidR="008A320A">
              <w:rPr>
                <w:rFonts w:ascii="Times New Roman" w:hAnsi="Times New Roman" w:cs="Times New Roman"/>
                <w:b/>
                <w:color w:val="000000" w:themeColor="text1"/>
                <w:spacing w:val="-2"/>
                <w:w w:val="95"/>
                <w:sz w:val="20"/>
                <w:szCs w:val="20"/>
                <w:lang w:val="en-GB"/>
              </w:rPr>
              <w:t xml:space="preserve"> not</w:t>
            </w:r>
            <w:r w:rsidRPr="00D92B3C">
              <w:rPr>
                <w:rFonts w:ascii="Times New Roman" w:hAnsi="Times New Roman" w:cs="Times New Roman"/>
                <w:b/>
                <w:color w:val="000000" w:themeColor="text1"/>
                <w:spacing w:val="-2"/>
                <w:w w:val="95"/>
                <w:sz w:val="20"/>
                <w:szCs w:val="20"/>
                <w:lang w:val="en-GB"/>
              </w:rPr>
              <w:t xml:space="preserve"> listed on a</w:t>
            </w:r>
            <w:r w:rsidR="000A3045">
              <w:rPr>
                <w:rFonts w:ascii="Times New Roman" w:hAnsi="Times New Roman" w:cs="Times New Roman"/>
                <w:b/>
                <w:color w:val="000000" w:themeColor="text1"/>
                <w:spacing w:val="-2"/>
                <w:w w:val="95"/>
                <w:sz w:val="20"/>
                <w:szCs w:val="20"/>
                <w:lang w:val="en-GB"/>
              </w:rPr>
              <w:t xml:space="preserve"> trading venue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without the instruments being listed on a</w:t>
            </w:r>
            <w:r w:rsidR="000A3045">
              <w:rPr>
                <w:rFonts w:ascii="Times New Roman" w:eastAsia="Cambria" w:hAnsi="Times New Roman" w:cs="Times New Roman"/>
                <w:color w:val="000000" w:themeColor="text1"/>
                <w:spacing w:val="-2"/>
                <w:w w:val="95"/>
                <w:sz w:val="20"/>
                <w:szCs w:val="20"/>
                <w:lang w:val="en-GB"/>
              </w:rPr>
              <w:t xml:space="preserve"> trading venue</w:t>
            </w:r>
            <w:r w:rsidR="00F7112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Of which: </w:t>
            </w:r>
            <w:r w:rsidR="006F50B4">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color w:val="000000" w:themeColor="text1"/>
                <w:spacing w:val="-2"/>
                <w:w w:val="95"/>
                <w:sz w:val="20"/>
                <w:szCs w:val="20"/>
                <w:lang w:val="en-GB"/>
              </w:rPr>
              <w:t xml:space="preserve"> governed</w:t>
            </w:r>
            <w:r w:rsidR="005F4BA1" w:rsidRPr="00D92B3C">
              <w:rPr>
                <w:rFonts w:ascii="Times New Roman" w:hAnsi="Times New Roman" w:cs="Times New Roman"/>
                <w:b/>
                <w:color w:val="000000" w:themeColor="text1"/>
                <w:spacing w:val="-2"/>
                <w:w w:val="95"/>
                <w:sz w:val="20"/>
                <w:szCs w:val="20"/>
                <w:lang w:val="en-GB"/>
              </w:rPr>
              <w:t xml:space="preserve"> by the law of a third country, excluding intragroup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These shall include the gross amounts of liabilities governed by the law of a third-country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resolution authority has confirmed that it is satisfied, pursuant </w:t>
            </w:r>
            <w:r w:rsidRPr="00DB77B6">
              <w:rPr>
                <w:rFonts w:ascii="Times New Roman" w:eastAsia="Cambria" w:hAnsi="Times New Roman" w:cs="Times New Roman"/>
                <w:color w:val="000000" w:themeColor="text1"/>
                <w:spacing w:val="-2"/>
                <w:w w:val="95"/>
                <w:sz w:val="20"/>
                <w:szCs w:val="20"/>
                <w:lang w:val="en-GB"/>
              </w:rPr>
              <w:t>to A</w:t>
            </w:r>
            <w:r w:rsidR="00FF209B" w:rsidRPr="00DB77B6">
              <w:rPr>
                <w:rFonts w:ascii="Times New Roman" w:eastAsia="Cambria" w:hAnsi="Times New Roman" w:cs="Times New Roman"/>
                <w:color w:val="000000" w:themeColor="text1"/>
                <w:spacing w:val="-2"/>
                <w:w w:val="95"/>
                <w:sz w:val="20"/>
                <w:szCs w:val="20"/>
                <w:lang w:val="en-GB"/>
              </w:rPr>
              <w:t xml:space="preserve">rticle </w:t>
            </w:r>
            <w:r w:rsidR="00C51914" w:rsidRPr="00DB77B6">
              <w:rPr>
                <w:rFonts w:ascii="Times New Roman" w:eastAsia="Cambria" w:hAnsi="Times New Roman" w:cs="Times New Roman"/>
                <w:color w:val="000000" w:themeColor="text1"/>
                <w:spacing w:val="-2"/>
                <w:w w:val="95"/>
                <w:sz w:val="20"/>
                <w:szCs w:val="20"/>
                <w:lang w:val="en-GB"/>
              </w:rPr>
              <w:t>55</w:t>
            </w:r>
            <w:r w:rsidR="002F3E81" w:rsidRPr="00DB77B6">
              <w:rPr>
                <w:rFonts w:ascii="Times New Roman" w:eastAsia="Cambria" w:hAnsi="Times New Roman" w:cs="Times New Roman"/>
                <w:color w:val="000000" w:themeColor="text1"/>
                <w:spacing w:val="-2"/>
                <w:w w:val="95"/>
                <w:sz w:val="20"/>
                <w:szCs w:val="20"/>
                <w:lang w:val="en-GB"/>
              </w:rPr>
              <w:t>(</w:t>
            </w:r>
            <w:r w:rsidR="001E794C">
              <w:rPr>
                <w:rFonts w:ascii="Times New Roman" w:eastAsia="Cambria" w:hAnsi="Times New Roman" w:cs="Times New Roman"/>
                <w:color w:val="000000" w:themeColor="text1"/>
                <w:spacing w:val="-2"/>
                <w:w w:val="95"/>
                <w:sz w:val="20"/>
                <w:szCs w:val="20"/>
                <w:lang w:val="en-GB"/>
              </w:rPr>
              <w:t>1</w:t>
            </w:r>
            <w:r w:rsidR="002F3E81" w:rsidRPr="00DB77B6">
              <w:rPr>
                <w:rFonts w:ascii="Times New Roman" w:eastAsia="Cambria" w:hAnsi="Times New Roman" w:cs="Times New Roman"/>
                <w:color w:val="000000" w:themeColor="text1"/>
                <w:spacing w:val="-2"/>
                <w:w w:val="95"/>
                <w:sz w:val="20"/>
                <w:szCs w:val="20"/>
                <w:lang w:val="en-GB"/>
              </w:rPr>
              <w:t>)</w:t>
            </w:r>
            <w:r w:rsidR="00BC010D">
              <w:rPr>
                <w:rFonts w:ascii="Times New Roman" w:eastAsia="Cambria" w:hAnsi="Times New Roman" w:cs="Times New Roman"/>
                <w:color w:val="000000" w:themeColor="text1"/>
                <w:spacing w:val="-2"/>
                <w:w w:val="95"/>
                <w:sz w:val="20"/>
                <w:szCs w:val="20"/>
                <w:lang w:val="en-GB"/>
              </w:rPr>
              <w:t>,</w:t>
            </w:r>
            <w:r w:rsidR="00FF209B" w:rsidRPr="00DB77B6">
              <w:rPr>
                <w:rFonts w:ascii="Times New Roman" w:eastAsia="Cambria" w:hAnsi="Times New Roman" w:cs="Times New Roman"/>
                <w:color w:val="000000" w:themeColor="text1"/>
                <w:spacing w:val="-2"/>
                <w:w w:val="95"/>
                <w:sz w:val="20"/>
                <w:szCs w:val="20"/>
                <w:lang w:val="en-GB"/>
              </w:rPr>
              <w:t xml:space="preserve"> </w:t>
            </w:r>
            <w:r w:rsidR="00C31CA4">
              <w:rPr>
                <w:rFonts w:ascii="Times New Roman" w:eastAsia="Cambria" w:hAnsi="Times New Roman" w:cs="Times New Roman"/>
                <w:color w:val="000000" w:themeColor="text1"/>
                <w:spacing w:val="-2"/>
                <w:w w:val="95"/>
                <w:sz w:val="20"/>
                <w:szCs w:val="20"/>
                <w:lang w:val="en-GB"/>
              </w:rPr>
              <w:t>third subparagraph</w:t>
            </w:r>
            <w:r w:rsidR="00BC010D">
              <w:rPr>
                <w:rFonts w:ascii="Times New Roman" w:eastAsia="Cambria" w:hAnsi="Times New Roman" w:cs="Times New Roman"/>
                <w:color w:val="000000" w:themeColor="text1"/>
                <w:spacing w:val="-2"/>
                <w:w w:val="95"/>
                <w:sz w:val="20"/>
                <w:szCs w:val="20"/>
                <w:lang w:val="en-GB"/>
              </w:rPr>
              <w:t>,</w:t>
            </w:r>
            <w:r w:rsidR="00C31CA4">
              <w:rPr>
                <w:rFonts w:ascii="Times New Roman" w:eastAsia="Cambria" w:hAnsi="Times New Roman" w:cs="Times New Roman"/>
                <w:color w:val="000000" w:themeColor="text1"/>
                <w:spacing w:val="-2"/>
                <w:w w:val="95"/>
                <w:sz w:val="20"/>
                <w:szCs w:val="20"/>
                <w:lang w:val="en-GB"/>
              </w:rPr>
              <w:t xml:space="preserve"> </w:t>
            </w:r>
            <w:r w:rsidR="00FF209B" w:rsidRPr="00DB77B6">
              <w:rPr>
                <w:rFonts w:ascii="Times New Roman" w:eastAsia="Cambria" w:hAnsi="Times New Roman" w:cs="Times New Roman"/>
                <w:color w:val="000000" w:themeColor="text1"/>
                <w:spacing w:val="-2"/>
                <w:w w:val="95"/>
                <w:sz w:val="20"/>
                <w:szCs w:val="20"/>
                <w:lang w:val="en-GB"/>
              </w:rPr>
              <w:t xml:space="preserve">of </w:t>
            </w:r>
            <w:r w:rsidR="00B77FC7" w:rsidRPr="00DB77B6">
              <w:rPr>
                <w:rFonts w:ascii="Times New Roman" w:eastAsia="Cambria" w:hAnsi="Times New Roman" w:cs="Times New Roman"/>
                <w:color w:val="000000" w:themeColor="text1"/>
                <w:spacing w:val="-2"/>
                <w:w w:val="95"/>
                <w:sz w:val="20"/>
                <w:szCs w:val="20"/>
                <w:lang w:val="en-GB"/>
              </w:rPr>
              <w:t>Directive</w:t>
            </w:r>
            <w:r w:rsidR="00B77FC7" w:rsidRPr="00D92B3C">
              <w:rPr>
                <w:rFonts w:ascii="Times New Roman" w:eastAsia="Cambria" w:hAnsi="Times New Roman" w:cs="Times New Roman"/>
                <w:color w:val="000000" w:themeColor="text1"/>
                <w:spacing w:val="-2"/>
                <w:w w:val="95"/>
                <w:sz w:val="20"/>
                <w:szCs w:val="20"/>
                <w:lang w:val="en-GB"/>
              </w:rPr>
              <w:t xml:space="preser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1"/>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 xml:space="preserve">not be </w:t>
            </w:r>
            <w:r w:rsidR="00FF209B" w:rsidRPr="00DB77B6">
              <w:rPr>
                <w:rFonts w:ascii="Times New Roman" w:eastAsia="Cambria" w:hAnsi="Times New Roman" w:cs="Times New Roman"/>
                <w:color w:val="000000" w:themeColor="text1"/>
                <w:spacing w:val="-2"/>
                <w:w w:val="95"/>
                <w:sz w:val="20"/>
                <w:szCs w:val="20"/>
                <w:lang w:val="en-GB"/>
              </w:rPr>
              <w:t xml:space="preserve">reported </w:t>
            </w:r>
            <w:r w:rsidR="00C51914" w:rsidRPr="00DB77B6">
              <w:rPr>
                <w:rFonts w:ascii="Times New Roman" w:eastAsia="Cambria" w:hAnsi="Times New Roman" w:cs="Times New Roman"/>
                <w:color w:val="000000" w:themeColor="text1"/>
                <w:spacing w:val="-2"/>
                <w:w w:val="95"/>
                <w:sz w:val="20"/>
                <w:szCs w:val="20"/>
                <w:lang w:val="en-GB"/>
              </w:rPr>
              <w:t>in this column</w:t>
            </w:r>
            <w:r w:rsidR="00FF209B" w:rsidRPr="00DB77B6">
              <w:rPr>
                <w:rFonts w:ascii="Times New Roman" w:eastAsia="Cambria" w:hAnsi="Times New Roman" w:cs="Times New Roman"/>
                <w:color w:val="000000" w:themeColor="text1"/>
                <w:spacing w:val="-2"/>
                <w:w w:val="95"/>
                <w:sz w:val="20"/>
                <w:szCs w:val="20"/>
                <w:lang w:val="en-GB"/>
              </w:rPr>
              <w:t>.</w:t>
            </w:r>
          </w:p>
        </w:tc>
      </w:tr>
    </w:tbl>
    <w:p w14:paraId="784CE850"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w:t>
            </w:r>
            <w:r w:rsidR="00416896">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 xml:space="preserve">esolution authorities shall not exercise the write down or conversion powers in relation to liabilities </w:t>
            </w:r>
            <w:r w:rsidR="00416896">
              <w:rPr>
                <w:rFonts w:ascii="Times New Roman" w:eastAsia="Cambria" w:hAnsi="Times New Roman" w:cs="Times New Roman"/>
                <w:color w:val="000000" w:themeColor="text1"/>
                <w:spacing w:val="-2"/>
                <w:w w:val="95"/>
                <w:sz w:val="20"/>
                <w:szCs w:val="20"/>
                <w:lang w:val="en-GB"/>
              </w:rPr>
              <w:t xml:space="preserve">excluded from bail-in, </w:t>
            </w:r>
            <w:r w:rsidRPr="00D92B3C">
              <w:rPr>
                <w:rFonts w:ascii="Times New Roman" w:eastAsia="Cambria" w:hAnsi="Times New Roman" w:cs="Times New Roman"/>
                <w:color w:val="000000" w:themeColor="text1"/>
                <w:spacing w:val="-2"/>
                <w:w w:val="95"/>
                <w:sz w:val="20"/>
                <w:szCs w:val="20"/>
                <w:lang w:val="en-GB"/>
              </w:rPr>
              <w:t>whether they are governed by the law of a Member State or of a third country.</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Article 2(1)</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75A9B" w:rsidRPr="00D92B3C">
              <w:rPr>
                <w:rFonts w:ascii="Times New Roman" w:eastAsia="Cambria" w:hAnsi="Times New Roman" w:cs="Times New Roman"/>
                <w:color w:val="000000" w:themeColor="text1"/>
                <w:spacing w:val="-2"/>
                <w:w w:val="95"/>
                <w:sz w:val="20"/>
                <w:szCs w:val="20"/>
                <w:lang w:val="en-GB"/>
              </w:rPr>
              <w:t>point (5)</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1D3665" w:rsidRPr="00D92B3C">
              <w:rPr>
                <w:rFonts w:ascii="Times New Roman" w:hAnsi="Times New Roman"/>
                <w:color w:val="000000" w:themeColor="text1"/>
                <w:sz w:val="20"/>
                <w:szCs w:val="20"/>
                <w:lang w:val="en-GB" w:eastAsia="en-GB"/>
              </w:rPr>
              <w:t xml:space="preserve">Directive 2014/49/EU of the </w:t>
            </w:r>
            <w:r w:rsidR="001D258F" w:rsidRPr="00BB34DC">
              <w:rPr>
                <w:rFonts w:ascii="Times New Roman" w:eastAsia="Cambria" w:hAnsi="Times New Roman" w:cs="Times New Roman"/>
                <w:color w:val="000000" w:themeColor="text1"/>
                <w:spacing w:val="-2"/>
                <w:w w:val="95"/>
                <w:sz w:val="20"/>
                <w:szCs w:val="20"/>
                <w:lang w:val="en-GB"/>
              </w:rPr>
              <w:t>European Parliament and of</w:t>
            </w:r>
            <w:r w:rsidR="001D3665" w:rsidRPr="00D92B3C">
              <w:rPr>
                <w:rFonts w:ascii="Times New Roman" w:hAnsi="Times New Roman"/>
                <w:color w:val="000000" w:themeColor="text1"/>
                <w:sz w:val="20"/>
                <w:szCs w:val="20"/>
                <w:lang w:val="en-GB" w:eastAsia="en-GB"/>
              </w:rPr>
              <w:t xml:space="preserve"> the Council</w:t>
            </w:r>
            <w:r w:rsidR="001D3665" w:rsidRPr="00D92B3C">
              <w:rPr>
                <w:rStyle w:val="FootnoteReference"/>
                <w:color w:val="000000" w:themeColor="text1"/>
                <w:lang w:val="en-GB" w:eastAsia="en-GB"/>
              </w:rPr>
              <w:footnoteReference w:id="12"/>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w:t>
            </w:r>
            <w:r w:rsidR="00E86B08">
              <w:rPr>
                <w:rFonts w:ascii="Times New Roman" w:hAnsi="Times New Roman" w:cs="Times New Roman"/>
                <w:b/>
                <w:color w:val="000000" w:themeColor="text1"/>
                <w:spacing w:val="-2"/>
                <w:w w:val="95"/>
                <w:sz w:val="20"/>
                <w:szCs w:val="20"/>
                <w:lang w:val="en-GB"/>
              </w:rPr>
              <w:t>s</w:t>
            </w:r>
            <w:r w:rsidRPr="00D92B3C">
              <w:rPr>
                <w:rFonts w:ascii="Times New Roman" w:hAnsi="Times New Roman" w:cs="Times New Roman"/>
                <w:b/>
                <w:color w:val="000000" w:themeColor="text1"/>
                <w:spacing w:val="-2"/>
                <w:w w:val="95"/>
                <w:sz w:val="20"/>
                <w:szCs w:val="20"/>
                <w:lang w:val="en-GB"/>
              </w:rPr>
              <w:t>ed part</w:t>
            </w:r>
            <w:r w:rsidR="007A6F9B">
              <w:rPr>
                <w:rFonts w:ascii="Times New Roman" w:hAnsi="Times New Roman" w:cs="Times New Roman"/>
                <w:b/>
                <w:color w:val="000000" w:themeColor="text1"/>
                <w:spacing w:val="-2"/>
                <w:w w:val="95"/>
                <w:sz w:val="20"/>
                <w:szCs w:val="20"/>
                <w:lang w:val="en-GB"/>
              </w:rPr>
              <w:t xml:space="preserve">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75A9B">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Secured liabilities including repurchase agreements (repos), covered bonds and liabilities in the form of financial instruments which form an integral part of the cover pool and which </w:t>
            </w:r>
            <w:r w:rsidR="00416896">
              <w:rPr>
                <w:rFonts w:ascii="Times New Roman" w:eastAsia="Cambria" w:hAnsi="Times New Roman" w:cs="Times New Roman"/>
                <w:color w:val="000000" w:themeColor="text1"/>
                <w:spacing w:val="-2"/>
                <w:w w:val="95"/>
                <w:sz w:val="20"/>
                <w:szCs w:val="20"/>
                <w:lang w:val="en-GB"/>
              </w:rPr>
              <w:t xml:space="preserve">according to </w:t>
            </w:r>
            <w:r w:rsidRPr="00D92B3C">
              <w:rPr>
                <w:rFonts w:ascii="Times New Roman" w:eastAsia="Cambria" w:hAnsi="Times New Roman" w:cs="Times New Roman"/>
                <w:color w:val="000000" w:themeColor="text1"/>
                <w:spacing w:val="-2"/>
                <w:w w:val="95"/>
                <w:sz w:val="20"/>
                <w:szCs w:val="20"/>
                <w:lang w:val="en-GB"/>
              </w:rPr>
              <w:t>national law are secured in a way similar to covered bonds.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Neither the requirement to ensure that all secured assets relating to a covered bond cover pool remain unaffected, segregated and with enough funding, nor the exclusion </w:t>
            </w:r>
            <w:r w:rsidR="006811A6">
              <w:rPr>
                <w:rFonts w:ascii="Times New Roman" w:eastAsia="Cambria" w:hAnsi="Times New Roman" w:cs="Times New Roman"/>
                <w:color w:val="000000" w:themeColor="text1"/>
                <w:spacing w:val="-2"/>
                <w:w w:val="95"/>
                <w:sz w:val="20"/>
                <w:szCs w:val="20"/>
                <w:lang w:val="en-GB"/>
              </w:rPr>
              <w:t>provided for</w:t>
            </w:r>
            <w:r w:rsidR="006C64CB">
              <w:rPr>
                <w:rFonts w:ascii="Times New Roman" w:eastAsia="Cambria" w:hAnsi="Times New Roman" w:cs="Times New Roman"/>
                <w:color w:val="000000" w:themeColor="text1"/>
                <w:spacing w:val="-2"/>
                <w:w w:val="95"/>
                <w:sz w:val="20"/>
                <w:szCs w:val="20"/>
                <w:lang w:val="en-GB"/>
              </w:rPr>
              <w:t xml:space="preserve"> in</w:t>
            </w:r>
            <w:r w:rsidR="006C64CB" w:rsidRPr="00BB34DC">
              <w:rPr>
                <w:rFonts w:ascii="Times New Roman" w:eastAsia="Cambria" w:hAnsi="Times New Roman" w:cs="Times New Roman"/>
                <w:color w:val="000000" w:themeColor="text1"/>
                <w:spacing w:val="-2"/>
                <w:w w:val="95"/>
                <w:sz w:val="20"/>
                <w:szCs w:val="20"/>
                <w:lang w:val="en-GB"/>
              </w:rPr>
              <w:t xml:space="preserve"> </w:t>
            </w:r>
            <w:r w:rsidR="00CC130F" w:rsidRPr="00BB34DC">
              <w:rPr>
                <w:rFonts w:ascii="Times New Roman" w:eastAsia="Cambria" w:hAnsi="Times New Roman" w:cs="Times New Roman"/>
                <w:color w:val="000000" w:themeColor="text1"/>
                <w:spacing w:val="-2"/>
                <w:w w:val="95"/>
                <w:sz w:val="20"/>
                <w:szCs w:val="20"/>
                <w:lang w:val="en-GB"/>
              </w:rPr>
              <w:t xml:space="preserve">Article </w:t>
            </w:r>
            <w:r w:rsidR="00C75A9B" w:rsidRPr="00D92B3C">
              <w:rPr>
                <w:rFonts w:ascii="Times New Roman" w:eastAsia="Cambria" w:hAnsi="Times New Roman" w:cs="Times New Roman"/>
                <w:color w:val="000000" w:themeColor="text1"/>
                <w:spacing w:val="-2"/>
                <w:w w:val="95"/>
                <w:sz w:val="20"/>
                <w:szCs w:val="20"/>
                <w:lang w:val="en-GB"/>
              </w:rPr>
              <w:t>44(2)</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point </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b</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w:t>
            </w:r>
            <w:r w:rsidR="00CC130F" w:rsidRPr="00BB34DC">
              <w:rPr>
                <w:rFonts w:ascii="Times New Roman" w:eastAsia="Cambria" w:hAnsi="Times New Roman" w:cs="Times New Roman"/>
                <w:color w:val="000000" w:themeColor="text1"/>
                <w:spacing w:val="-2"/>
                <w:w w:val="95"/>
                <w:sz w:val="20"/>
                <w:szCs w:val="20"/>
                <w:lang w:val="en-GB"/>
              </w:rPr>
              <w:t xml:space="preserve">of Directive 2014/59/EU </w:t>
            </w:r>
            <w:r w:rsidRPr="00D92B3C">
              <w:rPr>
                <w:rFonts w:ascii="Times New Roman" w:eastAsia="Cambria" w:hAnsi="Times New Roman" w:cs="Times New Roman"/>
                <w:color w:val="000000" w:themeColor="text1"/>
                <w:spacing w:val="-2"/>
                <w:w w:val="95"/>
                <w:sz w:val="20"/>
                <w:szCs w:val="20"/>
                <w:lang w:val="en-GB"/>
              </w:rPr>
              <w:t xml:space="preserve">shall prevent resolution authorities, where appropriate, from exercising those powers in relation to any part of a secured liability or a liability for which collateral has been pledged that </w:t>
            </w:r>
            <w:r w:rsidRPr="00D92B3C">
              <w:rPr>
                <w:rFonts w:ascii="Times New Roman" w:eastAsia="Cambria" w:hAnsi="Times New Roman" w:cs="Times New Roman"/>
                <w:color w:val="000000" w:themeColor="text1"/>
                <w:spacing w:val="-2"/>
                <w:w w:val="95"/>
                <w:sz w:val="20"/>
                <w:szCs w:val="20"/>
                <w:lang w:val="en-GB"/>
              </w:rPr>
              <w:lastRenderedPageBreak/>
              <w:t xml:space="preserve">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CC130F">
              <w:rPr>
                <w:rFonts w:ascii="Times New Roman" w:eastAsia="Cambria" w:hAnsi="Times New Roman" w:cs="Times New Roman"/>
                <w:color w:val="1A171C"/>
                <w:spacing w:val="-2"/>
                <w:w w:val="95"/>
                <w:sz w:val="20"/>
                <w:szCs w:val="20"/>
                <w:lang w:val="en-GB"/>
              </w:rPr>
              <w:t>s,</w:t>
            </w:r>
            <w:r w:rsidR="00906ED3" w:rsidRPr="00D92B3C">
              <w:rPr>
                <w:rFonts w:ascii="Times New Roman" w:eastAsia="Cambria" w:hAnsi="Times New Roman" w:cs="Times New Roman"/>
                <w:color w:val="1A171C"/>
                <w:spacing w:val="-2"/>
                <w:w w:val="95"/>
                <w:sz w:val="20"/>
                <w:szCs w:val="20"/>
                <w:lang w:val="en-GB"/>
              </w:rPr>
              <w:t xml:space="preserve"> etc</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specific type of liabilities are collateral positions received and recorded on the balance sheet. Where such collateral positions are legally bound with an asset position, these shall be treated as secured liabilities for the purpose of this report.</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44(2)</w:t>
            </w:r>
            <w:r w:rsidR="006C64CB">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6C64CB">
              <w:rPr>
                <w:rFonts w:ascii="Times New Roman" w:eastAsia="Cambria" w:hAnsi="Times New Roman" w:cs="Times New Roman"/>
                <w:color w:val="000000" w:themeColor="text1"/>
                <w:spacing w:val="-2"/>
                <w:w w:val="95"/>
                <w:sz w:val="20"/>
                <w:szCs w:val="20"/>
                <w:lang w:val="en-GB"/>
              </w:rPr>
              <w:t xml:space="preserve"> (c),</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Any liability that arises by virtue of the holding by the institution or entity</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referred to in </w:t>
            </w:r>
            <w:r w:rsidR="006C64CB" w:rsidRPr="00D92B3C">
              <w:rPr>
                <w:rFonts w:ascii="Times New Roman" w:eastAsia="Cambria" w:hAnsi="Times New Roman" w:cs="Times New Roman"/>
                <w:color w:val="000000" w:themeColor="text1"/>
                <w:spacing w:val="-2"/>
                <w:w w:val="95"/>
                <w:sz w:val="20"/>
                <w:szCs w:val="20"/>
                <w:lang w:val="en-GB"/>
              </w:rPr>
              <w:t>Article 1(1)</w:t>
            </w:r>
            <w:r w:rsidR="006C64CB">
              <w:rPr>
                <w:rFonts w:ascii="Times New Roman" w:eastAsia="Cambria" w:hAnsi="Times New Roman" w:cs="Times New Roman"/>
                <w:color w:val="000000" w:themeColor="text1"/>
                <w:spacing w:val="-2"/>
                <w:w w:val="95"/>
                <w:sz w:val="20"/>
                <w:szCs w:val="20"/>
                <w:lang w:val="en-GB"/>
              </w:rPr>
              <w:t>,</w:t>
            </w:r>
            <w:r w:rsidR="006C64C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6C64C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w:t>
            </w:r>
            <w:r w:rsidR="005F39B6">
              <w:rPr>
                <w:rFonts w:ascii="Times New Roman" w:eastAsia="Cambria" w:hAnsi="Times New Roman" w:cs="Times New Roman"/>
                <w:color w:val="000000" w:themeColor="text1"/>
                <w:spacing w:val="-2"/>
                <w:w w:val="95"/>
                <w:sz w:val="20"/>
                <w:szCs w:val="20"/>
                <w:lang w:val="en-GB"/>
              </w:rPr>
              <w:t xml:space="preserve">as defined </w:t>
            </w:r>
            <w:r w:rsidRPr="00D92B3C">
              <w:rPr>
                <w:rFonts w:ascii="Times New Roman" w:eastAsia="Cambria" w:hAnsi="Times New Roman" w:cs="Times New Roman"/>
                <w:color w:val="000000" w:themeColor="text1"/>
                <w:spacing w:val="-2"/>
                <w:w w:val="95"/>
                <w:sz w:val="20"/>
                <w:szCs w:val="20"/>
                <w:lang w:val="en-GB"/>
              </w:rPr>
              <w:t>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3"/>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w:t>
            </w:r>
            <w:r w:rsidR="005F39B6">
              <w:rPr>
                <w:rFonts w:ascii="Times New Roman" w:eastAsia="Cambria" w:hAnsi="Times New Roman" w:cs="Times New Roman"/>
                <w:color w:val="000000" w:themeColor="text1"/>
                <w:spacing w:val="-2"/>
                <w:w w:val="95"/>
                <w:sz w:val="20"/>
                <w:szCs w:val="20"/>
                <w:lang w:val="en-GB"/>
              </w:rPr>
              <w:t xml:space="preserve">as defined </w:t>
            </w:r>
            <w:r w:rsidRPr="00D92B3C">
              <w:rPr>
                <w:rFonts w:ascii="Times New Roman" w:eastAsia="Cambria" w:hAnsi="Times New Roman" w:cs="Times New Roman"/>
                <w:color w:val="000000" w:themeColor="text1"/>
                <w:spacing w:val="-2"/>
                <w:w w:val="95"/>
                <w:sz w:val="20"/>
                <w:szCs w:val="20"/>
                <w:lang w:val="en-GB"/>
              </w:rPr>
              <w:t>in Article 4(1)</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2B0D5A" w:rsidRPr="00D92B3C">
              <w:rPr>
                <w:rFonts w:ascii="Times New Roman" w:eastAsia="Cambria" w:hAnsi="Times New Roman" w:cs="Times New Roman"/>
                <w:color w:val="000000" w:themeColor="text1"/>
                <w:spacing w:val="-2"/>
                <w:w w:val="95"/>
                <w:sz w:val="20"/>
                <w:szCs w:val="20"/>
                <w:lang w:val="en-GB"/>
              </w:rPr>
              <w:t>point (a)</w:t>
            </w:r>
            <w:r w:rsidR="002B0D5A">
              <w:rPr>
                <w:rFonts w:ascii="Times New Roman" w:eastAsia="Cambria" w:hAnsi="Times New Roman" w:cs="Times New Roman"/>
                <w:color w:val="000000" w:themeColor="text1"/>
                <w:spacing w:val="-2"/>
                <w:w w:val="95"/>
                <w:sz w:val="20"/>
                <w:szCs w:val="20"/>
                <w:lang w:val="en-GB"/>
              </w:rPr>
              <w:t>,</w:t>
            </w:r>
            <w:r w:rsidR="002B0D5A"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4"/>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44(2)</w:t>
            </w:r>
            <w:r w:rsidR="002B0D5A">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2B0D5A">
              <w:rPr>
                <w:rFonts w:ascii="Times New Roman" w:eastAsia="Cambria" w:hAnsi="Times New Roman" w:cs="Times New Roman"/>
                <w:color w:val="000000" w:themeColor="text1"/>
                <w:spacing w:val="-2"/>
                <w:w w:val="95"/>
                <w:sz w:val="20"/>
                <w:szCs w:val="20"/>
                <w:lang w:val="en-GB"/>
              </w:rPr>
              <w:t>(</w:t>
            </w:r>
            <w:r w:rsidR="00AA2A99" w:rsidRPr="00D92B3C">
              <w:rPr>
                <w:rFonts w:ascii="Times New Roman" w:eastAsia="Cambria" w:hAnsi="Times New Roman" w:cs="Times New Roman"/>
                <w:color w:val="000000" w:themeColor="text1"/>
                <w:spacing w:val="-2"/>
                <w:w w:val="95"/>
                <w:sz w:val="20"/>
                <w:szCs w:val="20"/>
                <w:lang w:val="en-GB"/>
              </w:rPr>
              <w:t>d</w:t>
            </w:r>
            <w:r w:rsidR="002B0D5A">
              <w:rPr>
                <w:rFonts w:ascii="Times New Roman" w:eastAsia="Cambria" w:hAnsi="Times New Roman" w:cs="Times New Roman"/>
                <w:color w:val="000000" w:themeColor="text1"/>
                <w:spacing w:val="-2"/>
                <w:w w:val="95"/>
                <w:sz w:val="20"/>
                <w:szCs w:val="20"/>
                <w:lang w:val="en-GB"/>
              </w:rPr>
              <w:t>)</w:t>
            </w:r>
            <w:r w:rsidR="006811A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w:t>
            </w:r>
            <w:r w:rsidR="002B0D5A">
              <w:rPr>
                <w:rFonts w:ascii="Times New Roman" w:eastAsia="Cambria" w:hAnsi="Times New Roman" w:cs="Times New Roman"/>
                <w:color w:val="000000" w:themeColor="text1"/>
                <w:spacing w:val="-2"/>
                <w:w w:val="95"/>
                <w:sz w:val="20"/>
                <w:szCs w:val="20"/>
                <w:lang w:val="en-GB"/>
              </w:rPr>
              <w:t>Article 1</w:t>
            </w:r>
            <w:r w:rsidR="002B0D5A" w:rsidRPr="00D92B3C">
              <w:rPr>
                <w:rFonts w:ascii="Times New Roman" w:eastAsia="Cambria" w:hAnsi="Times New Roman" w:cs="Times New Roman"/>
                <w:color w:val="000000" w:themeColor="text1"/>
                <w:spacing w:val="-2"/>
                <w:w w:val="95"/>
                <w:sz w:val="20"/>
                <w:szCs w:val="20"/>
                <w:lang w:val="en-GB"/>
              </w:rPr>
              <w:t>(1)</w:t>
            </w:r>
            <w:r w:rsidR="002B0D5A">
              <w:rPr>
                <w:rFonts w:ascii="Times New Roman" w:eastAsia="Cambria" w:hAnsi="Times New Roman" w:cs="Times New Roman"/>
                <w:color w:val="000000" w:themeColor="text1"/>
                <w:spacing w:val="-2"/>
                <w:w w:val="95"/>
                <w:sz w:val="20"/>
                <w:szCs w:val="20"/>
                <w:lang w:val="en-GB"/>
              </w:rPr>
              <w:t>,</w:t>
            </w:r>
            <w:r w:rsidR="002B0D5A"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w:t>
            </w:r>
            <w:r w:rsidR="002B0D5A">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provided that such a beneficiary is protected under the applicable insolvency or civil law.</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I</w:t>
            </w:r>
            <w:r w:rsidR="0081175C" w:rsidRPr="00DB77B6">
              <w:rPr>
                <w:rFonts w:ascii="Times New Roman" w:hAnsi="Times New Roman" w:cs="Times New Roman"/>
                <w:b/>
                <w:color w:val="000000" w:themeColor="text1"/>
                <w:spacing w:val="-2"/>
                <w:w w:val="95"/>
                <w:sz w:val="20"/>
                <w:szCs w:val="20"/>
                <w:lang w:val="en-GB"/>
              </w:rPr>
              <w:t>nstitution liabilities &lt; 7 days</w:t>
            </w:r>
            <w:r w:rsidR="0081175C" w:rsidRPr="00D92B3C">
              <w:rPr>
                <w:rFonts w:ascii="Times New Roman" w:hAnsi="Times New Roman" w:cs="Times New Roman"/>
                <w:b/>
                <w:color w:val="000000" w:themeColor="text1"/>
                <w:spacing w:val="-2"/>
                <w:w w:val="95"/>
                <w:sz w:val="20"/>
                <w:szCs w:val="20"/>
                <w:lang w:val="en-GB"/>
              </w:rPr>
              <w:t xml:space="preserve">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2B0D5A">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w:t>
            </w:r>
            <w:r w:rsidR="002B0D5A">
              <w:rPr>
                <w:rFonts w:ascii="Times New Roman" w:eastAsia="Cambria" w:hAnsi="Times New Roman" w:cs="Times New Roman"/>
                <w:color w:val="000000" w:themeColor="text1"/>
                <w:spacing w:val="-2"/>
                <w:w w:val="95"/>
                <w:sz w:val="20"/>
                <w:szCs w:val="20"/>
                <w:lang w:val="en-GB"/>
              </w:rPr>
              <w:t> (</w:t>
            </w:r>
            <w:r w:rsidR="0081175C" w:rsidRPr="00D92B3C">
              <w:rPr>
                <w:rFonts w:ascii="Times New Roman" w:eastAsia="Cambria" w:hAnsi="Times New Roman" w:cs="Times New Roman"/>
                <w:color w:val="000000" w:themeColor="text1"/>
                <w:spacing w:val="-2"/>
                <w:w w:val="95"/>
                <w:sz w:val="20"/>
                <w:szCs w:val="20"/>
                <w:lang w:val="en-GB"/>
              </w:rPr>
              <w:t>e</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w:t>
            </w:r>
            <w:r w:rsidR="0097731E">
              <w:rPr>
                <w:rFonts w:ascii="Times New Roman" w:hAnsi="Times New Roman" w:cs="Times New Roman"/>
                <w:color w:val="000000" w:themeColor="text1"/>
                <w:sz w:val="20"/>
                <w:szCs w:val="20"/>
                <w:lang w:val="en-GB"/>
              </w:rPr>
              <w:t>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 xml:space="preserve">System (operator) </w:t>
            </w:r>
            <w:r w:rsidR="00D36A8C" w:rsidRPr="00DB77B6">
              <w:rPr>
                <w:rFonts w:ascii="Times New Roman" w:hAnsi="Times New Roman" w:cs="Times New Roman"/>
                <w:b/>
                <w:color w:val="000000" w:themeColor="text1"/>
                <w:spacing w:val="-2"/>
                <w:w w:val="95"/>
                <w:sz w:val="20"/>
                <w:szCs w:val="20"/>
                <w:lang w:val="en-GB"/>
              </w:rPr>
              <w:t xml:space="preserve">and CCP </w:t>
            </w:r>
            <w:r w:rsidRPr="00DB77B6">
              <w:rPr>
                <w:rFonts w:ascii="Times New Roman" w:hAnsi="Times New Roman" w:cs="Times New Roman"/>
                <w:b/>
                <w:color w:val="000000" w:themeColor="text1"/>
                <w:spacing w:val="-2"/>
                <w:w w:val="95"/>
                <w:sz w:val="20"/>
                <w:szCs w:val="20"/>
                <w:lang w:val="en-GB"/>
              </w:rPr>
              <w:t>liabilities &lt; 7 days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w:t>
            </w:r>
            <w:r w:rsidR="0081175C" w:rsidRPr="00DB77B6">
              <w:rPr>
                <w:rFonts w:ascii="Times New Roman" w:eastAsia="Cambria" w:hAnsi="Times New Roman" w:cs="Times New Roman"/>
                <w:color w:val="000000" w:themeColor="text1"/>
                <w:spacing w:val="-2"/>
                <w:w w:val="95"/>
                <w:sz w:val="20"/>
                <w:szCs w:val="20"/>
                <w:lang w:val="en-GB"/>
              </w:rPr>
              <w:t>rticle 44</w:t>
            </w:r>
            <w:r w:rsidR="00C62EEE" w:rsidRPr="00DB77B6">
              <w:rPr>
                <w:rFonts w:ascii="Times New Roman" w:eastAsia="Cambria" w:hAnsi="Times New Roman" w:cs="Times New Roman"/>
                <w:color w:val="000000" w:themeColor="text1"/>
                <w:spacing w:val="-2"/>
                <w:w w:val="95"/>
                <w:sz w:val="20"/>
                <w:szCs w:val="20"/>
                <w:lang w:val="en-GB"/>
              </w:rPr>
              <w:t>(</w:t>
            </w:r>
            <w:r w:rsidR="0081175C" w:rsidRPr="00DB77B6">
              <w:rPr>
                <w:rFonts w:ascii="Times New Roman" w:eastAsia="Cambria" w:hAnsi="Times New Roman" w:cs="Times New Roman"/>
                <w:color w:val="000000" w:themeColor="text1"/>
                <w:spacing w:val="-2"/>
                <w:w w:val="95"/>
                <w:sz w:val="20"/>
                <w:szCs w:val="20"/>
                <w:lang w:val="en-GB"/>
              </w:rPr>
              <w:t>2</w:t>
            </w:r>
            <w:r w:rsidR="00C62EEE" w:rsidRPr="00DB77B6">
              <w:rPr>
                <w:rFonts w:ascii="Times New Roman" w:eastAsia="Cambria" w:hAnsi="Times New Roman" w:cs="Times New Roman"/>
                <w:color w:val="000000" w:themeColor="text1"/>
                <w:spacing w:val="-2"/>
                <w:w w:val="95"/>
                <w:sz w:val="20"/>
                <w:szCs w:val="20"/>
                <w:lang w:val="en-GB"/>
              </w:rPr>
              <w:t>)</w:t>
            </w:r>
            <w:r w:rsidR="002B0D5A">
              <w:rPr>
                <w:rFonts w:ascii="Times New Roman" w:eastAsia="Cambria" w:hAnsi="Times New Roman" w:cs="Times New Roman"/>
                <w:color w:val="000000" w:themeColor="text1"/>
                <w:spacing w:val="-2"/>
                <w:w w:val="95"/>
                <w:sz w:val="20"/>
                <w:szCs w:val="20"/>
                <w:lang w:val="en-GB"/>
              </w:rPr>
              <w:t>,</w:t>
            </w:r>
            <w:r w:rsidR="00C62EEE" w:rsidRPr="00DB77B6">
              <w:rPr>
                <w:rFonts w:ascii="Times New Roman" w:eastAsia="Cambria" w:hAnsi="Times New Roman" w:cs="Times New Roman"/>
                <w:color w:val="000000" w:themeColor="text1"/>
                <w:spacing w:val="-2"/>
                <w:w w:val="95"/>
                <w:sz w:val="20"/>
                <w:szCs w:val="20"/>
                <w:lang w:val="en-GB"/>
              </w:rPr>
              <w:t xml:space="preserve"> point </w:t>
            </w:r>
            <w:r w:rsidR="002B0D5A">
              <w:rPr>
                <w:rFonts w:ascii="Times New Roman" w:eastAsia="Cambria" w:hAnsi="Times New Roman" w:cs="Times New Roman"/>
                <w:color w:val="000000" w:themeColor="text1"/>
                <w:spacing w:val="-2"/>
                <w:w w:val="95"/>
                <w:sz w:val="20"/>
                <w:szCs w:val="20"/>
                <w:lang w:val="en-GB"/>
              </w:rPr>
              <w:t>(</w:t>
            </w:r>
            <w:r w:rsidR="0081175C" w:rsidRPr="00DB77B6">
              <w:rPr>
                <w:rFonts w:ascii="Times New Roman" w:eastAsia="Cambria" w:hAnsi="Times New Roman" w:cs="Times New Roman"/>
                <w:color w:val="000000" w:themeColor="text1"/>
                <w:spacing w:val="-2"/>
                <w:w w:val="95"/>
                <w:sz w:val="20"/>
                <w:szCs w:val="20"/>
                <w:lang w:val="en-GB"/>
              </w:rPr>
              <w:t>f</w:t>
            </w:r>
            <w:r w:rsidR="002B0D5A">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of </w:t>
            </w:r>
            <w:r w:rsidR="00063EEC" w:rsidRPr="00DB77B6">
              <w:rPr>
                <w:rFonts w:ascii="Times New Roman" w:eastAsia="Cambria" w:hAnsi="Times New Roman" w:cs="Times New Roman"/>
                <w:color w:val="000000" w:themeColor="text1"/>
                <w:spacing w:val="-2"/>
                <w:w w:val="95"/>
                <w:sz w:val="20"/>
                <w:szCs w:val="20"/>
                <w:lang w:val="en-GB"/>
              </w:rPr>
              <w:t>Directive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lang w:val="en-GB"/>
              </w:rPr>
            </w:pPr>
            <w:r w:rsidRPr="001E1D37">
              <w:rPr>
                <w:rFonts w:ascii="Times New Roman" w:eastAsia="Cambria" w:hAnsi="Times New Roman" w:cs="Times New Roman"/>
                <w:color w:val="000000" w:themeColor="text1"/>
                <w:spacing w:val="-2"/>
                <w:w w:val="95"/>
                <w:sz w:val="20"/>
                <w:szCs w:val="20"/>
                <w:lang w:val="en-GB"/>
              </w:rPr>
              <w:t>Liabilities with a remaining maturity of less than seven days, owed to systems or operators of systems designated in accordance with Directive 98/26/EC</w:t>
            </w:r>
            <w:r w:rsidR="00CE1902" w:rsidRPr="00CE1902">
              <w:rPr>
                <w:rFonts w:eastAsiaTheme="minorEastAsia"/>
                <w:szCs w:val="24"/>
              </w:rPr>
              <w:t xml:space="preserve"> </w:t>
            </w:r>
            <w:r w:rsidR="00CE1902" w:rsidRPr="00CE1902">
              <w:rPr>
                <w:rFonts w:ascii="Times New Roman" w:eastAsia="Cambria" w:hAnsi="Times New Roman" w:cs="Times New Roman"/>
                <w:color w:val="000000" w:themeColor="text1"/>
                <w:spacing w:val="-2"/>
                <w:w w:val="95"/>
                <w:sz w:val="20"/>
                <w:szCs w:val="20"/>
              </w:rPr>
              <w:t>of the European Parliament and of the Council</w:t>
            </w:r>
            <w:r w:rsidR="002B0D5A">
              <w:rPr>
                <w:rStyle w:val="FootnoteReference"/>
                <w:rFonts w:eastAsia="Cambria" w:cs="Times New Roman"/>
                <w:color w:val="000000" w:themeColor="text1"/>
                <w:spacing w:val="-2"/>
                <w:w w:val="95"/>
                <w:lang w:val="en-GB"/>
              </w:rPr>
              <w:footnoteReference w:id="15"/>
            </w:r>
            <w:r w:rsidR="00CE1902">
              <w:rPr>
                <w:rFonts w:ascii="Times New Roman" w:eastAsia="Cambria" w:hAnsi="Times New Roman" w:cs="Times New Roman"/>
                <w:color w:val="000000" w:themeColor="text1"/>
                <w:spacing w:val="-2"/>
                <w:w w:val="95"/>
                <w:sz w:val="20"/>
                <w:szCs w:val="20"/>
              </w:rPr>
              <w:t>,</w:t>
            </w:r>
            <w:r w:rsidRPr="001E1D37">
              <w:rPr>
                <w:rFonts w:ascii="Times New Roman" w:eastAsia="Cambria" w:hAnsi="Times New Roman" w:cs="Times New Roman"/>
                <w:color w:val="000000" w:themeColor="text1"/>
                <w:spacing w:val="-2"/>
                <w:w w:val="95"/>
                <w:sz w:val="20"/>
                <w:szCs w:val="20"/>
                <w:lang w:val="en-GB"/>
              </w:rPr>
              <w:t xml:space="preserve"> or to their participants and arising from the participation in such a system, or to CCPs authorised in the Union pursuant to Article 14 of Regulation (EU) No 648/2012</w:t>
            </w:r>
            <w:r w:rsidR="00D90DF8">
              <w:rPr>
                <w:rFonts w:ascii="Times New Roman" w:eastAsia="Cambria" w:hAnsi="Times New Roman" w:cs="Times New Roman"/>
                <w:color w:val="000000" w:themeColor="text1"/>
                <w:spacing w:val="-2"/>
                <w:w w:val="95"/>
                <w:sz w:val="20"/>
                <w:szCs w:val="20"/>
                <w:lang w:val="en-GB"/>
              </w:rPr>
              <w:t xml:space="preserve"> </w:t>
            </w:r>
            <w:r w:rsidR="00D90DF8" w:rsidRPr="00CE1902">
              <w:rPr>
                <w:rFonts w:ascii="Times New Roman" w:eastAsia="Cambria" w:hAnsi="Times New Roman" w:cs="Times New Roman"/>
                <w:color w:val="000000" w:themeColor="text1"/>
                <w:spacing w:val="-2"/>
                <w:w w:val="95"/>
                <w:sz w:val="20"/>
                <w:szCs w:val="20"/>
              </w:rPr>
              <w:t>of the European Parliament and of the Council</w:t>
            </w:r>
            <w:r w:rsidR="00D90DF8">
              <w:rPr>
                <w:rStyle w:val="FootnoteReference"/>
                <w:rFonts w:eastAsia="Cambria" w:cs="Times New Roman"/>
                <w:color w:val="000000" w:themeColor="text1"/>
                <w:spacing w:val="-2"/>
                <w:w w:val="95"/>
                <w:lang w:val="en-GB"/>
              </w:rPr>
              <w:footnoteReference w:id="16"/>
            </w:r>
            <w:r w:rsidRPr="001E1D37">
              <w:rPr>
                <w:rFonts w:ascii="Times New Roman" w:eastAsia="Cambria" w:hAnsi="Times New Roman" w:cs="Times New Roman"/>
                <w:color w:val="000000" w:themeColor="text1"/>
                <w:spacing w:val="-2"/>
                <w:w w:val="95"/>
                <w:sz w:val="20"/>
                <w:szCs w:val="20"/>
                <w:lang w:val="en-GB"/>
              </w:rPr>
              <w:t xml:space="preserve"> and third-country CCPs recognised by ESMA pursuant to Article 25 of that Regulation</w:t>
            </w:r>
            <w:r>
              <w:rPr>
                <w:rFonts w:ascii="Times New Roman" w:eastAsia="Cambria" w:hAnsi="Times New Roman" w:cs="Times New Roman"/>
                <w:color w:val="000000" w:themeColor="text1"/>
                <w:spacing w:val="-2"/>
                <w:w w:val="95"/>
                <w:sz w:val="20"/>
                <w:szCs w:val="20"/>
                <w:lang w:val="en-GB"/>
              </w:rPr>
              <w:t>.</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(i)</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w:t>
            </w:r>
            <w:r w:rsidRPr="00D92B3C">
              <w:rPr>
                <w:rFonts w:ascii="Times New Roman" w:eastAsia="Cambria" w:hAnsi="Times New Roman" w:cs="Times New Roman"/>
                <w:color w:val="000000" w:themeColor="text1"/>
                <w:spacing w:val="-2"/>
                <w:w w:val="95"/>
                <w:sz w:val="20"/>
                <w:szCs w:val="20"/>
                <w:lang w:val="en-GB"/>
              </w:rPr>
              <w:lastRenderedPageBreak/>
              <w:t xml:space="preserve">in Article 92(2)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 commercial or trade creditor arising from the provision to the institution or entity referred to in </w:t>
            </w:r>
            <w:r w:rsidR="00CE1902" w:rsidRPr="00D92B3C">
              <w:rPr>
                <w:rFonts w:ascii="Times New Roman" w:eastAsia="Cambria" w:hAnsi="Times New Roman" w:cs="Times New Roman"/>
                <w:color w:val="000000" w:themeColor="text1"/>
                <w:spacing w:val="-2"/>
                <w:w w:val="95"/>
                <w:sz w:val="20"/>
                <w:szCs w:val="20"/>
                <w:lang w:val="en-GB"/>
              </w:rPr>
              <w:t>Arti</w:t>
            </w:r>
            <w:r w:rsidR="00CE1902" w:rsidRPr="00D92B3C">
              <w:rPr>
                <w:rFonts w:ascii="Times New Roman" w:hAnsi="Times New Roman" w:cs="Times New Roman"/>
                <w:bCs/>
                <w:color w:val="000000" w:themeColor="text1"/>
                <w:sz w:val="20"/>
                <w:szCs w:val="20"/>
                <w:lang w:val="en-GB"/>
              </w:rPr>
              <w:t>cle 1(1)</w:t>
            </w:r>
            <w:r w:rsidR="00CE1902">
              <w:rPr>
                <w:rFonts w:ascii="Times New Roman" w:hAnsi="Times New Roman" w:cs="Times New Roman"/>
                <w:bCs/>
                <w:color w:val="000000" w:themeColor="text1"/>
                <w:sz w:val="20"/>
                <w:szCs w:val="20"/>
                <w:lang w:val="en-GB"/>
              </w:rPr>
              <w:t>,</w:t>
            </w:r>
            <w:r w:rsidR="00CE1902" w:rsidRPr="00D92B3C">
              <w:rPr>
                <w:rFonts w:ascii="Times New Roman" w:hAnsi="Times New Roman" w:cs="Times New Roman"/>
                <w:bCs/>
                <w:color w:val="000000" w:themeColor="text1"/>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hAnsi="Times New Roman" w:cs="Times New Roman"/>
                <w:bCs/>
                <w:color w:val="000000" w:themeColor="text1"/>
                <w:sz w:val="20"/>
                <w:szCs w:val="20"/>
                <w:lang w:val="en-GB"/>
              </w:rPr>
              <w:t xml:space="preserve">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Tax and social security authorities liabilities, if preferred</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g</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lang w:val="en-GB"/>
              </w:rPr>
            </w:pPr>
            <w:r w:rsidRPr="00DB77B6">
              <w:rPr>
                <w:rFonts w:ascii="Times New Roman" w:hAnsi="Times New Roman" w:cs="Times New Roman"/>
                <w:color w:val="000000" w:themeColor="text1"/>
                <w:sz w:val="20"/>
                <w:szCs w:val="20"/>
                <w:lang w:val="en-GB"/>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Liabilities towards other entities of the resolution group</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Article 44(2)</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h</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of Directive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L</w:t>
            </w:r>
            <w:r w:rsidRPr="001E1D37">
              <w:rPr>
                <w:rFonts w:ascii="Times New Roman" w:eastAsia="Cambria" w:hAnsi="Times New Roman" w:cs="Times New Roman"/>
                <w:color w:val="000000" w:themeColor="text1"/>
                <w:spacing w:val="-2"/>
                <w:w w:val="95"/>
                <w:sz w:val="20"/>
                <w:szCs w:val="20"/>
                <w:lang w:val="en-GB"/>
              </w:rPr>
              <w:t xml:space="preserve">iabilities to institutions or entities referred to in </w:t>
            </w:r>
            <w:r w:rsidR="00AD7ABB" w:rsidRPr="001E1D37">
              <w:rPr>
                <w:rFonts w:ascii="Times New Roman" w:eastAsia="Cambria" w:hAnsi="Times New Roman" w:cs="Times New Roman"/>
                <w:color w:val="000000" w:themeColor="text1"/>
                <w:spacing w:val="-2"/>
                <w:w w:val="95"/>
                <w:sz w:val="20"/>
                <w:szCs w:val="20"/>
                <w:lang w:val="en-GB"/>
              </w:rPr>
              <w:t>Article 1(1)</w:t>
            </w:r>
            <w:r w:rsidR="00AD7ABB">
              <w:rPr>
                <w:rFonts w:ascii="Times New Roman" w:eastAsia="Cambria" w:hAnsi="Times New Roman" w:cs="Times New Roman"/>
                <w:color w:val="000000" w:themeColor="text1"/>
                <w:spacing w:val="-2"/>
                <w:w w:val="95"/>
                <w:sz w:val="20"/>
                <w:szCs w:val="20"/>
                <w:lang w:val="en-GB"/>
              </w:rPr>
              <w:t>,</w:t>
            </w:r>
            <w:r w:rsidR="00AD7ABB" w:rsidRPr="001E1D37">
              <w:rPr>
                <w:rFonts w:ascii="Times New Roman" w:eastAsia="Cambria" w:hAnsi="Times New Roman" w:cs="Times New Roman"/>
                <w:color w:val="000000" w:themeColor="text1"/>
                <w:spacing w:val="-2"/>
                <w:w w:val="95"/>
                <w:sz w:val="20"/>
                <w:szCs w:val="20"/>
                <w:lang w:val="en-GB"/>
              </w:rPr>
              <w:t xml:space="preserve"> </w:t>
            </w:r>
            <w:r w:rsidRPr="001E1D37">
              <w:rPr>
                <w:rFonts w:ascii="Times New Roman" w:eastAsia="Cambria" w:hAnsi="Times New Roman" w:cs="Times New Roman"/>
                <w:color w:val="000000" w:themeColor="text1"/>
                <w:spacing w:val="-2"/>
                <w:w w:val="95"/>
                <w:sz w:val="20"/>
                <w:szCs w:val="20"/>
                <w:lang w:val="en-GB"/>
              </w:rPr>
              <w:t>point (b), (c) or (d)</w:t>
            </w:r>
            <w:r w:rsidR="006811A6">
              <w:rPr>
                <w:rFonts w:ascii="Times New Roman" w:eastAsia="Cambria" w:hAnsi="Times New Roman" w:cs="Times New Roman"/>
                <w:color w:val="000000" w:themeColor="text1"/>
                <w:spacing w:val="-2"/>
                <w:w w:val="95"/>
                <w:sz w:val="20"/>
                <w:szCs w:val="20"/>
                <w:lang w:val="en-GB"/>
              </w:rPr>
              <w:t>,</w:t>
            </w:r>
            <w:r w:rsidRPr="001E1D37">
              <w:rPr>
                <w:rFonts w:ascii="Times New Roman" w:eastAsia="Cambria" w:hAnsi="Times New Roman" w:cs="Times New Roman"/>
                <w:color w:val="000000" w:themeColor="text1"/>
                <w:spacing w:val="-2"/>
                <w:w w:val="95"/>
                <w:sz w:val="20"/>
                <w:szCs w:val="20"/>
                <w:lang w:val="en-GB"/>
              </w:rPr>
              <w:t xml:space="preserve"> </w:t>
            </w:r>
            <w:r w:rsidR="0018534D">
              <w:rPr>
                <w:rFonts w:ascii="Times New Roman" w:eastAsia="Cambria" w:hAnsi="Times New Roman" w:cs="Times New Roman"/>
                <w:color w:val="000000" w:themeColor="text1"/>
                <w:spacing w:val="-2"/>
                <w:w w:val="95"/>
                <w:sz w:val="20"/>
                <w:szCs w:val="20"/>
                <w:lang w:val="en-GB"/>
              </w:rPr>
              <w:t xml:space="preserve">of </w:t>
            </w:r>
            <w:r w:rsidR="0018534D" w:rsidRPr="0018534D">
              <w:rPr>
                <w:rFonts w:ascii="Times New Roman" w:eastAsia="Cambria" w:hAnsi="Times New Roman" w:cs="Times New Roman"/>
                <w:color w:val="000000" w:themeColor="text1"/>
                <w:spacing w:val="-2"/>
                <w:w w:val="95"/>
                <w:sz w:val="20"/>
                <w:szCs w:val="20"/>
                <w:lang w:val="en-GB"/>
              </w:rPr>
              <w:t xml:space="preserve">Directive 2014/59/EU </w:t>
            </w:r>
            <w:r w:rsidRPr="001E1D37">
              <w:rPr>
                <w:rFonts w:ascii="Times New Roman" w:eastAsia="Cambria" w:hAnsi="Times New Roman" w:cs="Times New Roman"/>
                <w:color w:val="000000" w:themeColor="text1"/>
                <w:spacing w:val="-2"/>
                <w:w w:val="95"/>
                <w:sz w:val="20"/>
                <w:szCs w:val="20"/>
                <w:lang w:val="en-GB"/>
              </w:rPr>
              <w:t xml:space="preserve">that are part of the same resolution group without being themselves resolution entities, regardless of their maturities, except where those liabilities rank below ordinary unsecured liabilities under the relevant national law governing normal insolvency proceedings applicable on the date of transposition of </w:t>
            </w:r>
            <w:r w:rsidR="0018534D">
              <w:rPr>
                <w:rFonts w:ascii="Times New Roman" w:eastAsia="Cambria" w:hAnsi="Times New Roman" w:cs="Times New Roman"/>
                <w:color w:val="000000" w:themeColor="text1"/>
                <w:spacing w:val="-2"/>
                <w:w w:val="95"/>
                <w:sz w:val="20"/>
                <w:szCs w:val="20"/>
                <w:lang w:val="en-GB"/>
              </w:rPr>
              <w:t>Directive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 xml:space="preserve">Where the excluded liability is a derivatives liability, the net liability positions taking into account the prudential netting rules </w:t>
            </w:r>
            <w:r w:rsidR="00AD7ABB">
              <w:rPr>
                <w:rFonts w:ascii="Times New Roman" w:eastAsia="Cambria" w:hAnsi="Times New Roman" w:cs="Times New Roman"/>
                <w:color w:val="000000" w:themeColor="text1"/>
                <w:spacing w:val="-2"/>
                <w:w w:val="95"/>
                <w:sz w:val="20"/>
                <w:szCs w:val="20"/>
                <w:lang w:val="en-GB"/>
              </w:rPr>
              <w:t>laid down in</w:t>
            </w:r>
            <w:r w:rsidR="00AD7ABB" w:rsidRPr="00DB77B6">
              <w:rPr>
                <w:rFonts w:ascii="Times New Roman" w:eastAsia="Cambria" w:hAnsi="Times New Roman" w:cs="Times New Roman"/>
                <w:color w:val="000000" w:themeColor="text1"/>
                <w:spacing w:val="-2"/>
                <w:w w:val="95"/>
                <w:sz w:val="20"/>
                <w:szCs w:val="20"/>
                <w:lang w:val="en-GB"/>
              </w:rPr>
              <w:t xml:space="preserve"> </w:t>
            </w:r>
            <w:r w:rsidRPr="00DB77B6">
              <w:rPr>
                <w:rFonts w:ascii="Times New Roman" w:eastAsia="Cambria" w:hAnsi="Times New Roman" w:cs="Times New Roman"/>
                <w:color w:val="000000" w:themeColor="text1"/>
                <w:spacing w:val="-2"/>
                <w:w w:val="95"/>
                <w:sz w:val="20"/>
                <w:szCs w:val="20"/>
                <w:lang w:val="en-GB"/>
              </w:rPr>
              <w:t>Article 429c of Regulation (EU) No 575/2013 shall be reported.</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r w:rsidR="002965E8">
              <w:rPr>
                <w:rFonts w:ascii="Times New Roman" w:hAnsi="Times New Roman" w:cs="Times New Roman"/>
                <w:color w:val="000000" w:themeColor="text1"/>
                <w:sz w:val="20"/>
                <w:szCs w:val="20"/>
                <w:lang w:val="en-GB"/>
              </w:rPr>
              <w:t xml:space="preserve"> – 031</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2(1)</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3</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w:t>
            </w:r>
            <w:r w:rsidR="00AD7ABB">
              <w:rPr>
                <w:rFonts w:ascii="Times New Roman" w:eastAsia="Cambria" w:hAnsi="Times New Roman" w:cs="Times New Roman"/>
                <w:color w:val="000000" w:themeColor="text1"/>
                <w:spacing w:val="-2"/>
                <w:w w:val="95"/>
                <w:sz w:val="20"/>
                <w:szCs w:val="20"/>
                <w:lang w:val="en-GB"/>
              </w:rPr>
              <w:t>A</w:t>
            </w:r>
            <w:r w:rsidR="00AD7ABB" w:rsidRPr="00D92B3C">
              <w:rPr>
                <w:rFonts w:ascii="Times New Roman" w:eastAsia="Cambria" w:hAnsi="Times New Roman" w:cs="Times New Roman"/>
                <w:color w:val="000000" w:themeColor="text1"/>
                <w:spacing w:val="-2"/>
                <w:w w:val="95"/>
                <w:sz w:val="20"/>
                <w:szCs w:val="20"/>
                <w:lang w:val="en-GB"/>
              </w:rPr>
              <w:t xml:space="preserve">rticle </w:t>
            </w:r>
            <w:r w:rsidRPr="00D92B3C">
              <w:rPr>
                <w:rFonts w:ascii="Times New Roman" w:eastAsia="Cambria" w:hAnsi="Times New Roman" w:cs="Times New Roman"/>
                <w:color w:val="000000" w:themeColor="text1"/>
                <w:spacing w:val="-2"/>
                <w:w w:val="95"/>
                <w:sz w:val="20"/>
                <w:szCs w:val="20"/>
                <w:lang w:val="en-GB"/>
              </w:rPr>
              <w:t>44(2</w:t>
            </w:r>
            <w:r w:rsidR="00D840C3" w:rsidRPr="00D92B3C">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00D840C3" w:rsidRPr="00D92B3C">
              <w:rPr>
                <w:rFonts w:ascii="Times New Roman" w:eastAsia="Cambria" w:hAnsi="Times New Roman" w:cs="Times New Roman"/>
                <w:color w:val="000000" w:themeColor="text1"/>
                <w:spacing w:val="-2"/>
                <w:w w:val="95"/>
                <w:sz w:val="20"/>
                <w:szCs w:val="20"/>
                <w:lang w:val="en-GB"/>
              </w:rPr>
              <w:t xml:space="preserve"> point</w:t>
            </w:r>
            <w:r w:rsidRPr="00D92B3C">
              <w:rPr>
                <w:rFonts w:ascii="Times New Roman" w:eastAsia="Cambria" w:hAnsi="Times New Roman" w:cs="Times New Roman"/>
                <w:color w:val="000000" w:themeColor="text1"/>
                <w:spacing w:val="-2"/>
                <w:w w:val="95"/>
                <w:sz w:val="20"/>
                <w:szCs w:val="20"/>
                <w:lang w:val="en-GB"/>
              </w:rPr>
              <w:t xml:space="preserve"> </w:t>
            </w:r>
            <w:r w:rsidR="00AD7AB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w:t>
            </w:r>
            <w:r w:rsidR="00AD7AB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w:t>
            </w:r>
            <w:r w:rsidR="007A6F9B">
              <w:rPr>
                <w:rFonts w:ascii="Times New Roman" w:eastAsia="Cambria" w:hAnsi="Times New Roman" w:cs="Times New Roman"/>
                <w:color w:val="000000" w:themeColor="text1"/>
                <w:spacing w:val="-2"/>
                <w:w w:val="95"/>
                <w:sz w:val="20"/>
                <w:szCs w:val="20"/>
                <w:lang w:val="en-GB"/>
              </w:rPr>
              <w:t>provided for</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7A6F9B">
              <w:rPr>
                <w:rFonts w:ascii="Times New Roman" w:eastAsia="Cambria" w:hAnsi="Times New Roman" w:cs="Times New Roman"/>
                <w:color w:val="000000" w:themeColor="text1"/>
                <w:spacing w:val="-2"/>
                <w:w w:val="95"/>
                <w:sz w:val="20"/>
                <w:szCs w:val="20"/>
                <w:lang w:val="en-GB"/>
              </w:rPr>
              <w:t>A</w:t>
            </w:r>
            <w:r w:rsidR="007A6F9B" w:rsidRPr="00D92B3C">
              <w:rPr>
                <w:rFonts w:ascii="Times New Roman" w:eastAsia="Cambria" w:hAnsi="Times New Roman" w:cs="Times New Roman"/>
                <w:color w:val="000000" w:themeColor="text1"/>
                <w:spacing w:val="-2"/>
                <w:w w:val="95"/>
                <w:sz w:val="20"/>
                <w:szCs w:val="20"/>
                <w:lang w:val="en-GB"/>
              </w:rPr>
              <w:t xml:space="preserve">rticle </w:t>
            </w:r>
            <w:r w:rsidRPr="00D92B3C">
              <w:rPr>
                <w:rFonts w:ascii="Times New Roman" w:eastAsia="Cambria" w:hAnsi="Times New Roman" w:cs="Times New Roman"/>
                <w:color w:val="000000" w:themeColor="text1"/>
                <w:spacing w:val="-2"/>
                <w:w w:val="95"/>
                <w:sz w:val="20"/>
                <w:szCs w:val="20"/>
                <w:lang w:val="en-GB"/>
              </w:rPr>
              <w:t xml:space="preserve">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r w:rsidR="002965E8">
              <w:rPr>
                <w:rFonts w:ascii="Times New Roman" w:hAnsi="Times New Roman" w:cs="Times New Roman"/>
                <w:color w:val="000000" w:themeColor="text1"/>
                <w:sz w:val="20"/>
                <w:szCs w:val="20"/>
                <w:lang w:val="en-GB"/>
              </w:rPr>
              <w:t xml:space="preserve"> - 032</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2(1)</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point </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3</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w:t>
            </w:r>
            <w:r w:rsidR="007A6F9B">
              <w:rPr>
                <w:rFonts w:ascii="Times New Roman" w:eastAsia="Cambria" w:hAnsi="Times New Roman" w:cs="Times New Roman"/>
                <w:color w:val="000000" w:themeColor="text1"/>
                <w:spacing w:val="-2"/>
                <w:w w:val="95"/>
                <w:sz w:val="20"/>
                <w:szCs w:val="20"/>
                <w:lang w:val="en-GB"/>
              </w:rPr>
              <w:t>under Article</w:t>
            </w:r>
            <w:r w:rsidRPr="00D92B3C">
              <w:rPr>
                <w:rFonts w:ascii="Times New Roman" w:eastAsia="Cambria" w:hAnsi="Times New Roman" w:cs="Times New Roman"/>
                <w:color w:val="000000" w:themeColor="text1"/>
                <w:spacing w:val="-2"/>
                <w:w w:val="95"/>
                <w:sz w:val="20"/>
                <w:szCs w:val="20"/>
                <w:lang w:val="en-GB"/>
              </w:rPr>
              <w:t xml:space="preserve"> 44(2</w:t>
            </w:r>
            <w:r w:rsidR="0013115B" w:rsidRPr="00D92B3C">
              <w:rPr>
                <w:rFonts w:ascii="Times New Roman" w:eastAsia="Cambria" w:hAnsi="Times New Roman" w:cs="Times New Roman"/>
                <w:color w:val="000000" w:themeColor="text1"/>
                <w:spacing w:val="-2"/>
                <w:w w:val="95"/>
                <w:sz w:val="20"/>
                <w:szCs w:val="20"/>
                <w:lang w:val="en-GB"/>
              </w:rPr>
              <w:t>)</w:t>
            </w:r>
            <w:r w:rsidR="007A6F9B">
              <w:rPr>
                <w:rFonts w:ascii="Times New Roman" w:eastAsia="Cambria" w:hAnsi="Times New Roman" w:cs="Times New Roman"/>
                <w:color w:val="000000" w:themeColor="text1"/>
                <w:spacing w:val="-2"/>
                <w:w w:val="95"/>
                <w:sz w:val="20"/>
                <w:szCs w:val="20"/>
                <w:lang w:val="en-GB"/>
              </w:rPr>
              <w:t>,</w:t>
            </w:r>
            <w:r w:rsidR="0013115B" w:rsidRPr="00D92B3C">
              <w:rPr>
                <w:rFonts w:ascii="Times New Roman" w:eastAsia="Cambria" w:hAnsi="Times New Roman" w:cs="Times New Roman"/>
                <w:color w:val="000000" w:themeColor="text1"/>
                <w:spacing w:val="-2"/>
                <w:w w:val="95"/>
                <w:sz w:val="20"/>
                <w:szCs w:val="20"/>
                <w:lang w:val="en-GB"/>
              </w:rPr>
              <w:t xml:space="preserve"> point</w:t>
            </w:r>
            <w:r w:rsidRPr="00D92B3C">
              <w:rPr>
                <w:rFonts w:ascii="Times New Roman" w:eastAsia="Cambria" w:hAnsi="Times New Roman" w:cs="Times New Roman"/>
                <w:color w:val="000000" w:themeColor="text1"/>
                <w:spacing w:val="-2"/>
                <w:w w:val="95"/>
                <w:sz w:val="20"/>
                <w:szCs w:val="20"/>
                <w:lang w:val="en-GB"/>
              </w:rPr>
              <w:t xml:space="preserve"> </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w:t>
            </w:r>
            <w:r w:rsidR="007A6F9B">
              <w:rPr>
                <w:rFonts w:ascii="Times New Roman" w:eastAsia="Cambria" w:hAnsi="Times New Roman" w:cs="Times New Roman"/>
                <w:color w:val="000000" w:themeColor="text1"/>
                <w:spacing w:val="-2"/>
                <w:w w:val="95"/>
                <w:sz w:val="20"/>
                <w:szCs w:val="20"/>
                <w:lang w:val="en-GB"/>
              </w:rPr>
              <w:t>Article </w:t>
            </w:r>
            <w:r w:rsidRPr="00D92B3C">
              <w:rPr>
                <w:rFonts w:ascii="Times New Roman" w:eastAsia="Cambria" w:hAnsi="Times New Roman" w:cs="Times New Roman"/>
                <w:color w:val="000000" w:themeColor="text1"/>
                <w:spacing w:val="-2"/>
                <w:w w:val="95"/>
                <w:sz w:val="20"/>
                <w:szCs w:val="20"/>
                <w:lang w:val="en-GB"/>
              </w:rPr>
              <w:t xml:space="preserve">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Balance sheet liabilities arising from derivatives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lang w:val="en-GB"/>
              </w:rPr>
            </w:pPr>
            <w:r w:rsidRPr="00DB77B6">
              <w:rPr>
                <w:rFonts w:ascii="Times New Roman" w:eastAsia="Cambria" w:hAnsi="Times New Roman" w:cs="Times New Roman"/>
                <w:color w:val="000000" w:themeColor="text1"/>
                <w:spacing w:val="-2"/>
                <w:w w:val="95"/>
                <w:sz w:val="20"/>
                <w:szCs w:val="20"/>
                <w:lang w:val="en-GB"/>
              </w:rPr>
              <w:t>Accounting value of liabilities arising from derivatives</w:t>
            </w:r>
            <w:r w:rsidR="00E575BB">
              <w:rPr>
                <w:rFonts w:ascii="Times New Roman" w:eastAsia="Cambria" w:hAnsi="Times New Roman" w:cs="Times New Roman"/>
                <w:color w:val="000000" w:themeColor="text1"/>
                <w:spacing w:val="-2"/>
                <w:w w:val="95"/>
                <w:sz w:val="20"/>
                <w:szCs w:val="20"/>
                <w:lang w:val="en-GB"/>
              </w:rPr>
              <w:t>.</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prior to collateral offset</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By default</w:t>
            </w:r>
            <w:r w:rsidR="00C04398">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reported. </w:t>
            </w:r>
            <w:r w:rsidR="00C04398">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erivatives which are not subject to netting arrangements shall be treated as a single contract, i.e. as if it were a netting set with only one derivative.</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 incorporating estimated close-out amounts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7"/>
            </w:r>
            <w:r w:rsidRPr="00D92B3C">
              <w:rPr>
                <w:rFonts w:ascii="Times New Roman" w:eastAsia="Cambria" w:hAnsi="Times New Roman" w:cs="Times New Roman"/>
                <w:color w:val="000000" w:themeColor="text1"/>
                <w:spacing w:val="-2"/>
                <w:w w:val="95"/>
                <w:sz w:val="20"/>
                <w:szCs w:val="20"/>
                <w:lang w:val="en-GB"/>
              </w:rPr>
              <w:t>,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7A6F9B" w:rsidRPr="00D92B3C">
              <w:rPr>
                <w:rFonts w:ascii="Times New Roman" w:eastAsia="Cambria" w:hAnsi="Times New Roman" w:cs="Times New Roman"/>
                <w:color w:val="000000" w:themeColor="text1"/>
                <w:spacing w:val="-2"/>
                <w:w w:val="95"/>
                <w:sz w:val="20"/>
                <w:szCs w:val="20"/>
                <w:lang w:val="en-GB"/>
              </w:rPr>
              <w:t>th</w:t>
            </w:r>
            <w:r w:rsidR="007A6F9B">
              <w:rPr>
                <w:rFonts w:ascii="Times New Roman" w:eastAsia="Cambria" w:hAnsi="Times New Roman" w:cs="Times New Roman"/>
                <w:color w:val="000000" w:themeColor="text1"/>
                <w:spacing w:val="-2"/>
                <w:w w:val="95"/>
                <w:sz w:val="20"/>
                <w:szCs w:val="20"/>
                <w:lang w:val="en-GB"/>
              </w:rPr>
              <w:t>at</w:t>
            </w:r>
            <w:r w:rsidR="007A6F9B" w:rsidRPr="00D92B3C">
              <w:rPr>
                <w:rFonts w:ascii="Times New Roman" w:eastAsia="Cambria" w:hAnsi="Times New Roman" w:cs="Times New Roman"/>
                <w:color w:val="000000" w:themeColor="text1"/>
                <w:spacing w:val="-2"/>
                <w:w w:val="95"/>
                <w:sz w:val="20"/>
                <w:szCs w:val="20"/>
                <w:lang w:val="en-GB"/>
              </w:rPr>
              <w:t xml:space="preserve"> </w:t>
            </w:r>
            <w:r w:rsidR="007A6F9B">
              <w:rPr>
                <w:rFonts w:ascii="Times New Roman" w:eastAsia="Cambria" w:hAnsi="Times New Roman" w:cs="Times New Roman"/>
                <w:color w:val="000000" w:themeColor="text1"/>
                <w:spacing w:val="-2"/>
                <w:w w:val="95"/>
                <w:sz w:val="20"/>
                <w:szCs w:val="20"/>
                <w:lang w:val="en-GB"/>
              </w:rPr>
              <w:t>Delegated</w:t>
            </w:r>
            <w:r w:rsidRPr="00D92B3C">
              <w:rPr>
                <w:rFonts w:ascii="Times New Roman" w:eastAsia="Cambria" w:hAnsi="Times New Roman" w:cs="Times New Roman"/>
                <w:color w:val="000000" w:themeColor="text1"/>
                <w:spacing w:val="-2"/>
                <w:w w:val="95"/>
                <w:sz w:val="20"/>
                <w:szCs w:val="20"/>
                <w:lang w:val="en-GB"/>
              </w:rPr>
              <w:t xml:space="preserve">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prove quite difficult on an individual basis. Therefore, proxy values, which may be based on available data</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such as the prudential requirements for market risk, </w:t>
            </w:r>
            <w:r w:rsidR="00E21D99">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the close-out amount for the derivative liabilities, the amount reported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Sum of net liability positions taking into account prudential netting rules</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taking into account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w:t>
            </w:r>
            <w:r w:rsidR="00E9786B">
              <w:rPr>
                <w:rFonts w:ascii="Times New Roman" w:eastAsia="Cambria" w:hAnsi="Times New Roman" w:cs="Times New Roman"/>
                <w:color w:val="000000" w:themeColor="text1"/>
                <w:spacing w:val="-2"/>
                <w:w w:val="95"/>
                <w:sz w:val="20"/>
                <w:szCs w:val="20"/>
                <w:lang w:val="en-GB"/>
              </w:rPr>
              <w:t>laid down in</w:t>
            </w:r>
            <w:r w:rsidR="00E9786B" w:rsidRPr="00DB77B6">
              <w:rPr>
                <w:rFonts w:ascii="Times New Roman" w:eastAsia="Cambria" w:hAnsi="Times New Roman" w:cs="Times New Roman"/>
                <w:color w:val="000000" w:themeColor="text1"/>
                <w:spacing w:val="-2"/>
                <w:w w:val="95"/>
                <w:sz w:val="20"/>
                <w:szCs w:val="20"/>
                <w:lang w:val="en-GB"/>
              </w:rPr>
              <w:t xml:space="preserve"> </w:t>
            </w:r>
            <w:r w:rsidR="0013115B" w:rsidRPr="00DB77B6">
              <w:rPr>
                <w:rFonts w:ascii="Times New Roman" w:eastAsia="Cambria" w:hAnsi="Times New Roman" w:cs="Times New Roman"/>
                <w:color w:val="000000" w:themeColor="text1"/>
                <w:spacing w:val="-2"/>
                <w:w w:val="95"/>
                <w:sz w:val="20"/>
                <w:szCs w:val="20"/>
                <w:lang w:val="en-GB"/>
              </w:rPr>
              <w:t>Article 429</w:t>
            </w:r>
            <w:r w:rsidR="002965E8" w:rsidRPr="00DB77B6">
              <w:rPr>
                <w:rFonts w:ascii="Times New Roman" w:eastAsia="Cambria" w:hAnsi="Times New Roman" w:cs="Times New Roman"/>
                <w:color w:val="000000" w:themeColor="text1"/>
                <w:spacing w:val="-2"/>
                <w:w w:val="95"/>
                <w:sz w:val="20"/>
                <w:szCs w:val="20"/>
                <w:lang w:val="en-GB"/>
              </w:rPr>
              <w:t>c</w:t>
            </w:r>
            <w:r w:rsidR="0013115B" w:rsidRPr="00DB77B6">
              <w:rPr>
                <w:rFonts w:ascii="Times New Roman" w:eastAsia="Cambria" w:hAnsi="Times New Roman" w:cs="Times New Roman"/>
                <w:color w:val="000000" w:themeColor="text1"/>
                <w:spacing w:val="-2"/>
                <w:w w:val="95"/>
                <w:sz w:val="20"/>
                <w:szCs w:val="20"/>
                <w:lang w:val="en-GB"/>
              </w:rPr>
              <w:t xml:space="preserve"> </w:t>
            </w:r>
            <w:r w:rsidR="00063EEC" w:rsidRPr="00DB77B6">
              <w:rPr>
                <w:rFonts w:ascii="Times New Roman" w:eastAsia="Cambria" w:hAnsi="Times New Roman" w:cs="Times New Roman"/>
                <w:color w:val="000000" w:themeColor="text1"/>
                <w:spacing w:val="-2"/>
                <w:w w:val="95"/>
                <w:sz w:val="20"/>
                <w:szCs w:val="20"/>
                <w:lang w:val="en-GB"/>
              </w:rPr>
              <w:t>of</w:t>
            </w:r>
            <w:r w:rsidR="00063EEC" w:rsidRPr="00D92B3C">
              <w:rPr>
                <w:rFonts w:ascii="Times New Roman" w:eastAsia="Cambria" w:hAnsi="Times New Roman" w:cs="Times New Roman"/>
                <w:color w:val="000000" w:themeColor="text1"/>
                <w:spacing w:val="-2"/>
                <w:w w:val="95"/>
                <w:sz w:val="20"/>
                <w:szCs w:val="20"/>
                <w:lang w:val="en-GB"/>
              </w:rPr>
              <w:t xml:space="preserve">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w:t>
            </w:r>
            <w:r w:rsidR="00416896">
              <w:rPr>
                <w:rFonts w:ascii="Times New Roman" w:eastAsia="Cambria" w:hAnsi="Times New Roman" w:cs="Times New Roman"/>
                <w:color w:val="000000" w:themeColor="text1"/>
                <w:spacing w:val="-2"/>
                <w:w w:val="95"/>
                <w:sz w:val="20"/>
                <w:szCs w:val="20"/>
                <w:lang w:val="en-GB"/>
              </w:rPr>
              <w:t xml:space="preserve">(related to the calculation of the leverage ratio total exposure measure)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r w:rsidR="00E91334">
              <w:rPr>
                <w:rFonts w:ascii="Times New Roman" w:hAnsi="Times New Roman" w:cs="Times New Roman"/>
                <w:color w:val="000000" w:themeColor="text1"/>
                <w:sz w:val="20"/>
                <w:szCs w:val="20"/>
                <w:lang w:val="en-GB"/>
              </w:rPr>
              <w:t xml:space="preserve">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lien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w:t>
            </w:r>
            <w:r w:rsidR="00CD04C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ed' part of any collaterali</w:t>
            </w:r>
            <w:r w:rsidR="00CD04C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undercollateralised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r w:rsidR="00E91334">
              <w:rPr>
                <w:rFonts w:ascii="Times New Roman" w:hAnsi="Times New Roman" w:cs="Times New Roman"/>
                <w:color w:val="000000" w:themeColor="text1"/>
                <w:sz w:val="20"/>
                <w:szCs w:val="20"/>
                <w:lang w:val="en-GB"/>
              </w:rPr>
              <w:t xml:space="preserve">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w:t>
            </w:r>
            <w:r w:rsidR="00C04398">
              <w:rPr>
                <w:rFonts w:ascii="Times New Roman" w:eastAsia="Cambria" w:hAnsi="Times New Roman" w:cs="Times New Roman"/>
                <w:color w:val="000000" w:themeColor="text1"/>
                <w:spacing w:val="-2"/>
                <w:w w:val="95"/>
                <w:sz w:val="20"/>
                <w:szCs w:val="20"/>
                <w:lang w:val="en-GB"/>
              </w:rPr>
              <w:t>specified</w:t>
            </w:r>
            <w:r w:rsidR="00C04398" w:rsidRPr="00D92B3C">
              <w:rPr>
                <w:rFonts w:ascii="Times New Roman" w:eastAsia="Cambria" w:hAnsi="Times New Roman" w:cs="Times New Roman"/>
                <w:color w:val="000000" w:themeColor="text1"/>
                <w:spacing w:val="-2"/>
                <w:w w:val="95"/>
                <w:sz w:val="20"/>
                <w:szCs w:val="20"/>
                <w:lang w:val="en-GB"/>
              </w:rPr>
              <w:t xml:space="preserve">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w:t>
            </w:r>
            <w:r w:rsidR="00416896">
              <w:rPr>
                <w:rFonts w:ascii="Times New Roman" w:eastAsia="Cambria" w:hAnsi="Times New Roman" w:cs="Times New Roman"/>
                <w:color w:val="000000" w:themeColor="text1"/>
                <w:spacing w:val="-2"/>
                <w:w w:val="95"/>
                <w:sz w:val="20"/>
                <w:szCs w:val="20"/>
                <w:lang w:val="en-GB"/>
              </w:rPr>
              <w:t>, such as equities or bonds, fixed income rates or credit, FX, commodities, etc</w:t>
            </w:r>
            <w:r w:rsidR="003F1717">
              <w:rPr>
                <w:rFonts w:ascii="Times New Roman" w:eastAsia="Cambria" w:hAnsi="Times New Roman" w:cs="Times New Roman"/>
                <w:color w:val="000000" w:themeColor="text1"/>
                <w:spacing w:val="-2"/>
                <w:w w:val="95"/>
                <w:sz w:val="20"/>
                <w:szCs w:val="20"/>
                <w:lang w:val="en-GB"/>
              </w:rPr>
              <w:t>.</w:t>
            </w:r>
            <w:r w:rsidR="0041689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Structured notes do not include debt instruments that include call or put options only, i.e. the value of the instrument does not depend on any embedded derivative component.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r w:rsidR="00E91334">
              <w:rPr>
                <w:rFonts w:ascii="Times New Roman" w:hAnsi="Times New Roman" w:cs="Times New Roman"/>
                <w:color w:val="000000" w:themeColor="text1"/>
                <w:sz w:val="20"/>
                <w:szCs w:val="20"/>
                <w:lang w:val="en-GB"/>
              </w:rPr>
              <w:t xml:space="preserve">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r w:rsidR="00E91334">
              <w:rPr>
                <w:rFonts w:ascii="Times New Roman" w:hAnsi="Times New Roman" w:cs="Times New Roman"/>
                <w:color w:val="000000" w:themeColor="text1"/>
                <w:sz w:val="20"/>
                <w:szCs w:val="20"/>
                <w:lang w:val="en-GB"/>
              </w:rPr>
              <w:t xml:space="preserve">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u</w:t>
            </w:r>
            <w:r w:rsidRPr="00D92B3C">
              <w:rPr>
                <w:rFonts w:ascii="Times New Roman" w:hAnsi="Times New Roman" w:cs="Times New Roman"/>
                <w:color w:val="000000" w:themeColor="text1"/>
                <w:spacing w:val="-2"/>
                <w:w w:val="95"/>
                <w:sz w:val="20"/>
                <w:szCs w:val="20"/>
                <w:lang w:val="en-GB"/>
              </w:rPr>
              <w:t xml:space="preserve">nsecured </w:t>
            </w:r>
            <w:r w:rsidR="00C92D66" w:rsidRPr="00D92B3C">
              <w:rPr>
                <w:rFonts w:ascii="Times New Roman" w:hAnsi="Times New Roman" w:cs="Times New Roman"/>
                <w:color w:val="000000" w:themeColor="text1"/>
                <w:spacing w:val="-2"/>
                <w:w w:val="95"/>
                <w:sz w:val="20"/>
                <w:szCs w:val="20"/>
                <w:lang w:val="en-GB"/>
              </w:rPr>
              <w:t xml:space="preserve">claims resulting from debt instruments that meet the conditions laid down in </w:t>
            </w:r>
            <w:r w:rsidR="00640CB4">
              <w:rPr>
                <w:rFonts w:ascii="Times New Roman" w:hAnsi="Times New Roman" w:cs="Times New Roman"/>
                <w:color w:val="000000" w:themeColor="text1"/>
                <w:spacing w:val="-2"/>
                <w:w w:val="95"/>
                <w:sz w:val="20"/>
                <w:szCs w:val="20"/>
                <w:lang w:val="en-GB"/>
              </w:rPr>
              <w:t xml:space="preserve">Article 108(2), </w:t>
            </w:r>
            <w:r w:rsidR="00C92D66" w:rsidRPr="00D92B3C">
              <w:rPr>
                <w:rFonts w:ascii="Times New Roman" w:hAnsi="Times New Roman" w:cs="Times New Roman"/>
                <w:color w:val="000000" w:themeColor="text1"/>
                <w:spacing w:val="-2"/>
                <w:w w:val="95"/>
                <w:sz w:val="20"/>
                <w:szCs w:val="20"/>
                <w:lang w:val="en-GB"/>
              </w:rPr>
              <w:t>points (a), (b) and (c)</w:t>
            </w:r>
            <w:r w:rsidR="00640CB4">
              <w:rPr>
                <w:rFonts w:ascii="Times New Roman" w:hAnsi="Times New Roman" w:cs="Times New Roman"/>
                <w:color w:val="000000" w:themeColor="text1"/>
                <w:spacing w:val="-2"/>
                <w:w w:val="95"/>
                <w:sz w:val="20"/>
                <w:szCs w:val="20"/>
                <w:lang w:val="en-GB"/>
              </w:rPr>
              <w:t>,</w:t>
            </w:r>
            <w:r w:rsidR="00C92D66" w:rsidRPr="00D92B3C">
              <w:rPr>
                <w:rFonts w:ascii="Times New Roman" w:hAnsi="Times New Roman" w:cs="Times New Roman"/>
                <w:color w:val="000000" w:themeColor="text1"/>
                <w:spacing w:val="-2"/>
                <w:w w:val="95"/>
                <w:sz w:val="20"/>
                <w:szCs w:val="20"/>
                <w:lang w:val="en-GB"/>
              </w:rPr>
              <w:t xml:space="preserve"> and </w:t>
            </w:r>
            <w:r w:rsidR="006811A6">
              <w:rPr>
                <w:rFonts w:ascii="Times New Roman" w:hAnsi="Times New Roman" w:cs="Times New Roman"/>
                <w:color w:val="000000" w:themeColor="text1"/>
                <w:spacing w:val="-2"/>
                <w:w w:val="95"/>
                <w:sz w:val="20"/>
                <w:szCs w:val="20"/>
                <w:lang w:val="en-GB"/>
              </w:rPr>
              <w:t xml:space="preserve">in </w:t>
            </w:r>
            <w:r w:rsidR="00DF60B6">
              <w:rPr>
                <w:rFonts w:ascii="Times New Roman" w:hAnsi="Times New Roman" w:cs="Times New Roman"/>
                <w:color w:val="000000" w:themeColor="text1"/>
                <w:spacing w:val="-2"/>
                <w:w w:val="95"/>
                <w:sz w:val="20"/>
                <w:szCs w:val="20"/>
                <w:lang w:val="en-GB"/>
              </w:rPr>
              <w:t>Article 108(3)</w:t>
            </w:r>
            <w:r w:rsidR="00C92D66" w:rsidRPr="00D92B3C">
              <w:rPr>
                <w:rFonts w:ascii="Times New Roman" w:hAnsi="Times New Roman" w:cs="Times New Roman"/>
                <w:color w:val="000000" w:themeColor="text1"/>
                <w:spacing w:val="-2"/>
                <w:w w:val="95"/>
                <w:sz w:val="20"/>
                <w:szCs w:val="20"/>
                <w:lang w:val="en-GB"/>
              </w:rPr>
              <w:t xml:space="preserve">of Directive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u</w:t>
            </w:r>
            <w:r w:rsidRPr="00D92B3C">
              <w:rPr>
                <w:rFonts w:ascii="Times New Roman" w:hAnsi="Times New Roman" w:cs="Times New Roman"/>
                <w:color w:val="000000" w:themeColor="text1"/>
                <w:spacing w:val="-2"/>
                <w:w w:val="95"/>
                <w:sz w:val="20"/>
                <w:szCs w:val="20"/>
                <w:lang w:val="en-GB"/>
              </w:rPr>
              <w:t xml:space="preserve">nsecured </w:t>
            </w:r>
            <w:r w:rsidR="00C92D66" w:rsidRPr="00D92B3C">
              <w:rPr>
                <w:rFonts w:ascii="Times New Roman" w:hAnsi="Times New Roman" w:cs="Times New Roman"/>
                <w:color w:val="000000" w:themeColor="text1"/>
                <w:spacing w:val="-2"/>
                <w:w w:val="95"/>
                <w:sz w:val="20"/>
                <w:szCs w:val="20"/>
                <w:lang w:val="en-GB"/>
              </w:rPr>
              <w:t xml:space="preserve">claims resulting from debt instruments referred to </w:t>
            </w:r>
            <w:r w:rsidR="00DF60B6">
              <w:rPr>
                <w:rFonts w:ascii="Times New Roman" w:hAnsi="Times New Roman" w:cs="Times New Roman"/>
                <w:color w:val="000000" w:themeColor="text1"/>
                <w:spacing w:val="-2"/>
                <w:w w:val="95"/>
                <w:sz w:val="20"/>
                <w:szCs w:val="20"/>
                <w:lang w:val="en-GB"/>
              </w:rPr>
              <w:t xml:space="preserve">in </w:t>
            </w:r>
            <w:r w:rsidR="00DF60B6" w:rsidRPr="00D92B3C">
              <w:rPr>
                <w:rFonts w:ascii="Times New Roman" w:hAnsi="Times New Roman" w:cs="Times New Roman"/>
                <w:color w:val="000000" w:themeColor="text1"/>
                <w:spacing w:val="-2"/>
                <w:w w:val="95"/>
                <w:sz w:val="20"/>
                <w:szCs w:val="20"/>
                <w:lang w:val="en-GB"/>
              </w:rPr>
              <w:t>Article 108(5)</w:t>
            </w:r>
            <w:r w:rsidR="00E87F93">
              <w:rPr>
                <w:rFonts w:ascii="Times New Roman" w:hAnsi="Times New Roman" w:cs="Times New Roman"/>
                <w:color w:val="000000" w:themeColor="text1"/>
                <w:spacing w:val="-2"/>
                <w:w w:val="95"/>
                <w:sz w:val="20"/>
                <w:szCs w:val="20"/>
                <w:lang w:val="en-GB"/>
              </w:rPr>
              <w:t>,</w:t>
            </w:r>
            <w:r w:rsidR="00DF60B6" w:rsidRPr="00D92B3C">
              <w:rPr>
                <w:rFonts w:ascii="Times New Roman" w:hAnsi="Times New Roman" w:cs="Times New Roman"/>
                <w:color w:val="000000" w:themeColor="text1"/>
                <w:spacing w:val="-2"/>
                <w:w w:val="95"/>
                <w:sz w:val="20"/>
                <w:szCs w:val="20"/>
                <w:lang w:val="en-GB"/>
              </w:rPr>
              <w:t xml:space="preserve"> </w:t>
            </w:r>
            <w:r w:rsidR="00E87F93" w:rsidRPr="00D92B3C">
              <w:rPr>
                <w:rFonts w:ascii="Times New Roman" w:hAnsi="Times New Roman" w:cs="Times New Roman"/>
                <w:color w:val="000000" w:themeColor="text1"/>
                <w:spacing w:val="-2"/>
                <w:w w:val="95"/>
                <w:sz w:val="20"/>
                <w:szCs w:val="20"/>
                <w:lang w:val="en-GB"/>
              </w:rPr>
              <w:t>first subparagraph</w:t>
            </w:r>
            <w:r w:rsidR="00E87F93">
              <w:rPr>
                <w:rFonts w:ascii="Times New Roman" w:hAnsi="Times New Roman" w:cs="Times New Roman"/>
                <w:color w:val="000000" w:themeColor="text1"/>
                <w:spacing w:val="-2"/>
                <w:w w:val="95"/>
                <w:sz w:val="20"/>
                <w:szCs w:val="20"/>
                <w:lang w:val="en-GB"/>
              </w:rPr>
              <w:t>,</w:t>
            </w:r>
            <w:r w:rsidR="00E87F93" w:rsidRPr="00D92B3C">
              <w:rPr>
                <w:rFonts w:ascii="Times New Roman" w:hAnsi="Times New Roman" w:cs="Times New Roman"/>
                <w:color w:val="000000" w:themeColor="text1"/>
                <w:spacing w:val="-2"/>
                <w:w w:val="95"/>
                <w:sz w:val="20"/>
                <w:szCs w:val="20"/>
                <w:lang w:val="en-GB"/>
              </w:rPr>
              <w:t xml:space="preserve"> </w:t>
            </w:r>
            <w:r w:rsidR="00C92D66" w:rsidRPr="00D92B3C">
              <w:rPr>
                <w:rFonts w:ascii="Times New Roman" w:hAnsi="Times New Roman" w:cs="Times New Roman"/>
                <w:color w:val="000000" w:themeColor="text1"/>
                <w:spacing w:val="-2"/>
                <w:w w:val="95"/>
                <w:sz w:val="20"/>
                <w:szCs w:val="20"/>
                <w:lang w:val="en-GB"/>
              </w:rPr>
              <w:t>point (b)</w:t>
            </w:r>
            <w:r w:rsidR="00E87F93">
              <w:rPr>
                <w:rFonts w:ascii="Times New Roman" w:hAnsi="Times New Roman" w:cs="Times New Roman"/>
                <w:color w:val="000000" w:themeColor="text1"/>
                <w:spacing w:val="-2"/>
                <w:w w:val="95"/>
                <w:sz w:val="20"/>
                <w:szCs w:val="20"/>
                <w:lang w:val="en-GB"/>
              </w:rPr>
              <w:t>,</w:t>
            </w:r>
            <w:r w:rsidR="00C92D66" w:rsidRPr="00D92B3C">
              <w:rPr>
                <w:rFonts w:ascii="Times New Roman" w:hAnsi="Times New Roman" w:cs="Times New Roman"/>
                <w:color w:val="000000" w:themeColor="text1"/>
                <w:spacing w:val="-2"/>
                <w:w w:val="95"/>
                <w:sz w:val="20"/>
                <w:szCs w:val="20"/>
                <w:lang w:val="en-GB"/>
              </w:rPr>
              <w:t xml:space="preserve"> of Directive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 xml:space="preserve">ebt </w:t>
            </w:r>
            <w:r w:rsidR="00C92D66" w:rsidRPr="00D92B3C">
              <w:rPr>
                <w:rFonts w:ascii="Times New Roman" w:hAnsi="Times New Roman" w:cs="Times New Roman"/>
                <w:color w:val="000000" w:themeColor="text1"/>
                <w:spacing w:val="-2"/>
                <w:w w:val="95"/>
                <w:sz w:val="20"/>
                <w:szCs w:val="20"/>
                <w:lang w:val="en-GB"/>
              </w:rPr>
              <w:t>instruments with the lowest priority ranking among the ordinary unsecured claims resulting from debt instruments referred to in Article 108</w:t>
            </w:r>
            <w:r w:rsidR="00923ABD">
              <w:rPr>
                <w:rFonts w:ascii="Times New Roman" w:hAnsi="Times New Roman" w:cs="Times New Roman"/>
                <w:color w:val="000000" w:themeColor="text1"/>
                <w:spacing w:val="-2"/>
                <w:w w:val="95"/>
                <w:sz w:val="20"/>
                <w:szCs w:val="20"/>
                <w:lang w:val="en-GB"/>
              </w:rPr>
              <w:t>(7)</w:t>
            </w:r>
            <w:r w:rsidR="00C92D66" w:rsidRPr="00D92B3C">
              <w:rPr>
                <w:rFonts w:ascii="Times New Roman" w:hAnsi="Times New Roman" w:cs="Times New Roman"/>
                <w:color w:val="000000" w:themeColor="text1"/>
                <w:spacing w:val="-2"/>
                <w:w w:val="95"/>
                <w:sz w:val="20"/>
                <w:szCs w:val="20"/>
                <w:lang w:val="en-GB"/>
              </w:rPr>
              <w:t xml:space="preserve"> of Directive 2014/59/EU, for which a Member State has provided, in accordance with </w:t>
            </w:r>
            <w:r w:rsidR="00C92D66" w:rsidRPr="00F71BD3">
              <w:rPr>
                <w:rFonts w:ascii="Times New Roman" w:hAnsi="Times New Roman" w:cs="Times New Roman"/>
                <w:color w:val="000000" w:themeColor="text1"/>
                <w:spacing w:val="-2"/>
                <w:w w:val="95"/>
                <w:sz w:val="20"/>
                <w:szCs w:val="20"/>
                <w:lang w:val="en-GB"/>
              </w:rPr>
              <w:t>that paragraph</w:t>
            </w:r>
            <w:r w:rsidR="00C92D66" w:rsidRPr="00D92B3C">
              <w:rPr>
                <w:rFonts w:ascii="Times New Roman" w:hAnsi="Times New Roman" w:cs="Times New Roman"/>
                <w:color w:val="000000" w:themeColor="text1"/>
                <w:spacing w:val="-2"/>
                <w:w w:val="95"/>
                <w:sz w:val="20"/>
                <w:szCs w:val="20"/>
                <w:lang w:val="en-GB"/>
              </w:rPr>
              <w:t xml:space="preserve">, that they have the same ranking as that of claims that meet the conditions </w:t>
            </w:r>
            <w:r w:rsidR="00E87F93" w:rsidRPr="00D92B3C">
              <w:rPr>
                <w:rFonts w:ascii="Times New Roman" w:hAnsi="Times New Roman" w:cs="Times New Roman"/>
                <w:color w:val="000000" w:themeColor="text1"/>
                <w:spacing w:val="-2"/>
                <w:w w:val="95"/>
                <w:sz w:val="20"/>
                <w:szCs w:val="20"/>
                <w:lang w:val="en-GB"/>
              </w:rPr>
              <w:t xml:space="preserve">laid down in </w:t>
            </w:r>
            <w:r w:rsidR="00E87F93">
              <w:rPr>
                <w:rFonts w:ascii="Times New Roman" w:hAnsi="Times New Roman" w:cs="Times New Roman"/>
                <w:color w:val="000000" w:themeColor="text1"/>
                <w:spacing w:val="-2"/>
                <w:w w:val="95"/>
                <w:sz w:val="20"/>
                <w:szCs w:val="20"/>
                <w:lang w:val="en-GB"/>
              </w:rPr>
              <w:t xml:space="preserve">Article 108(2), </w:t>
            </w:r>
            <w:r w:rsidR="00E87F93" w:rsidRPr="00D92B3C">
              <w:rPr>
                <w:rFonts w:ascii="Times New Roman" w:hAnsi="Times New Roman" w:cs="Times New Roman"/>
                <w:color w:val="000000" w:themeColor="text1"/>
                <w:spacing w:val="-2"/>
                <w:w w:val="95"/>
                <w:sz w:val="20"/>
                <w:szCs w:val="20"/>
                <w:lang w:val="en-GB"/>
              </w:rPr>
              <w:t>points (a), (b) and (c)</w:t>
            </w:r>
            <w:r w:rsidR="00E87F93">
              <w:rPr>
                <w:rFonts w:ascii="Times New Roman" w:hAnsi="Times New Roman" w:cs="Times New Roman"/>
                <w:color w:val="000000" w:themeColor="text1"/>
                <w:spacing w:val="-2"/>
                <w:w w:val="95"/>
                <w:sz w:val="20"/>
                <w:szCs w:val="20"/>
                <w:lang w:val="en-GB"/>
              </w:rPr>
              <w:t>,</w:t>
            </w:r>
            <w:r w:rsidR="00E87F93" w:rsidRPr="00D92B3C">
              <w:rPr>
                <w:rFonts w:ascii="Times New Roman" w:hAnsi="Times New Roman" w:cs="Times New Roman"/>
                <w:color w:val="000000" w:themeColor="text1"/>
                <w:spacing w:val="-2"/>
                <w:w w:val="95"/>
                <w:sz w:val="20"/>
                <w:szCs w:val="20"/>
                <w:lang w:val="en-GB"/>
              </w:rPr>
              <w:t xml:space="preserve"> and </w:t>
            </w:r>
            <w:r w:rsidR="006811A6">
              <w:rPr>
                <w:rFonts w:ascii="Times New Roman" w:hAnsi="Times New Roman" w:cs="Times New Roman"/>
                <w:color w:val="000000" w:themeColor="text1"/>
                <w:spacing w:val="-2"/>
                <w:w w:val="95"/>
                <w:sz w:val="20"/>
                <w:szCs w:val="20"/>
                <w:lang w:val="en-GB"/>
              </w:rPr>
              <w:t xml:space="preserve">in </w:t>
            </w:r>
            <w:r w:rsidR="00E87F93">
              <w:rPr>
                <w:rFonts w:ascii="Times New Roman" w:hAnsi="Times New Roman" w:cs="Times New Roman"/>
                <w:color w:val="000000" w:themeColor="text1"/>
                <w:spacing w:val="-2"/>
                <w:w w:val="95"/>
                <w:sz w:val="20"/>
                <w:szCs w:val="20"/>
                <w:lang w:val="en-GB"/>
              </w:rPr>
              <w:t>Article 108(3)</w:t>
            </w:r>
            <w:r w:rsidR="00C92D66" w:rsidRPr="00D92B3C">
              <w:rPr>
                <w:rFonts w:ascii="Times New Roman" w:hAnsi="Times New Roman" w:cs="Times New Roman"/>
                <w:color w:val="000000" w:themeColor="text1"/>
                <w:spacing w:val="-2"/>
                <w:w w:val="95"/>
                <w:sz w:val="20"/>
                <w:szCs w:val="20"/>
                <w:lang w:val="en-GB"/>
              </w:rPr>
              <w:t xml:space="preserve"> of Directive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r w:rsidR="00E91334">
              <w:rPr>
                <w:rFonts w:ascii="Times New Roman" w:hAnsi="Times New Roman" w:cs="Times New Roman"/>
                <w:color w:val="000000" w:themeColor="text1"/>
                <w:sz w:val="20"/>
                <w:szCs w:val="20"/>
                <w:lang w:val="en-GB"/>
              </w:rPr>
              <w:t xml:space="preserve"> – </w:t>
            </w:r>
            <w:r w:rsidR="00E91334">
              <w:rPr>
                <w:rFonts w:ascii="Times New Roman" w:hAnsi="Times New Roman" w:cs="Times New Roman"/>
                <w:color w:val="000000" w:themeColor="text1"/>
                <w:sz w:val="20"/>
                <w:szCs w:val="20"/>
                <w:lang w:val="en-GB"/>
              </w:rPr>
              <w:lastRenderedPageBreak/>
              <w:t>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lastRenderedPageBreak/>
              <w:t>Subordinated</w:t>
            </w:r>
            <w:r w:rsidRPr="00D92B3C">
              <w:rPr>
                <w:rFonts w:ascii="Times New Roman" w:hAnsi="Times New Roman" w:cs="Times New Roman"/>
                <w:b/>
                <w:bCs/>
                <w:color w:val="000000" w:themeColor="text1"/>
                <w:sz w:val="20"/>
                <w:szCs w:val="20"/>
                <w:lang w:val="en-GB"/>
              </w:rPr>
              <w:t xml:space="preserve"> liabilities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 xml:space="preserve">have been repaid in full. This includes both contractually </w:t>
            </w:r>
            <w:r w:rsidR="000745B1">
              <w:rPr>
                <w:rFonts w:ascii="Times New Roman" w:eastAsia="Cambria" w:hAnsi="Times New Roman" w:cs="Times New Roman"/>
                <w:color w:val="000000" w:themeColor="text1"/>
                <w:spacing w:val="-2"/>
                <w:w w:val="95"/>
                <w:sz w:val="20"/>
                <w:szCs w:val="20"/>
                <w:lang w:val="en-GB"/>
              </w:rPr>
              <w:t>and</w:t>
            </w:r>
            <w:r w:rsidR="003C3186">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statutorily subordinated liabilities. In the case of holding companies, unsubordinated debt securities may also be reported in this category</w:t>
            </w:r>
            <w:r w:rsidR="00923ABD">
              <w:rPr>
                <w:rFonts w:ascii="Times New Roman" w:eastAsia="Cambria" w:hAnsi="Times New Roman" w:cs="Times New Roman"/>
                <w:color w:val="000000" w:themeColor="text1"/>
                <w:spacing w:val="-2"/>
                <w:w w:val="95"/>
                <w:sz w:val="20"/>
                <w:szCs w:val="20"/>
                <w:lang w:val="en-GB"/>
              </w:rPr>
              <w:t xml:space="preserve"> (i.e. structural subordination)</w:t>
            </w:r>
            <w:r w:rsidR="0081175C" w:rsidRPr="00D92B3C">
              <w:rPr>
                <w:rFonts w:ascii="Times New Roman" w:eastAsia="Cambria" w:hAnsi="Times New Roman" w:cs="Times New Roman"/>
                <w:color w:val="000000" w:themeColor="text1"/>
                <w:spacing w:val="-2"/>
                <w:w w:val="95"/>
                <w:sz w:val="20"/>
                <w:szCs w:val="20"/>
                <w:lang w:val="en-GB"/>
              </w:rPr>
              <w:t>.</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th</w:t>
            </w:r>
            <w:r w:rsidR="00470D62">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w:t>
            </w:r>
            <w:r w:rsidR="0076535A">
              <w:rPr>
                <w:rFonts w:ascii="Times New Roman" w:eastAsia="Cambria" w:hAnsi="Times New Roman" w:cs="Times New Roman"/>
                <w:color w:val="000000" w:themeColor="text1"/>
                <w:spacing w:val="-2"/>
                <w:w w:val="95"/>
                <w:sz w:val="20"/>
                <w:szCs w:val="20"/>
                <w:lang w:val="en-GB"/>
              </w:rPr>
              <w:t>T</w:t>
            </w:r>
            <w:r w:rsidR="00470D62">
              <w:rPr>
                <w:rFonts w:ascii="Times New Roman" w:eastAsia="Cambria" w:hAnsi="Times New Roman" w:cs="Times New Roman"/>
                <w:color w:val="000000" w:themeColor="text1"/>
                <w:spacing w:val="-2"/>
                <w:w w:val="95"/>
                <w:sz w:val="20"/>
                <w:szCs w:val="20"/>
                <w:lang w:val="en-GB"/>
              </w:rPr>
              <w:t>en</w:t>
            </w:r>
            <w:r w:rsidR="00470D6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380</w:t>
            </w:r>
            <w:r w:rsidR="00E91334">
              <w:rPr>
                <w:rFonts w:ascii="Times New Roman" w:hAnsi="Times New Roman" w:cs="Times New Roman"/>
                <w:color w:val="000000" w:themeColor="text1"/>
                <w:sz w:val="20"/>
                <w:szCs w:val="20"/>
                <w:lang w:val="en-GB"/>
              </w:rPr>
              <w:t xml:space="preserve">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w:t>
            </w:r>
            <w:r w:rsidRPr="00355AF5">
              <w:rPr>
                <w:rFonts w:ascii="Times New Roman" w:eastAsia="Cambria" w:hAnsi="Times New Roman" w:cs="Times New Roman"/>
                <w:color w:val="000000" w:themeColor="text1"/>
                <w:spacing w:val="-2"/>
                <w:w w:val="95"/>
                <w:sz w:val="20"/>
                <w:szCs w:val="20"/>
                <w:lang w:val="en-GB"/>
              </w:rPr>
              <w:t xml:space="preserve">instrument that is eligible </w:t>
            </w:r>
            <w:r w:rsidR="00E91334" w:rsidRPr="00355AF5">
              <w:rPr>
                <w:rFonts w:ascii="Times New Roman" w:eastAsia="Cambria" w:hAnsi="Times New Roman" w:cs="Times New Roman"/>
                <w:color w:val="000000" w:themeColor="text1"/>
                <w:spacing w:val="-2"/>
                <w:w w:val="95"/>
                <w:sz w:val="20"/>
                <w:szCs w:val="20"/>
                <w:lang w:val="en-GB"/>
              </w:rPr>
              <w:t xml:space="preserve">for the purposes of meeting the requirement </w:t>
            </w:r>
            <w:r w:rsidR="00D02012">
              <w:rPr>
                <w:rFonts w:ascii="Times New Roman" w:eastAsia="Cambria" w:hAnsi="Times New Roman" w:cs="Times New Roman"/>
                <w:color w:val="000000" w:themeColor="text1"/>
                <w:spacing w:val="-2"/>
                <w:w w:val="95"/>
                <w:sz w:val="20"/>
                <w:szCs w:val="20"/>
                <w:lang w:val="en-GB"/>
              </w:rPr>
              <w:t>set out in</w:t>
            </w:r>
            <w:r w:rsidR="00E91334" w:rsidRPr="00355AF5">
              <w:rPr>
                <w:rFonts w:ascii="Times New Roman" w:eastAsia="Cambria" w:hAnsi="Times New Roman" w:cs="Times New Roman"/>
                <w:color w:val="000000" w:themeColor="text1"/>
                <w:spacing w:val="-2"/>
                <w:w w:val="95"/>
                <w:sz w:val="20"/>
                <w:szCs w:val="20"/>
                <w:lang w:val="en-GB"/>
              </w:rPr>
              <w:t xml:space="preserve"> Article 45 of </w:t>
            </w:r>
            <w:r w:rsidR="00E91334" w:rsidRPr="00355AF5">
              <w:rPr>
                <w:rFonts w:ascii="Times New Roman" w:hAnsi="Times New Roman" w:cs="Times New Roman"/>
                <w:color w:val="000000" w:themeColor="text1"/>
                <w:spacing w:val="-2"/>
                <w:w w:val="95"/>
                <w:sz w:val="20"/>
                <w:szCs w:val="20"/>
                <w:lang w:val="en-GB"/>
              </w:rPr>
              <w:t>Directive 2014/59/EU</w:t>
            </w:r>
            <w:r w:rsidR="00E91334" w:rsidRPr="00355AF5">
              <w:rPr>
                <w:rFonts w:ascii="Times New Roman" w:eastAsia="Cambria" w:hAnsi="Times New Roman" w:cs="Times New Roman"/>
                <w:color w:val="000000" w:themeColor="text1"/>
                <w:spacing w:val="-2"/>
                <w:w w:val="95"/>
                <w:sz w:val="20"/>
                <w:szCs w:val="20"/>
                <w:lang w:val="en-GB"/>
              </w:rPr>
              <w:t xml:space="preserve"> </w:t>
            </w:r>
            <w:r w:rsidRPr="00355AF5">
              <w:rPr>
                <w:rFonts w:ascii="Times New Roman" w:eastAsia="Cambria" w:hAnsi="Times New Roman" w:cs="Times New Roman"/>
                <w:color w:val="000000" w:themeColor="text1"/>
                <w:spacing w:val="-2"/>
                <w:w w:val="95"/>
                <w:sz w:val="20"/>
                <w:szCs w:val="20"/>
                <w:lang w:val="en-GB"/>
              </w:rPr>
              <w:t xml:space="preserve">but is not captured in rows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320 and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340 to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4(1)</w:t>
            </w:r>
            <w:r w:rsidR="00470D62">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(118)</w:t>
            </w:r>
            <w:r w:rsidR="00470D6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470D62">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instruments ranking pari passu with ordinary shares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own funds in the form of instruments other than capital instruments/share capital, but ranking pari passu with this category</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w:t>
            </w:r>
            <w:r w:rsidRPr="00D92B3C">
              <w:rPr>
                <w:rFonts w:ascii="Times New Roman" w:eastAsia="Cambria" w:hAnsi="Times New Roman" w:cs="Times New Roman"/>
                <w:color w:val="000000" w:themeColor="text1"/>
                <w:spacing w:val="-2"/>
                <w:w w:val="95"/>
                <w:sz w:val="20"/>
                <w:szCs w:val="20"/>
                <w:lang w:val="en-GB"/>
              </w:rPr>
              <w:lastRenderedPageBreak/>
              <w:t xml:space="preserve">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334 ‘Sum of net liability positions taking into account prudential netting rules'.</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3" w:name="_Toc492542323"/>
      <w:bookmarkStart w:id="14" w:name="_Toc509909041"/>
      <w:r w:rsidRPr="00D92B3C">
        <w:rPr>
          <w:rFonts w:ascii="Times New Roman" w:hAnsi="Times New Roman" w:cs="Times New Roman"/>
          <w:szCs w:val="20"/>
        </w:rPr>
        <w:lastRenderedPageBreak/>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3"/>
      <w:bookmarkEnd w:id="14"/>
    </w:p>
    <w:p w14:paraId="1EB4E523" w14:textId="77777777" w:rsidR="00F73F97" w:rsidRPr="00D92B3C" w:rsidRDefault="00F73F97" w:rsidP="00EC261B">
      <w:pPr>
        <w:pStyle w:val="Instructionsberschrift3"/>
        <w:rPr>
          <w:lang w:val="en-GB"/>
        </w:rPr>
      </w:pPr>
      <w:r w:rsidRPr="00D92B3C">
        <w:rPr>
          <w:lang w:val="en-GB"/>
        </w:rPr>
        <w:t>General remarks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 xml:space="preserve">requirements for an entity or </w:t>
      </w:r>
      <w:r w:rsidR="008978CF">
        <w:rPr>
          <w:rFonts w:ascii="Times New Roman" w:hAnsi="Times New Roman" w:cs="Times New Roman"/>
          <w:sz w:val="20"/>
          <w:szCs w:val="20"/>
          <w:lang w:val="en-GB"/>
        </w:rPr>
        <w:t xml:space="preserve">a </w:t>
      </w:r>
      <w:r w:rsidRPr="00D92B3C">
        <w:rPr>
          <w:rFonts w:ascii="Times New Roman" w:hAnsi="Times New Roman" w:cs="Times New Roman"/>
          <w:sz w:val="20"/>
          <w:szCs w:val="20"/>
          <w:lang w:val="en-GB"/>
        </w:rPr>
        <w:t>group.</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14:paraId="4CE17C26"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lang w:val="en-GB"/>
              </w:rPr>
            </w:pPr>
            <w:r w:rsidRPr="00690D96">
              <w:rPr>
                <w:rFonts w:ascii="Times New Roman" w:hAnsi="Times New Roman" w:cs="Times New Roman"/>
                <w:color w:val="000000" w:themeColor="text1"/>
                <w:sz w:val="20"/>
                <w:szCs w:val="20"/>
                <w:lang w:val="en-GB"/>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lang w:val="en-GB"/>
              </w:rPr>
            </w:pPr>
            <w:r w:rsidRPr="00690D96">
              <w:rPr>
                <w:rFonts w:ascii="Times New Roman" w:hAnsi="Times New Roman" w:cs="Times New Roman"/>
                <w:b/>
                <w:bCs/>
                <w:color w:val="000000" w:themeColor="text1"/>
                <w:sz w:val="20"/>
                <w:szCs w:val="20"/>
                <w:lang w:val="en-GB"/>
              </w:rPr>
              <w:t>Total exposure measure</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sidRPr="00BF16D7">
              <w:rPr>
                <w:rFonts w:ascii="Times New Roman" w:eastAsia="Cambria" w:hAnsi="Times New Roman" w:cs="Times New Roman"/>
                <w:color w:val="000000" w:themeColor="text1"/>
                <w:spacing w:val="-2"/>
                <w:w w:val="95"/>
                <w:sz w:val="20"/>
                <w:szCs w:val="20"/>
                <w:lang w:val="en-GB"/>
              </w:rPr>
              <w:t>Article 429(4) of Regulation (EU) No 575/201</w:t>
            </w:r>
            <w:r w:rsidR="003C7C1D">
              <w:rPr>
                <w:rFonts w:ascii="Times New Roman" w:eastAsia="Cambria" w:hAnsi="Times New Roman" w:cs="Times New Roman"/>
                <w:color w:val="000000" w:themeColor="text1"/>
                <w:spacing w:val="-2"/>
                <w:w w:val="95"/>
                <w:sz w:val="20"/>
                <w:szCs w:val="20"/>
                <w:lang w:val="en-GB"/>
              </w:rPr>
              <w:t>3</w:t>
            </w:r>
            <w:r w:rsidR="0002300D">
              <w:rPr>
                <w:rFonts w:ascii="Times New Roman" w:eastAsia="Cambria" w:hAnsi="Times New Roman" w:cs="Times New Roman"/>
                <w:color w:val="000000" w:themeColor="text1"/>
                <w:spacing w:val="-2"/>
                <w:w w:val="95"/>
                <w:sz w:val="20"/>
                <w:szCs w:val="20"/>
                <w:lang w:val="en-GB"/>
              </w:rPr>
              <w:t>.</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w:t>
            </w:r>
            <w:r w:rsidR="008978CF">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 xml:space="preserve">everage ratio requirement </w:t>
            </w:r>
            <w:r w:rsidR="001E7C5B">
              <w:rPr>
                <w:rFonts w:ascii="Times New Roman" w:eastAsia="Cambria" w:hAnsi="Times New Roman" w:cs="Times New Roman"/>
                <w:color w:val="000000" w:themeColor="text1"/>
                <w:spacing w:val="-2"/>
                <w:w w:val="95"/>
                <w:sz w:val="20"/>
                <w:szCs w:val="20"/>
                <w:lang w:val="en-GB"/>
              </w:rPr>
              <w:t>in accordance with Article 92(1), point (d)</w:t>
            </w:r>
            <w:r w:rsidR="008978CF">
              <w:rPr>
                <w:rFonts w:ascii="Times New Roman" w:eastAsia="Cambria" w:hAnsi="Times New Roman" w:cs="Times New Roman"/>
                <w:color w:val="000000" w:themeColor="text1"/>
                <w:spacing w:val="-2"/>
                <w:w w:val="95"/>
                <w:sz w:val="20"/>
                <w:szCs w:val="20"/>
                <w:lang w:val="en-GB"/>
              </w:rPr>
              <w:t>,</w:t>
            </w:r>
            <w:r w:rsidR="001E7C5B">
              <w:rPr>
                <w:rFonts w:ascii="Times New Roman" w:eastAsia="Cambria" w:hAnsi="Times New Roman" w:cs="Times New Roman"/>
                <w:color w:val="000000" w:themeColor="text1"/>
                <w:spacing w:val="-2"/>
                <w:w w:val="95"/>
                <w:sz w:val="20"/>
                <w:szCs w:val="20"/>
                <w:lang w:val="en-GB"/>
              </w:rPr>
              <w:t xml:space="preserve"> of Regulation (EU) No 575/2013 </w:t>
            </w:r>
            <w:r w:rsidR="00FE3E96" w:rsidRPr="00D92B3C">
              <w:rPr>
                <w:rFonts w:ascii="Times New Roman" w:eastAsia="Cambria" w:hAnsi="Times New Roman" w:cs="Times New Roman"/>
                <w:color w:val="000000" w:themeColor="text1"/>
                <w:spacing w:val="-2"/>
                <w:w w:val="95"/>
                <w:sz w:val="20"/>
                <w:szCs w:val="20"/>
                <w:lang w:val="en-GB"/>
              </w:rPr>
              <w:t>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total exposure</w:t>
            </w:r>
            <w:r w:rsidR="001E7C5B">
              <w:rPr>
                <w:rFonts w:ascii="Times New Roman" w:eastAsia="Cambria" w:hAnsi="Times New Roman" w:cs="Times New Roman"/>
                <w:color w:val="000000" w:themeColor="text1"/>
                <w:spacing w:val="-2"/>
                <w:w w:val="95"/>
                <w:sz w:val="20"/>
                <w:szCs w:val="20"/>
                <w:lang w:val="en-GB"/>
              </w:rPr>
              <w:t xml:space="preserve"> measure</w:t>
            </w:r>
            <w:r w:rsidR="00FE3E96" w:rsidRPr="00D92B3C">
              <w:rPr>
                <w:rFonts w:ascii="Times New Roman" w:eastAsia="Cambria" w:hAnsi="Times New Roman" w:cs="Times New Roman"/>
                <w:color w:val="000000" w:themeColor="text1"/>
                <w:spacing w:val="-2"/>
                <w:w w:val="95"/>
                <w:sz w:val="20"/>
                <w:szCs w:val="20"/>
                <w:lang w:val="en-GB"/>
              </w:rPr>
              <w:t xml:space="preserve">. </w:t>
            </w:r>
            <w:r w:rsidR="001E7C5B">
              <w:rPr>
                <w:rFonts w:ascii="Times New Roman" w:eastAsia="Cambria" w:hAnsi="Times New Roman" w:cs="Times New Roman"/>
                <w:color w:val="000000" w:themeColor="text1"/>
                <w:spacing w:val="-2"/>
                <w:w w:val="95"/>
                <w:sz w:val="20"/>
                <w:szCs w:val="20"/>
                <w:lang w:val="en-GB"/>
              </w:rPr>
              <w:t>Reporting entities</w:t>
            </w:r>
            <w:r w:rsidR="001E7C5B" w:rsidRPr="001E7C5B">
              <w:rPr>
                <w:rFonts w:ascii="Times New Roman" w:eastAsia="Cambria" w:hAnsi="Times New Roman" w:cs="Times New Roman"/>
                <w:color w:val="000000" w:themeColor="text1"/>
                <w:spacing w:val="-2"/>
                <w:w w:val="95"/>
                <w:sz w:val="20"/>
                <w:szCs w:val="20"/>
                <w:lang w:val="en-GB"/>
              </w:rPr>
              <w:t xml:space="preserve"> that exclude exposures to the </w:t>
            </w:r>
            <w:r w:rsidR="001E7C5B">
              <w:rPr>
                <w:rFonts w:ascii="Times New Roman" w:eastAsia="Cambria" w:hAnsi="Times New Roman" w:cs="Times New Roman"/>
                <w:color w:val="000000" w:themeColor="text1"/>
                <w:spacing w:val="-2"/>
                <w:w w:val="95"/>
                <w:sz w:val="20"/>
                <w:szCs w:val="20"/>
                <w:lang w:val="en-GB"/>
              </w:rPr>
              <w:t xml:space="preserve">institution’s </w:t>
            </w:r>
            <w:r w:rsidR="001E7C5B" w:rsidRPr="001E7C5B">
              <w:rPr>
                <w:rFonts w:ascii="Times New Roman" w:eastAsia="Cambria" w:hAnsi="Times New Roman" w:cs="Times New Roman"/>
                <w:color w:val="000000" w:themeColor="text1"/>
                <w:spacing w:val="-2"/>
                <w:w w:val="95"/>
                <w:sz w:val="20"/>
                <w:szCs w:val="20"/>
                <w:lang w:val="en-GB"/>
              </w:rPr>
              <w:t>central bank as referred to in Article 429a</w:t>
            </w:r>
            <w:r w:rsidR="001E7C5B">
              <w:rPr>
                <w:rFonts w:ascii="Times New Roman" w:eastAsia="Cambria" w:hAnsi="Times New Roman" w:cs="Times New Roman"/>
                <w:color w:val="000000" w:themeColor="text1"/>
                <w:spacing w:val="-2"/>
                <w:w w:val="95"/>
                <w:sz w:val="20"/>
                <w:szCs w:val="20"/>
                <w:lang w:val="en-GB"/>
              </w:rPr>
              <w:t>(1), point (n)</w:t>
            </w:r>
            <w:r w:rsidR="008978CF">
              <w:rPr>
                <w:rFonts w:ascii="Times New Roman" w:eastAsia="Cambria" w:hAnsi="Times New Roman" w:cs="Times New Roman"/>
                <w:color w:val="000000" w:themeColor="text1"/>
                <w:spacing w:val="-2"/>
                <w:w w:val="95"/>
                <w:sz w:val="20"/>
                <w:szCs w:val="20"/>
                <w:lang w:val="en-GB"/>
              </w:rPr>
              <w:t>,</w:t>
            </w:r>
            <w:r w:rsidR="001E7C5B">
              <w:rPr>
                <w:rFonts w:ascii="Times New Roman" w:eastAsia="Cambria" w:hAnsi="Times New Roman" w:cs="Times New Roman"/>
                <w:color w:val="000000" w:themeColor="text1"/>
                <w:spacing w:val="-2"/>
                <w:w w:val="95"/>
                <w:sz w:val="20"/>
                <w:szCs w:val="20"/>
                <w:lang w:val="en-GB"/>
              </w:rPr>
              <w:t xml:space="preserve"> of Regulation (EU) No 575/2013</w:t>
            </w:r>
            <w:r w:rsidR="001E7C5B" w:rsidRPr="001E7C5B">
              <w:rPr>
                <w:rFonts w:ascii="Times New Roman" w:eastAsia="Cambria" w:hAnsi="Times New Roman" w:cs="Times New Roman"/>
                <w:color w:val="000000" w:themeColor="text1"/>
                <w:spacing w:val="-2"/>
                <w:w w:val="95"/>
                <w:sz w:val="20"/>
                <w:szCs w:val="20"/>
                <w:lang w:val="en-GB"/>
              </w:rPr>
              <w:t xml:space="preserve"> shall report the </w:t>
            </w:r>
            <w:r w:rsidR="008978CF">
              <w:rPr>
                <w:rFonts w:ascii="Times New Roman" w:eastAsia="Cambria" w:hAnsi="Times New Roman" w:cs="Times New Roman"/>
                <w:color w:val="000000" w:themeColor="text1"/>
                <w:spacing w:val="-2"/>
                <w:w w:val="95"/>
                <w:sz w:val="20"/>
                <w:szCs w:val="20"/>
                <w:lang w:val="en-GB"/>
              </w:rPr>
              <w:t>a</w:t>
            </w:r>
            <w:r w:rsidR="001E7C5B" w:rsidRPr="001E7C5B">
              <w:rPr>
                <w:rFonts w:ascii="Times New Roman" w:eastAsia="Cambria" w:hAnsi="Times New Roman" w:cs="Times New Roman"/>
                <w:color w:val="000000" w:themeColor="text1"/>
                <w:spacing w:val="-2"/>
                <w:w w:val="95"/>
                <w:sz w:val="20"/>
                <w:szCs w:val="20"/>
                <w:lang w:val="en-GB"/>
              </w:rPr>
              <w:t xml:space="preserve">djusted </w:t>
            </w:r>
            <w:r w:rsidR="008978CF">
              <w:rPr>
                <w:rFonts w:ascii="Times New Roman" w:eastAsia="Cambria" w:hAnsi="Times New Roman" w:cs="Times New Roman"/>
                <w:color w:val="000000" w:themeColor="text1"/>
                <w:spacing w:val="-2"/>
                <w:w w:val="95"/>
                <w:sz w:val="20"/>
                <w:szCs w:val="20"/>
                <w:lang w:val="en-GB"/>
              </w:rPr>
              <w:t>l</w:t>
            </w:r>
            <w:r w:rsidR="001E7C5B" w:rsidRPr="001E7C5B">
              <w:rPr>
                <w:rFonts w:ascii="Times New Roman" w:eastAsia="Cambria" w:hAnsi="Times New Roman" w:cs="Times New Roman"/>
                <w:color w:val="000000" w:themeColor="text1"/>
                <w:spacing w:val="-2"/>
                <w:w w:val="95"/>
                <w:sz w:val="20"/>
                <w:szCs w:val="20"/>
                <w:lang w:val="en-GB"/>
              </w:rPr>
              <w:t xml:space="preserve">everage </w:t>
            </w:r>
            <w:r w:rsidR="008978CF">
              <w:rPr>
                <w:rFonts w:ascii="Times New Roman" w:eastAsia="Cambria" w:hAnsi="Times New Roman" w:cs="Times New Roman"/>
                <w:color w:val="000000" w:themeColor="text1"/>
                <w:spacing w:val="-2"/>
                <w:w w:val="95"/>
                <w:sz w:val="20"/>
                <w:szCs w:val="20"/>
                <w:lang w:val="en-GB"/>
              </w:rPr>
              <w:t>r</w:t>
            </w:r>
            <w:r w:rsidR="001E7C5B" w:rsidRPr="001E7C5B">
              <w:rPr>
                <w:rFonts w:ascii="Times New Roman" w:eastAsia="Cambria" w:hAnsi="Times New Roman" w:cs="Times New Roman"/>
                <w:color w:val="000000" w:themeColor="text1"/>
                <w:spacing w:val="-2"/>
                <w:w w:val="95"/>
                <w:sz w:val="20"/>
                <w:szCs w:val="20"/>
                <w:lang w:val="en-GB"/>
              </w:rPr>
              <w:t xml:space="preserve">atio requirement </w:t>
            </w:r>
            <w:r w:rsidR="001E7C5B">
              <w:rPr>
                <w:rFonts w:ascii="Times New Roman" w:eastAsia="Cambria" w:hAnsi="Times New Roman" w:cs="Times New Roman"/>
                <w:color w:val="000000" w:themeColor="text1"/>
                <w:spacing w:val="-2"/>
                <w:w w:val="95"/>
                <w:sz w:val="20"/>
                <w:szCs w:val="20"/>
                <w:lang w:val="en-GB"/>
              </w:rPr>
              <w:t>in accordance with</w:t>
            </w:r>
            <w:r w:rsidR="001E7C5B" w:rsidRPr="001E7C5B">
              <w:rPr>
                <w:rFonts w:ascii="Times New Roman" w:eastAsia="Cambria" w:hAnsi="Times New Roman" w:cs="Times New Roman"/>
                <w:color w:val="000000" w:themeColor="text1"/>
                <w:spacing w:val="-2"/>
                <w:w w:val="95"/>
                <w:sz w:val="20"/>
                <w:szCs w:val="20"/>
                <w:lang w:val="en-GB"/>
              </w:rPr>
              <w:t xml:space="preserve"> Article 429a(7) </w:t>
            </w:r>
            <w:r w:rsidR="001E7C5B">
              <w:rPr>
                <w:rFonts w:ascii="Times New Roman" w:eastAsia="Cambria" w:hAnsi="Times New Roman" w:cs="Times New Roman"/>
                <w:color w:val="000000" w:themeColor="text1"/>
                <w:spacing w:val="-2"/>
                <w:w w:val="95"/>
                <w:sz w:val="20"/>
                <w:szCs w:val="20"/>
                <w:lang w:val="en-GB"/>
              </w:rPr>
              <w:t xml:space="preserve">of that Regulation. </w:t>
            </w:r>
            <w:r w:rsidR="00FE3E96" w:rsidRPr="00D92B3C">
              <w:rPr>
                <w:rFonts w:ascii="Times New Roman" w:eastAsia="Cambria" w:hAnsi="Times New Roman" w:cs="Times New Roman"/>
                <w:color w:val="000000" w:themeColor="text1"/>
                <w:spacing w:val="-2"/>
                <w:w w:val="95"/>
                <w:sz w:val="20"/>
                <w:szCs w:val="20"/>
                <w:lang w:val="en-GB"/>
              </w:rPr>
              <w:t xml:space="preserve">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130;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the total capital ratio (8%) as specified in Article 92(1)</w:t>
            </w:r>
            <w:r w:rsidR="007A0C7E">
              <w:rPr>
                <w:rFonts w:ascii="Times New Roman" w:hAnsi="Times New Roman" w:cs="Times New Roman"/>
                <w:color w:val="000000" w:themeColor="text1"/>
                <w:sz w:val="20"/>
                <w:szCs w:val="20"/>
                <w:lang w:val="en-GB"/>
              </w:rPr>
              <w:t>, point </w:t>
            </w:r>
            <w:r w:rsidRPr="00D92B3C">
              <w:rPr>
                <w:rFonts w:ascii="Times New Roman" w:hAnsi="Times New Roman" w:cs="Times New Roman"/>
                <w:color w:val="000000" w:themeColor="text1"/>
                <w:sz w:val="20"/>
                <w:szCs w:val="20"/>
                <w:lang w:val="en-GB"/>
              </w:rPr>
              <w:t>(c)</w:t>
            </w:r>
            <w:r w:rsidR="007A0C7E">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additional own funds requirements (Pillar 2 Requirements – P2R) ratio determined in accordance with </w:t>
            </w:r>
            <w:r w:rsidR="00E21D99">
              <w:rPr>
                <w:rFonts w:ascii="Times New Roman" w:hAnsi="Times New Roman" w:cs="Times New Roman"/>
                <w:color w:val="000000" w:themeColor="text1"/>
                <w:sz w:val="20"/>
                <w:szCs w:val="20"/>
                <w:lang w:val="en-GB"/>
              </w:rPr>
              <w:t>Article 104a of Directive 2013/36/EU</w:t>
            </w:r>
            <w:r w:rsidR="00AA6B9C">
              <w:rPr>
                <w:rFonts w:ascii="Times New Roman" w:hAnsi="Times New Roman" w:cs="Times New Roman"/>
                <w:color w:val="000000" w:themeColor="text1"/>
                <w:sz w:val="20"/>
                <w:szCs w:val="20"/>
                <w:lang w:val="en-GB"/>
              </w:rPr>
              <w:t xml:space="preserve"> and the EBA Guidelines on common procedures and methodologies for the supervisory review and evaluation process and supervisory stress testing</w:t>
            </w:r>
            <w:r w:rsidR="00150D13">
              <w:rPr>
                <w:rFonts w:ascii="Times New Roman" w:hAnsi="Times New Roman" w:cs="Times New Roman"/>
                <w:color w:val="000000" w:themeColor="text1"/>
                <w:sz w:val="20"/>
                <w:szCs w:val="20"/>
                <w:lang w:val="en-GB"/>
              </w:rPr>
              <w:t xml:space="preserve"> </w:t>
            </w:r>
            <w:r w:rsidR="006B7C3C">
              <w:rPr>
                <w:rFonts w:ascii="Times New Roman" w:hAnsi="Times New Roman" w:cs="Times New Roman"/>
                <w:color w:val="000000" w:themeColor="text1"/>
                <w:sz w:val="20"/>
                <w:szCs w:val="20"/>
                <w:lang w:val="en-GB"/>
              </w:rPr>
              <w:t xml:space="preserve">– consolidated version </w:t>
            </w:r>
            <w:r w:rsidR="00150D13">
              <w:rPr>
                <w:rFonts w:ascii="Times New Roman" w:hAnsi="Times New Roman" w:cs="Times New Roman"/>
                <w:color w:val="000000" w:themeColor="text1"/>
                <w:sz w:val="20"/>
                <w:szCs w:val="20"/>
                <w:lang w:val="en-GB"/>
              </w:rPr>
              <w:t>(EBA/GL/2014/13</w:t>
            </w:r>
            <w:r w:rsidR="00B45C8E">
              <w:rPr>
                <w:rFonts w:ascii="Times New Roman" w:hAnsi="Times New Roman" w:cs="Times New Roman"/>
                <w:color w:val="000000" w:themeColor="text1"/>
                <w:sz w:val="20"/>
                <w:szCs w:val="20"/>
                <w:lang w:val="en-GB"/>
              </w:rPr>
              <w:t>)</w:t>
            </w:r>
            <w:r w:rsidR="00F11868">
              <w:rPr>
                <w:rFonts w:ascii="Times New Roman" w:hAnsi="Times New Roman" w:cs="Times New Roman"/>
                <w:color w:val="000000" w:themeColor="text1"/>
                <w:sz w:val="20"/>
                <w:szCs w:val="20"/>
                <w:lang w:val="en-GB"/>
              </w:rPr>
              <w:t>.</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140;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(i) and (ii) as follows:</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w:t>
            </w:r>
            <w:r w:rsidRPr="00D92B3C">
              <w:rPr>
                <w:rFonts w:ascii="Times New Roman" w:hAnsi="Times New Roman" w:cs="Times New Roman"/>
                <w:bCs/>
                <w:color w:val="000000" w:themeColor="text1"/>
                <w:sz w:val="20"/>
                <w:szCs w:val="20"/>
                <w:lang w:val="en-GB"/>
              </w:rPr>
              <w:tab/>
              <w:t xml:space="preserve">the CET1 capital ratio (4.5%) as </w:t>
            </w:r>
            <w:r w:rsidR="00A7364C">
              <w:rPr>
                <w:rFonts w:ascii="Times New Roman" w:hAnsi="Times New Roman" w:cs="Times New Roman"/>
                <w:bCs/>
                <w:color w:val="000000" w:themeColor="text1"/>
                <w:sz w:val="20"/>
                <w:szCs w:val="20"/>
                <w:lang w:val="en-GB"/>
              </w:rPr>
              <w:t>laid down</w:t>
            </w:r>
            <w:r w:rsidR="00E761F4">
              <w:rPr>
                <w:rFonts w:ascii="Times New Roman" w:hAnsi="Times New Roman" w:cs="Times New Roman"/>
                <w:bCs/>
                <w:color w:val="000000" w:themeColor="text1"/>
                <w:sz w:val="20"/>
                <w:szCs w:val="20"/>
                <w:lang w:val="en-GB"/>
              </w:rPr>
              <w:t xml:space="preserve"> in</w:t>
            </w:r>
            <w:r w:rsidR="00E761F4" w:rsidRPr="00D92B3C">
              <w:rPr>
                <w:rFonts w:ascii="Times New Roman" w:hAnsi="Times New Roman" w:cs="Times New Roman"/>
                <w:bCs/>
                <w:color w:val="000000" w:themeColor="text1"/>
                <w:sz w:val="20"/>
                <w:szCs w:val="20"/>
                <w:lang w:val="en-GB"/>
              </w:rPr>
              <w:t xml:space="preserve"> </w:t>
            </w:r>
            <w:r w:rsidRPr="00D92B3C">
              <w:rPr>
                <w:rFonts w:ascii="Times New Roman" w:hAnsi="Times New Roman" w:cs="Times New Roman"/>
                <w:bCs/>
                <w:color w:val="000000" w:themeColor="text1"/>
                <w:sz w:val="20"/>
                <w:szCs w:val="20"/>
                <w:lang w:val="en-GB"/>
              </w:rPr>
              <w:t>Article 92(1)</w:t>
            </w:r>
            <w:r w:rsidR="00E761F4">
              <w:rPr>
                <w:rFonts w:ascii="Times New Roman" w:hAnsi="Times New Roman" w:cs="Times New Roman"/>
                <w:bCs/>
                <w:color w:val="000000" w:themeColor="text1"/>
                <w:sz w:val="20"/>
                <w:szCs w:val="20"/>
                <w:lang w:val="en-GB"/>
              </w:rPr>
              <w:t>, point </w:t>
            </w:r>
            <w:r w:rsidRPr="00D92B3C">
              <w:rPr>
                <w:rFonts w:ascii="Times New Roman" w:hAnsi="Times New Roman" w:cs="Times New Roman"/>
                <w:bCs/>
                <w:color w:val="000000" w:themeColor="text1"/>
                <w:sz w:val="20"/>
                <w:szCs w:val="20"/>
                <w:lang w:val="en-GB"/>
              </w:rPr>
              <w:t>(a)</w:t>
            </w:r>
            <w:r w:rsidR="00E761F4">
              <w:rPr>
                <w:rFonts w:ascii="Times New Roman" w:hAnsi="Times New Roman" w:cs="Times New Roman"/>
                <w:bCs/>
                <w:color w:val="000000" w:themeColor="text1"/>
                <w:sz w:val="20"/>
                <w:szCs w:val="20"/>
                <w:lang w:val="en-GB"/>
              </w:rPr>
              <w:t>,</w:t>
            </w:r>
            <w:r w:rsidRPr="00D92B3C">
              <w:rPr>
                <w:rFonts w:ascii="Times New Roman" w:hAnsi="Times New Roman" w:cs="Times New Roman"/>
                <w:bCs/>
                <w:color w:val="000000" w:themeColor="text1"/>
                <w:sz w:val="20"/>
                <w:szCs w:val="20"/>
                <w:lang w:val="en-GB"/>
              </w:rPr>
              <w:t xml:space="preserve"> of </w:t>
            </w:r>
            <w:r w:rsidR="00063EEC" w:rsidRPr="00D92B3C">
              <w:rPr>
                <w:rFonts w:ascii="Times New Roman" w:hAnsi="Times New Roman" w:cs="Times New Roman"/>
                <w:bCs/>
                <w:color w:val="000000" w:themeColor="text1"/>
                <w:sz w:val="20"/>
                <w:szCs w:val="20"/>
                <w:lang w:val="en-GB"/>
              </w:rPr>
              <w:t>Regulation (EU) No 575/2013</w:t>
            </w:r>
            <w:r w:rsidRPr="00D92B3C">
              <w:rPr>
                <w:rFonts w:ascii="Times New Roman" w:hAnsi="Times New Roman" w:cs="Times New Roman"/>
                <w:bCs/>
                <w:color w:val="000000" w:themeColor="text1"/>
                <w:sz w:val="20"/>
                <w:szCs w:val="20"/>
                <w:lang w:val="en-GB"/>
              </w:rPr>
              <w:t>;</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 xml:space="preserve">the part of the P2R ratio, referred to in point (ii) of row </w:t>
            </w:r>
            <w:r w:rsidR="00AA6B9C">
              <w:rPr>
                <w:rFonts w:ascii="Times New Roman" w:hAnsi="Times New Roman" w:cs="Times New Roman"/>
                <w:bCs/>
                <w:color w:val="000000" w:themeColor="text1"/>
                <w:sz w:val="20"/>
                <w:szCs w:val="20"/>
                <w:lang w:val="en-GB"/>
              </w:rPr>
              <w:t>0</w:t>
            </w:r>
            <w:r w:rsidR="000A3045">
              <w:rPr>
                <w:rFonts w:ascii="Times New Roman" w:hAnsi="Times New Roman" w:cs="Times New Roman"/>
                <w:bCs/>
                <w:color w:val="000000" w:themeColor="text1"/>
                <w:sz w:val="20"/>
                <w:szCs w:val="20"/>
                <w:lang w:val="en-GB"/>
              </w:rPr>
              <w:t>30</w:t>
            </w:r>
            <w:r w:rsidRPr="00D92B3C">
              <w:rPr>
                <w:rFonts w:ascii="Times New Roman" w:hAnsi="Times New Roman" w:cs="Times New Roman"/>
                <w:bCs/>
                <w:color w:val="000000" w:themeColor="text1"/>
                <w:sz w:val="20"/>
                <w:szCs w:val="20"/>
                <w:lang w:val="en-GB"/>
              </w:rPr>
              <w:t>0, which is required by the competent authority to be held in the form of CET1 capital.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(i) sh</w:t>
            </w:r>
            <w:r w:rsidR="00711413">
              <w:rPr>
                <w:rFonts w:ascii="Times New Roman" w:hAnsi="Times New Roman" w:cs="Times New Roman"/>
                <w:bCs/>
                <w:color w:val="000000" w:themeColor="text1"/>
                <w:sz w:val="20"/>
                <w:szCs w:val="20"/>
                <w:lang w:val="en-GB"/>
              </w:rPr>
              <w:t>all</w:t>
            </w:r>
            <w:r w:rsidRPr="00D92B3C">
              <w:rPr>
                <w:rFonts w:ascii="Times New Roman" w:hAnsi="Times New Roman" w:cs="Times New Roman"/>
                <w:bCs/>
                <w:color w:val="000000" w:themeColor="text1"/>
                <w:sz w:val="20"/>
                <w:szCs w:val="20"/>
                <w:lang w:val="en-GB"/>
              </w:rPr>
              <w:t xml:space="preserve"> be reported.</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150;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w:t>
            </w:r>
            <w:r w:rsidR="00A7364C">
              <w:rPr>
                <w:rFonts w:ascii="Times New Roman" w:hAnsi="Times New Roman" w:cs="Times New Roman"/>
                <w:bCs/>
                <w:color w:val="000000" w:themeColor="text1"/>
                <w:sz w:val="20"/>
                <w:szCs w:val="20"/>
                <w:lang w:val="en-GB"/>
              </w:rPr>
              <w:t>laid down</w:t>
            </w:r>
            <w:r w:rsidR="00E761F4">
              <w:rPr>
                <w:rFonts w:ascii="Times New Roman" w:hAnsi="Times New Roman" w:cs="Times New Roman"/>
                <w:color w:val="000000" w:themeColor="text1"/>
                <w:sz w:val="20"/>
                <w:szCs w:val="20"/>
                <w:lang w:val="en-GB"/>
              </w:rPr>
              <w:t xml:space="preserve"> in</w:t>
            </w:r>
            <w:r w:rsidR="00E761F4" w:rsidRPr="00D92B3C">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Article 92(1)</w:t>
            </w:r>
            <w:r w:rsidR="00E761F4">
              <w:rPr>
                <w:rFonts w:ascii="Times New Roman" w:hAnsi="Times New Roman" w:cs="Times New Roman"/>
                <w:color w:val="000000" w:themeColor="text1"/>
                <w:sz w:val="20"/>
                <w:szCs w:val="20"/>
                <w:lang w:val="en-GB"/>
              </w:rPr>
              <w:t>, point </w:t>
            </w:r>
            <w:r w:rsidRPr="00D92B3C">
              <w:rPr>
                <w:rFonts w:ascii="Times New Roman" w:hAnsi="Times New Roman" w:cs="Times New Roman"/>
                <w:color w:val="000000" w:themeColor="text1"/>
                <w:sz w:val="20"/>
                <w:szCs w:val="20"/>
                <w:lang w:val="en-GB"/>
              </w:rPr>
              <w:t>(b)</w:t>
            </w:r>
            <w:r w:rsidR="00E761F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the part of P2R ratio, referred to in point (ii) of row </w:t>
            </w:r>
            <w:r w:rsidR="00AA6B9C">
              <w:rPr>
                <w:rFonts w:ascii="Times New Roman" w:hAnsi="Times New Roman" w:cs="Times New Roman"/>
                <w:color w:val="000000" w:themeColor="text1"/>
                <w:sz w:val="20"/>
                <w:szCs w:val="20"/>
                <w:lang w:val="en-GB"/>
              </w:rPr>
              <w:t>0</w:t>
            </w:r>
            <w:r w:rsidR="000A3045">
              <w:rPr>
                <w:rFonts w:ascii="Times New Roman" w:hAnsi="Times New Roman" w:cs="Times New Roman"/>
                <w:color w:val="000000" w:themeColor="text1"/>
                <w:sz w:val="20"/>
                <w:szCs w:val="20"/>
                <w:lang w:val="en-GB"/>
              </w:rPr>
              <w:t>30</w:t>
            </w:r>
            <w:r w:rsidRPr="00D92B3C">
              <w:rPr>
                <w:rFonts w:ascii="Times New Roman" w:hAnsi="Times New Roman" w:cs="Times New Roman"/>
                <w:color w:val="000000" w:themeColor="text1"/>
                <w:sz w:val="20"/>
                <w:szCs w:val="20"/>
                <w:lang w:val="en-GB"/>
              </w:rPr>
              <w:t>0, which is required by the competent authority to be held in the form of Tier 1 capital.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6</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740;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(1)</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E761F4">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129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Pr>
                <w:rFonts w:ascii="Times New Roman" w:hAnsi="Times New Roman" w:cs="Times New Roman"/>
                <w:color w:val="000000" w:themeColor="text1"/>
                <w:sz w:val="20"/>
                <w:szCs w:val="20"/>
                <w:lang w:val="en-GB"/>
              </w:rPr>
              <w:t>In accordance with</w:t>
            </w:r>
            <w:r w:rsidR="00413A0F" w:rsidRPr="00D92B3C">
              <w:rPr>
                <w:rFonts w:ascii="Times New Roman" w:hAnsi="Times New Roman" w:cs="Times New Roman"/>
                <w:color w:val="000000" w:themeColor="text1"/>
                <w:sz w:val="20"/>
                <w:szCs w:val="20"/>
                <w:lang w:val="en-GB"/>
              </w:rPr>
              <w:t xml:space="preserve"> Article 129(1)</w:t>
            </w:r>
            <w:r>
              <w:rPr>
                <w:rFonts w:ascii="Times New Roman" w:hAnsi="Times New Roman" w:cs="Times New Roman"/>
                <w:color w:val="000000" w:themeColor="text1"/>
                <w:sz w:val="20"/>
                <w:szCs w:val="20"/>
                <w:lang w:val="en-GB"/>
              </w:rPr>
              <w:t xml:space="preserve"> of that Directive,</w:t>
            </w:r>
            <w:r w:rsidR="00413A0F" w:rsidRPr="00D92B3C">
              <w:rPr>
                <w:rFonts w:ascii="Times New Roman" w:hAnsi="Times New Roman" w:cs="Times New Roman"/>
                <w:color w:val="000000" w:themeColor="text1"/>
                <w:sz w:val="20"/>
                <w:szCs w:val="20"/>
                <w:lang w:val="en-GB"/>
              </w:rPr>
              <w:t xml:space="preserve"> the capital conservation buffer is an additional amount of Common Equity Tier 1 capital. Due to the fact that the capital conservation buffer rate of 2.5% is stable, an amount shall be reported in this cell.</w:t>
            </w:r>
          </w:p>
          <w:p w14:paraId="09409E4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14:paraId="76B66FEC"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Article 458(2)</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 xml:space="preserve"> point </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d</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(iv)</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 xml:space="preserve"> of </w:t>
            </w:r>
            <w:r w:rsidR="00063EEC" w:rsidRPr="00D92B3C">
              <w:rPr>
                <w:rStyle w:val="InstructionsTabelleberschrift"/>
                <w:rFonts w:ascii="Times New Roman" w:hAnsi="Times New Roman"/>
                <w:b w:val="0"/>
                <w:color w:val="000000" w:themeColor="text1"/>
                <w:szCs w:val="20"/>
                <w:u w:val="none"/>
                <w:lang w:val="en-GB"/>
              </w:rPr>
              <w:t>Regulation (EU) No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21EAE">
              <w:rPr>
                <w:rFonts w:ascii="Times New Roman" w:eastAsia="Cambria" w:hAnsi="Times New Roman" w:cs="Times New Roman"/>
                <w:color w:val="000000" w:themeColor="text1"/>
                <w:spacing w:val="-2"/>
                <w:w w:val="95"/>
                <w:sz w:val="20"/>
                <w:szCs w:val="20"/>
              </w:rPr>
              <w:t>Article 128</w:t>
            </w:r>
            <w:r w:rsidR="00E761F4" w:rsidRPr="00C21EAE">
              <w:rPr>
                <w:rFonts w:ascii="Times New Roman" w:eastAsia="Cambria" w:hAnsi="Times New Roman" w:cs="Times New Roman"/>
                <w:color w:val="000000" w:themeColor="text1"/>
                <w:spacing w:val="-2"/>
                <w:w w:val="95"/>
                <w:sz w:val="20"/>
                <w:szCs w:val="20"/>
              </w:rPr>
              <w:t>,</w:t>
            </w:r>
            <w:r w:rsidRPr="00C21EAE">
              <w:rPr>
                <w:rFonts w:ascii="Times New Roman" w:eastAsia="Cambria" w:hAnsi="Times New Roman" w:cs="Times New Roman"/>
                <w:color w:val="000000" w:themeColor="text1"/>
                <w:spacing w:val="-2"/>
                <w:w w:val="95"/>
                <w:sz w:val="20"/>
                <w:szCs w:val="20"/>
              </w:rPr>
              <w:t xml:space="preserve"> point (2)</w:t>
            </w:r>
            <w:r w:rsidR="00A7364C">
              <w:rPr>
                <w:rFonts w:ascii="Times New Roman" w:eastAsia="Cambria" w:hAnsi="Times New Roman" w:cs="Times New Roman"/>
                <w:color w:val="000000" w:themeColor="text1"/>
                <w:spacing w:val="-2"/>
                <w:w w:val="95"/>
                <w:sz w:val="20"/>
                <w:szCs w:val="20"/>
              </w:rPr>
              <w:t>, and</w:t>
            </w:r>
            <w:r w:rsidRPr="00C21EAE">
              <w:rPr>
                <w:rFonts w:ascii="Times New Roman" w:eastAsia="Cambria" w:hAnsi="Times New Roman" w:cs="Times New Roman"/>
                <w:color w:val="000000" w:themeColor="text1"/>
                <w:spacing w:val="-2"/>
                <w:w w:val="95"/>
                <w:sz w:val="20"/>
                <w:szCs w:val="20"/>
              </w:rPr>
              <w:t xml:space="preserve"> </w:t>
            </w:r>
            <w:r w:rsidR="00E761F4" w:rsidRPr="00C21EAE">
              <w:rPr>
                <w:rFonts w:ascii="Times New Roman" w:eastAsia="Cambria" w:hAnsi="Times New Roman" w:cs="Times New Roman"/>
                <w:color w:val="000000" w:themeColor="text1"/>
                <w:spacing w:val="-2"/>
                <w:w w:val="95"/>
                <w:sz w:val="20"/>
                <w:szCs w:val="20"/>
              </w:rPr>
              <w:t xml:space="preserve">Articles </w:t>
            </w:r>
            <w:r w:rsidRPr="00C21EAE">
              <w:rPr>
                <w:rFonts w:ascii="Times New Roman" w:eastAsia="Cambria" w:hAnsi="Times New Roman" w:cs="Times New Roman"/>
                <w:color w:val="000000" w:themeColor="text1"/>
                <w:spacing w:val="-2"/>
                <w:w w:val="95"/>
                <w:sz w:val="20"/>
                <w:szCs w:val="20"/>
              </w:rPr>
              <w:t>130</w:t>
            </w:r>
            <w:r w:rsidR="00E761F4" w:rsidRPr="00C21EAE">
              <w:rPr>
                <w:rFonts w:ascii="Times New Roman" w:eastAsia="Cambria" w:hAnsi="Times New Roman" w:cs="Times New Roman"/>
                <w:color w:val="000000" w:themeColor="text1"/>
                <w:spacing w:val="-2"/>
                <w:w w:val="95"/>
                <w:sz w:val="20"/>
                <w:szCs w:val="20"/>
              </w:rPr>
              <w:t xml:space="preserve"> and</w:t>
            </w:r>
            <w:r w:rsidRPr="00C21EAE">
              <w:rPr>
                <w:rFonts w:ascii="Times New Roman" w:eastAsia="Cambria" w:hAnsi="Times New Roman" w:cs="Times New Roman"/>
                <w:color w:val="000000" w:themeColor="text1"/>
                <w:spacing w:val="-2"/>
                <w:w w:val="95"/>
                <w:sz w:val="20"/>
                <w:szCs w:val="20"/>
              </w:rPr>
              <w:t xml:space="preserve"> 135</w:t>
            </w:r>
            <w:r w:rsidR="00E761F4" w:rsidRPr="00C21EAE">
              <w:rPr>
                <w:rFonts w:ascii="Times New Roman" w:eastAsia="Cambria" w:hAnsi="Times New Roman" w:cs="Times New Roman"/>
                <w:color w:val="000000" w:themeColor="text1"/>
                <w:spacing w:val="-2"/>
                <w:w w:val="95"/>
                <w:sz w:val="20"/>
                <w:szCs w:val="20"/>
              </w:rPr>
              <w:t xml:space="preserve"> to</w:t>
            </w:r>
            <w:r w:rsidR="00E761F4">
              <w:rPr>
                <w:rFonts w:ascii="Times New Roman" w:eastAsia="Cambria" w:hAnsi="Times New Roman" w:cs="Times New Roman"/>
                <w:color w:val="000000" w:themeColor="text1"/>
                <w:spacing w:val="-2"/>
                <w:w w:val="95"/>
                <w:sz w:val="20"/>
                <w:szCs w:val="20"/>
              </w:rPr>
              <w:t xml:space="preserve"> </w:t>
            </w:r>
            <w:r w:rsidRPr="00C21EAE">
              <w:rPr>
                <w:rFonts w:ascii="Times New Roman" w:eastAsia="Cambria" w:hAnsi="Times New Roman" w:cs="Times New Roman"/>
                <w:color w:val="000000" w:themeColor="text1"/>
                <w:spacing w:val="-2"/>
                <w:w w:val="95"/>
                <w:sz w:val="20"/>
                <w:szCs w:val="20"/>
              </w:rPr>
              <w:t xml:space="preserve">140 of </w:t>
            </w:r>
            <w:r w:rsidR="00997DED" w:rsidRPr="00C21EAE">
              <w:rPr>
                <w:rFonts w:ascii="Times New Roman" w:eastAsia="Cambria" w:hAnsi="Times New Roman" w:cs="Times New Roman"/>
                <w:color w:val="000000" w:themeColor="text1"/>
                <w:spacing w:val="-2"/>
                <w:w w:val="95"/>
                <w:sz w:val="20"/>
                <w:szCs w:val="20"/>
              </w:rPr>
              <w:t>Directive 2013/36</w:t>
            </w:r>
            <w:r w:rsidR="00D73A7B" w:rsidRPr="00C21EAE">
              <w:rPr>
                <w:rFonts w:ascii="Times New Roman" w:eastAsia="Cambria" w:hAnsi="Times New Roman" w:cs="Times New Roman"/>
                <w:color w:val="000000" w:themeColor="text1"/>
                <w:spacing w:val="-2"/>
                <w:w w:val="95"/>
                <w:sz w:val="20"/>
                <w:szCs w:val="20"/>
              </w:rPr>
              <w:t>/EU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(5), </w:t>
            </w:r>
            <w:r w:rsidR="00EE768F">
              <w:rPr>
                <w:rFonts w:ascii="Times New Roman" w:eastAsia="Cambria" w:hAnsi="Times New Roman" w:cs="Times New Roman"/>
                <w:color w:val="000000" w:themeColor="text1"/>
                <w:spacing w:val="-2"/>
                <w:w w:val="95"/>
                <w:sz w:val="20"/>
                <w:szCs w:val="20"/>
                <w:lang w:val="en-GB"/>
              </w:rPr>
              <w:t xml:space="preserve">and Articles </w:t>
            </w:r>
            <w:r w:rsidRPr="00D92B3C">
              <w:rPr>
                <w:rFonts w:ascii="Times New Roman" w:eastAsia="Cambria" w:hAnsi="Times New Roman" w:cs="Times New Roman"/>
                <w:color w:val="000000" w:themeColor="text1"/>
                <w:spacing w:val="-2"/>
                <w:w w:val="95"/>
                <w:sz w:val="20"/>
                <w:szCs w:val="20"/>
                <w:lang w:val="en-GB"/>
              </w:rPr>
              <w:t xml:space="preserve">133 and 134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(3)</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EE768F">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04.00;800</w:t>
            </w:r>
            <w:r w:rsidR="001534CA" w:rsidRPr="00D92B3C">
              <w:rPr>
                <w:rFonts w:ascii="Times New Roman" w:eastAsia="Cambria" w:hAnsi="Times New Roman" w:cs="Times New Roman"/>
                <w:color w:val="000000" w:themeColor="text1"/>
                <w:spacing w:val="-2"/>
                <w:w w:val="95"/>
                <w:sz w:val="20"/>
                <w:szCs w:val="20"/>
                <w:lang w:val="en-GB"/>
              </w:rPr>
              <w:t>;010}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(4)</w:t>
            </w:r>
            <w:r w:rsidR="00EE768F">
              <w:rPr>
                <w:rFonts w:ascii="Times New Roman" w:eastAsia="Cambria" w:hAnsi="Times New Roman" w:cs="Times New Roman"/>
                <w:color w:val="000000" w:themeColor="text1"/>
                <w:spacing w:val="-2"/>
                <w:w w:val="95"/>
                <w:sz w:val="20"/>
                <w:szCs w:val="20"/>
                <w:lang w:val="en-GB"/>
              </w:rPr>
              <w:t>, and Article</w:t>
            </w:r>
            <w:r w:rsidRPr="00D92B3C">
              <w:rPr>
                <w:rFonts w:ascii="Times New Roman" w:eastAsia="Cambria" w:hAnsi="Times New Roman" w:cs="Times New Roman"/>
                <w:color w:val="000000" w:themeColor="text1"/>
                <w:spacing w:val="-2"/>
                <w:w w:val="95"/>
                <w:sz w:val="20"/>
                <w:szCs w:val="20"/>
                <w:lang w:val="en-GB"/>
              </w:rPr>
              <w:t xml:space="preserve">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(OCR)  ratio</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referred to in row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EE768F">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EE768F">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CET1 capital referred to in row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If no buffer requirement is applicable, only point (i) shall be reported.</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Tier 1 capital referred to in row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OCR ratio referred to in row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r w:rsidR="00C46C15" w:rsidRPr="00D92B3C">
              <w:rPr>
                <w:rFonts w:ascii="Times New Roman" w:hAnsi="Times New Roman" w:cs="Times New Roman"/>
                <w:color w:val="000000" w:themeColor="text1"/>
                <w:sz w:val="20"/>
                <w:szCs w:val="20"/>
                <w:lang w:val="en-GB"/>
              </w:rPr>
              <w:t>05</w:t>
            </w:r>
            <w:r w:rsidR="008C1C91">
              <w:rPr>
                <w:rFonts w:ascii="Times New Roman" w:hAnsi="Times New Roman" w:cs="Times New Roman"/>
                <w:color w:val="000000" w:themeColor="text1"/>
                <w:sz w:val="20"/>
                <w:szCs w:val="20"/>
                <w:lang w:val="en-GB"/>
              </w:rPr>
              <w:t>1</w:t>
            </w:r>
            <w:r w:rsidR="00C46C1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5" w:name="_Toc492542324"/>
      <w:bookmarkStart w:id="16" w:name="_Toc509909042"/>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5"/>
      <w:bookmarkEnd w:id="16"/>
    </w:p>
    <w:p w14:paraId="651647D3" w14:textId="77777777" w:rsidR="00E13CE3" w:rsidRPr="00D92B3C" w:rsidRDefault="00AD2380" w:rsidP="00EC261B">
      <w:pPr>
        <w:pStyle w:val="Instructionsberschrift3"/>
        <w:rPr>
          <w:lang w:val="en-GB"/>
        </w:rPr>
      </w:pPr>
      <w:r w:rsidRPr="00D92B3C">
        <w:rPr>
          <w:lang w:val="en-GB"/>
        </w:rPr>
        <w:t>General remarks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All financial interconnections between relevant legal entities that are included in the consolidated financial statements shall be reported. Reported amounts shall be aggregated where they pertain to the same counterparties (both issuer or guaranteed entity, and creditor, holder or guarantee provider) and the same type of liabilities, capital instruments or guarantees.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template forms a primary key which has to be unique for </w:t>
      </w:r>
      <w:r w:rsidRPr="00D92B3C">
        <w:rPr>
          <w:rFonts w:ascii="Times New Roman" w:hAnsi="Times New Roman" w:cs="Times New Roman"/>
          <w:sz w:val="20"/>
          <w:szCs w:val="20"/>
          <w:lang w:val="en-GB"/>
        </w:rPr>
        <w:t>each row of the template.</w:t>
      </w:r>
    </w:p>
    <w:p w14:paraId="2B305CA8" w14:textId="77777777"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instrument, or is the guaranteed entity.</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42F01">
              <w:rPr>
                <w:rFonts w:ascii="Times New Roman" w:eastAsia="Cambria" w:hAnsi="Times New Roman" w:cs="Times New Roman"/>
                <w:color w:val="000000" w:themeColor="text1"/>
                <w:spacing w:val="-2"/>
                <w:w w:val="95"/>
                <w:sz w:val="20"/>
                <w:szCs w:val="20"/>
                <w:lang w:val="en-GB"/>
              </w:rPr>
              <w:t>e</w:t>
            </w:r>
            <w:r w:rsidR="00F42F01"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The code of the</w:t>
            </w:r>
            <w:r w:rsidR="006A519F" w:rsidRPr="00F11868">
              <w:rPr>
                <w:rFonts w:ascii="Times New Roman" w:eastAsia="Cambria" w:hAnsi="Times New Roman" w:cs="Times New Roman"/>
                <w:color w:val="000000" w:themeColor="text1"/>
                <w:spacing w:val="-2"/>
                <w:w w:val="95"/>
                <w:sz w:val="20"/>
                <w:szCs w:val="20"/>
                <w:lang w:val="en-GB"/>
              </w:rPr>
              <w:t xml:space="preserve"> </w:t>
            </w:r>
            <w:r w:rsidR="00911DB3" w:rsidRPr="00F11868">
              <w:rPr>
                <w:rFonts w:ascii="Times New Roman" w:eastAsia="Cambria" w:hAnsi="Times New Roman" w:cs="Times New Roman"/>
                <w:color w:val="000000" w:themeColor="text1"/>
                <w:spacing w:val="-2"/>
                <w:w w:val="95"/>
                <w:sz w:val="20"/>
                <w:szCs w:val="20"/>
                <w:lang w:val="en-GB"/>
              </w:rPr>
              <w:t>i</w:t>
            </w:r>
            <w:r w:rsidR="006A519F" w:rsidRPr="00F11868">
              <w:rPr>
                <w:rFonts w:ascii="Times New Roman" w:eastAsia="Cambria" w:hAnsi="Times New Roman" w:cs="Times New Roman"/>
                <w:color w:val="000000" w:themeColor="text1"/>
                <w:spacing w:val="-2"/>
                <w:w w:val="95"/>
                <w:sz w:val="20"/>
                <w:szCs w:val="20"/>
                <w:lang w:val="en-GB"/>
              </w:rPr>
              <w:t>ssuer</w:t>
            </w:r>
            <w:r w:rsidR="00EB3B99" w:rsidRPr="00F11868">
              <w:rPr>
                <w:rFonts w:ascii="Times New Roman" w:eastAsia="Cambria" w:hAnsi="Times New Roman" w:cs="Times New Roman"/>
                <w:color w:val="000000" w:themeColor="text1"/>
                <w:spacing w:val="-2"/>
                <w:w w:val="95"/>
                <w:sz w:val="20"/>
                <w:szCs w:val="20"/>
                <w:lang w:val="en-GB"/>
              </w:rPr>
              <w:t xml:space="preserve"> or guarantee recip</w:t>
            </w:r>
            <w:r w:rsidR="00DD4C0F" w:rsidRPr="00F11868">
              <w:rPr>
                <w:rFonts w:ascii="Times New Roman" w:eastAsia="Cambria" w:hAnsi="Times New Roman" w:cs="Times New Roman"/>
                <w:color w:val="000000" w:themeColor="text1"/>
                <w:spacing w:val="-2"/>
                <w:w w:val="95"/>
                <w:sz w:val="20"/>
                <w:szCs w:val="20"/>
                <w:lang w:val="en-GB"/>
              </w:rPr>
              <w:t>i</w:t>
            </w:r>
            <w:r w:rsidR="00EB3B99" w:rsidRPr="00F11868">
              <w:rPr>
                <w:rFonts w:ascii="Times New Roman" w:eastAsia="Cambria" w:hAnsi="Times New Roman" w:cs="Times New Roman"/>
                <w:color w:val="000000" w:themeColor="text1"/>
                <w:spacing w:val="-2"/>
                <w:w w:val="95"/>
                <w:sz w:val="20"/>
                <w:szCs w:val="20"/>
                <w:lang w:val="en-GB"/>
              </w:rPr>
              <w:t>ent</w:t>
            </w:r>
            <w:r w:rsidRPr="00F11868">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w:t>
            </w:r>
            <w:r w:rsidR="00FE0093" w:rsidRPr="00F11868">
              <w:rPr>
                <w:rFonts w:ascii="Times New Roman" w:eastAsia="Cambria" w:hAnsi="Times New Roman" w:cs="Times New Roman"/>
                <w:color w:val="000000" w:themeColor="text1"/>
                <w:spacing w:val="-2"/>
                <w:w w:val="95"/>
                <w:sz w:val="20"/>
                <w:szCs w:val="20"/>
                <w:lang w:val="en-GB"/>
              </w:rPr>
              <w:t xml:space="preserve"> or, if not available, </w:t>
            </w:r>
            <w:r w:rsidRPr="00F11868">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sidRPr="00F11868">
              <w:rPr>
                <w:rFonts w:ascii="Times New Roman" w:eastAsia="Cambria" w:hAnsi="Times New Roman" w:cs="Times New Roman"/>
                <w:color w:val="000000" w:themeColor="text1"/>
                <w:spacing w:val="-2"/>
                <w:w w:val="95"/>
                <w:sz w:val="20"/>
                <w:szCs w:val="20"/>
                <w:lang w:val="en-GB"/>
              </w:rPr>
              <w:t xml:space="preserve"> or, if not available, </w:t>
            </w:r>
            <w:r w:rsidRPr="00F11868">
              <w:rPr>
                <w:rFonts w:ascii="Times New Roman" w:eastAsia="Cambria" w:hAnsi="Times New Roman" w:cs="Times New Roman"/>
                <w:color w:val="000000" w:themeColor="text1"/>
                <w:spacing w:val="-2"/>
                <w:w w:val="95"/>
                <w:sz w:val="20"/>
                <w:szCs w:val="20"/>
                <w:lang w:val="en-GB"/>
              </w:rPr>
              <w:t>a national code.</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 xml:space="preserve">The code </w:t>
            </w:r>
            <w:r w:rsidR="006547BE" w:rsidRPr="00F11868">
              <w:rPr>
                <w:rFonts w:ascii="Times New Roman" w:eastAsia="Cambria" w:hAnsi="Times New Roman" w:cs="Times New Roman"/>
                <w:color w:val="000000" w:themeColor="text1"/>
                <w:spacing w:val="-2"/>
                <w:w w:val="95"/>
                <w:sz w:val="20"/>
                <w:szCs w:val="20"/>
                <w:lang w:val="en-GB"/>
              </w:rPr>
              <w:t>m</w:t>
            </w:r>
            <w:r w:rsidR="004D27A1" w:rsidRPr="00F11868">
              <w:rPr>
                <w:rFonts w:ascii="Times New Roman" w:eastAsia="Cambria" w:hAnsi="Times New Roman" w:cs="Times New Roman"/>
                <w:color w:val="000000" w:themeColor="text1"/>
                <w:spacing w:val="-2"/>
                <w:w w:val="95"/>
                <w:sz w:val="20"/>
                <w:szCs w:val="20"/>
                <w:lang w:val="en-GB"/>
              </w:rPr>
              <w:t xml:space="preserve">ust be different from the </w:t>
            </w:r>
            <w:r w:rsidR="008B1E5A" w:rsidRPr="00F11868">
              <w:rPr>
                <w:rFonts w:ascii="Times New Roman" w:eastAsia="Cambria" w:hAnsi="Times New Roman" w:cs="Times New Roman"/>
                <w:color w:val="000000" w:themeColor="text1"/>
                <w:spacing w:val="-2"/>
                <w:w w:val="95"/>
                <w:sz w:val="20"/>
                <w:szCs w:val="20"/>
                <w:lang w:val="en-GB"/>
              </w:rPr>
              <w:t xml:space="preserve">code </w:t>
            </w:r>
            <w:r w:rsidR="004D27A1" w:rsidRPr="00F11868">
              <w:rPr>
                <w:rFonts w:ascii="Times New Roman" w:eastAsia="Cambria" w:hAnsi="Times New Roman" w:cs="Times New Roman"/>
                <w:color w:val="000000" w:themeColor="text1"/>
                <w:spacing w:val="-2"/>
                <w:w w:val="95"/>
                <w:sz w:val="20"/>
                <w:szCs w:val="20"/>
                <w:lang w:val="en-GB"/>
              </w:rPr>
              <w:t>listed in column 0</w:t>
            </w:r>
            <w:r w:rsidR="00C8777C" w:rsidRPr="00F11868">
              <w:rPr>
                <w:rFonts w:ascii="Times New Roman" w:eastAsia="Cambria" w:hAnsi="Times New Roman" w:cs="Times New Roman"/>
                <w:color w:val="000000" w:themeColor="text1"/>
                <w:spacing w:val="-2"/>
                <w:w w:val="95"/>
                <w:sz w:val="20"/>
                <w:szCs w:val="20"/>
                <w:lang w:val="en-GB"/>
              </w:rPr>
              <w:t>0</w:t>
            </w:r>
            <w:r w:rsidR="00F11868">
              <w:rPr>
                <w:rFonts w:ascii="Times New Roman" w:eastAsia="Cambria" w:hAnsi="Times New Roman" w:cs="Times New Roman"/>
                <w:color w:val="000000" w:themeColor="text1"/>
                <w:spacing w:val="-2"/>
                <w:w w:val="95"/>
                <w:sz w:val="20"/>
                <w:szCs w:val="20"/>
                <w:lang w:val="en-GB"/>
              </w:rPr>
              <w:t>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Creditor, holder </w:t>
            </w:r>
            <w:r w:rsidR="00041C77" w:rsidRPr="00D92B3C">
              <w:rPr>
                <w:rFonts w:ascii="Times New Roman" w:hAnsi="Times New Roman" w:cs="Times New Roman"/>
                <w:b/>
                <w:bCs/>
                <w:color w:val="000000" w:themeColor="text1"/>
                <w:sz w:val="20"/>
                <w:szCs w:val="20"/>
                <w:lang w:val="en-GB"/>
              </w:rPr>
              <w:t>or guarantee provider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59662C">
              <w:rPr>
                <w:rFonts w:ascii="Times New Roman" w:eastAsia="Cambria" w:hAnsi="Times New Roman" w:cs="Times New Roman"/>
                <w:color w:val="000000" w:themeColor="text1"/>
                <w:spacing w:val="-2"/>
                <w:w w:val="95"/>
                <w:sz w:val="20"/>
                <w:szCs w:val="20"/>
                <w:lang w:val="en-GB"/>
              </w:rPr>
              <w:t>c</w:t>
            </w:r>
            <w:r w:rsidR="00FB61BA" w:rsidRPr="00D92B3C">
              <w:rPr>
                <w:rFonts w:ascii="Times New Roman" w:eastAsia="Cambria" w:hAnsi="Times New Roman" w:cs="Times New Roman"/>
                <w:color w:val="000000" w:themeColor="text1"/>
                <w:spacing w:val="-2"/>
                <w:w w:val="95"/>
                <w:sz w:val="20"/>
                <w:szCs w:val="20"/>
                <w:lang w:val="en-GB"/>
              </w:rPr>
              <w:t>reditor, holder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if not available</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 code under a uniform codification applicable in the Union or</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if not available</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 national code.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r w:rsidR="00167158">
              <w:rPr>
                <w:rFonts w:ascii="Times New Roman" w:hAnsi="Times New Roman" w:cs="Times New Roman"/>
                <w:color w:val="000000" w:themeColor="text1"/>
                <w:sz w:val="20"/>
                <w:szCs w:val="20"/>
                <w:lang w:val="en-GB"/>
              </w:rPr>
              <w:t>8</w:t>
            </w:r>
            <w:r w:rsidRPr="00D92B3C">
              <w:rPr>
                <w:rFonts w:ascii="Times New Roman" w:hAnsi="Times New Roman" w:cs="Times New Roman"/>
                <w:color w:val="000000" w:themeColor="text1"/>
                <w:sz w:val="20"/>
                <w:szCs w:val="20"/>
                <w:lang w:val="en-GB"/>
              </w:rPr>
              <w:t xml:space="preserve">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Same definition as</w:t>
            </w:r>
            <w:r w:rsidR="0059662C">
              <w:rPr>
                <w:rFonts w:ascii="Times New Roman" w:eastAsia="Cambria" w:hAnsi="Times New Roman"/>
                <w:color w:val="000000" w:themeColor="text1"/>
                <w:spacing w:val="-2"/>
                <w:w w:val="95"/>
                <w:sz w:val="20"/>
                <w:szCs w:val="20"/>
              </w:rPr>
              <w:t xml:space="preserve"> in</w:t>
            </w:r>
            <w:r w:rsidRPr="00D92B3C">
              <w:rPr>
                <w:rFonts w:ascii="Times New Roman" w:eastAsia="Cambria" w:hAnsi="Times New Roman"/>
                <w:color w:val="000000" w:themeColor="text1"/>
                <w:spacing w:val="-2"/>
                <w:w w:val="95"/>
                <w:sz w:val="20"/>
                <w:szCs w:val="20"/>
              </w:rPr>
              <w:t xml:space="preserve">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lastRenderedPageBreak/>
              <w:t>Subordinated liabilities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Non-financial liabilities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Same definition as</w:t>
            </w:r>
            <w:r w:rsidR="0059662C">
              <w:rPr>
                <w:rFonts w:ascii="Times New Roman" w:eastAsia="Cambria" w:hAnsi="Times New Roman"/>
                <w:color w:val="000000" w:themeColor="text1"/>
                <w:spacing w:val="-2"/>
                <w:w w:val="95"/>
                <w:sz w:val="20"/>
                <w:szCs w:val="20"/>
              </w:rPr>
              <w:t xml:space="preserve"> in</w:t>
            </w:r>
            <w:r w:rsidRPr="00D92B3C">
              <w:rPr>
                <w:rFonts w:ascii="Times New Roman" w:eastAsia="Cambria" w:hAnsi="Times New Roman"/>
                <w:color w:val="000000" w:themeColor="text1"/>
                <w:spacing w:val="-2"/>
                <w:w w:val="95"/>
                <w:sz w:val="20"/>
                <w:szCs w:val="20"/>
              </w:rPr>
              <w:t xml:space="preserve">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Issuance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Any type of guarantee not covered by the previous types.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lang w:val="en-GB"/>
              </w:rPr>
            </w:pPr>
            <w:r>
              <w:rPr>
                <w:rFonts w:ascii="Times New Roman" w:hAnsi="Times New Roman" w:cs="Times New Roman"/>
                <w:b/>
                <w:bCs/>
                <w:color w:val="000000" w:themeColor="text1"/>
                <w:sz w:val="20"/>
                <w:szCs w:val="20"/>
                <w:lang w:val="en-GB"/>
              </w:rPr>
              <w:t>O</w:t>
            </w:r>
            <w:r w:rsidR="006560B6" w:rsidRPr="00D92B3C">
              <w:rPr>
                <w:rFonts w:ascii="Times New Roman" w:hAnsi="Times New Roman" w:cs="Times New Roman"/>
                <w:b/>
                <w:bCs/>
                <w:color w:val="000000" w:themeColor="text1"/>
                <w:sz w:val="20"/>
                <w:szCs w:val="20"/>
                <w:lang w:val="en-GB"/>
              </w:rPr>
              <w:t xml:space="preserve">f which issued under </w:t>
            </w:r>
            <w:r>
              <w:rPr>
                <w:rFonts w:ascii="Times New Roman" w:hAnsi="Times New Roman" w:cs="Times New Roman"/>
                <w:b/>
                <w:bCs/>
                <w:color w:val="000000" w:themeColor="text1"/>
                <w:sz w:val="20"/>
                <w:szCs w:val="20"/>
                <w:lang w:val="en-GB"/>
              </w:rPr>
              <w:t>third</w:t>
            </w:r>
            <w:r w:rsidRPr="00D92B3C">
              <w:rPr>
                <w:rFonts w:ascii="Times New Roman" w:hAnsi="Times New Roman" w:cs="Times New Roman"/>
                <w:b/>
                <w:bCs/>
                <w:color w:val="000000" w:themeColor="text1"/>
                <w:sz w:val="20"/>
                <w:szCs w:val="20"/>
                <w:lang w:val="en-GB"/>
              </w:rPr>
              <w:t xml:space="preserve"> </w:t>
            </w:r>
            <w:r w:rsidR="006560B6" w:rsidRPr="00D92B3C">
              <w:rPr>
                <w:rFonts w:ascii="Times New Roman" w:hAnsi="Times New Roman" w:cs="Times New Roman"/>
                <w:b/>
                <w:bCs/>
                <w:color w:val="000000" w:themeColor="text1"/>
                <w:sz w:val="20"/>
                <w:szCs w:val="20"/>
                <w:lang w:val="en-GB"/>
              </w:rPr>
              <w:t>c</w:t>
            </w:r>
            <w:r w:rsidR="00167158">
              <w:rPr>
                <w:rFonts w:ascii="Times New Roman" w:hAnsi="Times New Roman" w:cs="Times New Roman"/>
                <w:b/>
                <w:bCs/>
                <w:color w:val="000000" w:themeColor="text1"/>
                <w:sz w:val="20"/>
                <w:szCs w:val="20"/>
                <w:lang w:val="en-GB"/>
              </w:rPr>
              <w:t>oun</w:t>
            </w:r>
            <w:r w:rsidR="006560B6" w:rsidRPr="00D92B3C">
              <w:rPr>
                <w:rFonts w:ascii="Times New Roman" w:hAnsi="Times New Roman" w:cs="Times New Roman"/>
                <w:b/>
                <w:bCs/>
                <w:color w:val="000000" w:themeColor="text1"/>
                <w:sz w:val="20"/>
                <w:szCs w:val="20"/>
                <w:lang w:val="en-GB"/>
              </w:rPr>
              <w:t>try law</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hAnsi="Times New Roman" w:cs="Times New Roman"/>
                <w:b/>
                <w:bCs/>
                <w:color w:val="000000" w:themeColor="text1"/>
                <w:sz w:val="20"/>
                <w:szCs w:val="20"/>
                <w:lang w:val="en-GB"/>
              </w:rPr>
              <w:t>O</w:t>
            </w:r>
            <w:r w:rsidR="004D27A1" w:rsidRPr="00690D96">
              <w:rPr>
                <w:rFonts w:ascii="Times New Roman" w:hAnsi="Times New Roman" w:cs="Times New Roman"/>
                <w:b/>
                <w:bCs/>
                <w:color w:val="000000" w:themeColor="text1"/>
                <w:sz w:val="20"/>
                <w:szCs w:val="20"/>
                <w:lang w:val="en-GB"/>
              </w:rPr>
              <w:t>f which</w:t>
            </w:r>
            <w:r w:rsidR="0089272A" w:rsidRPr="00690D96">
              <w:rPr>
                <w:rFonts w:ascii="Times New Roman" w:hAnsi="Times New Roman" w:cs="Times New Roman"/>
                <w:b/>
                <w:bCs/>
                <w:color w:val="000000" w:themeColor="text1"/>
                <w:sz w:val="20"/>
                <w:szCs w:val="20"/>
                <w:lang w:val="en-GB"/>
              </w:rPr>
              <w:t>:</w:t>
            </w:r>
            <w:r w:rsidR="004D27A1" w:rsidRPr="00690D96">
              <w:rPr>
                <w:rFonts w:ascii="Times New Roman" w:hAnsi="Times New Roman" w:cs="Times New Roman"/>
                <w:b/>
                <w:bCs/>
                <w:color w:val="000000" w:themeColor="text1"/>
                <w:sz w:val="20"/>
                <w:szCs w:val="20"/>
                <w:lang w:val="en-GB"/>
              </w:rPr>
              <w:t xml:space="preserve"> MREL </w:t>
            </w:r>
            <w:r w:rsidR="0089272A" w:rsidRPr="00690D96">
              <w:rPr>
                <w:rFonts w:ascii="Times New Roman" w:hAnsi="Times New Roman" w:cs="Times New Roman"/>
                <w:b/>
                <w:bCs/>
                <w:color w:val="000000" w:themeColor="text1"/>
                <w:sz w:val="20"/>
                <w:szCs w:val="20"/>
                <w:lang w:val="en-GB"/>
              </w:rPr>
              <w:t>e</w:t>
            </w:r>
            <w:r w:rsidR="004D27A1" w:rsidRPr="00690D96">
              <w:rPr>
                <w:rFonts w:ascii="Times New Roman" w:hAnsi="Times New Roman" w:cs="Times New Roman"/>
                <w:b/>
                <w:bCs/>
                <w:color w:val="000000" w:themeColor="text1"/>
                <w:sz w:val="20"/>
                <w:szCs w:val="20"/>
                <w:lang w:val="en-GB"/>
              </w:rPr>
              <w:t>ligible</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eastAsia="Cambria" w:hAnsi="Times New Roman" w:cs="Times New Roman"/>
                <w:color w:val="000000" w:themeColor="text1"/>
                <w:spacing w:val="-2"/>
                <w:w w:val="95"/>
                <w:sz w:val="20"/>
                <w:szCs w:val="20"/>
                <w:lang w:val="en-GB"/>
              </w:rPr>
              <w:t>T</w:t>
            </w:r>
            <w:r w:rsidR="004D27A1" w:rsidRPr="00690D96">
              <w:rPr>
                <w:rFonts w:ascii="Times New Roman" w:eastAsia="Cambria" w:hAnsi="Times New Roman" w:cs="Times New Roman"/>
                <w:color w:val="000000" w:themeColor="text1"/>
                <w:spacing w:val="-2"/>
                <w:w w:val="95"/>
                <w:sz w:val="20"/>
                <w:szCs w:val="20"/>
                <w:lang w:val="en-GB"/>
              </w:rPr>
              <w:t xml:space="preserve">he amount of </w:t>
            </w:r>
            <w:r w:rsidR="005D1376" w:rsidRPr="00690D96">
              <w:rPr>
                <w:rFonts w:ascii="Times New Roman" w:eastAsia="Cambria" w:hAnsi="Times New Roman" w:cs="Times New Roman"/>
                <w:color w:val="000000" w:themeColor="text1"/>
                <w:spacing w:val="-2"/>
                <w:w w:val="95"/>
                <w:sz w:val="20"/>
                <w:szCs w:val="20"/>
                <w:lang w:val="en-GB"/>
              </w:rPr>
              <w:t xml:space="preserve">own funds and </w:t>
            </w:r>
            <w:r w:rsidR="004D27A1" w:rsidRPr="00690D96">
              <w:rPr>
                <w:rFonts w:ascii="Times New Roman" w:eastAsia="Cambria" w:hAnsi="Times New Roman" w:cs="Times New Roman"/>
                <w:color w:val="000000" w:themeColor="text1"/>
                <w:spacing w:val="-2"/>
                <w:w w:val="95"/>
                <w:sz w:val="20"/>
                <w:szCs w:val="20"/>
                <w:lang w:val="en-GB"/>
              </w:rPr>
              <w:t xml:space="preserve">liabilities </w:t>
            </w:r>
            <w:r w:rsidR="008B55F4" w:rsidRPr="00690D96">
              <w:rPr>
                <w:rFonts w:ascii="Times New Roman" w:eastAsia="Cambria" w:hAnsi="Times New Roman" w:cs="Times New Roman"/>
                <w:color w:val="000000" w:themeColor="text1"/>
                <w:spacing w:val="-2"/>
                <w:w w:val="95"/>
                <w:sz w:val="20"/>
                <w:szCs w:val="20"/>
                <w:lang w:val="en-GB"/>
              </w:rPr>
              <w:t xml:space="preserve">eligible to meet the requirement </w:t>
            </w:r>
            <w:r w:rsidR="00D02012">
              <w:rPr>
                <w:rFonts w:ascii="Times New Roman" w:eastAsia="Cambria" w:hAnsi="Times New Roman" w:cs="Times New Roman"/>
                <w:color w:val="000000" w:themeColor="text1"/>
                <w:spacing w:val="-2"/>
                <w:w w:val="95"/>
                <w:sz w:val="20"/>
                <w:szCs w:val="20"/>
                <w:lang w:val="en-GB"/>
              </w:rPr>
              <w:t>set out in</w:t>
            </w:r>
            <w:r w:rsidR="00D02012" w:rsidRPr="00690D96">
              <w:rPr>
                <w:rFonts w:ascii="Times New Roman" w:eastAsia="Cambria" w:hAnsi="Times New Roman" w:cs="Times New Roman"/>
                <w:color w:val="000000" w:themeColor="text1"/>
                <w:spacing w:val="-2"/>
                <w:w w:val="95"/>
                <w:sz w:val="20"/>
                <w:szCs w:val="20"/>
                <w:lang w:val="en-GB"/>
              </w:rPr>
              <w:t xml:space="preserve"> </w:t>
            </w:r>
            <w:r w:rsidR="008B55F4" w:rsidRPr="00690D96">
              <w:rPr>
                <w:rFonts w:ascii="Times New Roman" w:eastAsia="Cambria" w:hAnsi="Times New Roman" w:cs="Times New Roman"/>
                <w:color w:val="000000" w:themeColor="text1"/>
                <w:spacing w:val="-2"/>
                <w:w w:val="95"/>
                <w:sz w:val="20"/>
                <w:szCs w:val="20"/>
                <w:lang w:val="en-GB"/>
              </w:rPr>
              <w:t>Art</w:t>
            </w:r>
            <w:r w:rsidR="0002300D">
              <w:rPr>
                <w:rFonts w:ascii="Times New Roman" w:eastAsia="Cambria" w:hAnsi="Times New Roman" w:cs="Times New Roman"/>
                <w:color w:val="000000" w:themeColor="text1"/>
                <w:spacing w:val="-2"/>
                <w:w w:val="95"/>
                <w:sz w:val="20"/>
                <w:szCs w:val="20"/>
                <w:lang w:val="en-GB"/>
              </w:rPr>
              <w:t>icle 45 of Directive 2014/59/EU</w:t>
            </w:r>
            <w:r w:rsidR="004D27A1" w:rsidRPr="00690D96">
              <w:rPr>
                <w:rFonts w:ascii="Times New Roman" w:eastAsia="Cambria" w:hAnsi="Times New Roman" w:cs="Times New Roman"/>
                <w:color w:val="000000" w:themeColor="text1"/>
                <w:spacing w:val="-2"/>
                <w:w w:val="95"/>
                <w:sz w:val="20"/>
                <w:szCs w:val="20"/>
                <w:lang w:val="en-GB"/>
              </w:rPr>
              <w:t>.</w:t>
            </w:r>
            <w:r w:rsidR="005D1376" w:rsidRPr="00690D96">
              <w:t xml:space="preserve"> </w:t>
            </w:r>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7" w:name="_Toc509909043"/>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8" w:name="_Toc492542325"/>
      <w:r w:rsidR="00E13CE3" w:rsidRPr="00D92B3C">
        <w:rPr>
          <w:rFonts w:ascii="Times New Roman" w:hAnsi="Times New Roman" w:cs="Times New Roman"/>
          <w:szCs w:val="20"/>
        </w:rPr>
        <w:t>Major Counterparties (MCP)</w:t>
      </w:r>
      <w:bookmarkEnd w:id="17"/>
      <w:bookmarkEnd w:id="18"/>
    </w:p>
    <w:p w14:paraId="3CC29F42" w14:textId="77777777" w:rsidR="00BF5063" w:rsidRPr="00D92B3C" w:rsidRDefault="00BF5063" w:rsidP="00715DAB">
      <w:pPr>
        <w:pStyle w:val="Instructionsberschrift3"/>
        <w:rPr>
          <w:lang w:val="en-GB"/>
        </w:rPr>
      </w:pPr>
      <w:r w:rsidRPr="00D92B3C">
        <w:rPr>
          <w:lang w:val="en-GB"/>
        </w:rPr>
        <w:t>General remarks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r w:rsidR="00167158">
        <w:rPr>
          <w:rFonts w:ascii="Times New Roman" w:hAnsi="Times New Roman" w:cs="Times New Roman"/>
          <w:sz w:val="20"/>
          <w:szCs w:val="20"/>
          <w:lang w:val="en-GB"/>
        </w:rPr>
        <w:t xml:space="preserve"> </w:t>
      </w:r>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Liabilities and off balance sheet items for which the counterparty is an entity included in the consolidated financial statements shall not be reported.</w:t>
      </w:r>
    </w:p>
    <w:p w14:paraId="3454E902" w14:textId="77777777"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Columns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w:t>
            </w:r>
            <w:r w:rsidR="00DC79EF">
              <w:rPr>
                <w:rFonts w:ascii="Times New Roman" w:hAnsi="Times New Roman" w:cs="Times New Roman"/>
                <w:b/>
                <w:bCs/>
                <w:color w:val="000000" w:themeColor="text1"/>
                <w:sz w:val="20"/>
                <w:szCs w:val="20"/>
                <w:lang w:val="en-GB"/>
              </w:rPr>
              <w:t>y</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w:t>
            </w:r>
            <w:r w:rsidR="00075F06">
              <w:rPr>
                <w:rFonts w:ascii="Times New Roman" w:eastAsia="Cambria" w:hAnsi="Times New Roman" w:cs="Times New Roman"/>
                <w:color w:val="000000" w:themeColor="text1"/>
                <w:spacing w:val="-2"/>
                <w:w w:val="95"/>
                <w:sz w:val="20"/>
                <w:szCs w:val="20"/>
                <w:lang w:val="en-GB"/>
              </w:rPr>
              <w:t>ies</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which the liabilit</w:t>
            </w:r>
            <w:r w:rsidR="00075F06">
              <w:rPr>
                <w:rFonts w:ascii="Times New Roman" w:eastAsia="Cambria" w:hAnsi="Times New Roman" w:cs="Times New Roman"/>
                <w:color w:val="000000" w:themeColor="text1"/>
                <w:spacing w:val="-2"/>
                <w:w w:val="95"/>
                <w:sz w:val="20"/>
                <w:szCs w:val="20"/>
                <w:lang w:val="en-GB"/>
              </w:rPr>
              <w:t>ies</w:t>
            </w:r>
            <w:r w:rsidR="00550D93" w:rsidRPr="00D92B3C">
              <w:rPr>
                <w:rFonts w:ascii="Times New Roman" w:eastAsia="Cambria" w:hAnsi="Times New Roman" w:cs="Times New Roman"/>
                <w:color w:val="000000" w:themeColor="text1"/>
                <w:spacing w:val="-2"/>
                <w:w w:val="95"/>
                <w:sz w:val="20"/>
                <w:szCs w:val="20"/>
                <w:lang w:val="en-GB"/>
              </w:rPr>
              <w:t xml:space="preserve"> </w:t>
            </w:r>
            <w:r w:rsidR="00792D77" w:rsidRPr="00D92B3C">
              <w:rPr>
                <w:rFonts w:ascii="Times New Roman" w:eastAsia="Cambria" w:hAnsi="Times New Roman" w:cs="Times New Roman"/>
                <w:color w:val="000000" w:themeColor="text1"/>
                <w:spacing w:val="-2"/>
                <w:w w:val="95"/>
                <w:sz w:val="20"/>
                <w:szCs w:val="20"/>
                <w:lang w:val="en-GB"/>
              </w:rPr>
              <w:t>arise</w:t>
            </w:r>
            <w:r w:rsidR="003D4E4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to</w:t>
            </w:r>
            <w:r w:rsidR="008C1C91">
              <w:rPr>
                <w:rFonts w:ascii="Times New Roman" w:eastAsia="Cambria" w:hAnsi="Times New Roman" w:cs="Times New Roman"/>
                <w:color w:val="000000" w:themeColor="text1"/>
                <w:spacing w:val="-2"/>
                <w:w w:val="95"/>
                <w:sz w:val="20"/>
                <w:szCs w:val="20"/>
                <w:lang w:val="en-GB"/>
              </w:rPr>
              <w:t>wards</w:t>
            </w:r>
            <w:r w:rsidRPr="00D92B3C">
              <w:rPr>
                <w:rFonts w:ascii="Times New Roman" w:eastAsia="Cambria" w:hAnsi="Times New Roman" w:cs="Times New Roman"/>
                <w:color w:val="000000" w:themeColor="text1"/>
                <w:spacing w:val="-2"/>
                <w:w w:val="95"/>
                <w:sz w:val="20"/>
                <w:szCs w:val="20"/>
                <w:lang w:val="en-GB"/>
              </w:rPr>
              <w:t xml:space="preserve">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xml:space="preserve">, excluding liabilities </w:t>
            </w:r>
            <w:r w:rsidR="001353EC" w:rsidRPr="008C1C91">
              <w:rPr>
                <w:rFonts w:ascii="Times New Roman" w:eastAsia="Cambria" w:hAnsi="Times New Roman" w:cs="Times New Roman"/>
                <w:color w:val="000000" w:themeColor="text1"/>
                <w:spacing w:val="-2"/>
                <w:w w:val="95"/>
                <w:sz w:val="20"/>
                <w:szCs w:val="20"/>
                <w:lang w:val="en-GB"/>
              </w:rPr>
              <w:t>to</w:t>
            </w:r>
            <w:r w:rsidR="008C1C91">
              <w:rPr>
                <w:rFonts w:ascii="Times New Roman" w:eastAsia="Cambria" w:hAnsi="Times New Roman" w:cs="Times New Roman"/>
                <w:color w:val="000000" w:themeColor="text1"/>
                <w:spacing w:val="-2"/>
                <w:w w:val="95"/>
                <w:sz w:val="20"/>
                <w:szCs w:val="20"/>
                <w:lang w:val="en-GB"/>
              </w:rPr>
              <w:t>wards</w:t>
            </w:r>
            <w:r w:rsidR="001353EC" w:rsidRPr="00D92B3C">
              <w:rPr>
                <w:rFonts w:ascii="Times New Roman" w:eastAsia="Cambria" w:hAnsi="Times New Roman" w:cs="Times New Roman"/>
                <w:color w:val="000000" w:themeColor="text1"/>
                <w:spacing w:val="-2"/>
                <w:w w:val="95"/>
                <w:sz w:val="20"/>
                <w:szCs w:val="20"/>
                <w:lang w:val="en-GB"/>
              </w:rPr>
              <w:t xml:space="preserve">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in order to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06033B0A"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counterparties’ shall follow the definition of ‘group of connected 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in Article 4(1)</w:t>
            </w:r>
            <w:r w:rsidR="00017EC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w:t>
            </w:r>
            <w:r w:rsidR="00017EC2">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39</w:t>
            </w:r>
            <w:r w:rsidR="00017EC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14:paraId="294E9015"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w:t>
            </w:r>
            <w:r w:rsidR="004571D1" w:rsidRPr="00D92B3C">
              <w:rPr>
                <w:rFonts w:ascii="Times New Roman" w:eastAsia="Cambria" w:hAnsi="Times New Roman" w:cs="Times New Roman"/>
                <w:color w:val="000000" w:themeColor="text1"/>
                <w:spacing w:val="-2"/>
                <w:w w:val="95"/>
                <w:sz w:val="20"/>
                <w:szCs w:val="20"/>
                <w:lang w:val="en-GB"/>
              </w:rPr>
              <w:t xml:space="preserve">a counterparty </w:t>
            </w:r>
            <w:r w:rsidR="00017EC2">
              <w:rPr>
                <w:rFonts w:ascii="Times New Roman" w:eastAsia="Cambria" w:hAnsi="Times New Roman" w:cs="Times New Roman"/>
                <w:color w:val="000000" w:themeColor="text1"/>
                <w:spacing w:val="-2"/>
                <w:w w:val="95"/>
                <w:sz w:val="20"/>
                <w:szCs w:val="20"/>
                <w:lang w:val="en-GB"/>
              </w:rPr>
              <w:t>shall</w:t>
            </w:r>
            <w:r w:rsidR="00017EC2" w:rsidRPr="00D92B3C">
              <w:rPr>
                <w:rFonts w:ascii="Times New Roman" w:eastAsia="Cambria" w:hAnsi="Times New Roman" w:cs="Times New Roman"/>
                <w:color w:val="000000" w:themeColor="text1"/>
                <w:spacing w:val="-2"/>
                <w:w w:val="95"/>
                <w:sz w:val="20"/>
                <w:szCs w:val="20"/>
                <w:lang w:val="en-GB"/>
              </w:rPr>
              <w:t xml:space="preserve"> </w:t>
            </w:r>
            <w:r w:rsidR="004571D1" w:rsidRPr="00D92B3C">
              <w:rPr>
                <w:rFonts w:ascii="Times New Roman" w:eastAsia="Cambria" w:hAnsi="Times New Roman" w:cs="Times New Roman"/>
                <w:color w:val="000000" w:themeColor="text1"/>
                <w:spacing w:val="-2"/>
                <w:w w:val="95"/>
                <w:sz w:val="20"/>
                <w:szCs w:val="20"/>
                <w:lang w:val="en-GB"/>
              </w:rPr>
              <w:t>not be an entity included in the consolidated financial statements.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w:t>
            </w:r>
            <w:r w:rsidR="00FE0093">
              <w:rPr>
                <w:rFonts w:ascii="Times New Roman" w:eastAsia="Cambria" w:hAnsi="Times New Roman" w:cs="Times New Roman"/>
                <w:color w:val="000000" w:themeColor="text1"/>
                <w:spacing w:val="-2"/>
                <w:w w:val="95"/>
                <w:sz w:val="20"/>
                <w:szCs w:val="20"/>
                <w:lang w:val="en-GB"/>
              </w:rPr>
              <w:t xml:space="preserve"> or, if not available, </w:t>
            </w:r>
            <w:r w:rsidRPr="00D92B3C">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Pr>
                <w:rFonts w:ascii="Times New Roman" w:eastAsia="Cambria" w:hAnsi="Times New Roman" w:cs="Times New Roman"/>
                <w:color w:val="000000" w:themeColor="text1"/>
                <w:spacing w:val="-2"/>
                <w:w w:val="95"/>
                <w:sz w:val="20"/>
                <w:szCs w:val="20"/>
                <w:lang w:val="en-GB"/>
              </w:rPr>
              <w:t xml:space="preserve"> or, if not available, </w:t>
            </w:r>
            <w:r w:rsidRPr="00D92B3C">
              <w:rPr>
                <w:rFonts w:ascii="Times New Roman" w:eastAsia="Cambria" w:hAnsi="Times New Roman" w:cs="Times New Roman"/>
                <w:color w:val="000000" w:themeColor="text1"/>
                <w:spacing w:val="-2"/>
                <w:w w:val="95"/>
                <w:sz w:val="20"/>
                <w:szCs w:val="20"/>
                <w:lang w:val="en-GB"/>
              </w:rPr>
              <w:t>a national code.</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ISO 3166-1-alpha-2 code of the country of incorporation of the counterparty. This includes pseudo-ISO codes for international organisations, available in the last edition of the Eurostat</w:t>
            </w:r>
            <w:r w:rsidR="00F77C4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s “Balance of Payments Vademecum”.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FE0093">
              <w:rPr>
                <w:rFonts w:ascii="Times New Roman" w:eastAsia="Cambria" w:hAnsi="Times New Roman" w:cs="Times New Roman"/>
                <w:color w:val="000000" w:themeColor="text1"/>
                <w:spacing w:val="-2"/>
                <w:w w:val="95"/>
                <w:sz w:val="20"/>
                <w:szCs w:val="20"/>
                <w:lang w:val="en-GB"/>
              </w:rPr>
              <w:t xml:space="preserve">the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One sector shall be allocated to every counterparty on the basis of </w:t>
            </w:r>
            <w:r w:rsidR="00FE0093">
              <w:rPr>
                <w:rFonts w:ascii="Times New Roman" w:eastAsia="Cambria" w:hAnsi="Times New Roman" w:cs="Times New Roman"/>
                <w:color w:val="000000" w:themeColor="text1"/>
                <w:spacing w:val="-2"/>
                <w:w w:val="95"/>
                <w:sz w:val="20"/>
                <w:szCs w:val="20"/>
                <w:lang w:val="en-GB"/>
              </w:rPr>
              <w:t xml:space="preserve">the following </w:t>
            </w:r>
            <w:r w:rsidRPr="00D92B3C">
              <w:rPr>
                <w:rFonts w:ascii="Times New Roman" w:eastAsia="Cambria" w:hAnsi="Times New Roman" w:cs="Times New Roman"/>
                <w:color w:val="000000" w:themeColor="text1"/>
                <w:spacing w:val="-2"/>
                <w:w w:val="95"/>
                <w:sz w:val="20"/>
                <w:szCs w:val="20"/>
                <w:lang w:val="en-GB"/>
              </w:rPr>
              <w:t>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14:paraId="15164190" w14:textId="77777777" w:rsidR="00774595"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Central Banks</w:t>
            </w:r>
          </w:p>
          <w:p w14:paraId="11DDE564"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General Governments</w:t>
            </w:r>
          </w:p>
          <w:p w14:paraId="08B5EA06" w14:textId="70AA4335"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 xml:space="preserve">Credit institutions </w:t>
            </w:r>
          </w:p>
          <w:p w14:paraId="45DFA09A"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Other financial corporations</w:t>
            </w:r>
          </w:p>
          <w:p w14:paraId="2F21052B"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Non-financial corporations</w:t>
            </w:r>
          </w:p>
          <w:p w14:paraId="20D01891"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Households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bail-in;</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Deposits, not covered but preferential;</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r>
            <w:r w:rsidR="00DA48C5">
              <w:rPr>
                <w:rFonts w:ascii="Times New Roman" w:eastAsia="Cambria" w:hAnsi="Times New Roman" w:cs="Times New Roman"/>
                <w:color w:val="000000" w:themeColor="text1"/>
                <w:spacing w:val="-2"/>
                <w:w w:val="95"/>
                <w:sz w:val="20"/>
                <w:szCs w:val="20"/>
                <w:lang w:val="en-GB"/>
              </w:rPr>
              <w:t>Liabilities arising from derivatives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w:t>
            </w:r>
            <w:r w:rsidR="00F77C4A">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ed secured liabilities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w:t>
            </w:r>
            <w:r w:rsidR="001C2AD6" w:rsidRPr="00D92B3C">
              <w:rPr>
                <w:rFonts w:ascii="Times New Roman" w:eastAsia="Cambria" w:hAnsi="Times New Roman" w:cs="Times New Roman"/>
                <w:color w:val="000000" w:themeColor="text1"/>
                <w:spacing w:val="-2"/>
                <w:w w:val="95"/>
                <w:sz w:val="20"/>
                <w:szCs w:val="20"/>
                <w:lang w:val="en-GB"/>
              </w:rPr>
              <w:tab/>
            </w:r>
            <w:r w:rsidR="001C2AD6">
              <w:rPr>
                <w:rFonts w:ascii="Times New Roman" w:eastAsia="Cambria" w:hAnsi="Times New Roman" w:cs="Times New Roman"/>
                <w:color w:val="000000" w:themeColor="text1"/>
                <w:spacing w:val="-2"/>
                <w:w w:val="95"/>
                <w:sz w:val="20"/>
                <w:szCs w:val="20"/>
                <w:lang w:val="en-GB"/>
              </w:rPr>
              <w:t>S</w:t>
            </w:r>
            <w:r w:rsidR="001C2AD6" w:rsidRPr="00D92B3C">
              <w:rPr>
                <w:rFonts w:ascii="Times New Roman" w:eastAsia="Cambria" w:hAnsi="Times New Roman" w:cs="Times New Roman"/>
                <w:color w:val="000000" w:themeColor="text1"/>
                <w:spacing w:val="-2"/>
                <w:w w:val="95"/>
                <w:sz w:val="20"/>
                <w:szCs w:val="20"/>
                <w:lang w:val="en-GB"/>
              </w:rPr>
              <w:t xml:space="preserve">enior </w:t>
            </w:r>
            <w:r w:rsidRPr="00D92B3C">
              <w:rPr>
                <w:rFonts w:ascii="Times New Roman" w:eastAsia="Cambria" w:hAnsi="Times New Roman" w:cs="Times New Roman"/>
                <w:color w:val="000000" w:themeColor="text1"/>
                <w:spacing w:val="-2"/>
                <w:w w:val="95"/>
                <w:sz w:val="20"/>
                <w:szCs w:val="20"/>
                <w:lang w:val="en-GB"/>
              </w:rPr>
              <w:t>non-preferred liabilities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w:t>
            </w:r>
            <w:r w:rsidR="001C2AD6">
              <w:rPr>
                <w:rFonts w:ascii="Times New Roman" w:eastAsia="Cambria" w:hAnsi="Times New Roman" w:cs="Times New Roman"/>
                <w:color w:val="000000" w:themeColor="text1"/>
                <w:spacing w:val="-2"/>
                <w:w w:val="95"/>
                <w:sz w:val="20"/>
                <w:szCs w:val="20"/>
                <w:lang w:val="en-GB"/>
              </w:rPr>
              <w:t>os</w:t>
            </w:r>
            <w:r w:rsidRPr="00D92B3C">
              <w:rPr>
                <w:rFonts w:ascii="Times New Roman" w:eastAsia="Cambria" w:hAnsi="Times New Roman" w:cs="Times New Roman"/>
                <w:color w:val="000000" w:themeColor="text1"/>
                <w:spacing w:val="-2"/>
                <w:w w:val="95"/>
                <w:sz w:val="20"/>
                <w:szCs w:val="20"/>
                <w:lang w:val="en-GB"/>
              </w:rPr>
              <w:t xml:space="preserve">e types,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w:t>
            </w:r>
            <w:r w:rsidR="00222E4F" w:rsidRPr="00D92B3C">
              <w:rPr>
                <w:rFonts w:ascii="Times New Roman" w:eastAsia="Cambria" w:hAnsi="Times New Roman" w:cs="Times New Roman"/>
                <w:color w:val="000000" w:themeColor="text1"/>
                <w:spacing w:val="-2"/>
                <w:w w:val="95"/>
                <w:sz w:val="20"/>
                <w:szCs w:val="20"/>
                <w:lang w:val="en-GB"/>
              </w:rPr>
              <w:t>pr</w:t>
            </w:r>
            <w:r w:rsidR="00222E4F">
              <w:rPr>
                <w:rFonts w:ascii="Times New Roman" w:eastAsia="Cambria" w:hAnsi="Times New Roman" w:cs="Times New Roman"/>
                <w:color w:val="000000" w:themeColor="text1"/>
                <w:spacing w:val="-2"/>
                <w:w w:val="95"/>
                <w:sz w:val="20"/>
                <w:szCs w:val="20"/>
                <w:lang w:val="en-GB"/>
              </w:rPr>
              <w:t>ovided</w:t>
            </w:r>
            <w:r w:rsidR="00222E4F"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in template</w:t>
            </w:r>
            <w:r w:rsidR="001C2AD6">
              <w:rPr>
                <w:rFonts w:ascii="Times New Roman" w:eastAsia="Cambria" w:hAnsi="Times New Roman" w:cs="Times New Roman"/>
                <w:color w:val="000000" w:themeColor="text1"/>
                <w:spacing w:val="-2"/>
                <w:w w:val="95"/>
                <w:sz w:val="20"/>
                <w:szCs w:val="20"/>
                <w:lang w:val="en-GB"/>
              </w:rPr>
              <w:t> </w:t>
            </w:r>
            <w:r w:rsidR="00F7117F" w:rsidRPr="00D92B3C">
              <w:rPr>
                <w:rFonts w:ascii="Times New Roman" w:eastAsia="Cambria" w:hAnsi="Times New Roman" w:cs="Times New Roman"/>
                <w:color w:val="000000" w:themeColor="text1"/>
                <w:spacing w:val="-2"/>
                <w:w w:val="95"/>
                <w:sz w:val="20"/>
                <w:szCs w:val="20"/>
                <w:lang w:val="en-GB"/>
              </w:rPr>
              <w:t>Z</w:t>
            </w:r>
            <w:r w:rsidR="001C2AD6">
              <w:rPr>
                <w:rFonts w:ascii="Times New Roman" w:eastAsia="Cambria" w:hAnsi="Times New Roman" w:cs="Times New Roman"/>
                <w:color w:val="000000" w:themeColor="text1"/>
                <w:spacing w:val="-2"/>
                <w:w w:val="95"/>
                <w:sz w:val="20"/>
                <w:szCs w:val="20"/>
                <w:lang w:val="en-GB"/>
              </w:rPr>
              <w:t> </w:t>
            </w:r>
            <w:r w:rsidR="00F61BD8" w:rsidRPr="00D92B3C">
              <w:rPr>
                <w:rFonts w:ascii="Times New Roman" w:eastAsia="Cambria" w:hAnsi="Times New Roman" w:cs="Times New Roman"/>
                <w:color w:val="000000" w:themeColor="text1"/>
                <w:spacing w:val="-2"/>
                <w:w w:val="95"/>
                <w:sz w:val="20"/>
                <w:szCs w:val="20"/>
                <w:lang w:val="en-GB"/>
              </w:rPr>
              <w:t>0</w:t>
            </w:r>
            <w:r w:rsidR="00F61BD8">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14:paraId="3AE50F86"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0091547C" w14:textId="77777777"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60 of this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w:t>
            </w:r>
            <w:r w:rsidR="002945F0">
              <w:rPr>
                <w:rFonts w:ascii="Times New Roman" w:hAnsi="Times New Roman" w:cs="Times New Roman"/>
                <w:b/>
                <w:bCs/>
                <w:color w:val="000000" w:themeColor="text1"/>
                <w:sz w:val="20"/>
                <w:szCs w:val="20"/>
                <w:lang w:val="en-GB"/>
              </w:rPr>
              <w:t>y</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w:t>
            </w:r>
            <w:r w:rsidR="00F61BD8">
              <w:rPr>
                <w:rFonts w:ascii="Times New Roman" w:eastAsia="Cambria" w:hAnsi="Times New Roman" w:cs="Times New Roman"/>
                <w:color w:val="000000" w:themeColor="text1"/>
                <w:spacing w:val="-2"/>
                <w:w w:val="95"/>
                <w:sz w:val="20"/>
                <w:szCs w:val="20"/>
                <w:lang w:val="en-GB"/>
              </w:rPr>
              <w:t>ies</w:t>
            </w:r>
            <w:r w:rsidRPr="00D92B3C">
              <w:rPr>
                <w:rFonts w:ascii="Times New Roman" w:eastAsia="Cambria" w:hAnsi="Times New Roman" w:cs="Times New Roman"/>
                <w:color w:val="000000" w:themeColor="text1"/>
                <w:spacing w:val="-2"/>
                <w:w w:val="95"/>
                <w:sz w:val="20"/>
                <w:szCs w:val="20"/>
                <w:lang w:val="en-GB"/>
              </w:rPr>
              <w:t>.</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are then ranked by aggregate amount in order to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w:t>
            </w:r>
            <w:r w:rsidRPr="006B7C3C">
              <w:rPr>
                <w:rFonts w:ascii="Times New Roman" w:eastAsia="Cambria" w:hAnsi="Times New Roman" w:cs="Times New Roman"/>
                <w:color w:val="000000" w:themeColor="text1"/>
                <w:spacing w:val="-2"/>
                <w:w w:val="95"/>
                <w:sz w:val="20"/>
                <w:szCs w:val="20"/>
                <w:lang w:val="en-GB"/>
              </w:rPr>
              <w:t xml:space="preserve">off-balance sheet </w:t>
            </w:r>
            <w:r w:rsidR="00C10307">
              <w:rPr>
                <w:rFonts w:ascii="Times New Roman" w:eastAsia="Cambria" w:hAnsi="Times New Roman" w:cs="Times New Roman"/>
                <w:color w:val="000000" w:themeColor="text1"/>
                <w:spacing w:val="-2"/>
                <w:w w:val="95"/>
                <w:sz w:val="20"/>
                <w:szCs w:val="20"/>
                <w:lang w:val="en-GB"/>
              </w:rPr>
              <w:t>item</w:t>
            </w:r>
            <w:r w:rsidRPr="00D92B3C">
              <w:rPr>
                <w:rFonts w:ascii="Times New Roman" w:eastAsia="Cambria" w:hAnsi="Times New Roman" w:cs="Times New Roman"/>
                <w:color w:val="000000" w:themeColor="text1"/>
                <w:spacing w:val="-2"/>
                <w:w w:val="95"/>
                <w:sz w:val="20"/>
                <w:szCs w:val="20"/>
                <w:lang w:val="en-GB"/>
              </w:rPr>
              <w:t xml:space="preserv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 </w:t>
            </w:r>
            <w:r w:rsidRPr="006B7C3C">
              <w:rPr>
                <w:rFonts w:ascii="Times New Roman" w:eastAsia="Cambria" w:hAnsi="Times New Roman" w:cs="Times New Roman"/>
                <w:color w:val="000000" w:themeColor="text1"/>
                <w:spacing w:val="-2"/>
                <w:w w:val="95"/>
                <w:sz w:val="20"/>
                <w:szCs w:val="20"/>
                <w:lang w:val="en-GB"/>
              </w:rPr>
              <w:t>off-balance sheet items re</w:t>
            </w:r>
            <w:r w:rsidR="001F7600" w:rsidRPr="006B7C3C">
              <w:rPr>
                <w:rFonts w:ascii="Times New Roman" w:eastAsia="Cambria" w:hAnsi="Times New Roman" w:cs="Times New Roman"/>
                <w:color w:val="000000" w:themeColor="text1"/>
                <w:spacing w:val="-2"/>
                <w:w w:val="95"/>
                <w:sz w:val="20"/>
                <w:szCs w:val="20"/>
                <w:lang w:val="en-GB"/>
              </w:rPr>
              <w:t>ceived</w:t>
            </w:r>
            <w:r w:rsidR="001F7600" w:rsidRPr="00D92B3C">
              <w:rPr>
                <w:rFonts w:ascii="Times New Roman" w:eastAsia="Cambria" w:hAnsi="Times New Roman" w:cs="Times New Roman"/>
                <w:color w:val="000000" w:themeColor="text1"/>
                <w:spacing w:val="-2"/>
                <w:w w:val="95"/>
                <w:sz w:val="20"/>
                <w:szCs w:val="20"/>
                <w:lang w:val="en-GB"/>
              </w:rPr>
              <w:t xml:space="preserve">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onsist of more than one of th</w:t>
            </w:r>
            <w:r w:rsidR="00C10307">
              <w:rPr>
                <w:rFonts w:ascii="Times New Roman" w:eastAsia="Cambria" w:hAnsi="Times New Roman" w:cs="Times New Roman"/>
                <w:color w:val="000000" w:themeColor="text1"/>
                <w:spacing w:val="-2"/>
                <w:w w:val="95"/>
                <w:sz w:val="20"/>
                <w:szCs w:val="20"/>
                <w:lang w:val="en-GB"/>
              </w:rPr>
              <w:t>os</w:t>
            </w:r>
            <w:r w:rsidRPr="00D92B3C">
              <w:rPr>
                <w:rFonts w:ascii="Times New Roman" w:eastAsia="Cambria" w:hAnsi="Times New Roman" w:cs="Times New Roman"/>
                <w:color w:val="000000" w:themeColor="text1"/>
                <w:spacing w:val="-2"/>
                <w:w w:val="95"/>
                <w:sz w:val="20"/>
                <w:szCs w:val="20"/>
                <w:lang w:val="en-GB"/>
              </w:rPr>
              <w:t xml:space="preserve">e types,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9" w:name="_Toc492542326"/>
      <w:bookmarkStart w:id="20" w:name="_Toc509909044"/>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19"/>
      <w:bookmarkEnd w:id="20"/>
    </w:p>
    <w:p w14:paraId="3E891384" w14:textId="77777777" w:rsidR="008F7980" w:rsidRPr="00D92B3C" w:rsidRDefault="006A7DCF" w:rsidP="00715DAB">
      <w:pPr>
        <w:pStyle w:val="Instructionsberschrift3"/>
        <w:rPr>
          <w:lang w:val="en-GB"/>
        </w:rPr>
      </w:pPr>
      <w:r w:rsidRPr="00D92B3C">
        <w:rPr>
          <w:lang w:val="en-GB"/>
        </w:rPr>
        <w:t>General remarks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lang w:val="en-GB"/>
        </w:rPr>
      </w:pPr>
      <w:bookmarkStart w:id="21" w:name="_Hlk89264673"/>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0B4A2F">
        <w:rPr>
          <w:rFonts w:ascii="Times New Roman" w:hAnsi="Times New Roman" w:cs="Times New Roman"/>
          <w:sz w:val="20"/>
          <w:szCs w:val="20"/>
          <w:lang w:val="en-GB"/>
        </w:rPr>
        <w:t>. A</w:t>
      </w:r>
      <w:r w:rsidR="00214867" w:rsidRPr="00D92B3C">
        <w:rPr>
          <w:rFonts w:ascii="Times New Roman" w:hAnsi="Times New Roman" w:cs="Times New Roman"/>
          <w:sz w:val="20"/>
          <w:szCs w:val="20"/>
          <w:lang w:val="en-GB"/>
        </w:rPr>
        <w:t xml:space="preserve"> </w:t>
      </w:r>
      <w:r w:rsidR="007C68DA">
        <w:rPr>
          <w:rFonts w:ascii="Times New Roman" w:hAnsi="Times New Roman" w:cs="Times New Roman"/>
          <w:sz w:val="20"/>
          <w:szCs w:val="20"/>
          <w:lang w:val="en-GB"/>
        </w:rPr>
        <w:t>d</w:t>
      </w:r>
      <w:r w:rsidR="00C10307" w:rsidRPr="00D92B3C">
        <w:rPr>
          <w:rFonts w:ascii="Times New Roman" w:hAnsi="Times New Roman" w:cs="Times New Roman"/>
          <w:sz w:val="20"/>
          <w:szCs w:val="20"/>
          <w:lang w:val="en-GB"/>
        </w:rPr>
        <w:t xml:space="preserve">eposit </w:t>
      </w:r>
      <w:r w:rsidR="007C68DA">
        <w:rPr>
          <w:rFonts w:ascii="Times New Roman" w:hAnsi="Times New Roman" w:cs="Times New Roman"/>
          <w:sz w:val="20"/>
          <w:szCs w:val="20"/>
          <w:lang w:val="en-GB"/>
        </w:rPr>
        <w:t>g</w:t>
      </w:r>
      <w:r w:rsidR="00C10307" w:rsidRPr="00D92B3C">
        <w:rPr>
          <w:rFonts w:ascii="Times New Roman" w:hAnsi="Times New Roman" w:cs="Times New Roman"/>
          <w:sz w:val="20"/>
          <w:szCs w:val="20"/>
          <w:lang w:val="en-GB"/>
        </w:rPr>
        <w:t xml:space="preserve">uarantee </w:t>
      </w:r>
      <w:r w:rsidR="007C68DA">
        <w:rPr>
          <w:rFonts w:ascii="Times New Roman" w:hAnsi="Times New Roman" w:cs="Times New Roman"/>
          <w:sz w:val="20"/>
          <w:szCs w:val="20"/>
          <w:lang w:val="en-GB"/>
        </w:rPr>
        <w:t>s</w:t>
      </w:r>
      <w:r w:rsidR="00C10307" w:rsidRPr="00D92B3C">
        <w:rPr>
          <w:rFonts w:ascii="Times New Roman" w:hAnsi="Times New Roman" w:cs="Times New Roman"/>
          <w:sz w:val="20"/>
          <w:szCs w:val="20"/>
          <w:lang w:val="en-GB"/>
        </w:rPr>
        <w:t xml:space="preserve">cheme </w:t>
      </w:r>
      <w:r w:rsidR="00833A75">
        <w:rPr>
          <w:rFonts w:ascii="Times New Roman" w:hAnsi="Times New Roman" w:cs="Times New Roman"/>
          <w:sz w:val="20"/>
          <w:szCs w:val="20"/>
          <w:lang w:val="en-GB"/>
        </w:rPr>
        <w:t xml:space="preserve">(DGS) </w:t>
      </w:r>
      <w:r w:rsidR="000B4A2F">
        <w:rPr>
          <w:rFonts w:ascii="Times New Roman" w:hAnsi="Times New Roman" w:cs="Times New Roman"/>
          <w:sz w:val="20"/>
          <w:szCs w:val="20"/>
          <w:lang w:val="en-GB"/>
        </w:rPr>
        <w:t xml:space="preserve">shall be reported in this template, if a </w:t>
      </w:r>
      <w:r w:rsidR="005A358B" w:rsidRPr="00D92B3C">
        <w:rPr>
          <w:rFonts w:ascii="Times New Roman" w:hAnsi="Times New Roman" w:cs="Times New Roman"/>
          <w:sz w:val="20"/>
          <w:szCs w:val="20"/>
          <w:lang w:val="en-GB"/>
        </w:rPr>
        <w:t>relevant legal entit</w:t>
      </w:r>
      <w:r w:rsidR="000B4A2F">
        <w:rPr>
          <w:rFonts w:ascii="Times New Roman" w:hAnsi="Times New Roman" w:cs="Times New Roman"/>
          <w:sz w:val="20"/>
          <w:szCs w:val="20"/>
          <w:lang w:val="en-GB"/>
        </w:rPr>
        <w:t>y of the group</w:t>
      </w:r>
      <w:r w:rsidR="005A358B" w:rsidRPr="00D92B3C">
        <w:rPr>
          <w:rFonts w:ascii="Times New Roman" w:hAnsi="Times New Roman" w:cs="Times New Roman"/>
          <w:sz w:val="20"/>
          <w:szCs w:val="20"/>
          <w:lang w:val="en-GB"/>
        </w:rPr>
        <w:t xml:space="preserve"> </w:t>
      </w:r>
      <w:r w:rsidR="000B4A2F">
        <w:rPr>
          <w:rFonts w:ascii="Times New Roman" w:hAnsi="Times New Roman" w:cs="Times New Roman"/>
          <w:sz w:val="20"/>
          <w:szCs w:val="20"/>
          <w:lang w:val="en-GB"/>
        </w:rPr>
        <w:t>is</w:t>
      </w:r>
      <w:r w:rsidR="000B4A2F" w:rsidRPr="00D92B3C">
        <w:rPr>
          <w:rFonts w:ascii="Times New Roman" w:hAnsi="Times New Roman" w:cs="Times New Roman"/>
          <w:sz w:val="20"/>
          <w:szCs w:val="20"/>
          <w:lang w:val="en-GB"/>
        </w:rPr>
        <w:t xml:space="preserve"> </w:t>
      </w:r>
      <w:r w:rsidR="005A358B" w:rsidRPr="00D92B3C">
        <w:rPr>
          <w:rFonts w:ascii="Times New Roman" w:hAnsi="Times New Roman" w:cs="Times New Roman"/>
          <w:sz w:val="20"/>
          <w:szCs w:val="20"/>
          <w:lang w:val="en-GB"/>
        </w:rPr>
        <w:t>a member</w:t>
      </w:r>
      <w:r w:rsidR="000B4A2F">
        <w:rPr>
          <w:rFonts w:ascii="Times New Roman" w:hAnsi="Times New Roman" w:cs="Times New Roman"/>
          <w:sz w:val="20"/>
          <w:szCs w:val="20"/>
          <w:lang w:val="en-GB"/>
        </w:rPr>
        <w:t xml:space="preserve"> of it</w:t>
      </w:r>
      <w:r w:rsidR="00787E64" w:rsidRPr="00D92B3C">
        <w:rPr>
          <w:rFonts w:ascii="Times New Roman" w:hAnsi="Times New Roman" w:cs="Times New Roman"/>
          <w:sz w:val="20"/>
          <w:szCs w:val="20"/>
          <w:lang w:val="en-GB"/>
        </w:rPr>
        <w:t>.</w:t>
      </w:r>
    </w:p>
    <w:bookmarkEnd w:id="21"/>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w:t>
      </w:r>
      <w:r w:rsidR="00833A75">
        <w:rPr>
          <w:rFonts w:ascii="Times New Roman" w:hAnsi="Times New Roman" w:cs="Times New Roman"/>
          <w:sz w:val="20"/>
          <w:szCs w:val="20"/>
          <w:lang w:val="en-GB"/>
        </w:rPr>
        <w:t xml:space="preserve">the </w:t>
      </w:r>
      <w:r w:rsidRPr="00D92B3C">
        <w:rPr>
          <w:rFonts w:ascii="Times New Roman" w:hAnsi="Times New Roman" w:cs="Times New Roman"/>
          <w:sz w:val="20"/>
          <w:szCs w:val="20"/>
          <w:lang w:val="en-GB"/>
        </w:rPr>
        <w:t>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14:paraId="039239B2" w14:textId="77777777"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has to be unique for each row in the template.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w:t>
            </w:r>
            <w:r w:rsidR="00C10307">
              <w:rPr>
                <w:rFonts w:ascii="Times New Roman" w:eastAsia="Cambria" w:hAnsi="Times New Roman" w:cs="Times New Roman"/>
                <w:color w:val="000000" w:themeColor="text1"/>
                <w:spacing w:val="-2"/>
                <w:w w:val="95"/>
                <w:sz w:val="20"/>
                <w:szCs w:val="20"/>
                <w:lang w:val="en-GB"/>
              </w:rPr>
              <w:t>under</w:t>
            </w:r>
            <w:r w:rsidRPr="00D92B3C">
              <w:rPr>
                <w:rFonts w:ascii="Times New Roman" w:eastAsia="Cambria" w:hAnsi="Times New Roman" w:cs="Times New Roman"/>
                <w:color w:val="000000" w:themeColor="text1"/>
                <w:spacing w:val="-2"/>
                <w:w w:val="95"/>
                <w:sz w:val="20"/>
                <w:szCs w:val="20"/>
                <w:lang w:val="en-GB"/>
              </w:rPr>
              <w:t xml:space="preserv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512AAF">
              <w:rPr>
                <w:rFonts w:ascii="Times New Roman" w:eastAsia="Cambria" w:hAnsi="Times New Roman" w:cs="Times New Roman"/>
                <w:color w:val="000000" w:themeColor="text1"/>
                <w:spacing w:val="-2"/>
                <w:w w:val="95"/>
                <w:sz w:val="20"/>
                <w:szCs w:val="20"/>
                <w:lang w:val="en-GB"/>
              </w:rPr>
              <w:t>e</w:t>
            </w:r>
            <w:r w:rsidR="00512AAF"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w:t>
            </w:r>
            <w:r w:rsidR="00512AAF">
              <w:rPr>
                <w:rFonts w:ascii="Times New Roman" w:eastAsia="Cambria" w:hAnsi="Times New Roman" w:cs="Times New Roman"/>
                <w:color w:val="000000" w:themeColor="text1"/>
                <w:spacing w:val="-2"/>
                <w:w w:val="95"/>
                <w:sz w:val="20"/>
                <w:szCs w:val="20"/>
                <w:lang w:val="en-GB"/>
              </w:rPr>
              <w:t xml:space="preserve">a </w:t>
            </w:r>
            <w:r w:rsidR="00150664" w:rsidRPr="00D92B3C">
              <w:rPr>
                <w:rFonts w:ascii="Times New Roman" w:eastAsia="Cambria" w:hAnsi="Times New Roman" w:cs="Times New Roman"/>
                <w:color w:val="000000" w:themeColor="text1"/>
                <w:spacing w:val="-2"/>
                <w:w w:val="95"/>
                <w:sz w:val="20"/>
                <w:szCs w:val="20"/>
                <w:lang w:val="en-GB"/>
              </w:rPr>
              <w:t>member of an IPS which is also official</w:t>
            </w:r>
            <w:r w:rsidR="00512AAF">
              <w:rPr>
                <w:rFonts w:ascii="Times New Roman" w:eastAsia="Cambria" w:hAnsi="Times New Roman" w:cs="Times New Roman"/>
                <w:color w:val="000000" w:themeColor="text1"/>
                <w:spacing w:val="-2"/>
                <w:w w:val="95"/>
                <w:sz w:val="20"/>
                <w:szCs w:val="20"/>
                <w:lang w:val="en-GB"/>
              </w:rPr>
              <w:t>ly</w:t>
            </w:r>
            <w:r w:rsidR="00150664" w:rsidRPr="00D92B3C">
              <w:rPr>
                <w:rFonts w:ascii="Times New Roman" w:eastAsia="Cambria" w:hAnsi="Times New Roman" w:cs="Times New Roman"/>
                <w:color w:val="000000" w:themeColor="text1"/>
                <w:spacing w:val="-2"/>
                <w:w w:val="95"/>
                <w:sz w:val="20"/>
                <w:szCs w:val="20"/>
                <w:lang w:val="en-GB"/>
              </w:rPr>
              <w:t xml:space="preserve">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or each country of incorporation of the entity</w:t>
            </w:r>
            <w:r>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Pr>
                <w:rFonts w:ascii="Times New Roman" w:eastAsia="Cambria" w:hAnsi="Times New Roman" w:cs="Times New Roman"/>
                <w:color w:val="000000" w:themeColor="text1"/>
                <w:spacing w:val="-2"/>
                <w:w w:val="95"/>
                <w:sz w:val="20"/>
                <w:szCs w:val="20"/>
                <w:lang w:val="en-GB"/>
              </w:rPr>
              <w:t>t</w:t>
            </w:r>
            <w:r w:rsidR="004842F3" w:rsidRPr="00D92B3C">
              <w:rPr>
                <w:rFonts w:ascii="Times New Roman" w:eastAsia="Cambria" w:hAnsi="Times New Roman" w:cs="Times New Roman"/>
                <w:color w:val="000000" w:themeColor="text1"/>
                <w:spacing w:val="-2"/>
                <w:w w:val="95"/>
                <w:sz w:val="20"/>
                <w:szCs w:val="20"/>
                <w:lang w:val="en-GB"/>
              </w:rPr>
              <w:t>he DGS shall be chosen among the following:</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C518B0">
              <w:rPr>
                <w:rFonts w:ascii="Times New Roman" w:eastAsia="Cambria" w:hAnsi="Times New Roman" w:cs="Times New Roman"/>
                <w:color w:val="000000" w:themeColor="text1"/>
                <w:spacing w:val="-2"/>
                <w:w w:val="95"/>
                <w:sz w:val="20"/>
                <w:szCs w:val="20"/>
                <w:lang w:val="de-DE"/>
              </w:rPr>
              <w:t>Einlagensicherung AUSTRIA Ges.m.b.H.</w:t>
            </w:r>
            <w:r w:rsidRPr="00C518B0" w:rsidDel="006049D9">
              <w:rPr>
                <w:rFonts w:ascii="Times New Roman" w:eastAsia="Cambria" w:hAnsi="Times New Roman" w:cs="Times New Roman"/>
                <w:color w:val="000000" w:themeColor="text1"/>
                <w:spacing w:val="-2"/>
                <w:w w:val="95"/>
                <w:sz w:val="20"/>
                <w:szCs w:val="20"/>
                <w:lang w:val="de-DE"/>
              </w:rPr>
              <w:t xml:space="preserve">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sidRPr="00C518B0">
              <w:rPr>
                <w:rFonts w:ascii="Times New Roman" w:eastAsia="Cambria" w:hAnsi="Times New Roman" w:cs="Times New Roman"/>
                <w:color w:val="000000" w:themeColor="text1"/>
                <w:spacing w:val="-2"/>
                <w:w w:val="95"/>
                <w:sz w:val="20"/>
                <w:szCs w:val="20"/>
                <w:lang w:val="en-GB"/>
              </w:rPr>
              <w:lastRenderedPageBreak/>
              <w:t>‘</w:t>
            </w:r>
            <w:r w:rsidR="004842F3" w:rsidRPr="00C518B0">
              <w:rPr>
                <w:rFonts w:ascii="Times New Roman" w:eastAsia="Cambria" w:hAnsi="Times New Roman" w:cs="Times New Roman"/>
                <w:color w:val="000000" w:themeColor="text1"/>
                <w:spacing w:val="-2"/>
                <w:w w:val="95"/>
                <w:sz w:val="20"/>
                <w:szCs w:val="20"/>
                <w:lang w:val="en-GB"/>
              </w:rPr>
              <w:t xml:space="preserve">Sparkassen-Haftungs </w:t>
            </w:r>
            <w:r w:rsidR="006049D9" w:rsidRPr="00C518B0">
              <w:rPr>
                <w:rFonts w:ascii="Times New Roman" w:eastAsia="Cambria" w:hAnsi="Times New Roman" w:cs="Times New Roman"/>
                <w:color w:val="000000" w:themeColor="text1"/>
                <w:spacing w:val="-2"/>
                <w:w w:val="95"/>
                <w:sz w:val="20"/>
                <w:szCs w:val="20"/>
                <w:lang w:val="en-GB"/>
              </w:rPr>
              <w:t>GmbH</w:t>
            </w:r>
            <w:r w:rsidRPr="00C518B0">
              <w:rPr>
                <w:rFonts w:ascii="Times New Roman" w:eastAsia="Cambria" w:hAnsi="Times New Roman" w:cs="Times New Roman"/>
                <w:color w:val="000000" w:themeColor="text1"/>
                <w:spacing w:val="-2"/>
                <w:w w:val="95"/>
                <w:sz w:val="20"/>
                <w:szCs w:val="20"/>
                <w:lang w:val="en-GB"/>
              </w:rPr>
              <w:t>’</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Belgium</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Garantiefonds voor financiële diensten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Фондът за гарантиране на влоговете в банките</w:t>
            </w:r>
            <w:r>
              <w:rPr>
                <w:rFonts w:ascii="Times New Roman" w:eastAsia="Cambria" w:hAnsi="Times New Roman" w:cs="Times New Roman"/>
                <w:color w:val="000000" w:themeColor="text1"/>
                <w:spacing w:val="-2"/>
                <w:w w:val="95"/>
                <w:sz w:val="20"/>
                <w:szCs w:val="20"/>
                <w:lang w:val="en-GB"/>
              </w:rPr>
              <w:t>'</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Državna agencija za osiguranje štednih uloga i sanaciju banaka</w:t>
            </w:r>
            <w:r>
              <w:rPr>
                <w:rFonts w:ascii="Times New Roman" w:eastAsia="Cambria" w:hAnsi="Times New Roman" w:cs="Times New Roman"/>
                <w:color w:val="000000" w:themeColor="text1"/>
                <w:spacing w:val="-2"/>
                <w:w w:val="95"/>
                <w:sz w:val="20"/>
                <w:szCs w:val="20"/>
                <w:lang w:val="en-GB"/>
              </w:rPr>
              <w:t>’</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l-GR"/>
              </w:rPr>
            </w:pPr>
            <w:r w:rsidRPr="008F7393">
              <w:rPr>
                <w:rFonts w:ascii="Times New Roman" w:eastAsia="Cambria" w:hAnsi="Times New Roman" w:cs="Times New Roman"/>
                <w:color w:val="000000" w:themeColor="text1"/>
                <w:spacing w:val="-2"/>
                <w:w w:val="95"/>
                <w:sz w:val="20"/>
                <w:szCs w:val="20"/>
                <w:lang w:val="el-GR"/>
              </w:rPr>
              <w:t>‘</w:t>
            </w:r>
            <w:r w:rsidR="004842F3" w:rsidRPr="008F7393">
              <w:rPr>
                <w:rFonts w:ascii="Times New Roman" w:eastAsia="Cambria" w:hAnsi="Times New Roman" w:cs="Times New Roman"/>
                <w:color w:val="000000" w:themeColor="text1"/>
                <w:spacing w:val="-2"/>
                <w:w w:val="95"/>
                <w:sz w:val="20"/>
                <w:szCs w:val="20"/>
                <w:lang w:val="el-GR"/>
              </w:rPr>
              <w:t>Σύστημα Εγγύησης των Καταθέσεων και Εξυγίανσης Πιστωτικών και Άλλων Ιδρυμάτων</w:t>
            </w:r>
            <w:r w:rsidRPr="008F7393">
              <w:rPr>
                <w:rFonts w:ascii="Times New Roman" w:eastAsia="Cambria" w:hAnsi="Times New Roman" w:cs="Times New Roman"/>
                <w:color w:val="000000" w:themeColor="text1"/>
                <w:spacing w:val="-2"/>
                <w:w w:val="95"/>
                <w:sz w:val="20"/>
                <w:szCs w:val="20"/>
                <w:lang w:val="el-GR"/>
              </w:rPr>
              <w:t>’</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Garanční systém finančního trhu</w:t>
            </w:r>
            <w:r>
              <w:rPr>
                <w:rFonts w:ascii="Times New Roman" w:eastAsia="Cambria" w:hAnsi="Times New Roman" w:cs="Times New Roman"/>
                <w:color w:val="000000" w:themeColor="text1"/>
                <w:spacing w:val="-2"/>
                <w:w w:val="95"/>
                <w:sz w:val="20"/>
                <w:szCs w:val="20"/>
                <w:lang w:val="en-GB"/>
              </w:rPr>
              <w:t>’</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Garantiformuen</w:t>
            </w:r>
            <w:r>
              <w:rPr>
                <w:rFonts w:ascii="Times New Roman" w:eastAsia="Cambria" w:hAnsi="Times New Roman" w:cs="Times New Roman"/>
                <w:color w:val="000000" w:themeColor="text1"/>
                <w:spacing w:val="-2"/>
                <w:w w:val="95"/>
                <w:sz w:val="20"/>
                <w:szCs w:val="20"/>
                <w:lang w:val="en-GB"/>
              </w:rPr>
              <w:t>’</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Tagatisfond</w:t>
            </w:r>
            <w:r>
              <w:rPr>
                <w:rFonts w:ascii="Times New Roman" w:eastAsia="Cambria" w:hAnsi="Times New Roman" w:cs="Times New Roman"/>
                <w:color w:val="000000" w:themeColor="text1"/>
                <w:spacing w:val="-2"/>
                <w:w w:val="95"/>
                <w:sz w:val="20"/>
                <w:szCs w:val="20"/>
                <w:lang w:val="en-GB"/>
              </w:rPr>
              <w:t>’</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Talletussuojarahasto</w:t>
            </w:r>
            <w:r>
              <w:rPr>
                <w:rFonts w:ascii="Times New Roman" w:eastAsia="Cambria" w:hAnsi="Times New Roman" w:cs="Times New Roman"/>
                <w:color w:val="000000" w:themeColor="text1"/>
                <w:spacing w:val="-2"/>
                <w:w w:val="95"/>
                <w:sz w:val="20"/>
                <w:szCs w:val="20"/>
                <w:lang w:val="en-GB"/>
              </w:rPr>
              <w:t>’</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Entschädigungseinrichtung deutscher Banken GmbH</w:t>
            </w:r>
            <w:r>
              <w:rPr>
                <w:rFonts w:ascii="Times New Roman" w:eastAsia="Cambria" w:hAnsi="Times New Roman" w:cs="Times New Roman"/>
                <w:color w:val="000000" w:themeColor="text1"/>
                <w:spacing w:val="-2"/>
                <w:w w:val="95"/>
                <w:sz w:val="20"/>
                <w:szCs w:val="20"/>
                <w:lang w:val="en-GB"/>
              </w:rPr>
              <w:t>’</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Entschädigungseinrichtung des Bundesverbandes Öffentlicher Banken Deutschlands GmbH</w:t>
            </w:r>
            <w:r w:rsidRPr="008F7393">
              <w:rPr>
                <w:rFonts w:ascii="Times New Roman" w:eastAsia="Cambria" w:hAnsi="Times New Roman" w:cs="Times New Roman"/>
                <w:color w:val="000000" w:themeColor="text1"/>
                <w:spacing w:val="-2"/>
                <w:w w:val="95"/>
                <w:sz w:val="20"/>
                <w:szCs w:val="20"/>
                <w:lang w:val="de-DE"/>
              </w:rPr>
              <w:t>’</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Sicherungseinrichtung des Deutschen Sparkassen- und Giroverbandes (DSGV-Haftungsverbund)</w:t>
            </w:r>
            <w:r w:rsidRPr="008F7393">
              <w:rPr>
                <w:rFonts w:ascii="Times New Roman" w:eastAsia="Cambria" w:hAnsi="Times New Roman" w:cs="Times New Roman"/>
                <w:color w:val="000000" w:themeColor="text1"/>
                <w:spacing w:val="-2"/>
                <w:w w:val="95"/>
                <w:sz w:val="20"/>
                <w:szCs w:val="20"/>
                <w:lang w:val="de-DE"/>
              </w:rPr>
              <w:t>’</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BVR Institutssicherung GmbH</w:t>
            </w:r>
            <w:r>
              <w:rPr>
                <w:rFonts w:ascii="Times New Roman" w:eastAsia="Cambria" w:hAnsi="Times New Roman" w:cs="Times New Roman"/>
                <w:color w:val="000000" w:themeColor="text1"/>
                <w:spacing w:val="-2"/>
                <w:w w:val="95"/>
                <w:sz w:val="20"/>
                <w:szCs w:val="20"/>
                <w:lang w:val="en-GB"/>
              </w:rPr>
              <w:t>’</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Ταμείο Εγγύησης Καταθέσεων και Επενδύσεων</w:t>
            </w:r>
            <w:r>
              <w:rPr>
                <w:rFonts w:ascii="Times New Roman" w:eastAsia="Cambria" w:hAnsi="Times New Roman" w:cs="Times New Roman"/>
                <w:color w:val="000000" w:themeColor="text1"/>
                <w:spacing w:val="-2"/>
                <w:w w:val="95"/>
                <w:sz w:val="20"/>
                <w:szCs w:val="20"/>
                <w:lang w:val="en-GB"/>
              </w:rPr>
              <w:t>’</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Országos Betétbiztosítási Alap</w:t>
            </w:r>
            <w:r>
              <w:rPr>
                <w:rFonts w:ascii="Times New Roman" w:eastAsia="Cambria" w:hAnsi="Times New Roman" w:cs="Times New Roman"/>
                <w:color w:val="000000" w:themeColor="text1"/>
                <w:spacing w:val="-2"/>
                <w:w w:val="95"/>
                <w:sz w:val="20"/>
                <w:szCs w:val="20"/>
                <w:lang w:val="en-GB"/>
              </w:rPr>
              <w:t>’</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Tryggingarsjóður innstæðueigenda og fjárfesta</w:t>
            </w:r>
            <w:r>
              <w:rPr>
                <w:rFonts w:ascii="Times New Roman" w:eastAsia="Cambria" w:hAnsi="Times New Roman" w:cs="Times New Roman"/>
                <w:color w:val="000000" w:themeColor="text1"/>
                <w:spacing w:val="-2"/>
                <w:w w:val="95"/>
                <w:sz w:val="20"/>
                <w:szCs w:val="20"/>
                <w:lang w:val="en-GB"/>
              </w:rPr>
              <w:t>’</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Interbancario di Tutela dei Depositi</w:t>
            </w:r>
            <w:r w:rsidRPr="008F7393">
              <w:rPr>
                <w:rFonts w:ascii="Times New Roman" w:eastAsia="Cambria" w:hAnsi="Times New Roman" w:cs="Times New Roman"/>
                <w:color w:val="000000" w:themeColor="text1"/>
                <w:spacing w:val="-2"/>
                <w:w w:val="95"/>
                <w:sz w:val="20"/>
                <w:szCs w:val="20"/>
                <w:lang w:val="it-IT"/>
              </w:rPr>
              <w:t>’</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di Garanzia dei Depositanti del Credito Cooperativo</w:t>
            </w:r>
            <w:r w:rsidRPr="008F7393">
              <w:rPr>
                <w:rFonts w:ascii="Times New Roman" w:eastAsia="Cambria" w:hAnsi="Times New Roman" w:cs="Times New Roman"/>
                <w:color w:val="000000" w:themeColor="text1"/>
                <w:spacing w:val="-2"/>
                <w:w w:val="95"/>
                <w:sz w:val="20"/>
                <w:szCs w:val="20"/>
                <w:lang w:val="it-IT"/>
              </w:rPr>
              <w:t>’</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Latvijas Noguldījumu garantiju fonds</w:t>
            </w:r>
            <w:r>
              <w:rPr>
                <w:rFonts w:ascii="Times New Roman" w:eastAsia="Cambria" w:hAnsi="Times New Roman" w:cs="Times New Roman"/>
                <w:color w:val="000000" w:themeColor="text1"/>
                <w:spacing w:val="-2"/>
                <w:w w:val="95"/>
                <w:sz w:val="20"/>
                <w:szCs w:val="20"/>
                <w:lang w:val="en-GB"/>
              </w:rPr>
              <w:t>’</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lastRenderedPageBreak/>
              <w:t>‘</w:t>
            </w:r>
            <w:r w:rsidR="004842F3" w:rsidRPr="00D92B3C">
              <w:rPr>
                <w:rFonts w:ascii="Times New Roman" w:eastAsia="Cambria" w:hAnsi="Times New Roman" w:cs="Times New Roman"/>
                <w:color w:val="000000" w:themeColor="text1"/>
                <w:spacing w:val="-2"/>
                <w:w w:val="95"/>
                <w:sz w:val="20"/>
                <w:szCs w:val="20"/>
                <w:lang w:val="en-GB"/>
              </w:rPr>
              <w:t>Einlagensicherungs- und Anlegerentschädigungs-Stiftung SV</w:t>
            </w:r>
            <w:r>
              <w:rPr>
                <w:rFonts w:ascii="Times New Roman" w:eastAsia="Cambria" w:hAnsi="Times New Roman" w:cs="Times New Roman"/>
                <w:color w:val="000000" w:themeColor="text1"/>
                <w:spacing w:val="-2"/>
                <w:w w:val="95"/>
                <w:sz w:val="20"/>
                <w:szCs w:val="20"/>
                <w:lang w:val="en-GB"/>
              </w:rPr>
              <w:t>’</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Lithuania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Indėlių ir investicijų draudimas</w:t>
            </w:r>
            <w:r>
              <w:rPr>
                <w:rFonts w:ascii="Times New Roman" w:eastAsia="Cambria" w:hAnsi="Times New Roman" w:cs="Times New Roman"/>
                <w:color w:val="000000" w:themeColor="text1"/>
                <w:spacing w:val="-2"/>
                <w:w w:val="95"/>
                <w:sz w:val="20"/>
                <w:szCs w:val="20"/>
                <w:lang w:val="en-GB"/>
              </w:rPr>
              <w:t>’</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 Nederlandsche Bank, Depositogarantiestelsel</w:t>
            </w:r>
            <w:r>
              <w:rPr>
                <w:rFonts w:ascii="Times New Roman" w:eastAsia="Cambria" w:hAnsi="Times New Roman" w:cs="Times New Roman"/>
                <w:color w:val="000000" w:themeColor="text1"/>
                <w:spacing w:val="-2"/>
                <w:w w:val="95"/>
                <w:sz w:val="20"/>
                <w:szCs w:val="20"/>
                <w:lang w:val="en-GB"/>
              </w:rPr>
              <w:t>’</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Bankenes sikringsfond</w:t>
            </w:r>
            <w:r>
              <w:rPr>
                <w:rFonts w:ascii="Times New Roman" w:eastAsia="Cambria" w:hAnsi="Times New Roman" w:cs="Times New Roman"/>
                <w:color w:val="000000" w:themeColor="text1"/>
                <w:spacing w:val="-2"/>
                <w:w w:val="95"/>
                <w:sz w:val="20"/>
                <w:szCs w:val="20"/>
                <w:lang w:val="en-GB"/>
              </w:rPr>
              <w:t>’</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Bankowy Fundusz Gwarancyjny</w:t>
            </w:r>
            <w:r>
              <w:rPr>
                <w:rFonts w:ascii="Times New Roman" w:eastAsia="Cambria" w:hAnsi="Times New Roman" w:cs="Times New Roman"/>
                <w:color w:val="000000" w:themeColor="text1"/>
                <w:spacing w:val="-2"/>
                <w:w w:val="95"/>
                <w:sz w:val="20"/>
                <w:szCs w:val="20"/>
                <w:lang w:val="en-GB"/>
              </w:rPr>
              <w:t>’</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Fundo de Garantia de Depósitos</w:t>
            </w:r>
            <w:r>
              <w:rPr>
                <w:rFonts w:ascii="Times New Roman" w:eastAsia="Cambria" w:hAnsi="Times New Roman" w:cs="Times New Roman"/>
                <w:color w:val="000000" w:themeColor="text1"/>
                <w:spacing w:val="-2"/>
                <w:w w:val="95"/>
                <w:sz w:val="20"/>
                <w:szCs w:val="20"/>
                <w:lang w:val="en-GB"/>
              </w:rPr>
              <w:t>’</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90323D">
              <w:rPr>
                <w:rFonts w:ascii="Times New Roman" w:eastAsia="Cambria" w:hAnsi="Times New Roman" w:cs="Times New Roman"/>
                <w:color w:val="000000" w:themeColor="text1"/>
                <w:spacing w:val="-2"/>
                <w:w w:val="95"/>
                <w:sz w:val="20"/>
                <w:szCs w:val="20"/>
                <w:lang w:val="it-IT"/>
              </w:rPr>
              <w:t>‘</w:t>
            </w:r>
            <w:r w:rsidR="004842F3" w:rsidRPr="0090323D">
              <w:rPr>
                <w:rFonts w:ascii="Times New Roman" w:eastAsia="Cambria" w:hAnsi="Times New Roman" w:cs="Times New Roman"/>
                <w:color w:val="000000" w:themeColor="text1"/>
                <w:spacing w:val="-2"/>
                <w:w w:val="95"/>
                <w:sz w:val="20"/>
                <w:szCs w:val="20"/>
                <w:lang w:val="it-IT"/>
              </w:rPr>
              <w:t>Fondul de Garantare a Depozitelor Bancar</w:t>
            </w:r>
            <w:r w:rsidR="001E7C5B" w:rsidRPr="0090323D">
              <w:rPr>
                <w:rFonts w:ascii="Times New Roman" w:eastAsia="Cambria" w:hAnsi="Times New Roman" w:cs="Times New Roman"/>
                <w:color w:val="000000" w:themeColor="text1"/>
                <w:spacing w:val="-2"/>
                <w:w w:val="95"/>
                <w:sz w:val="20"/>
                <w:szCs w:val="20"/>
                <w:lang w:val="it-IT"/>
              </w:rPr>
              <w:t>e</w:t>
            </w:r>
            <w:r w:rsidRPr="0090323D">
              <w:rPr>
                <w:rFonts w:ascii="Times New Roman" w:eastAsia="Cambria" w:hAnsi="Times New Roman" w:cs="Times New Roman"/>
                <w:color w:val="000000" w:themeColor="text1"/>
                <w:spacing w:val="-2"/>
                <w:w w:val="95"/>
                <w:sz w:val="20"/>
                <w:szCs w:val="20"/>
                <w:lang w:val="it-IT"/>
              </w:rPr>
              <w:t>’</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 ochrany vkladov</w:t>
            </w:r>
            <w:r>
              <w:rPr>
                <w:rFonts w:ascii="Times New Roman" w:eastAsia="Cambria" w:hAnsi="Times New Roman" w:cs="Times New Roman"/>
                <w:color w:val="000000" w:themeColor="text1"/>
                <w:spacing w:val="-2"/>
                <w:w w:val="95"/>
                <w:sz w:val="20"/>
                <w:szCs w:val="20"/>
                <w:lang w:val="en-GB"/>
              </w:rPr>
              <w:t>’</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Banka Slovenije</w:t>
            </w:r>
            <w:r>
              <w:rPr>
                <w:rFonts w:ascii="Times New Roman" w:eastAsia="Cambria" w:hAnsi="Times New Roman" w:cs="Times New Roman"/>
                <w:color w:val="000000" w:themeColor="text1"/>
                <w:spacing w:val="-2"/>
                <w:w w:val="95"/>
                <w:sz w:val="20"/>
                <w:szCs w:val="20"/>
                <w:lang w:val="en-GB"/>
              </w:rPr>
              <w:t>’</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Fondo de Garantía de Depósitos de Entidades de Crédito</w:t>
            </w:r>
            <w:r>
              <w:rPr>
                <w:rFonts w:ascii="Times New Roman" w:eastAsia="Cambria" w:hAnsi="Times New Roman" w:cs="Times New Roman"/>
                <w:color w:val="000000" w:themeColor="text1"/>
                <w:spacing w:val="-2"/>
                <w:w w:val="95"/>
                <w:sz w:val="20"/>
                <w:szCs w:val="20"/>
                <w:lang w:val="fr-FR"/>
              </w:rPr>
              <w:t>’</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Riksgälden</w:t>
            </w:r>
            <w:r>
              <w:rPr>
                <w:rFonts w:ascii="Times New Roman" w:eastAsia="Cambria" w:hAnsi="Times New Roman" w:cs="Times New Roman"/>
                <w:color w:val="000000" w:themeColor="text1"/>
                <w:spacing w:val="-2"/>
                <w:w w:val="95"/>
                <w:sz w:val="20"/>
                <w:szCs w:val="20"/>
                <w:lang w:val="en-GB"/>
              </w:rPr>
              <w:t>’</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2(1)</w:t>
            </w:r>
            <w:r w:rsidR="0007155D">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(5)</w:t>
            </w:r>
            <w:r w:rsidR="0007155D">
              <w:rPr>
                <w:rFonts w:ascii="Times New Roman" w:eastAsia="Cambria" w:hAnsi="Times New Roman" w:cs="Times New Roman"/>
                <w:color w:val="000000" w:themeColor="text1"/>
                <w:spacing w:val="-2"/>
                <w:w w:val="95"/>
                <w:sz w:val="20"/>
                <w:szCs w:val="20"/>
                <w:lang w:val="en-GB"/>
              </w:rPr>
              <w:t>,</w:t>
            </w:r>
            <w:r w:rsidR="00201640" w:rsidRPr="00D92B3C">
              <w:rPr>
                <w:rFonts w:ascii="Times New Roman" w:eastAsia="Cambria" w:hAnsi="Times New Roman" w:cs="Times New Roman"/>
                <w:color w:val="000000" w:themeColor="text1"/>
                <w:spacing w:val="-2"/>
                <w:w w:val="95"/>
                <w:sz w:val="20"/>
                <w:szCs w:val="20"/>
                <w:lang w:val="en-GB"/>
              </w:rPr>
              <w:t xml:space="preserve"> and </w:t>
            </w:r>
            <w:r w:rsidR="0007155D">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w:t>
            </w:r>
            <w:r w:rsidR="0007155D" w:rsidRPr="00D92B3C">
              <w:rPr>
                <w:rFonts w:ascii="Times New Roman" w:eastAsia="Cambria" w:hAnsi="Times New Roman" w:cs="Times New Roman"/>
                <w:color w:val="000000" w:themeColor="text1"/>
                <w:spacing w:val="-2"/>
                <w:w w:val="95"/>
                <w:sz w:val="20"/>
                <w:szCs w:val="20"/>
                <w:lang w:val="en-GB"/>
              </w:rPr>
              <w:t>Article 2(1)</w:t>
            </w:r>
            <w:r w:rsidR="0007155D">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(5)</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 xml:space="preserve">in conjunction with Article 6 of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07155D">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nstitutional </w:t>
            </w:r>
            <w:r w:rsidR="0007155D">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 xml:space="preserve">rotection </w:t>
            </w:r>
            <w:r w:rsidR="0007155D">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cheme</w:t>
            </w:r>
            <w:r w:rsidR="00DC37CD">
              <w:rPr>
                <w:rFonts w:ascii="Times New Roman" w:eastAsia="Cambria" w:hAnsi="Times New Roman" w:cs="Times New Roman"/>
                <w:color w:val="000000" w:themeColor="text1"/>
                <w:spacing w:val="-2"/>
                <w:w w:val="95"/>
                <w:sz w:val="20"/>
                <w:szCs w:val="20"/>
                <w:lang w:val="en-GB"/>
              </w:rPr>
              <w:t xml:space="preserve"> (IPS)</w:t>
            </w:r>
            <w:r w:rsidRPr="00D92B3C">
              <w:rPr>
                <w:rFonts w:ascii="Times New Roman" w:eastAsia="Cambria" w:hAnsi="Times New Roman" w:cs="Times New Roman"/>
                <w:color w:val="000000" w:themeColor="text1"/>
                <w:spacing w:val="-2"/>
                <w:w w:val="95"/>
                <w:sz w:val="20"/>
                <w:szCs w:val="20"/>
                <w:lang w:val="en-GB"/>
              </w:rPr>
              <w:t xml:space="preserve">, as referred to in Article 113(7) </w:t>
            </w:r>
            <w:r w:rsidR="0007155D">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w:t>
            </w:r>
            <w:r w:rsidR="0007155D">
              <w:rPr>
                <w:rFonts w:ascii="Times New Roman" w:eastAsia="Cambria" w:hAnsi="Times New Roman" w:cs="Times New Roman"/>
                <w:color w:val="000000" w:themeColor="text1"/>
                <w:spacing w:val="-2"/>
                <w:w w:val="95"/>
                <w:sz w:val="20"/>
                <w:szCs w:val="20"/>
                <w:lang w:val="en-GB"/>
              </w:rPr>
              <w:t> </w:t>
            </w:r>
            <w:r w:rsidR="00063EEC" w:rsidRPr="00D92B3C">
              <w:rPr>
                <w:rFonts w:ascii="Times New Roman" w:eastAsia="Cambria" w:hAnsi="Times New Roman" w:cs="Times New Roman"/>
                <w:color w:val="000000" w:themeColor="text1"/>
                <w:spacing w:val="-2"/>
                <w:w w:val="95"/>
                <w:sz w:val="20"/>
                <w:szCs w:val="20"/>
                <w:lang w:val="en-GB"/>
              </w:rPr>
              <w:t xml:space="preserve">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14:paraId="76DBA0CC" w14:textId="77777777"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scheme</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07155D">
              <w:rPr>
                <w:rFonts w:ascii="Times New Roman" w:eastAsia="Cambria" w:hAnsi="Times New Roman" w:cs="Times New Roman"/>
                <w:color w:val="000000" w:themeColor="text1"/>
                <w:spacing w:val="-2"/>
                <w:w w:val="95"/>
                <w:sz w:val="20"/>
                <w:szCs w:val="20"/>
                <w:lang w:val="en-GB"/>
              </w:rPr>
              <w:t>, point </w:t>
            </w:r>
            <w:r w:rsidR="00FC3C38" w:rsidRPr="00D92B3C">
              <w:rPr>
                <w:rFonts w:ascii="Times New Roman" w:eastAsia="Cambria" w:hAnsi="Times New Roman" w:cs="Times New Roman"/>
                <w:color w:val="000000" w:themeColor="text1"/>
                <w:spacing w:val="-2"/>
                <w:w w:val="95"/>
                <w:sz w:val="20"/>
                <w:szCs w:val="20"/>
                <w:lang w:val="en-GB"/>
              </w:rPr>
              <w:t>(a)</w:t>
            </w:r>
            <w:r w:rsidR="0007155D">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Amount of deposits covered by a contractual scheme at the </w:t>
            </w:r>
            <w:r w:rsidR="0007155D">
              <w:rPr>
                <w:rFonts w:ascii="Times New Roman" w:eastAsia="Cambria" w:hAnsi="Times New Roman" w:cs="Times New Roman"/>
                <w:color w:val="000000" w:themeColor="text1"/>
                <w:spacing w:val="-2"/>
                <w:w w:val="95"/>
                <w:sz w:val="20"/>
                <w:szCs w:val="20"/>
                <w:lang w:val="en-GB"/>
              </w:rPr>
              <w:t>e</w:t>
            </w:r>
            <w:r w:rsidR="0007155D"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w:t>
            </w:r>
          </w:p>
        </w:tc>
      </w:tr>
    </w:tbl>
    <w:p w14:paraId="54A835DD"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2" w:name="_Toc492542327"/>
      <w:bookmarkStart w:id="23" w:name="_Toc509909045"/>
      <w:r w:rsidRPr="00D92B3C">
        <w:rPr>
          <w:rFonts w:ascii="Times New Roman" w:hAnsi="Times New Roman" w:cs="Times New Roman"/>
          <w:szCs w:val="20"/>
        </w:rPr>
        <w:t>Critical functions and core business lines</w:t>
      </w:r>
      <w:bookmarkEnd w:id="22"/>
      <w:bookmarkEnd w:id="23"/>
    </w:p>
    <w:p w14:paraId="7F5A1735" w14:textId="77777777" w:rsidR="00AA4026" w:rsidRPr="00D92B3C" w:rsidRDefault="00AA4026" w:rsidP="00715DAB">
      <w:pPr>
        <w:pStyle w:val="Instructionsberschrift3"/>
        <w:rPr>
          <w:lang w:val="en-GB"/>
        </w:rPr>
      </w:pPr>
      <w:r w:rsidRPr="00D92B3C">
        <w:rPr>
          <w:lang w:val="en-GB"/>
        </w:rPr>
        <w:t>General remarks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four templates of this section provide key data and qualitative assessments of the impact, substitutability and criticality of economic function</w:t>
      </w:r>
      <w:r w:rsidR="0001511A" w:rsidRPr="00D92B3C">
        <w:rPr>
          <w:rFonts w:ascii="Times New Roman" w:hAnsi="Times New Roman" w:cs="Times New Roman"/>
          <w:sz w:val="20"/>
          <w:szCs w:val="20"/>
          <w:lang w:val="en-GB"/>
        </w:rPr>
        <w:t>s the group is providing</w:t>
      </w:r>
      <w:r w:rsidR="000706B0">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in which the group is active</w:t>
      </w:r>
      <w:r w:rsidR="00DF4780" w:rsidRPr="00D92B3C">
        <w:rPr>
          <w:rFonts w:ascii="Times New Roman" w:hAnsi="Times New Roman" w:cs="Times New Roman"/>
          <w:sz w:val="20"/>
          <w:szCs w:val="20"/>
          <w:lang w:val="en-GB"/>
        </w:rPr>
        <w:t>;</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A515E2" w:rsidRPr="00D92B3C">
        <w:rPr>
          <w:rFonts w:ascii="Times New Roman" w:hAnsi="Times New Roman" w:cs="Times New Roman"/>
          <w:sz w:val="20"/>
          <w:szCs w:val="20"/>
          <w:lang w:val="en-GB"/>
        </w:rPr>
        <w:t xml:space="preserve">identified </w:t>
      </w:r>
      <w:r w:rsidR="00B92408" w:rsidRPr="00D92B3C">
        <w:rPr>
          <w:rFonts w:ascii="Times New Roman" w:hAnsi="Times New Roman" w:cs="Times New Roman"/>
          <w:sz w:val="20"/>
          <w:szCs w:val="20"/>
          <w:lang w:val="en-GB"/>
        </w:rPr>
        <w:t xml:space="preserve">critical functions </w:t>
      </w:r>
      <w:r w:rsidR="00544BC0" w:rsidRPr="00D92B3C">
        <w:rPr>
          <w:rFonts w:ascii="Times New Roman" w:hAnsi="Times New Roman" w:cs="Times New Roman"/>
          <w:sz w:val="20"/>
          <w:szCs w:val="20"/>
          <w:lang w:val="en-GB"/>
        </w:rPr>
        <w:t xml:space="preserve">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not</w:t>
      </w:r>
      <w:r w:rsidR="00B92408" w:rsidRPr="00D92B3C">
        <w:rPr>
          <w:rFonts w:ascii="Times New Roman" w:hAnsi="Times New Roman" w:cs="Times New Roman"/>
          <w:sz w:val="20"/>
          <w:szCs w:val="20"/>
          <w:lang w:val="en-GB"/>
        </w:rPr>
        <w:t>;</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 xml:space="preserve">7.03 - Mapping of </w:t>
      </w:r>
      <w:r>
        <w:rPr>
          <w:rFonts w:ascii="Times New Roman" w:hAnsi="Times New Roman" w:cs="Times New Roman"/>
          <w:sz w:val="20"/>
          <w:szCs w:val="20"/>
          <w:lang w:val="en-GB"/>
        </w:rPr>
        <w:t>c</w:t>
      </w:r>
      <w:r w:rsidRPr="00D92B3C">
        <w:rPr>
          <w:rFonts w:ascii="Times New Roman" w:hAnsi="Times New Roman" w:cs="Times New Roman"/>
          <w:sz w:val="20"/>
          <w:szCs w:val="20"/>
          <w:lang w:val="en-GB"/>
        </w:rPr>
        <w:t xml:space="preserve">ore </w:t>
      </w:r>
      <w:r>
        <w:rPr>
          <w:rFonts w:ascii="Times New Roman" w:hAnsi="Times New Roman" w:cs="Times New Roman"/>
          <w:sz w:val="20"/>
          <w:szCs w:val="20"/>
          <w:lang w:val="en-GB"/>
        </w:rPr>
        <w:t>b</w:t>
      </w:r>
      <w:r w:rsidRPr="00D92B3C">
        <w:rPr>
          <w:rFonts w:ascii="Times New Roman" w:hAnsi="Times New Roman" w:cs="Times New Roman"/>
          <w:sz w:val="20"/>
          <w:szCs w:val="20"/>
          <w:lang w:val="en-GB"/>
        </w:rPr>
        <w:t xml:space="preserve">usiness </w:t>
      </w:r>
      <w:r>
        <w:rPr>
          <w:rFonts w:ascii="Times New Roman" w:hAnsi="Times New Roman" w:cs="Times New Roman"/>
          <w:sz w:val="20"/>
          <w:szCs w:val="20"/>
          <w:lang w:val="en-GB"/>
        </w:rPr>
        <w:t>l</w:t>
      </w:r>
      <w:r w:rsidRPr="00D92B3C">
        <w:rPr>
          <w:rFonts w:ascii="Times New Roman" w:hAnsi="Times New Roman" w:cs="Times New Roman"/>
          <w:sz w:val="20"/>
          <w:szCs w:val="20"/>
          <w:lang w:val="en-GB"/>
        </w:rPr>
        <w:t xml:space="preserve">ines </w:t>
      </w:r>
      <w:r w:rsidR="00DF4780" w:rsidRPr="00D92B3C">
        <w:rPr>
          <w:rFonts w:ascii="Times New Roman" w:hAnsi="Times New Roman" w:cs="Times New Roman"/>
          <w:sz w:val="20"/>
          <w:szCs w:val="20"/>
          <w:lang w:val="en-GB"/>
        </w:rPr>
        <w:t>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 xml:space="preserve">7.04 - Mapping of critical functions </w:t>
      </w:r>
      <w:r w:rsidR="00A515E2">
        <w:rPr>
          <w:rFonts w:ascii="Times New Roman" w:hAnsi="Times New Roman" w:cs="Times New Roman"/>
          <w:sz w:val="20"/>
          <w:szCs w:val="20"/>
          <w:lang w:val="en-GB"/>
        </w:rPr>
        <w:t>by</w:t>
      </w:r>
      <w:r w:rsidR="00A515E2" w:rsidRPr="00D92B3C">
        <w:rPr>
          <w:rFonts w:ascii="Times New Roman" w:hAnsi="Times New Roman" w:cs="Times New Roman"/>
          <w:sz w:val="20"/>
          <w:szCs w:val="20"/>
          <w:lang w:val="en-GB"/>
        </w:rPr>
        <w:t xml:space="preserve"> </w:t>
      </w:r>
      <w:r w:rsidR="00DF4780" w:rsidRPr="00D92B3C">
        <w:rPr>
          <w:rFonts w:ascii="Times New Roman" w:hAnsi="Times New Roman" w:cs="Times New Roman"/>
          <w:sz w:val="20"/>
          <w:szCs w:val="20"/>
          <w:lang w:val="en-GB"/>
        </w:rPr>
        <w:t>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Article 2(1)</w:t>
      </w:r>
      <w:r w:rsidR="00A515E2">
        <w:rPr>
          <w:rFonts w:ascii="Times New Roman" w:hAnsi="Times New Roman" w:cs="Times New Roman"/>
          <w:sz w:val="20"/>
          <w:szCs w:val="20"/>
          <w:lang w:val="en-GB"/>
        </w:rPr>
        <w:t>,</w:t>
      </w:r>
      <w:r w:rsidR="003A344F"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 xml:space="preserve">point </w:t>
      </w:r>
      <w:r w:rsidR="00A515E2">
        <w:rPr>
          <w:rFonts w:ascii="Times New Roman" w:hAnsi="Times New Roman" w:cs="Times New Roman"/>
          <w:sz w:val="20"/>
          <w:szCs w:val="20"/>
          <w:lang w:val="en-GB"/>
        </w:rPr>
        <w:t>(</w:t>
      </w:r>
      <w:r w:rsidR="003A344F" w:rsidRPr="00D92B3C">
        <w:rPr>
          <w:rFonts w:ascii="Times New Roman" w:hAnsi="Times New Roman" w:cs="Times New Roman"/>
          <w:sz w:val="20"/>
          <w:szCs w:val="20"/>
          <w:lang w:val="en-GB"/>
        </w:rPr>
        <w:t>35</w:t>
      </w:r>
      <w:r w:rsidR="00A515E2">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of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w:t>
      </w:r>
      <w:r w:rsidR="00A515E2">
        <w:rPr>
          <w:rFonts w:ascii="Arial Unicode MS" w:hAnsi="Arial Unicode MS"/>
          <w:color w:val="444444"/>
          <w:sz w:val="21"/>
          <w:szCs w:val="21"/>
          <w:shd w:val="clear" w:color="auto" w:fill="FFFFFF"/>
        </w:rPr>
        <w:t>‘</w:t>
      </w:r>
      <w:r w:rsidR="003A344F" w:rsidRPr="00D92B3C">
        <w:rPr>
          <w:rFonts w:ascii="Times New Roman" w:hAnsi="Times New Roman" w:cs="Times New Roman"/>
          <w:sz w:val="20"/>
          <w:szCs w:val="20"/>
          <w:lang w:val="en-GB"/>
        </w:rPr>
        <w:t>critical functions</w:t>
      </w:r>
      <w:r w:rsidR="00A515E2">
        <w:rPr>
          <w:rFonts w:ascii="Arial Unicode MS" w:hAnsi="Arial Unicode MS"/>
          <w:color w:val="444444"/>
          <w:sz w:val="21"/>
          <w:szCs w:val="21"/>
          <w:shd w:val="clear" w:color="auto" w:fill="FFFFFF"/>
        </w:rPr>
        <w:t>’</w:t>
      </w:r>
      <w:r w:rsidR="003A344F" w:rsidRPr="00D92B3C">
        <w:rPr>
          <w:rFonts w:ascii="Times New Roman" w:hAnsi="Times New Roman" w:cs="Times New Roman"/>
          <w:sz w:val="20"/>
          <w:szCs w:val="20"/>
          <w:lang w:val="en-GB"/>
        </w:rPr>
        <w:t xml:space="preserve">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00EE6209">
        <w:rPr>
          <w:rFonts w:ascii="Times New Roman" w:hAnsi="Times New Roman" w:cs="Times New Roman"/>
          <w:sz w:val="20"/>
          <w:szCs w:val="20"/>
          <w:lang w:val="en-GB"/>
        </w:rPr>
        <w:t xml:space="preserve">Delegated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8"/>
      </w:r>
      <w:r w:rsidR="0056559D" w:rsidRPr="00D92B3C">
        <w:rPr>
          <w:rFonts w:ascii="Times New Roman" w:hAnsi="Times New Roman" w:cs="Times New Roman"/>
          <w:sz w:val="20"/>
          <w:szCs w:val="20"/>
          <w:lang w:val="en-GB"/>
        </w:rPr>
        <w:t>, a function shall be considered critical, when it meets both of the following:</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lang w:val="en-GB"/>
        </w:rPr>
      </w:pPr>
      <w:r>
        <w:rPr>
          <w:rFonts w:ascii="Times New Roman" w:hAnsi="Times New Roman" w:cs="Times New Roman"/>
          <w:color w:val="000000" w:themeColor="text1"/>
          <w:sz w:val="20"/>
          <w:szCs w:val="20"/>
          <w:lang w:val="en-GB"/>
        </w:rPr>
        <w:t>the</w:t>
      </w:r>
      <w:r w:rsidR="0056559D" w:rsidRPr="00D92B3C">
        <w:rPr>
          <w:rFonts w:ascii="Times New Roman" w:hAnsi="Times New Roman" w:cs="Times New Roman"/>
          <w:color w:val="000000" w:themeColor="text1"/>
          <w:sz w:val="20"/>
          <w:szCs w:val="20"/>
          <w:lang w:val="en-GB"/>
        </w:rPr>
        <w:t xml:space="preserve"> sudden disruption </w:t>
      </w:r>
      <w:r>
        <w:rPr>
          <w:rFonts w:ascii="Times New Roman" w:hAnsi="Times New Roman" w:cs="Times New Roman"/>
          <w:color w:val="000000" w:themeColor="text1"/>
          <w:sz w:val="20"/>
          <w:szCs w:val="20"/>
          <w:lang w:val="en-GB"/>
        </w:rPr>
        <w:t xml:space="preserve">of that function </w:t>
      </w:r>
      <w:r w:rsidR="0056559D" w:rsidRPr="00D92B3C">
        <w:rPr>
          <w:rFonts w:ascii="Times New Roman" w:hAnsi="Times New Roman" w:cs="Times New Roman"/>
          <w:color w:val="000000" w:themeColor="text1"/>
          <w:sz w:val="20"/>
          <w:szCs w:val="20"/>
          <w:lang w:val="en-GB"/>
        </w:rPr>
        <w:t>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Article 2(1), point (36)</w:t>
      </w:r>
      <w:r w:rsidR="00495D17">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of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Counterparties referred to in rows 0010 to 0070 and </w:t>
      </w:r>
      <w:r w:rsidR="00495D17">
        <w:rPr>
          <w:rFonts w:ascii="Times New Roman" w:hAnsi="Times New Roman" w:cs="Times New Roman"/>
          <w:sz w:val="20"/>
          <w:szCs w:val="20"/>
          <w:lang w:val="en-GB"/>
        </w:rPr>
        <w:t xml:space="preserve">in </w:t>
      </w:r>
      <w:r w:rsidRPr="00D92B3C">
        <w:rPr>
          <w:rFonts w:ascii="Times New Roman" w:hAnsi="Times New Roman" w:cs="Times New Roman"/>
          <w:sz w:val="20"/>
          <w:szCs w:val="20"/>
          <w:lang w:val="en-GB"/>
        </w:rPr>
        <w:t xml:space="preserve">rows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 xml:space="preserve">counterparty sectors as provided </w:t>
      </w:r>
      <w:r w:rsidR="00495D17">
        <w:rPr>
          <w:rFonts w:ascii="Times New Roman" w:hAnsi="Times New Roman" w:cs="Times New Roman"/>
          <w:sz w:val="20"/>
          <w:szCs w:val="20"/>
          <w:lang w:val="en-GB"/>
        </w:rPr>
        <w:t xml:space="preserve">for </w:t>
      </w:r>
      <w:r w:rsidR="00261F96" w:rsidRPr="00D92B3C">
        <w:rPr>
          <w:rFonts w:ascii="Times New Roman" w:hAnsi="Times New Roman" w:cs="Times New Roman"/>
          <w:sz w:val="20"/>
          <w:szCs w:val="20"/>
          <w:lang w:val="en-GB"/>
        </w:rPr>
        <w:t xml:space="preserve">in FINREP, Annex V, Part 1, chapter 6. ‘SMEs’ </w:t>
      </w:r>
      <w:r w:rsidR="00495D17">
        <w:rPr>
          <w:rFonts w:ascii="Times New Roman" w:hAnsi="Times New Roman" w:cs="Times New Roman"/>
          <w:sz w:val="20"/>
          <w:szCs w:val="20"/>
          <w:lang w:val="en-GB"/>
        </w:rPr>
        <w:t>means</w:t>
      </w:r>
      <w:r w:rsidR="00261F96" w:rsidRPr="00D92B3C">
        <w:rPr>
          <w:rFonts w:ascii="Times New Roman" w:hAnsi="Times New Roman" w:cs="Times New Roman"/>
          <w:sz w:val="20"/>
          <w:szCs w:val="20"/>
          <w:lang w:val="en-GB"/>
        </w:rPr>
        <w:t xml:space="preserve"> SMEs as defined in FINREP, Annex V, Part 1</w:t>
      </w:r>
      <w:r w:rsidR="00437E45">
        <w:rPr>
          <w:rFonts w:ascii="Times New Roman" w:hAnsi="Times New Roman" w:cs="Times New Roman"/>
          <w:sz w:val="20"/>
          <w:szCs w:val="20"/>
          <w:lang w:val="en-GB"/>
        </w:rPr>
        <w:t>, paragraph</w:t>
      </w:r>
      <w:r w:rsidR="003C3186">
        <w:rPr>
          <w:rFonts w:ascii="Times New Roman" w:hAnsi="Times New Roman" w:cs="Times New Roman"/>
          <w:sz w:val="20"/>
          <w:szCs w:val="20"/>
          <w:lang w:val="en-GB"/>
        </w:rPr>
        <w:t xml:space="preserve"> </w:t>
      </w:r>
      <w:r w:rsidR="00261F96" w:rsidRPr="00D92B3C">
        <w:rPr>
          <w:rFonts w:ascii="Times New Roman" w:hAnsi="Times New Roman" w:cs="Times New Roman"/>
          <w:sz w:val="20"/>
          <w:szCs w:val="20"/>
          <w:lang w:val="en-GB"/>
        </w:rPr>
        <w:t>5</w:t>
      </w:r>
      <w:r w:rsidR="00437E45">
        <w:rPr>
          <w:rFonts w:ascii="Times New Roman" w:hAnsi="Times New Roman" w:cs="Times New Roman"/>
          <w:sz w:val="20"/>
          <w:szCs w:val="20"/>
          <w:lang w:val="en-GB"/>
        </w:rPr>
        <w:t xml:space="preserve">, point </w:t>
      </w:r>
      <w:r w:rsidR="00261F96" w:rsidRPr="00D92B3C">
        <w:rPr>
          <w:rFonts w:ascii="Times New Roman" w:hAnsi="Times New Roman" w:cs="Times New Roman"/>
          <w:sz w:val="20"/>
          <w:szCs w:val="20"/>
          <w:lang w:val="en-GB"/>
        </w:rPr>
        <w:t>(i).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Deposits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w:t>
            </w:r>
            <w:r w:rsidR="00495D17">
              <w:rPr>
                <w:rFonts w:ascii="Times New Roman" w:eastAsia="Cambria" w:hAnsi="Times New Roman" w:cs="Times New Roman"/>
                <w:color w:val="000000" w:themeColor="text1"/>
                <w:spacing w:val="-2"/>
                <w:w w:val="95"/>
                <w:sz w:val="20"/>
                <w:szCs w:val="20"/>
                <w:lang w:val="en-GB"/>
              </w:rPr>
              <w:t>under</w:t>
            </w:r>
            <w:r w:rsidR="00495D17"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‘wholesale funding’.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 include: i) current accounts / overnight deposits, ii) deposits with agreed maturity, and iii) deposits redeemable at notice, and exclude repurchase agreements.</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p.14; Annex II</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items 9.1, 9.2 and 9.3</w:t>
            </w:r>
            <w:r w:rsidR="00495D17">
              <w:rPr>
                <w:rFonts w:ascii="Times New Roman" w:eastAsia="Cambria" w:hAnsi="Times New Roman" w:cs="Times New Roman"/>
                <w:color w:val="000000" w:themeColor="text1"/>
                <w:spacing w:val="-2"/>
                <w:w w:val="95"/>
                <w:sz w:val="20"/>
                <w:szCs w:val="20"/>
                <w:lang w:val="en-GB"/>
              </w:rPr>
              <w:t>,</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02300D">
              <w:rPr>
                <w:rFonts w:ascii="Times New Roman" w:eastAsia="Cambria" w:hAnsi="Times New Roman" w:cs="Times New Roman"/>
                <w:color w:val="000000" w:themeColor="text1"/>
                <w:spacing w:val="-2"/>
                <w:w w:val="95"/>
                <w:sz w:val="20"/>
                <w:szCs w:val="20"/>
                <w:lang w:val="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Non-financial corporations (non-SMEs)</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provision of funds to non-financial counterparties, such as corporate or retail clients. Lending to financial counterparties is a distinct activity and is assessed </w:t>
            </w:r>
            <w:r w:rsidR="00495D17">
              <w:rPr>
                <w:rFonts w:ascii="Times New Roman" w:eastAsia="Cambria" w:hAnsi="Times New Roman" w:cs="Times New Roman"/>
                <w:color w:val="000000" w:themeColor="text1"/>
                <w:spacing w:val="-2"/>
                <w:w w:val="95"/>
                <w:sz w:val="20"/>
                <w:szCs w:val="20"/>
                <w:lang w:val="en-GB"/>
              </w:rPr>
              <w:t>under</w:t>
            </w:r>
            <w:r w:rsidR="00495D17"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‘wholesale funding’. Loans include debt instruments held by the institutions but exclude debt instruments that are securities, irrespective of </w:t>
            </w:r>
            <w:r w:rsidR="00F11868">
              <w:rPr>
                <w:rFonts w:ascii="Times New Roman" w:eastAsia="Cambria" w:hAnsi="Times New Roman" w:cs="Times New Roman"/>
                <w:color w:val="000000" w:themeColor="text1"/>
                <w:spacing w:val="-2"/>
                <w:w w:val="95"/>
                <w:sz w:val="20"/>
                <w:szCs w:val="20"/>
                <w:lang w:val="en-GB"/>
              </w:rPr>
              <w:t>their accounting classification</w:t>
            </w:r>
            <w:r w:rsidRPr="00D92B3C">
              <w:rPr>
                <w:rFonts w:ascii="Times New Roman" w:eastAsia="Cambria" w:hAnsi="Times New Roman" w:cs="Times New Roman"/>
                <w:color w:val="000000" w:themeColor="text1"/>
                <w:spacing w:val="-2"/>
                <w:w w:val="95"/>
                <w:sz w:val="20"/>
                <w:szCs w:val="20"/>
                <w:lang w:val="en-GB"/>
              </w:rPr>
              <w:t>.</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p.17; Annex II</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item 2</w:t>
            </w:r>
            <w:r w:rsidR="00495D17">
              <w:rPr>
                <w:rFonts w:ascii="Times New Roman" w:eastAsia="Cambria" w:hAnsi="Times New Roman" w:cs="Times New Roman"/>
                <w:color w:val="000000" w:themeColor="text1"/>
                <w:spacing w:val="-2"/>
                <w:w w:val="95"/>
                <w:sz w:val="20"/>
                <w:szCs w:val="20"/>
                <w:lang w:val="en-GB"/>
              </w:rPr>
              <w:t>,</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02300D">
              <w:rPr>
                <w:rFonts w:ascii="Times New Roman" w:eastAsia="Cambria" w:hAnsi="Times New Roman" w:cs="Times New Roman"/>
                <w:color w:val="000000" w:themeColor="text1"/>
                <w:spacing w:val="-2"/>
                <w:w w:val="95"/>
                <w:sz w:val="20"/>
                <w:szCs w:val="20"/>
                <w:lang w:val="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Non-financial corporations - non-SMEs</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w:t>
            </w:r>
            <w:r w:rsidR="00DE5FC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w:t>
            </w:r>
            <w:r w:rsidR="00DE5FC6">
              <w:rPr>
                <w:rFonts w:ascii="Times New Roman" w:eastAsia="Cambria" w:hAnsi="Times New Roman" w:cs="Times New Roman"/>
                <w:color w:val="000000" w:themeColor="text1"/>
                <w:spacing w:val="-2"/>
                <w:w w:val="95"/>
                <w:sz w:val="20"/>
                <w:szCs w:val="20"/>
                <w:lang w:val="en-GB"/>
              </w:rPr>
              <w:t>accordance</w:t>
            </w:r>
            <w:r w:rsidR="00DE5FC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B93EB0">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FSB </w:t>
            </w:r>
            <w:r w:rsidR="008762AF" w:rsidRPr="00CF3B41">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clearing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For the purpose of this template, FMIs include payment systems, securities settlement systems, central securities depositories and central counterparties (and do not include trade repositories).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Payment service’, ‘payment transaction’ and ‘payment system’ have the same meaning as defined in Article 4(3), (5) and (7), respectively, of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w:t>
            </w:r>
            <w:r w:rsidR="00DE5FC6" w:rsidRPr="00DE5FC6">
              <w:rPr>
                <w:rFonts w:ascii="Times New Roman" w:eastAsia="Cambria" w:hAnsi="Times New Roman" w:cs="Times New Roman"/>
                <w:color w:val="000000" w:themeColor="text1"/>
                <w:spacing w:val="-2"/>
                <w:w w:val="95"/>
                <w:sz w:val="20"/>
                <w:szCs w:val="20"/>
              </w:rPr>
              <w:t>(EU)</w:t>
            </w:r>
            <w:r w:rsidR="00DE5FC6">
              <w:rPr>
                <w:rFonts w:ascii="Times New Roman" w:eastAsia="Cambria" w:hAnsi="Times New Roman" w:cs="Times New Roman"/>
                <w:color w:val="000000" w:themeColor="text1"/>
                <w:spacing w:val="-2"/>
                <w:w w:val="95"/>
                <w:sz w:val="20"/>
                <w:szCs w:val="20"/>
              </w:rPr>
              <w:t xml:space="preserve"> </w:t>
            </w:r>
            <w:r w:rsidRPr="00D92B3C">
              <w:rPr>
                <w:rFonts w:ascii="Times New Roman" w:eastAsia="Cambria" w:hAnsi="Times New Roman" w:cs="Times New Roman"/>
                <w:color w:val="000000" w:themeColor="text1"/>
                <w:spacing w:val="-2"/>
                <w:w w:val="95"/>
                <w:sz w:val="20"/>
                <w:szCs w:val="20"/>
                <w:lang w:val="en-GB"/>
              </w:rPr>
              <w:t xml:space="preserve">2015/2366 </w:t>
            </w:r>
            <w:r w:rsidR="00DE5FC6" w:rsidRPr="00DE5FC6">
              <w:rPr>
                <w:rFonts w:ascii="Times New Roman" w:eastAsia="Cambria" w:hAnsi="Times New Roman" w:cs="Times New Roman"/>
                <w:color w:val="000000" w:themeColor="text1"/>
                <w:spacing w:val="-2"/>
                <w:w w:val="95"/>
                <w:sz w:val="20"/>
                <w:szCs w:val="20"/>
              </w:rPr>
              <w:t>of the European Parliament and of the Council</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sidRPr="00D92B3C">
              <w:rPr>
                <w:rFonts w:ascii="Times New Roman" w:eastAsia="Cambria" w:hAnsi="Times New Roman" w:cs="Times New Roman"/>
                <w:color w:val="000000" w:themeColor="text1"/>
                <w:spacing w:val="-2"/>
                <w:w w:val="95"/>
                <w:sz w:val="20"/>
                <w:szCs w:val="20"/>
                <w:lang w:val="en-GB"/>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consist of all institutional units included in the sub-sectors: i) central bank; ii) deposit-taking corporations except the central bank; and iii) money market funds.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w:t>
            </w:r>
            <w:r w:rsidR="00DE5FC6">
              <w:rPr>
                <w:rFonts w:ascii="Times New Roman" w:eastAsia="Cambria" w:hAnsi="Times New Roman" w:cs="Times New Roman"/>
                <w:color w:val="000000" w:themeColor="text1"/>
                <w:spacing w:val="-2"/>
                <w:w w:val="95"/>
                <w:sz w:val="20"/>
                <w:szCs w:val="20"/>
                <w:lang w:val="en-GB"/>
              </w:rPr>
              <w:t>o</w:t>
            </w:r>
            <w:r w:rsidRPr="00D92B3C">
              <w:rPr>
                <w:rFonts w:ascii="Times New Roman" w:eastAsia="Cambria" w:hAnsi="Times New Roman" w:cs="Times New Roman"/>
                <w:color w:val="000000" w:themeColor="text1"/>
                <w:spacing w:val="-2"/>
                <w:w w:val="95"/>
                <w:sz w:val="20"/>
                <w:szCs w:val="20"/>
                <w:lang w:val="en-GB"/>
              </w:rPr>
              <w:t>se services refer to withdrawals at ATMs and at branches counters and do not include other cash services (</w:t>
            </w:r>
            <w:r w:rsidR="00901DD2">
              <w:rPr>
                <w:rFonts w:ascii="Times New Roman" w:eastAsia="Cambria" w:hAnsi="Times New Roman" w:cs="Times New Roman"/>
                <w:color w:val="000000" w:themeColor="text1"/>
                <w:spacing w:val="-2"/>
                <w:w w:val="95"/>
                <w:sz w:val="20"/>
                <w:szCs w:val="20"/>
                <w:lang w:val="en-GB"/>
              </w:rPr>
              <w:t>including</w:t>
            </w:r>
            <w:r w:rsidR="00DE5FC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cash-in-transit services for mass retailers). Cash withdrawal with cheques and at branches counters using bank forms (where cards may be used as identification means) are included.</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(EU) No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2014/65/EU as implemented by Article</w:t>
            </w:r>
            <w:r w:rsidR="00D90DF8">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38 and 39 of</w:t>
            </w:r>
            <w:r w:rsidR="00077199">
              <w:rPr>
                <w:rFonts w:ascii="Times New Roman" w:eastAsia="Cambria" w:hAnsi="Times New Roman" w:cs="Times New Roman"/>
                <w:color w:val="000000" w:themeColor="text1"/>
                <w:spacing w:val="-2"/>
                <w:w w:val="95"/>
                <w:sz w:val="20"/>
                <w:szCs w:val="20"/>
                <w:lang w:val="en-GB"/>
              </w:rPr>
              <w:t xml:space="preserve"> Commission</w:t>
            </w:r>
            <w:r w:rsidRPr="00D92B3C">
              <w:rPr>
                <w:rFonts w:ascii="Times New Roman" w:eastAsia="Cambria" w:hAnsi="Times New Roman" w:cs="Times New Roman"/>
                <w:color w:val="000000" w:themeColor="text1"/>
                <w:spacing w:val="-2"/>
                <w:w w:val="95"/>
                <w:sz w:val="20"/>
                <w:szCs w:val="20"/>
                <w:lang w:val="en-GB"/>
              </w:rPr>
              <w:t xml:space="preserve">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(EC) No</w:t>
            </w:r>
            <w:r w:rsidR="00077199">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1287/2006</w:t>
            </w:r>
            <w:r w:rsidR="00077199">
              <w:rPr>
                <w:rStyle w:val="FootnoteReference"/>
                <w:rFonts w:eastAsia="Cambria" w:cs="Times New Roman"/>
                <w:color w:val="000000" w:themeColor="text1"/>
                <w:spacing w:val="-2"/>
                <w:w w:val="95"/>
                <w:lang w:val="en-GB"/>
              </w:rPr>
              <w:footnoteReference w:id="20"/>
            </w:r>
            <w:r w:rsidRPr="00D92B3C">
              <w:rPr>
                <w:rFonts w:ascii="Times New Roman" w:eastAsia="Cambria" w:hAnsi="Times New Roman" w:cs="Times New Roman"/>
                <w:color w:val="000000" w:themeColor="text1"/>
                <w:spacing w:val="-2"/>
                <w:w w:val="95"/>
                <w:sz w:val="20"/>
                <w:szCs w:val="20"/>
                <w:lang w:val="en-GB"/>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An OTC derivative or OTC derivative contract means a derivative contract the execution of which does not take place on a regulated market within the meaning of Article 4(1)</w:t>
            </w:r>
            <w:r w:rsidR="00077199">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(21)</w:t>
            </w:r>
            <w:r w:rsidR="00077199">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2014/65/EU or on a third-country market considered to be equivalent to a regulated market in accordance with Article 2a of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(EU) No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w:t>
            </w:r>
            <w:r w:rsidR="00B96F2C">
              <w:rPr>
                <w:rFonts w:ascii="Times New Roman" w:eastAsia="Cambria" w:hAnsi="Times New Roman" w:cs="Times New Roman"/>
                <w:color w:val="000000" w:themeColor="text1"/>
                <w:spacing w:val="-2"/>
                <w:w w:val="95"/>
                <w:sz w:val="20"/>
                <w:szCs w:val="20"/>
                <w:lang w:val="en-GB"/>
              </w:rPr>
              <w:t xml:space="preserve">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derivatives and non-tradable assets</w:t>
            </w:r>
            <w:r w:rsidR="00B96F2C">
              <w:rPr>
                <w:rFonts w:ascii="Times New Roman" w:eastAsia="Cambria" w:hAnsi="Times New Roman" w:cs="Times New Roman"/>
                <w:color w:val="000000" w:themeColor="text1"/>
                <w:spacing w:val="-2"/>
                <w:w w:val="95"/>
                <w:sz w:val="20"/>
                <w:szCs w:val="20"/>
                <w:lang w:val="en-GB"/>
              </w:rPr>
              <w:t xml:space="preserve"> (e.g. receivables)</w:t>
            </w:r>
            <w:r w:rsidR="00336AC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00B96F2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w:t>
            </w:r>
            <w:r w:rsidR="00B96F2C">
              <w:rPr>
                <w:rFonts w:ascii="Times New Roman" w:eastAsia="Cambria" w:hAnsi="Times New Roman" w:cs="Times New Roman"/>
                <w:color w:val="000000" w:themeColor="text1"/>
                <w:spacing w:val="-2"/>
                <w:w w:val="95"/>
                <w:sz w:val="20"/>
                <w:szCs w:val="20"/>
                <w:lang w:val="en-GB"/>
              </w:rPr>
              <w:t>are</w:t>
            </w:r>
            <w:r w:rsidRPr="00D92B3C">
              <w:rPr>
                <w:rFonts w:ascii="Times New Roman" w:eastAsia="Cambria" w:hAnsi="Times New Roman" w:cs="Times New Roman"/>
                <w:color w:val="000000" w:themeColor="text1"/>
                <w:spacing w:val="-2"/>
                <w:w w:val="95"/>
                <w:sz w:val="20"/>
                <w:szCs w:val="20"/>
                <w:lang w:val="en-GB"/>
              </w:rPr>
              <w:t xml:space="preserve"> </w:t>
            </w:r>
            <w:r w:rsidR="00336AC0" w:rsidRPr="00D92B3C">
              <w:rPr>
                <w:rFonts w:ascii="Times New Roman" w:eastAsia="Cambria" w:hAnsi="Times New Roman" w:cs="Times New Roman"/>
                <w:color w:val="000000" w:themeColor="text1"/>
                <w:spacing w:val="-2"/>
                <w:w w:val="95"/>
                <w:sz w:val="20"/>
                <w:szCs w:val="20"/>
                <w:lang w:val="en-GB"/>
              </w:rPr>
              <w:t>where new securities are issued on exchange</w:t>
            </w:r>
            <w:r w:rsidR="00B96F2C">
              <w:rPr>
                <w:rFonts w:ascii="Times New Roman" w:eastAsia="Cambria" w:hAnsi="Times New Roman" w:cs="Times New Roman"/>
                <w:color w:val="000000" w:themeColor="text1"/>
                <w:spacing w:val="-2"/>
                <w:w w:val="95"/>
                <w:sz w:val="20"/>
                <w:szCs w:val="20"/>
                <w:lang w:val="en-GB"/>
              </w:rPr>
              <w:t>s</w:t>
            </w:r>
            <w:r w:rsidR="00336AC0" w:rsidRPr="00D92B3C">
              <w:rPr>
                <w:rFonts w:ascii="Times New Roman" w:eastAsia="Cambria" w:hAnsi="Times New Roman" w:cs="Times New Roman"/>
                <w:color w:val="000000" w:themeColor="text1"/>
                <w:spacing w:val="-2"/>
                <w:w w:val="95"/>
                <w:sz w:val="20"/>
                <w:szCs w:val="20"/>
                <w:lang w:val="en-GB"/>
              </w:rPr>
              <w:t xml:space="preserv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 xml:space="preserve">to obtain financing through debt-based or equity-based securities </w:t>
            </w:r>
            <w:r w:rsidR="00B96F2C">
              <w:rPr>
                <w:rFonts w:ascii="Times New Roman" w:eastAsia="Cambria" w:hAnsi="Times New Roman" w:cs="Times New Roman"/>
                <w:color w:val="000000" w:themeColor="text1"/>
                <w:spacing w:val="-2"/>
                <w:w w:val="95"/>
                <w:sz w:val="20"/>
                <w:szCs w:val="20"/>
                <w:lang w:val="en-GB"/>
              </w:rPr>
              <w:t>(such as common and preferred stock, corporate bonds, notes, bills, government bonds)</w:t>
            </w:r>
            <w:r w:rsidR="00336AC0" w:rsidRPr="00D92B3C">
              <w:rPr>
                <w:rFonts w:ascii="Times New Roman" w:eastAsia="Cambria" w:hAnsi="Times New Roman" w:cs="Times New Roman"/>
                <w:color w:val="000000" w:themeColor="text1"/>
                <w:spacing w:val="-2"/>
                <w:w w:val="95"/>
                <w:sz w:val="20"/>
                <w:szCs w:val="20"/>
                <w:lang w:val="en-GB"/>
              </w:rPr>
              <w:t>. Primary markets are facilitated by underwriting groups.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in wholesale markets from financial counterparties (including by way of repurchase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In contrast to ‘Capital markets’, in ‘Wholesale Funding’, derivatives include all derivatives contracts with financial counterparties (not limited to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derivatives with financial counterparties held on the liability side of the balance sheet.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function of the economic function ‘Wholesale funding’ which is not included in </w:t>
            </w:r>
            <w:r w:rsidR="00901DD2">
              <w:rPr>
                <w:rFonts w:ascii="Times New Roman" w:eastAsia="Cambria" w:hAnsi="Times New Roman" w:cs="Times New Roman"/>
                <w:color w:val="000000" w:themeColor="text1"/>
                <w:spacing w:val="-2"/>
                <w:w w:val="95"/>
                <w:sz w:val="20"/>
                <w:szCs w:val="20"/>
                <w:lang w:val="en-GB"/>
              </w:rPr>
              <w:t>points 5.1 to 5.4</w:t>
            </w:r>
            <w:r w:rsidRPr="00D92B3C">
              <w:rPr>
                <w:rFonts w:ascii="Times New Roman" w:eastAsia="Cambria" w:hAnsi="Times New Roman" w:cs="Times New Roman"/>
                <w:color w:val="000000" w:themeColor="text1"/>
                <w:spacing w:val="-2"/>
                <w:w w:val="95"/>
                <w:sz w:val="20"/>
                <w:szCs w:val="20"/>
                <w:lang w:val="en-GB"/>
              </w:rPr>
              <w:t>.</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14:paraId="0F54907C"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Rows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w:t>
            </w:r>
            <w:r w:rsidR="007D2174">
              <w:rPr>
                <w:rFonts w:ascii="Times New Roman" w:eastAsia="Cambria" w:hAnsi="Times New Roman" w:cs="Times New Roman"/>
                <w:color w:val="000000" w:themeColor="text1"/>
                <w:spacing w:val="-2"/>
                <w:w w:val="95"/>
                <w:sz w:val="20"/>
                <w:szCs w:val="20"/>
                <w:lang w:val="en-GB"/>
              </w:rPr>
              <w:t>e</w:t>
            </w:r>
            <w:r w:rsidR="007D2174" w:rsidRPr="00D92B3C">
              <w:rPr>
                <w:rFonts w:ascii="Times New Roman" w:eastAsia="Cambria" w:hAnsi="Times New Roman" w:cs="Times New Roman"/>
                <w:color w:val="000000" w:themeColor="text1"/>
                <w:spacing w:val="-2"/>
                <w:w w:val="95"/>
                <w:sz w:val="20"/>
                <w:szCs w:val="20"/>
                <w:lang w:val="en-GB"/>
              </w:rPr>
              <w:t xml:space="preserve">conomic </w:t>
            </w:r>
            <w:r w:rsidRPr="00D92B3C">
              <w:rPr>
                <w:rFonts w:ascii="Times New Roman" w:eastAsia="Cambria" w:hAnsi="Times New Roman" w:cs="Times New Roman"/>
                <w:color w:val="000000" w:themeColor="text1"/>
                <w:spacing w:val="-2"/>
                <w:w w:val="95"/>
                <w:sz w:val="20"/>
                <w:szCs w:val="20"/>
                <w:lang w:val="en-GB"/>
              </w:rPr>
              <w:t>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1.5 – 1.7, 2.6 </w:t>
            </w:r>
            <w:r w:rsidR="007D2174" w:rsidRPr="00D92B3C">
              <w:rPr>
                <w:rFonts w:ascii="Times New Roman" w:eastAsia="Cambria" w:hAnsi="Times New Roman" w:cs="Times New Roman"/>
                <w:color w:val="000000" w:themeColor="text1"/>
                <w:spacing w:val="-2"/>
                <w:w w:val="95"/>
                <w:sz w:val="20"/>
                <w:szCs w:val="20"/>
                <w:lang w:val="en-GB"/>
              </w:rPr>
              <w:t>–</w:t>
            </w:r>
            <w:r w:rsidR="007D2174">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of the total market in terms</w:t>
            </w:r>
            <w:r w:rsidR="007D2174">
              <w:rPr>
                <w:rFonts w:ascii="Times New Roman" w:eastAsia="Cambria" w:hAnsi="Times New Roman" w:cs="Times New Roman"/>
                <w:color w:val="000000" w:themeColor="text1"/>
                <w:spacing w:val="-2"/>
                <w:w w:val="95"/>
                <w:sz w:val="20"/>
                <w:szCs w:val="20"/>
                <w:lang w:val="en-GB"/>
              </w:rPr>
              <w:t xml:space="preserve"> of</w:t>
            </w:r>
            <w:r w:rsidR="002435CD" w:rsidRPr="00D92B3C">
              <w:rPr>
                <w:rFonts w:ascii="Times New Roman" w:eastAsia="Cambria" w:hAnsi="Times New Roman" w:cs="Times New Roman"/>
                <w:color w:val="000000" w:themeColor="text1"/>
                <w:spacing w:val="-2"/>
                <w:w w:val="95"/>
                <w:sz w:val="20"/>
                <w:szCs w:val="20"/>
                <w:lang w:val="en-GB"/>
              </w:rPr>
              <w:t xml:space="preserve">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7D2174">
              <w:rPr>
                <w:rFonts w:ascii="Times New Roman" w:eastAsia="Cambria" w:hAnsi="Times New Roman" w:cs="Times New Roman"/>
                <w:color w:val="000000" w:themeColor="text1"/>
                <w:spacing w:val="-2"/>
                <w:w w:val="95"/>
                <w:sz w:val="20"/>
                <w:szCs w:val="20"/>
                <w:lang w:val="en-GB"/>
              </w:rPr>
              <w:t>e</w:t>
            </w:r>
            <w:r w:rsidR="007D2174" w:rsidRPr="00D92B3C">
              <w:rPr>
                <w:rFonts w:ascii="Times New Roman" w:eastAsia="Cambria" w:hAnsi="Times New Roman" w:cs="Times New Roman"/>
                <w:color w:val="000000" w:themeColor="text1"/>
                <w:spacing w:val="-2"/>
                <w:w w:val="95"/>
                <w:sz w:val="20"/>
                <w:szCs w:val="20"/>
                <w:lang w:val="en-GB"/>
              </w:rPr>
              <w:t xml:space="preserve">conomic </w:t>
            </w:r>
            <w:r w:rsidR="005244DF"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r w:rsidR="007D2174">
              <w:rPr>
                <w:rFonts w:ascii="Times New Roman" w:eastAsia="Cambria" w:hAnsi="Times New Roman" w:cs="Times New Roman"/>
                <w:color w:val="000000" w:themeColor="text1"/>
                <w:spacing w:val="-2"/>
                <w:w w:val="95"/>
                <w:sz w:val="20"/>
                <w:szCs w:val="20"/>
                <w:lang w:val="en-GB"/>
              </w:rPr>
              <w:t>.</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Annex V</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w:t>
            </w:r>
            <w:r w:rsidR="00E076A0" w:rsidRPr="00D92B3C">
              <w:rPr>
                <w:rFonts w:ascii="Times New Roman" w:eastAsia="Cambria" w:hAnsi="Times New Roman" w:cs="Times New Roman"/>
                <w:color w:val="000000" w:themeColor="text1"/>
                <w:spacing w:val="-2"/>
                <w:w w:val="95"/>
                <w:sz w:val="20"/>
                <w:szCs w:val="20"/>
                <w:lang w:val="en-GB"/>
              </w:rPr>
              <w:t>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E076A0" w:rsidRPr="00D92B3C">
              <w:rPr>
                <w:rFonts w:ascii="Times New Roman" w:eastAsia="Cambria" w:hAnsi="Times New Roman" w:cs="Times New Roman"/>
                <w:color w:val="000000" w:themeColor="text1"/>
                <w:spacing w:val="-2"/>
                <w:w w:val="95"/>
                <w:sz w:val="20"/>
                <w:szCs w:val="20"/>
                <w:lang w:val="en-GB"/>
              </w:rPr>
              <w:t>34</w:t>
            </w:r>
            <w:r w:rsidR="00437E45">
              <w:rPr>
                <w:rFonts w:ascii="Times New Roman" w:eastAsia="Cambria" w:hAnsi="Times New Roman" w:cs="Times New Roman"/>
                <w:color w:val="000000" w:themeColor="text1"/>
                <w:spacing w:val="-2"/>
                <w:w w:val="95"/>
                <w:sz w:val="20"/>
                <w:szCs w:val="20"/>
                <w:lang w:val="en-GB"/>
              </w:rPr>
              <w:t xml:space="preserve">, point </w:t>
            </w:r>
            <w:r w:rsidR="00E076A0" w:rsidRPr="00D92B3C">
              <w:rPr>
                <w:rFonts w:ascii="Times New Roman" w:eastAsia="Cambria" w:hAnsi="Times New Roman" w:cs="Times New Roman"/>
                <w:color w:val="000000" w:themeColor="text1"/>
                <w:spacing w:val="-2"/>
                <w:w w:val="95"/>
                <w:sz w:val="20"/>
                <w:szCs w:val="20"/>
                <w:lang w:val="en-GB"/>
              </w:rPr>
              <w:t>(b)</w:t>
            </w:r>
            <w:r w:rsidR="007D2174">
              <w:rPr>
                <w:rFonts w:ascii="Times New Roman" w:eastAsia="Cambria" w:hAnsi="Times New Roman" w:cs="Times New Roman"/>
                <w:color w:val="000000" w:themeColor="text1"/>
                <w:spacing w:val="-2"/>
                <w:w w:val="95"/>
                <w:sz w:val="20"/>
                <w:szCs w:val="20"/>
                <w:lang w:val="en-GB"/>
              </w:rPr>
              <w:t>.</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Specifically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w:t>
            </w:r>
            <w:r w:rsidR="007D2174">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 xml:space="preserve">References: Article 4(5) of Directive </w:t>
            </w:r>
            <w:r w:rsidR="00E52BA2" w:rsidRPr="00DE5FC6">
              <w:rPr>
                <w:rFonts w:ascii="Times New Roman" w:eastAsia="Cambria" w:hAnsi="Times New Roman" w:cs="Times New Roman"/>
                <w:color w:val="000000" w:themeColor="text1"/>
                <w:spacing w:val="-2"/>
                <w:w w:val="95"/>
                <w:sz w:val="20"/>
                <w:szCs w:val="20"/>
              </w:rPr>
              <w:t>(EU)</w:t>
            </w:r>
            <w:r w:rsidR="00E52BA2">
              <w:rPr>
                <w:rFonts w:ascii="Times New Roman" w:eastAsia="Cambria" w:hAnsi="Times New Roman" w:cs="Times New Roman"/>
                <w:color w:val="000000" w:themeColor="text1"/>
                <w:spacing w:val="-2"/>
                <w:w w:val="95"/>
                <w:sz w:val="20"/>
                <w:szCs w:val="20"/>
              </w:rPr>
              <w:t xml:space="preserve"> </w:t>
            </w:r>
            <w:r w:rsidRPr="00D92B3C">
              <w:rPr>
                <w:rFonts w:ascii="Times New Roman" w:eastAsia="Cambria" w:hAnsi="Times New Roman" w:cs="Times New Roman"/>
                <w:color w:val="000000" w:themeColor="text1"/>
                <w:spacing w:val="-2"/>
                <w:w w:val="95"/>
                <w:sz w:val="20"/>
                <w:szCs w:val="20"/>
                <w:lang w:val="en-GB"/>
              </w:rPr>
              <w:t>2015/2366; ECB/2013/43</w:t>
            </w:r>
            <w:r w:rsidR="00B96F2C">
              <w:rPr>
                <w:rStyle w:val="FootnoteReference"/>
                <w:rFonts w:eastAsia="Cambria" w:cs="Times New Roman"/>
                <w:color w:val="000000" w:themeColor="text1"/>
                <w:spacing w:val="-2"/>
                <w:w w:val="95"/>
                <w:lang w:val="en-GB"/>
              </w:rPr>
              <w:footnoteReference w:id="21"/>
            </w:r>
            <w:r w:rsidR="000706B0">
              <w:rPr>
                <w:rFonts w:ascii="Times New Roman" w:eastAsia="Cambria" w:hAnsi="Times New Roman" w:cs="Times New Roman"/>
                <w:color w:val="000000" w:themeColor="text1"/>
                <w:spacing w:val="-2"/>
                <w:w w:val="95"/>
                <w:sz w:val="20"/>
                <w:szCs w:val="20"/>
                <w:lang w:val="en-GB"/>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w:t>
            </w:r>
            <w:r w:rsidR="006B32B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w:t>
            </w:r>
            <w:r w:rsidR="0033057E">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the-counter cash withdrawals, as defined in ECB/20</w:t>
            </w:r>
            <w:r w:rsidR="00575F7D">
              <w:rPr>
                <w:rFonts w:ascii="Times New Roman" w:eastAsia="Cambria" w:hAnsi="Times New Roman" w:cs="Times New Roman"/>
                <w:color w:val="000000" w:themeColor="text1"/>
                <w:spacing w:val="-2"/>
                <w:w w:val="95"/>
                <w:sz w:val="20"/>
                <w:szCs w:val="20"/>
                <w:lang w:val="en-GB"/>
              </w:rPr>
              <w:t>14</w:t>
            </w:r>
            <w:r w:rsidRPr="00D92B3C">
              <w:rPr>
                <w:rFonts w:ascii="Times New Roman" w:eastAsia="Cambria" w:hAnsi="Times New Roman" w:cs="Times New Roman"/>
                <w:color w:val="000000" w:themeColor="text1"/>
                <w:spacing w:val="-2"/>
                <w:w w:val="95"/>
                <w:sz w:val="20"/>
                <w:szCs w:val="20"/>
                <w:lang w:val="en-GB"/>
              </w:rPr>
              <w:t>/1</w:t>
            </w:r>
            <w:r w:rsidR="00575F7D">
              <w:rPr>
                <w:rFonts w:ascii="Times New Roman" w:eastAsia="Cambria" w:hAnsi="Times New Roman" w:cs="Times New Roman"/>
                <w:color w:val="000000" w:themeColor="text1"/>
                <w:spacing w:val="-2"/>
                <w:w w:val="95"/>
                <w:sz w:val="20"/>
                <w:szCs w:val="20"/>
                <w:lang w:val="en-GB"/>
              </w:rPr>
              <w:t>5</w:t>
            </w:r>
            <w:r w:rsidR="00264CA3">
              <w:rPr>
                <w:rStyle w:val="FootnoteReference"/>
                <w:rFonts w:eastAsia="Cambria" w:cs="Times New Roman"/>
                <w:color w:val="000000" w:themeColor="text1"/>
                <w:spacing w:val="-2"/>
                <w:w w:val="95"/>
                <w:lang w:val="en-GB"/>
              </w:rPr>
              <w:footnoteReference w:id="22"/>
            </w:r>
            <w:r w:rsidR="006B32B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w:t>
            </w:r>
            <w:r w:rsidR="00AC59C6">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 </w:t>
            </w:r>
            <w:r w:rsidR="00E52BA2">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he positions (exposure) that the CCPs of which the institution is a </w:t>
            </w:r>
            <w:r w:rsidRPr="00D92B3C">
              <w:rPr>
                <w:rFonts w:ascii="Times New Roman" w:eastAsia="Cambria" w:hAnsi="Times New Roman" w:cs="Times New Roman"/>
                <w:color w:val="000000" w:themeColor="text1"/>
                <w:spacing w:val="-2"/>
                <w:w w:val="95"/>
                <w:sz w:val="20"/>
                <w:szCs w:val="20"/>
                <w:lang w:val="en-GB"/>
              </w:rPr>
              <w:lastRenderedPageBreak/>
              <w:t>member take on with the institution on behalf of its clients. Please report the average daily value of open positions related to client activity at CCPs. If not available, you may report averages over a shorter period (e.g. a few months).</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w:t>
            </w:r>
            <w:r w:rsidR="00AB207E">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 The amount of assets under custody, using fair value. Other measurement bases including nominal value may be used if fair value is not available. In those cases where the institution provides services to entities such as collective investment undertakings</w:t>
            </w:r>
            <w:r w:rsidR="00C53968">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C53968">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Notional amount - Only report for derivatives (4.1-4.2): gross nominal amount of all deals 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CD4DB9">
              <w:rPr>
                <w:rFonts w:ascii="Times New Roman" w:eastAsia="Cambria" w:hAnsi="Times New Roman" w:cs="Times New Roman"/>
                <w:color w:val="000000" w:themeColor="text1"/>
                <w:spacing w:val="-2"/>
                <w:w w:val="95"/>
                <w:sz w:val="20"/>
                <w:szCs w:val="20"/>
                <w:lang w:val="en-GB"/>
              </w:rPr>
              <w:t>INREP</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Annex </w:t>
            </w:r>
            <w:r w:rsidR="00794E61">
              <w:rPr>
                <w:rFonts w:ascii="Times New Roman" w:eastAsia="Cambria" w:hAnsi="Times New Roman" w:cs="Times New Roman"/>
                <w:color w:val="000000" w:themeColor="text1"/>
                <w:spacing w:val="-2"/>
                <w:w w:val="95"/>
                <w:sz w:val="20"/>
                <w:szCs w:val="20"/>
                <w:lang w:val="en-GB"/>
              </w:rPr>
              <w:t>V, Part 2, paragraph 133</w:t>
            </w:r>
            <w:r w:rsidR="00C53968">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for the definition;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C53968">
              <w:rPr>
                <w:rFonts w:ascii="Times New Roman" w:eastAsia="Cambria" w:hAnsi="Times New Roman" w:cs="Times New Roman"/>
                <w:color w:val="000000" w:themeColor="text1"/>
                <w:spacing w:val="-2"/>
                <w:w w:val="95"/>
                <w:sz w:val="20"/>
                <w:szCs w:val="20"/>
                <w:lang w:val="en-GB"/>
              </w:rPr>
              <w:t>,</w:t>
            </w:r>
            <w:r w:rsidR="00967033" w:rsidRPr="00D92B3C">
              <w:rPr>
                <w:rFonts w:ascii="Times New Roman" w:eastAsia="Cambria" w:hAnsi="Times New Roman" w:cs="Times New Roman"/>
                <w:color w:val="000000" w:themeColor="text1"/>
                <w:spacing w:val="-2"/>
                <w:w w:val="95"/>
                <w:sz w:val="20"/>
                <w:szCs w:val="20"/>
                <w:lang w:val="en-GB"/>
              </w:rPr>
              <w:t xml:space="preserve"> IV and V</w:t>
            </w:r>
            <w:r w:rsidR="008C622E" w:rsidRPr="00D92B3C">
              <w:rPr>
                <w:rFonts w:ascii="Times New Roman" w:eastAsia="Cambria" w:hAnsi="Times New Roman" w:cs="Times New Roman"/>
                <w:color w:val="000000" w:themeColor="text1"/>
                <w:spacing w:val="-2"/>
                <w:w w:val="95"/>
                <w:sz w:val="20"/>
                <w:szCs w:val="20"/>
                <w:lang w:val="en-GB"/>
              </w:rPr>
              <w:t xml:space="preserve"> for the data</w:t>
            </w:r>
            <w:r w:rsidR="008C622E">
              <w:rPr>
                <w:rFonts w:ascii="Times New Roman" w:eastAsia="Cambria" w:hAnsi="Times New Roman" w:cs="Times New Roman"/>
                <w:color w:val="000000" w:themeColor="text1"/>
                <w:spacing w:val="-2"/>
                <w:w w:val="95"/>
                <w:sz w:val="20"/>
                <w:szCs w:val="20"/>
                <w:lang w:val="en-GB"/>
              </w:rPr>
              <w:t>.</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030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030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w:t>
            </w:r>
            <w:r w:rsidR="001F409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Carrying amount assets - the carrying amount to be reported on the asset side of the balance sheet, including accrued interest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1</w:t>
            </w:r>
            <w:r w:rsidRPr="00D92B3C">
              <w:rPr>
                <w:rFonts w:ascii="Times New Roman" w:eastAsia="Cambria" w:hAnsi="Times New Roman" w:cs="Times New Roman"/>
                <w:color w:val="000000" w:themeColor="text1"/>
                <w:spacing w:val="-2"/>
                <w:w w:val="95"/>
                <w:sz w:val="20"/>
                <w:szCs w:val="20"/>
                <w:lang w:val="en-GB"/>
              </w:rPr>
              <w:t>5</w:t>
            </w:r>
            <w:r w:rsidR="00437E45">
              <w:rPr>
                <w:rFonts w:ascii="Times New Roman" w:eastAsia="Cambria" w:hAnsi="Times New Roman" w:cs="Times New Roman"/>
                <w:color w:val="000000" w:themeColor="text1"/>
                <w:spacing w:val="-2"/>
                <w:w w:val="95"/>
                <w:sz w:val="20"/>
                <w:szCs w:val="20"/>
                <w:lang w:val="en-GB"/>
              </w:rPr>
              <w:t xml:space="preserve">, point </w:t>
            </w:r>
            <w:r w:rsidR="007B6248" w:rsidRPr="00D92B3C">
              <w:rPr>
                <w:rFonts w:ascii="Times New Roman" w:eastAsia="Cambria" w:hAnsi="Times New Roman" w:cs="Times New Roman"/>
                <w:color w:val="000000" w:themeColor="text1"/>
                <w:spacing w:val="-2"/>
                <w:w w:val="95"/>
                <w:sz w:val="20"/>
                <w:szCs w:val="20"/>
                <w:lang w:val="en-GB"/>
              </w:rPr>
              <w:t>(a)</w:t>
            </w:r>
            <w:r w:rsidR="008C622E">
              <w:rPr>
                <w:rFonts w:ascii="Times New Roman" w:eastAsia="Cambria" w:hAnsi="Times New Roman" w:cs="Times New Roman"/>
                <w:color w:val="000000" w:themeColor="text1"/>
                <w:spacing w:val="-2"/>
                <w:w w:val="95"/>
                <w:sz w:val="20"/>
                <w:szCs w:val="20"/>
                <w:lang w:val="en-GB"/>
              </w:rPr>
              <w:t>,</w:t>
            </w:r>
            <w:r w:rsidR="00FB23FE">
              <w:rPr>
                <w:rFonts w:ascii="Times New Roman" w:eastAsia="Cambria" w:hAnsi="Times New Roman" w:cs="Times New Roman"/>
                <w:color w:val="000000" w:themeColor="text1"/>
                <w:spacing w:val="-2"/>
                <w:w w:val="95"/>
                <w:sz w:val="20"/>
                <w:szCs w:val="20"/>
                <w:lang w:val="en-GB"/>
              </w:rPr>
              <w:t xml:space="preserve"> and </w:t>
            </w:r>
            <w:r w:rsidR="00437E45">
              <w:rPr>
                <w:rFonts w:ascii="Times New Roman" w:eastAsia="Cambria" w:hAnsi="Times New Roman" w:cs="Times New Roman"/>
                <w:color w:val="000000" w:themeColor="text1"/>
                <w:spacing w:val="-2"/>
                <w:w w:val="95"/>
                <w:sz w:val="20"/>
                <w:szCs w:val="20"/>
                <w:lang w:val="en-GB"/>
              </w:rPr>
              <w:t>paragraph</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16</w:t>
            </w:r>
            <w:r w:rsidR="00437E45">
              <w:rPr>
                <w:rFonts w:ascii="Times New Roman" w:eastAsia="Cambria" w:hAnsi="Times New Roman" w:cs="Times New Roman"/>
                <w:color w:val="000000" w:themeColor="text1"/>
                <w:spacing w:val="-2"/>
                <w:w w:val="95"/>
                <w:sz w:val="20"/>
                <w:szCs w:val="20"/>
                <w:lang w:val="en-GB"/>
              </w:rPr>
              <w:t>, point</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(a)</w:t>
            </w:r>
            <w:r w:rsidRPr="00D92B3C">
              <w:rPr>
                <w:rFonts w:ascii="Times New Roman" w:eastAsia="Cambria" w:hAnsi="Times New Roman" w:cs="Times New Roman"/>
                <w:color w:val="000000" w:themeColor="text1"/>
                <w:spacing w:val="-2"/>
                <w:w w:val="95"/>
                <w:sz w:val="20"/>
                <w:szCs w:val="20"/>
                <w:lang w:val="en-GB"/>
              </w:rPr>
              <w:t>].</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 xml:space="preserve">emplate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8C622E">
              <w:rPr>
                <w:rFonts w:ascii="Times New Roman" w:eastAsia="Cambria" w:hAnsi="Times New Roman" w:cs="Times New Roman"/>
                <w:color w:val="000000" w:themeColor="text1"/>
                <w:spacing w:val="-2"/>
                <w:w w:val="95"/>
                <w:sz w:val="20"/>
                <w:szCs w:val="20"/>
                <w:lang w:val="en-GB"/>
              </w:rPr>
              <w:t xml:space="preserve"> and</w:t>
            </w:r>
            <w:r w:rsidR="00170618" w:rsidRPr="00D92B3C">
              <w:rPr>
                <w:rFonts w:ascii="Times New Roman" w:eastAsia="Cambria" w:hAnsi="Times New Roman" w:cs="Times New Roman"/>
                <w:color w:val="000000" w:themeColor="text1"/>
                <w:spacing w:val="-2"/>
                <w:w w:val="95"/>
                <w:sz w:val="20"/>
                <w:szCs w:val="20"/>
                <w:lang w:val="en-GB"/>
              </w:rPr>
              <w:t xml:space="preserve"> IV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 xml:space="preserve">emplate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Use gross carrying amount</w:t>
            </w:r>
            <w:r w:rsidR="00794E61">
              <w:rPr>
                <w:rFonts w:ascii="Times New Roman" w:eastAsia="Cambria" w:hAnsi="Times New Roman" w:cs="Times New Roman"/>
                <w:color w:val="000000" w:themeColor="text1"/>
                <w:spacing w:val="-2"/>
                <w:w w:val="95"/>
                <w:sz w:val="20"/>
                <w:szCs w:val="20"/>
                <w:lang w:val="en-GB"/>
              </w:rPr>
              <w:t xml:space="preserve"> as defined in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w:t>
            </w:r>
            <w:r w:rsidR="00C169F2">
              <w:rPr>
                <w:rFonts w:ascii="Times New Roman" w:eastAsia="Cambria" w:hAnsi="Times New Roman" w:cs="Times New Roman"/>
                <w:color w:val="000000" w:themeColor="text1"/>
                <w:spacing w:val="-2"/>
                <w:w w:val="95"/>
                <w:sz w:val="20"/>
                <w:szCs w:val="20"/>
                <w:lang w:val="en-GB"/>
              </w:rPr>
              <w:t xml:space="preserve"> 1, paragraph 34</w:t>
            </w:r>
            <w:r w:rsidRPr="00D92B3C">
              <w:rPr>
                <w:rFonts w:ascii="Times New Roman" w:eastAsia="Cambria" w:hAnsi="Times New Roman" w:cs="Times New Roman"/>
                <w:color w:val="000000" w:themeColor="text1"/>
                <w:spacing w:val="-2"/>
                <w:w w:val="95"/>
                <w:sz w:val="20"/>
                <w:szCs w:val="20"/>
                <w:lang w:val="en-GB"/>
              </w:rPr>
              <w:t xml:space="preserv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8C622E">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w:t>
            </w:r>
            <w:r w:rsidR="00514F89" w:rsidRPr="00D92B3C">
              <w:rPr>
                <w:rFonts w:ascii="Times New Roman" w:eastAsia="Cambria" w:hAnsi="Times New Roman" w:cs="Times New Roman"/>
                <w:color w:val="000000" w:themeColor="text1"/>
                <w:spacing w:val="-2"/>
                <w:w w:val="95"/>
                <w:sz w:val="20"/>
                <w:szCs w:val="20"/>
                <w:lang w:val="en-GB"/>
              </w:rPr>
              <w:t xml:space="preserve">IV,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r w:rsidR="00C169F2">
              <w:rPr>
                <w:rFonts w:ascii="Calibri" w:hAnsi="Calibri" w:cs="Calibri"/>
                <w:b/>
                <w:bCs/>
                <w:color w:val="1F497D"/>
                <w:lang w:val="en-GB"/>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100+110, all countries.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 010, all countries.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170+180, all countries.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8C622E">
              <w:rPr>
                <w:rFonts w:ascii="Times New Roman" w:eastAsia="Cambria" w:hAnsi="Times New Roman" w:cs="Times New Roman"/>
                <w:color w:val="000000" w:themeColor="text1"/>
                <w:spacing w:val="-2"/>
                <w:w w:val="95"/>
                <w:sz w:val="20"/>
                <w:szCs w:val="20"/>
                <w:lang w:val="en-GB"/>
              </w:rPr>
              <w:t>e</w:t>
            </w:r>
            <w:r w:rsidR="008C622E" w:rsidRPr="00D92B3C">
              <w:rPr>
                <w:rFonts w:ascii="Times New Roman" w:eastAsia="Cambria" w:hAnsi="Times New Roman" w:cs="Times New Roman"/>
                <w:color w:val="000000" w:themeColor="text1"/>
                <w:spacing w:val="-2"/>
                <w:w w:val="95"/>
                <w:sz w:val="20"/>
                <w:szCs w:val="20"/>
                <w:lang w:val="en-GB"/>
              </w:rPr>
              <w:t xml:space="preserve">conomic </w:t>
            </w:r>
            <w:r w:rsidRPr="00D92B3C">
              <w:rPr>
                <w:rFonts w:ascii="Times New Roman" w:eastAsia="Cambria" w:hAnsi="Times New Roman" w:cs="Times New Roman"/>
                <w:color w:val="000000" w:themeColor="text1"/>
                <w:spacing w:val="-2"/>
                <w:w w:val="95"/>
                <w:sz w:val="20"/>
                <w:szCs w:val="20"/>
                <w:lang w:val="en-GB"/>
              </w:rPr>
              <w:t>function provided.</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w:t>
            </w:r>
            <w:r w:rsidR="008C622E">
              <w:rPr>
                <w:rFonts w:ascii="Times New Roman" w:eastAsia="Cambria" w:hAnsi="Times New Roman" w:cs="Times New Roman"/>
                <w:color w:val="000000" w:themeColor="text1"/>
                <w:spacing w:val="-2"/>
                <w:w w:val="95"/>
                <w:sz w:val="20"/>
                <w:szCs w:val="20"/>
                <w:lang w:val="en-GB"/>
              </w:rPr>
              <w:t>a</w:t>
            </w:r>
            <w:r w:rsidR="008C622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w:t>
            </w:r>
            <w:r w:rsidR="00E52BA2" w:rsidRPr="00D92B3C">
              <w:rPr>
                <w:rFonts w:ascii="Times New Roman" w:eastAsia="Cambria" w:hAnsi="Times New Roman" w:cs="Times New Roman"/>
                <w:color w:val="000000" w:themeColor="text1"/>
                <w:spacing w:val="-2"/>
                <w:w w:val="95"/>
                <w:sz w:val="20"/>
                <w:szCs w:val="20"/>
                <w:lang w:val="en-GB"/>
              </w:rPr>
              <w:t>us</w:t>
            </w:r>
            <w:r w:rsidR="00E52BA2">
              <w:rPr>
                <w:rFonts w:ascii="Times New Roman" w:eastAsia="Cambria" w:hAnsi="Times New Roman" w:cs="Times New Roman"/>
                <w:color w:val="000000" w:themeColor="text1"/>
                <w:spacing w:val="-2"/>
                <w:w w:val="95"/>
                <w:sz w:val="20"/>
                <w:szCs w:val="20"/>
                <w:lang w:val="en-GB"/>
              </w:rPr>
              <w:t>es</w:t>
            </w:r>
            <w:r w:rsidR="00E52BA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C050EE">
              <w:rPr>
                <w:rFonts w:ascii="Times New Roman" w:eastAsia="Cambria" w:hAnsi="Times New Roman" w:cs="Times New Roman"/>
                <w:color w:val="000000" w:themeColor="text1"/>
                <w:spacing w:val="-2"/>
                <w:w w:val="95"/>
                <w:sz w:val="20"/>
                <w:szCs w:val="20"/>
                <w:lang w:val="en-GB"/>
              </w:rPr>
              <w:t>. If not available, averages</w:t>
            </w:r>
            <w:r w:rsidR="00E52BA2">
              <w:rPr>
                <w:rFonts w:ascii="Times New Roman" w:eastAsia="Cambria" w:hAnsi="Times New Roman" w:cs="Times New Roman"/>
                <w:color w:val="000000" w:themeColor="text1"/>
                <w:spacing w:val="-2"/>
                <w:w w:val="95"/>
                <w:sz w:val="20"/>
                <w:szCs w:val="20"/>
                <w:lang w:val="en-GB"/>
              </w:rPr>
              <w:t xml:space="preserve"> </w:t>
            </w:r>
            <w:r w:rsidR="005244DF" w:rsidRPr="00D92B3C">
              <w:rPr>
                <w:rFonts w:ascii="Times New Roman" w:eastAsia="Cambria" w:hAnsi="Times New Roman" w:cs="Times New Roman"/>
                <w:color w:val="000000" w:themeColor="text1"/>
                <w:spacing w:val="-2"/>
                <w:w w:val="95"/>
                <w:sz w:val="20"/>
                <w:szCs w:val="20"/>
                <w:lang w:val="en-GB"/>
              </w:rPr>
              <w:t>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Specifically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E1CD1">
              <w:rPr>
                <w:rFonts w:ascii="Times New Roman" w:eastAsia="Cambria" w:hAnsi="Times New Roman" w:cs="Times New Roman"/>
                <w:color w:val="000000" w:themeColor="text1"/>
                <w:spacing w:val="-2"/>
                <w:w w:val="95"/>
                <w:sz w:val="20"/>
                <w:szCs w:val="20"/>
                <w:lang w:val="en-GB"/>
              </w:rPr>
              <w:t>considered</w:t>
            </w:r>
            <w:r w:rsidRPr="00D92B3C">
              <w:rPr>
                <w:rFonts w:ascii="Times New Roman" w:eastAsia="Cambria" w:hAnsi="Times New Roman" w:cs="Times New Roman"/>
                <w:color w:val="000000" w:themeColor="text1"/>
                <w:spacing w:val="-2"/>
                <w:w w:val="95"/>
                <w:sz w:val="20"/>
                <w:szCs w:val="20"/>
                <w:lang w:val="en-GB"/>
              </w:rPr>
              <w:t>:</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lang w:val="fr-BE"/>
              </w:rPr>
            </w:pPr>
            <w:r w:rsidRPr="00CB01E9">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CB01E9">
              <w:rPr>
                <w:rFonts w:ascii="Times New Roman" w:eastAsia="Cambria" w:hAnsi="Times New Roman" w:cs="Times New Roman"/>
                <w:color w:val="000000" w:themeColor="text1"/>
                <w:spacing w:val="-2"/>
                <w:w w:val="95"/>
                <w:sz w:val="20"/>
                <w:szCs w:val="20"/>
                <w:lang w:val="en-GB"/>
              </w:rPr>
              <w:t>made</w:t>
            </w:r>
            <w:r w:rsidR="007E5DC1" w:rsidRPr="00CB01E9">
              <w:rPr>
                <w:rFonts w:ascii="Times New Roman" w:eastAsia="Cambria" w:hAnsi="Times New Roman" w:cs="Times New Roman"/>
                <w:color w:val="000000" w:themeColor="text1"/>
                <w:spacing w:val="-2"/>
                <w:w w:val="95"/>
                <w:sz w:val="20"/>
                <w:szCs w:val="20"/>
                <w:lang w:val="en-GB"/>
              </w:rPr>
              <w:t>.</w:t>
            </w:r>
            <w:r w:rsidRPr="00CB01E9">
              <w:rPr>
                <w:rFonts w:ascii="Times New Roman" w:eastAsia="Cambria" w:hAnsi="Times New Roman" w:cs="Times New Roman"/>
                <w:color w:val="000000" w:themeColor="text1"/>
                <w:spacing w:val="-2"/>
                <w:w w:val="95"/>
                <w:sz w:val="20"/>
                <w:szCs w:val="20"/>
                <w:lang w:val="en-GB"/>
              </w:rPr>
              <w:t xml:space="preserve"> </w:t>
            </w:r>
            <w:r w:rsidR="00CB01E9" w:rsidRPr="00CB01E9">
              <w:rPr>
                <w:rFonts w:ascii="Times New Roman" w:eastAsia="Cambria" w:hAnsi="Times New Roman" w:cs="Times New Roman"/>
                <w:color w:val="000000" w:themeColor="text1"/>
                <w:spacing w:val="-2"/>
                <w:w w:val="95"/>
                <w:sz w:val="20"/>
                <w:szCs w:val="20"/>
                <w:lang w:val="en-GB"/>
              </w:rPr>
              <w:br/>
            </w:r>
            <w:r w:rsidRPr="00CF3B41">
              <w:rPr>
                <w:rFonts w:ascii="Times New Roman" w:eastAsia="Cambria" w:hAnsi="Times New Roman" w:cs="Times New Roman"/>
                <w:color w:val="000000" w:themeColor="text1"/>
                <w:spacing w:val="-2"/>
                <w:w w:val="95"/>
                <w:sz w:val="20"/>
                <w:szCs w:val="20"/>
                <w:lang w:val="fr-BE"/>
              </w:rPr>
              <w:lastRenderedPageBreak/>
              <w:t xml:space="preserve">References: Article 4(5) of Directive </w:t>
            </w:r>
            <w:r w:rsidR="00E52BA2" w:rsidRPr="00CF3B41">
              <w:rPr>
                <w:rFonts w:ascii="Times New Roman" w:eastAsia="Cambria" w:hAnsi="Times New Roman" w:cs="Times New Roman"/>
                <w:color w:val="000000" w:themeColor="text1"/>
                <w:spacing w:val="-2"/>
                <w:w w:val="95"/>
                <w:sz w:val="20"/>
                <w:szCs w:val="20"/>
                <w:lang w:val="fr-BE"/>
              </w:rPr>
              <w:t xml:space="preserve">(EU) </w:t>
            </w:r>
            <w:r w:rsidRPr="00CF3B41">
              <w:rPr>
                <w:rFonts w:ascii="Times New Roman" w:eastAsia="Cambria" w:hAnsi="Times New Roman" w:cs="Times New Roman"/>
                <w:color w:val="000000" w:themeColor="text1"/>
                <w:spacing w:val="-2"/>
                <w:w w:val="95"/>
                <w:sz w:val="20"/>
                <w:szCs w:val="20"/>
                <w:lang w:val="fr-BE"/>
              </w:rPr>
              <w:t>2015/2366;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Number of ATM transactions, as defined in ECB/2013/43</w:t>
            </w:r>
            <w:r w:rsidR="00E52BA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w:t>
            </w:r>
            <w:r w:rsidR="00CB01E9">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as well as ove</w:t>
            </w:r>
            <w:r w:rsidR="000E7F44">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the-counter cash withdrawals, as defined in ECB/20</w:t>
            </w:r>
            <w:r w:rsidR="00CB01E9">
              <w:rPr>
                <w:rFonts w:ascii="Times New Roman" w:eastAsia="Cambria" w:hAnsi="Times New Roman" w:cs="Times New Roman"/>
                <w:color w:val="000000" w:themeColor="text1"/>
                <w:spacing w:val="-2"/>
                <w:w w:val="95"/>
                <w:sz w:val="20"/>
                <w:szCs w:val="20"/>
                <w:lang w:val="en-GB"/>
              </w:rPr>
              <w:t>14</w:t>
            </w:r>
            <w:r w:rsidRPr="00D92B3C">
              <w:rPr>
                <w:rFonts w:ascii="Times New Roman" w:eastAsia="Cambria" w:hAnsi="Times New Roman" w:cs="Times New Roman"/>
                <w:color w:val="000000" w:themeColor="text1"/>
                <w:spacing w:val="-2"/>
                <w:w w:val="95"/>
                <w:sz w:val="20"/>
                <w:szCs w:val="20"/>
                <w:lang w:val="en-GB"/>
              </w:rPr>
              <w:t>/1</w:t>
            </w:r>
            <w:r w:rsidR="00CB01E9">
              <w:rPr>
                <w:rFonts w:ascii="Times New Roman" w:eastAsia="Cambria" w:hAnsi="Times New Roman" w:cs="Times New Roman"/>
                <w:color w:val="000000" w:themeColor="text1"/>
                <w:spacing w:val="-2"/>
                <w:w w:val="95"/>
                <w:sz w:val="20"/>
                <w:szCs w:val="20"/>
                <w:lang w:val="en-GB"/>
              </w:rPr>
              <w:t>5</w:t>
            </w:r>
            <w:r w:rsidR="00E52BA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Number of securities transfer transactions processed on 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Number of counterparties </w:t>
            </w:r>
            <w:r w:rsidR="00E52BA2">
              <w:rPr>
                <w:rFonts w:ascii="Times New Roman" w:eastAsia="Cambria" w:hAnsi="Times New Roman" w:cs="Times New Roman"/>
                <w:color w:val="000000" w:themeColor="text1"/>
                <w:spacing w:val="-2"/>
                <w:w w:val="95"/>
                <w:sz w:val="20"/>
                <w:szCs w:val="20"/>
                <w:lang w:val="en-GB"/>
              </w:rPr>
              <w:t>or</w:t>
            </w:r>
            <w:r w:rsidR="00E52BA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transactions. For derivatives (4.1-4.2) and secondary market instruments (4.3), total number of counterparties. For primary markets (4.4), total number of underwritten transactions.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counterparties. If </w:t>
            </w:r>
            <w:r w:rsidR="00EE6209">
              <w:rPr>
                <w:rFonts w:ascii="Times New Roman" w:eastAsia="Cambria" w:hAnsi="Times New Roman" w:cs="Times New Roman"/>
                <w:color w:val="000000" w:themeColor="text1"/>
                <w:spacing w:val="-2"/>
                <w:w w:val="95"/>
                <w:sz w:val="20"/>
                <w:szCs w:val="20"/>
                <w:lang w:val="en-GB"/>
              </w:rPr>
              <w:t>a</w:t>
            </w:r>
            <w:r w:rsidR="00EE620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counterparty has more than one account and/or more than one transaction, the counterparty shall be counted only once.</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Estimated impact of a sudden discontinuation of the function on third parties, financial markets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material, but limited; and ‘L’ if the impact is low.</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 xml:space="preserve">elegated </w:t>
            </w:r>
            <w:r w:rsidR="00EE6209">
              <w:rPr>
                <w:rFonts w:ascii="Times New Roman" w:hAnsi="Times New Roman" w:cs="Times New Roman"/>
                <w:bCs/>
                <w:color w:val="000000" w:themeColor="text1"/>
                <w:sz w:val="20"/>
                <w:szCs w:val="20"/>
                <w:lang w:val="en-GB"/>
              </w:rPr>
              <w:t>R</w:t>
            </w:r>
            <w:r w:rsidRPr="00D05086">
              <w:rPr>
                <w:rFonts w:ascii="Times New Roman" w:hAnsi="Times New Roman" w:cs="Times New Roman"/>
                <w:bCs/>
                <w:color w:val="000000" w:themeColor="text1"/>
                <w:sz w:val="20"/>
                <w:szCs w:val="20"/>
                <w:lang w:val="en-GB"/>
              </w:rPr>
              <w:t>egulation (EU) 2016/778</w:t>
            </w:r>
            <w:r w:rsidR="00297785" w:rsidRPr="00D92B3C">
              <w:rPr>
                <w:rFonts w:ascii="Times New Roman" w:hAnsi="Times New Roman" w:cs="Times New Roman"/>
                <w:bCs/>
                <w:color w:val="000000" w:themeColor="text1"/>
                <w:sz w:val="20"/>
                <w:szCs w:val="20"/>
                <w:lang w:val="en-GB"/>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The following shall be taken into account: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providers;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expansion;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activities;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assessment </w:t>
            </w:r>
            <w:r w:rsidR="00711413">
              <w:rPr>
                <w:rFonts w:ascii="Times New Roman" w:eastAsia="Cambria" w:hAnsi="Times New Roman" w:cs="Times New Roman"/>
                <w:color w:val="000000" w:themeColor="text1"/>
                <w:spacing w:val="-2"/>
                <w:w w:val="95"/>
                <w:sz w:val="20"/>
                <w:szCs w:val="20"/>
                <w:lang w:val="en-GB"/>
              </w:rPr>
              <w:t>shall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 ‘Medium-High (MH)’, ‘Medium-Low (ML)’ or Low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 shall be selected if a function can easily be provided by another bank under comparable conditions within a reasonable timeframe;</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if  a function cannot be easily or rapidly substituted;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taking into account different dimensions (e.g. market share, market concentration, time to substitution, </w:t>
            </w:r>
            <w:r w:rsidR="008E0043">
              <w:rPr>
                <w:rFonts w:ascii="Times New Roman" w:eastAsia="Cambria" w:hAnsi="Times New Roman" w:cs="Times New Roman"/>
                <w:color w:val="000000" w:themeColor="text1"/>
                <w:spacing w:val="-2"/>
                <w:w w:val="95"/>
                <w:sz w:val="20"/>
                <w:szCs w:val="20"/>
                <w:lang w:val="en-GB"/>
              </w:rPr>
              <w:t xml:space="preserve">as well as </w:t>
            </w:r>
            <w:r w:rsidRPr="00D92B3C">
              <w:rPr>
                <w:rFonts w:ascii="Times New Roman" w:eastAsia="Cambria" w:hAnsi="Times New Roman" w:cs="Times New Roman"/>
                <w:color w:val="000000" w:themeColor="text1"/>
                <w:spacing w:val="-2"/>
                <w:w w:val="95"/>
                <w:sz w:val="20"/>
                <w:szCs w:val="20"/>
                <w:lang w:val="en-GB"/>
              </w:rPr>
              <w:t>legal barriers</w:t>
            </w:r>
            <w:r w:rsidR="008E0043">
              <w:rPr>
                <w:rFonts w:ascii="Times New Roman" w:eastAsia="Cambria" w:hAnsi="Times New Roman" w:cs="Times New Roman"/>
                <w:color w:val="000000" w:themeColor="text1"/>
                <w:spacing w:val="-2"/>
                <w:w w:val="95"/>
                <w:sz w:val="20"/>
                <w:szCs w:val="20"/>
                <w:lang w:val="en-GB"/>
              </w:rPr>
              <w:t xml:space="preserve"> to and</w:t>
            </w:r>
            <w:r w:rsidRPr="00D92B3C">
              <w:rPr>
                <w:rFonts w:ascii="Times New Roman" w:eastAsia="Cambria" w:hAnsi="Times New Roman" w:cs="Times New Roman"/>
                <w:color w:val="000000" w:themeColor="text1"/>
                <w:spacing w:val="-2"/>
                <w:w w:val="95"/>
                <w:sz w:val="20"/>
                <w:szCs w:val="20"/>
                <w:lang w:val="en-GB"/>
              </w:rPr>
              <w:t xml:space="preserve"> operational requirements </w:t>
            </w:r>
            <w:r w:rsidR="008E0043">
              <w:rPr>
                <w:rFonts w:ascii="Times New Roman" w:eastAsia="Cambria" w:hAnsi="Times New Roman" w:cs="Times New Roman"/>
                <w:color w:val="000000" w:themeColor="text1"/>
                <w:spacing w:val="-2"/>
                <w:w w:val="95"/>
                <w:sz w:val="20"/>
                <w:szCs w:val="20"/>
                <w:lang w:val="en-GB"/>
              </w:rPr>
              <w:t>for</w:t>
            </w:r>
            <w:r w:rsidR="008E004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entry or expansion)</w:t>
            </w:r>
            <w:r w:rsidR="002220E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taking into account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lastRenderedPageBreak/>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 of this template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 xml:space="preserve">defined in chapter </w:t>
            </w:r>
            <w:r w:rsidR="00A95039">
              <w:rPr>
                <w:rFonts w:ascii="Times New Roman" w:eastAsia="Cambria" w:hAnsi="Times New Roman" w:cs="Times New Roman"/>
                <w:color w:val="000000" w:themeColor="text1"/>
                <w:spacing w:val="-2"/>
                <w:w w:val="95"/>
                <w:sz w:val="20"/>
                <w:szCs w:val="20"/>
                <w:lang w:val="en-GB"/>
              </w:rPr>
              <w:t>II</w:t>
            </w:r>
            <w:r w:rsidR="008E0D4B" w:rsidRPr="00D92B3C">
              <w:rPr>
                <w:rFonts w:ascii="Times New Roman" w:eastAsia="Cambria" w:hAnsi="Times New Roman" w:cs="Times New Roman"/>
                <w:color w:val="000000" w:themeColor="text1"/>
                <w:spacing w:val="-2"/>
                <w:w w:val="95"/>
                <w:sz w:val="20"/>
                <w:szCs w:val="20"/>
                <w:lang w:val="en-GB"/>
              </w:rPr>
              <w:t xml:space="preserve">.7.1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EE6209">
              <w:rPr>
                <w:rFonts w:ascii="Times New Roman" w:eastAsia="Cambria" w:hAnsi="Times New Roman" w:cs="Times New Roman"/>
                <w:color w:val="000000" w:themeColor="text1"/>
                <w:spacing w:val="-2"/>
                <w:w w:val="95"/>
                <w:sz w:val="20"/>
                <w:szCs w:val="20"/>
                <w:lang w:val="en-GB"/>
              </w:rPr>
              <w:t>e</w:t>
            </w:r>
            <w:r w:rsidR="00EE6209"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 xml:space="preserve">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EE6209">
              <w:rPr>
                <w:rFonts w:ascii="Times New Roman" w:eastAsia="Cambria" w:hAnsi="Times New Roman" w:cs="Times New Roman"/>
                <w:color w:val="000000" w:themeColor="text1"/>
                <w:spacing w:val="-2"/>
                <w:w w:val="95"/>
                <w:sz w:val="20"/>
                <w:szCs w:val="20"/>
                <w:lang w:val="en-GB"/>
              </w:rPr>
              <w:t>l</w:t>
            </w:r>
            <w:r w:rsidR="00EE6209" w:rsidRPr="00D92B3C">
              <w:rPr>
                <w:rFonts w:ascii="Times New Roman" w:eastAsia="Cambria" w:hAnsi="Times New Roman" w:cs="Times New Roman"/>
                <w:color w:val="000000" w:themeColor="text1"/>
                <w:spacing w:val="-2"/>
                <w:w w:val="95"/>
                <w:sz w:val="20"/>
                <w:szCs w:val="20"/>
                <w:lang w:val="en-GB"/>
              </w:rPr>
              <w:t xml:space="preserve">egal </w:t>
            </w:r>
            <w:r w:rsidR="00F26B4F" w:rsidRPr="00D92B3C">
              <w:rPr>
                <w:rFonts w:ascii="Times New Roman" w:eastAsia="Cambria" w:hAnsi="Times New Roman" w:cs="Times New Roman"/>
                <w:color w:val="000000" w:themeColor="text1"/>
                <w:spacing w:val="-2"/>
                <w:w w:val="95"/>
                <w:sz w:val="20"/>
                <w:szCs w:val="20"/>
                <w:lang w:val="en-GB"/>
              </w:rPr>
              <w:t xml:space="preserve">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487DEF">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w:t>
      </w:r>
      <w:r w:rsidR="007F3F35">
        <w:rPr>
          <w:rFonts w:ascii="Times New Roman" w:hAnsi="Times New Roman" w:cs="Times New Roman"/>
          <w:b w:val="0"/>
          <w:color w:val="000000" w:themeColor="text1"/>
          <w:sz w:val="20"/>
          <w:szCs w:val="20"/>
          <w:u w:val="single"/>
          <w:lang w:val="en-GB"/>
        </w:rPr>
        <w:t>c</w:t>
      </w:r>
      <w:r w:rsidR="007F3F35" w:rsidRPr="00D92B3C">
        <w:rPr>
          <w:rFonts w:ascii="Times New Roman" w:hAnsi="Times New Roman" w:cs="Times New Roman"/>
          <w:b w:val="0"/>
          <w:color w:val="000000" w:themeColor="text1"/>
          <w:sz w:val="20"/>
          <w:szCs w:val="20"/>
          <w:u w:val="single"/>
          <w:lang w:val="en-GB"/>
        </w:rPr>
        <w:t xml:space="preserve">ore </w:t>
      </w:r>
      <w:r w:rsidR="007F3F35">
        <w:rPr>
          <w:rFonts w:ascii="Times New Roman" w:hAnsi="Times New Roman" w:cs="Times New Roman"/>
          <w:b w:val="0"/>
          <w:color w:val="000000" w:themeColor="text1"/>
          <w:sz w:val="20"/>
          <w:szCs w:val="20"/>
          <w:u w:val="single"/>
          <w:lang w:val="en-GB"/>
        </w:rPr>
        <w:t>b</w:t>
      </w:r>
      <w:r w:rsidR="007F3F35" w:rsidRPr="00D92B3C">
        <w:rPr>
          <w:rFonts w:ascii="Times New Roman" w:hAnsi="Times New Roman" w:cs="Times New Roman"/>
          <w:b w:val="0"/>
          <w:color w:val="000000" w:themeColor="text1"/>
          <w:sz w:val="20"/>
          <w:szCs w:val="20"/>
          <w:u w:val="single"/>
          <w:lang w:val="en-GB"/>
        </w:rPr>
        <w:t xml:space="preserve">usiness </w:t>
      </w:r>
      <w:r w:rsidR="007F3F35">
        <w:rPr>
          <w:rFonts w:ascii="Times New Roman" w:hAnsi="Times New Roman" w:cs="Times New Roman"/>
          <w:b w:val="0"/>
          <w:color w:val="000000" w:themeColor="text1"/>
          <w:sz w:val="20"/>
          <w:szCs w:val="20"/>
          <w:u w:val="single"/>
          <w:lang w:val="en-GB"/>
        </w:rPr>
        <w:t>l</w:t>
      </w:r>
      <w:r w:rsidR="007F3F35" w:rsidRPr="00D92B3C">
        <w:rPr>
          <w:rFonts w:ascii="Times New Roman" w:hAnsi="Times New Roman" w:cs="Times New Roman"/>
          <w:b w:val="0"/>
          <w:color w:val="000000" w:themeColor="text1"/>
          <w:sz w:val="20"/>
          <w:szCs w:val="20"/>
          <w:u w:val="single"/>
          <w:lang w:val="en-GB"/>
        </w:rPr>
        <w:t xml:space="preserve">ines </w:t>
      </w:r>
      <w:r w:rsidR="003459B8">
        <w:rPr>
          <w:rFonts w:ascii="Times New Roman" w:hAnsi="Times New Roman" w:cs="Times New Roman"/>
          <w:b w:val="0"/>
          <w:color w:val="000000" w:themeColor="text1"/>
          <w:sz w:val="20"/>
          <w:szCs w:val="20"/>
          <w:u w:val="single"/>
          <w:lang w:val="en-GB"/>
        </w:rPr>
        <w:t>to</w:t>
      </w:r>
      <w:r w:rsidR="007F3F35"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The combination of values reported in columns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020 and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040 of this template forms a primary key which has to be unique for each row of the template.</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Only </w:t>
      </w:r>
      <w:r w:rsidR="00222B38">
        <w:rPr>
          <w:rFonts w:ascii="Times New Roman" w:hAnsi="Times New Roman" w:cs="Times New Roman"/>
          <w:sz w:val="20"/>
          <w:szCs w:val="20"/>
          <w:lang w:val="en-GB"/>
        </w:rPr>
        <w:t xml:space="preserve">relevant legal </w:t>
      </w:r>
      <w:r w:rsidR="008D7004" w:rsidRPr="00BF16D7">
        <w:rPr>
          <w:rFonts w:ascii="Times New Roman" w:hAnsi="Times New Roman" w:cs="Times New Roman"/>
          <w:sz w:val="20"/>
          <w:szCs w:val="20"/>
          <w:lang w:val="en-GB"/>
        </w:rPr>
        <w:t>entities</w:t>
      </w:r>
      <w:r w:rsidR="00912116">
        <w:rPr>
          <w:rFonts w:ascii="Times New Roman" w:hAnsi="Times New Roman" w:cs="Times New Roman"/>
          <w:sz w:val="20"/>
          <w:szCs w:val="20"/>
          <w:lang w:val="en-GB"/>
        </w:rPr>
        <w:t xml:space="preserve"> </w:t>
      </w:r>
      <w:r w:rsidRPr="00BF16D7">
        <w:rPr>
          <w:rFonts w:ascii="Times New Roman" w:hAnsi="Times New Roman" w:cs="Times New Roman"/>
          <w:sz w:val="20"/>
          <w:szCs w:val="20"/>
          <w:lang w:val="en-GB"/>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ore business line pursuant to Article 2(1)</w:t>
            </w:r>
            <w:r w:rsidR="007F3F35">
              <w:rPr>
                <w:rFonts w:ascii="Times New Roman" w:eastAsia="Cambria" w:hAnsi="Times New Roman" w:cs="Times New Roman"/>
                <w:color w:val="000000" w:themeColor="text1"/>
                <w:spacing w:val="-2"/>
                <w:w w:val="95"/>
                <w:sz w:val="20"/>
                <w:szCs w:val="20"/>
                <w:lang w:val="en-GB"/>
              </w:rPr>
              <w:t>, point </w:t>
            </w:r>
            <w:r w:rsidR="00356129" w:rsidRPr="00D92B3C">
              <w:rPr>
                <w:rFonts w:ascii="Times New Roman" w:eastAsia="Cambria" w:hAnsi="Times New Roman" w:cs="Times New Roman"/>
                <w:color w:val="000000" w:themeColor="text1"/>
                <w:spacing w:val="-2"/>
                <w:w w:val="95"/>
                <w:sz w:val="20"/>
                <w:szCs w:val="20"/>
                <w:lang w:val="en-GB"/>
              </w:rPr>
              <w:t xml:space="preserve">(36)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A2E23">
              <w:rPr>
                <w:rFonts w:ascii="Times New Roman" w:eastAsia="Cambria" w:hAnsi="Times New Roman" w:cs="Times New Roman"/>
                <w:color w:val="000000" w:themeColor="text1"/>
                <w:spacing w:val="-2"/>
                <w:w w:val="95"/>
                <w:sz w:val="20"/>
                <w:szCs w:val="20"/>
                <w:lang w:val="en-GB"/>
              </w:rPr>
              <w:t xml:space="preserve"> and Article 7 of Commission Delegated Regulation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487DEF">
              <w:rPr>
                <w:rFonts w:ascii="Times New Roman" w:eastAsia="Cambria" w:hAnsi="Times New Roman" w:cs="Times New Roman"/>
                <w:color w:val="000000" w:themeColor="text1"/>
                <w:spacing w:val="-2"/>
                <w:w w:val="95"/>
                <w:sz w:val="20"/>
                <w:szCs w:val="20"/>
                <w:lang w:val="en-GB"/>
              </w:rPr>
              <w:t>e</w:t>
            </w:r>
            <w:r w:rsidR="00487DEF"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 xml:space="preserve">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487DEF">
              <w:rPr>
                <w:rFonts w:ascii="Times New Roman" w:eastAsia="Cambria" w:hAnsi="Times New Roman" w:cs="Times New Roman"/>
                <w:color w:val="000000" w:themeColor="text1"/>
                <w:spacing w:val="-2"/>
                <w:w w:val="95"/>
                <w:sz w:val="20"/>
                <w:szCs w:val="20"/>
                <w:lang w:val="en-GB"/>
              </w:rPr>
              <w:t>e</w:t>
            </w:r>
            <w:r w:rsidR="00487DEF" w:rsidRPr="00D92B3C">
              <w:rPr>
                <w:rFonts w:ascii="Times New Roman" w:eastAsia="Cambria" w:hAnsi="Times New Roman" w:cs="Times New Roman"/>
                <w:color w:val="000000" w:themeColor="text1"/>
                <w:spacing w:val="-2"/>
                <w:w w:val="95"/>
                <w:sz w:val="20"/>
                <w:szCs w:val="20"/>
                <w:lang w:val="en-GB"/>
              </w:rPr>
              <w:t xml:space="preserve">ntity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14:paraId="258A1667" w14:textId="3BCA2C0A"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459B8">
        <w:rPr>
          <w:lang w:val="en-GB"/>
        </w:rPr>
        <w:t>to</w:t>
      </w:r>
      <w:r w:rsidR="00487DEF"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40 of this template forms a primary key which has to be unique for each row of the template.</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.7.1</w:t>
            </w:r>
            <w:r w:rsidR="00BB056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 business line pursuant to Article 2(1)</w:t>
            </w:r>
            <w:r w:rsidR="00487DEF">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 xml:space="preserve">(36)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A2E23">
              <w:rPr>
                <w:rFonts w:ascii="Times New Roman" w:eastAsia="Cambria" w:hAnsi="Times New Roman" w:cs="Times New Roman"/>
                <w:color w:val="000000" w:themeColor="text1"/>
                <w:spacing w:val="-2"/>
                <w:w w:val="95"/>
                <w:sz w:val="20"/>
                <w:szCs w:val="20"/>
                <w:lang w:val="en-GB"/>
              </w:rPr>
              <w:t xml:space="preserve"> and Article 7 of Commission Delegated Regulation (EU) 2016/778 of 2 February 2016</w:t>
            </w:r>
            <w:r w:rsidR="00487DE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r w:rsidR="00487DEF">
              <w:rPr>
                <w:rFonts w:ascii="Times New Roman" w:eastAsia="Cambria" w:hAnsi="Times New Roman" w:cs="Times New Roman"/>
                <w:color w:val="000000" w:themeColor="text1"/>
                <w:spacing w:val="-2"/>
                <w:w w:val="95"/>
                <w:sz w:val="20"/>
                <w:szCs w:val="20"/>
                <w:lang w:val="en-GB"/>
              </w:rPr>
              <w:t>.</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4" w:name="_Toc509909046"/>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24"/>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list critical services received by any entity in the group and link them to the critical functions provided by the group.</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w:t>
      </w:r>
      <w:r w:rsidR="00D060A0">
        <w:rPr>
          <w:rFonts w:ascii="Times New Roman" w:hAnsi="Times New Roman" w:cs="Times New Roman"/>
          <w:sz w:val="20"/>
          <w:szCs w:val="20"/>
          <w:lang w:val="en-GB"/>
        </w:rPr>
        <w:t>be</w:t>
      </w:r>
      <w:r w:rsidR="00D060A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be performed by entities within the group (</w:t>
      </w:r>
      <w:r w:rsidR="00487DEF">
        <w:rPr>
          <w:rFonts w:ascii="Times New Roman" w:hAnsi="Times New Roman" w:cs="Times New Roman"/>
          <w:sz w:val="20"/>
          <w:szCs w:val="20"/>
          <w:lang w:val="en-GB"/>
        </w:rPr>
        <w:t>i</w:t>
      </w:r>
      <w:r w:rsidRPr="00D92B3C">
        <w:rPr>
          <w:rFonts w:ascii="Times New Roman" w:hAnsi="Times New Roman" w:cs="Times New Roman"/>
          <w:sz w:val="20"/>
          <w:szCs w:val="20"/>
          <w:lang w:val="en-GB"/>
        </w:rPr>
        <w:t>nternal service) or be outsourced to an external provider (</w:t>
      </w:r>
      <w:r w:rsidR="00487DEF">
        <w:rPr>
          <w:rFonts w:ascii="Times New Roman" w:hAnsi="Times New Roman" w:cs="Times New Roman"/>
          <w:sz w:val="20"/>
          <w:szCs w:val="20"/>
          <w:lang w:val="en-GB"/>
        </w:rPr>
        <w:t>e</w:t>
      </w:r>
      <w:r w:rsidRPr="00D92B3C">
        <w:rPr>
          <w:rFonts w:ascii="Times New Roman" w:hAnsi="Times New Roman" w:cs="Times New Roman"/>
          <w:sz w:val="20"/>
          <w:szCs w:val="20"/>
          <w:lang w:val="en-GB"/>
        </w:rPr>
        <w:t xml:space="preserv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The </w:t>
      </w:r>
      <w:r w:rsidRPr="00C518B0">
        <w:rPr>
          <w:rFonts w:ascii="Times New Roman" w:hAnsi="Times New Roman" w:cs="Times New Roman"/>
          <w:sz w:val="20"/>
          <w:szCs w:val="20"/>
          <w:lang w:val="en-GB"/>
        </w:rPr>
        <w:t xml:space="preserve">combination of </w:t>
      </w:r>
      <w:r w:rsidR="000713A0" w:rsidRPr="00C518B0">
        <w:rPr>
          <w:rFonts w:ascii="Times New Roman" w:hAnsi="Times New Roman" w:cs="Times New Roman"/>
          <w:sz w:val="20"/>
          <w:szCs w:val="20"/>
          <w:lang w:val="en-GB"/>
        </w:rPr>
        <w:t xml:space="preserve">values reported in </w:t>
      </w:r>
      <w:r w:rsidRPr="00C518B0">
        <w:rPr>
          <w:rFonts w:ascii="Times New Roman" w:hAnsi="Times New Roman" w:cs="Times New Roman"/>
          <w:sz w:val="20"/>
          <w:szCs w:val="20"/>
          <w:lang w:val="en-GB"/>
        </w:rPr>
        <w:t xml:space="preserve">columns </w:t>
      </w:r>
      <w:r w:rsidR="00F25461">
        <w:rPr>
          <w:rFonts w:ascii="Times New Roman" w:hAnsi="Times New Roman" w:cs="Times New Roman"/>
          <w:sz w:val="20"/>
          <w:szCs w:val="20"/>
          <w:lang w:val="en-GB"/>
        </w:rPr>
        <w:t xml:space="preserve">0005, </w:t>
      </w:r>
      <w:r w:rsidRPr="00C518B0">
        <w:rPr>
          <w:rFonts w:ascii="Times New Roman" w:hAnsi="Times New Roman" w:cs="Times New Roman"/>
          <w:sz w:val="20"/>
          <w:szCs w:val="20"/>
          <w:lang w:val="en-GB"/>
        </w:rPr>
        <w:t>0</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050,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070 </w:t>
      </w:r>
      <w:r w:rsidR="000713A0" w:rsidRPr="00C518B0">
        <w:rPr>
          <w:rFonts w:ascii="Times New Roman" w:hAnsi="Times New Roman" w:cs="Times New Roman"/>
          <w:sz w:val="20"/>
          <w:szCs w:val="20"/>
          <w:lang w:val="en-GB"/>
        </w:rPr>
        <w:t xml:space="preserve">and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080 </w:t>
      </w:r>
      <w:r w:rsidR="000713A0" w:rsidRPr="00C518B0">
        <w:rPr>
          <w:rFonts w:ascii="Times New Roman" w:hAnsi="Times New Roman" w:cs="Times New Roman"/>
          <w:sz w:val="20"/>
          <w:szCs w:val="20"/>
          <w:lang w:val="en-GB"/>
        </w:rPr>
        <w:t>of this template forms a primary key which has to be unique for each row of the template</w:t>
      </w:r>
      <w:r w:rsidRPr="00C518B0">
        <w:rPr>
          <w:rFonts w:ascii="Times New Roman" w:hAnsi="Times New Roman" w:cs="Times New Roman"/>
          <w:sz w:val="20"/>
          <w:szCs w:val="20"/>
          <w:lang w:val="en-GB"/>
        </w:rPr>
        <w:t xml:space="preserv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(two digit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(one digit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the treasury activity</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entit</w:t>
            </w:r>
            <w:r w:rsidR="00094833">
              <w:rPr>
                <w:rFonts w:ascii="Times New Roman" w:eastAsia="Cambria" w:hAnsi="Times New Roman" w:cs="Times New Roman"/>
                <w:color w:val="000000" w:themeColor="text1"/>
                <w:spacing w:val="-2"/>
                <w:w w:val="95"/>
                <w:sz w:val="20"/>
                <w:szCs w:val="20"/>
                <w:lang w:val="en-GB"/>
              </w:rPr>
              <w:t>ies’</w:t>
            </w:r>
            <w:r w:rsidR="000713A0" w:rsidRPr="00D92B3C">
              <w:rPr>
                <w:rFonts w:ascii="Times New Roman" w:eastAsia="Cambria" w:hAnsi="Times New Roman" w:cs="Times New Roman"/>
                <w:color w:val="000000" w:themeColor="text1"/>
                <w:spacing w:val="-2"/>
                <w:w w:val="95"/>
                <w:sz w:val="20"/>
                <w:szCs w:val="20"/>
                <w:lang w:val="en-GB"/>
              </w:rPr>
              <w:t xml:space="preserve"> refinancing, including collateral management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in particular with respect to regulatory liquidity ratios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medium and long-term funding programs, and refinancing of group entities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valuation, in particular of market positions</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094833">
              <w:rPr>
                <w:rFonts w:ascii="Times New Roman" w:eastAsia="Cambria" w:hAnsi="Times New Roman" w:cs="Times New Roman"/>
                <w:color w:val="000000" w:themeColor="text1"/>
                <w:spacing w:val="-2"/>
                <w:w w:val="95"/>
                <w:sz w:val="20"/>
                <w:szCs w:val="20"/>
                <w:lang w:val="en-GB"/>
              </w:rPr>
              <w:t>e</w:t>
            </w:r>
            <w:r w:rsidR="00094833" w:rsidRPr="00D92B3C">
              <w:rPr>
                <w:rFonts w:ascii="Times New Roman" w:eastAsia="Cambria" w:hAnsi="Times New Roman" w:cs="Times New Roman"/>
                <w:color w:val="000000" w:themeColor="text1"/>
                <w:spacing w:val="-2"/>
                <w:w w:val="95"/>
                <w:sz w:val="20"/>
                <w:szCs w:val="20"/>
                <w:lang w:val="en-GB"/>
              </w:rPr>
              <w:t xml:space="preserve">ntity </w:t>
            </w:r>
            <w:r w:rsidR="000713A0" w:rsidRPr="00D92B3C">
              <w:rPr>
                <w:rFonts w:ascii="Times New Roman" w:eastAsia="Cambria" w:hAnsi="Times New Roman" w:cs="Times New Roman"/>
                <w:color w:val="000000" w:themeColor="text1"/>
                <w:spacing w:val="-2"/>
                <w:w w:val="95"/>
                <w:sz w:val="20"/>
                <w:szCs w:val="20"/>
                <w:lang w:val="en-GB"/>
              </w:rPr>
              <w:t>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10 to a group entity</w:t>
            </w:r>
            <w:r w:rsidR="00094833">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 xml:space="preserve"> </w:t>
            </w:r>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code;</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w:t>
            </w:r>
            <w:r w:rsidR="00FE0093">
              <w:rPr>
                <w:rFonts w:ascii="Times New Roman" w:eastAsia="Cambria" w:hAnsi="Times New Roman" w:cs="Times New Roman"/>
                <w:color w:val="000000" w:themeColor="text1"/>
                <w:spacing w:val="-2"/>
                <w:w w:val="95"/>
                <w:sz w:val="20"/>
                <w:szCs w:val="20"/>
                <w:lang w:val="en-GB"/>
              </w:rPr>
              <w:t xml:space="preserve"> or, if not available, </w:t>
            </w:r>
            <w:r w:rsidR="000725C8" w:rsidRPr="00D92B3C">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Pr>
                <w:rFonts w:ascii="Times New Roman" w:eastAsia="Cambria" w:hAnsi="Times New Roman" w:cs="Times New Roman"/>
                <w:color w:val="000000" w:themeColor="text1"/>
                <w:spacing w:val="-2"/>
                <w:w w:val="95"/>
                <w:sz w:val="20"/>
                <w:szCs w:val="20"/>
                <w:lang w:val="en-GB"/>
              </w:rPr>
              <w:t xml:space="preserve"> or, if not available, </w:t>
            </w:r>
            <w:r w:rsidR="000725C8" w:rsidRPr="00D92B3C">
              <w:rPr>
                <w:rFonts w:ascii="Times New Roman" w:eastAsia="Cambria" w:hAnsi="Times New Roman" w:cs="Times New Roman"/>
                <w:color w:val="000000" w:themeColor="text1"/>
                <w:spacing w:val="-2"/>
                <w:w w:val="95"/>
                <w:sz w:val="20"/>
                <w:szCs w:val="20"/>
                <w:lang w:val="en-GB"/>
              </w:rPr>
              <w:t>a national code.</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w:t>
            </w:r>
            <w:r w:rsidR="00094833">
              <w:rPr>
                <w:rFonts w:ascii="Times New Roman" w:eastAsia="Cambria" w:hAnsi="Times New Roman" w:cs="Times New Roman"/>
                <w:color w:val="000000" w:themeColor="text1"/>
                <w:spacing w:val="-2"/>
                <w:w w:val="95"/>
                <w:sz w:val="20"/>
                <w:szCs w:val="20"/>
                <w:lang w:val="en-GB"/>
              </w:rPr>
              <w:t>i</w:t>
            </w:r>
            <w:r w:rsidR="000713A0" w:rsidRPr="00D92B3C">
              <w:rPr>
                <w:rFonts w:ascii="Times New Roman" w:eastAsia="Cambria" w:hAnsi="Times New Roman" w:cs="Times New Roman"/>
                <w:color w:val="000000" w:themeColor="text1"/>
                <w:spacing w:val="-2"/>
                <w:w w:val="95"/>
                <w:sz w:val="20"/>
                <w:szCs w:val="20"/>
                <w:lang w:val="en-GB"/>
              </w:rPr>
              <w:t>nternal”)</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Member state</w:t>
            </w:r>
            <w:r w:rsidR="006C73FE" w:rsidRPr="00D92B3C">
              <w:rPr>
                <w:rFonts w:ascii="Times New Roman" w:eastAsia="Cambria" w:hAnsi="Times New Roman" w:cs="Times New Roman"/>
                <w:color w:val="000000" w:themeColor="text1"/>
                <w:spacing w:val="-2"/>
                <w:w w:val="95"/>
                <w:sz w:val="20"/>
                <w:szCs w:val="20"/>
                <w:lang w:val="en-GB"/>
              </w:rPr>
              <w:t xml:space="preserve"> 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r w:rsidR="00094833">
              <w:rPr>
                <w:rFonts w:ascii="Times New Roman" w:eastAsia="Cambria" w:hAnsi="Times New Roman" w:cs="Times New Roman"/>
                <w:color w:val="000000" w:themeColor="text1"/>
                <w:spacing w:val="-2"/>
                <w:w w:val="95"/>
                <w:sz w:val="20"/>
                <w:szCs w:val="20"/>
                <w:lang w:val="en-GB"/>
              </w:rPr>
              <w:t>.</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094833">
              <w:rPr>
                <w:rFonts w:ascii="Times New Roman" w:eastAsia="Cambria" w:hAnsi="Times New Roman" w:cs="Times New Roman"/>
                <w:color w:val="000000" w:themeColor="text1"/>
                <w:spacing w:val="-2"/>
                <w:w w:val="95"/>
                <w:sz w:val="20"/>
                <w:szCs w:val="20"/>
                <w:lang w:val="en-GB"/>
              </w:rPr>
              <w:t>.</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75C7D22" w14:textId="5B618159"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 day</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- 1 week</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00F82306" w:rsidRPr="00CF3B41">
              <w:rPr>
                <w:rFonts w:ascii="Times New Roman" w:eastAsia="Cambria" w:hAnsi="Times New Roman" w:cs="Times New Roman"/>
                <w:w w:val="95"/>
                <w:sz w:val="20"/>
                <w:szCs w:val="20"/>
                <w:lang w:val="en-GB"/>
              </w:rPr>
              <w:t xml:space="preserve"> </w:t>
            </w:r>
            <w:r w:rsidRPr="00CF3B41">
              <w:rPr>
                <w:rFonts w:ascii="Times New Roman" w:eastAsia="Cambria" w:hAnsi="Times New Roman" w:cs="Times New Roman"/>
                <w:w w:val="95"/>
                <w:sz w:val="20"/>
                <w:szCs w:val="20"/>
                <w:lang w:val="en-GB"/>
              </w:rPr>
              <w:t xml:space="preserve">where the substitution time </w:t>
            </w:r>
            <w:r w:rsidR="00737773" w:rsidRPr="00CF3B41">
              <w:rPr>
                <w:rFonts w:ascii="Times New Roman" w:eastAsia="Cambria" w:hAnsi="Times New Roman" w:cs="Times New Roman"/>
                <w:w w:val="95"/>
                <w:sz w:val="20"/>
                <w:szCs w:val="20"/>
                <w:lang w:val="en-GB"/>
              </w:rPr>
              <w:t xml:space="preserve">is </w:t>
            </w:r>
            <w:r w:rsidRPr="00CF3B41">
              <w:rPr>
                <w:rFonts w:ascii="Times New Roman" w:eastAsia="Cambria" w:hAnsi="Times New Roman" w:cs="Times New Roman"/>
                <w:w w:val="95"/>
                <w:sz w:val="20"/>
                <w:szCs w:val="20"/>
                <w:lang w:val="en-GB"/>
              </w:rPr>
              <w:t>no longer than a week;</w:t>
            </w:r>
          </w:p>
          <w:p w14:paraId="22395593" w14:textId="2B2ED6BA"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 week – 1 month</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week but no longer than a month;</w:t>
            </w:r>
          </w:p>
          <w:p w14:paraId="0C94A22D" w14:textId="572C3DF2"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6 months</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month but no longer than 6 months;</w:t>
            </w:r>
          </w:p>
          <w:p w14:paraId="3D1E4D8C" w14:textId="2861E453"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6</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12 months</w:t>
            </w:r>
            <w:r w:rsidRPr="00CF3B41">
              <w:rPr>
                <w:rFonts w:ascii="Times New Roman" w:eastAsia="Cambria" w:hAnsi="Times New Roman" w:cs="Times New Roman"/>
                <w:w w:val="95"/>
                <w:sz w:val="20"/>
                <w:szCs w:val="20"/>
                <w:lang w:val="en-GB"/>
              </w:rPr>
              <w:t>’</w:t>
            </w:r>
            <w:r w:rsidR="0024704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w:t>
            </w:r>
            <w:r w:rsidRPr="00CF3B41">
              <w:rPr>
                <w:rFonts w:ascii="Times New Roman" w:hAnsi="Times New Roman" w:cs="Times New Roman"/>
                <w:sz w:val="20"/>
                <w:szCs w:val="20"/>
              </w:rPr>
              <w:t xml:space="preserve"> </w:t>
            </w:r>
            <w:r w:rsidR="00C050EE">
              <w:rPr>
                <w:rFonts w:ascii="Times New Roman" w:eastAsia="Cambria" w:hAnsi="Times New Roman" w:cs="Times New Roman"/>
                <w:w w:val="95"/>
                <w:sz w:val="20"/>
                <w:szCs w:val="20"/>
                <w:lang w:val="en-GB"/>
              </w:rPr>
              <w:t xml:space="preserve">6 months but no longer than a </w:t>
            </w:r>
            <w:r w:rsidRPr="00CF3B41">
              <w:rPr>
                <w:rFonts w:ascii="Times New Roman" w:eastAsia="Cambria" w:hAnsi="Times New Roman" w:cs="Times New Roman"/>
                <w:w w:val="95"/>
                <w:sz w:val="20"/>
                <w:szCs w:val="20"/>
                <w:lang w:val="en-GB"/>
              </w:rPr>
              <w:t>year;</w:t>
            </w:r>
          </w:p>
          <w:p w14:paraId="4A596007" w14:textId="57ED76F4" w:rsidR="008E0043" w:rsidRPr="008E0043" w:rsidRDefault="008E0043">
            <w:pPr>
              <w:pStyle w:val="List1"/>
              <w:rPr>
                <w:rFonts w:eastAsia="Cambria"/>
                <w:w w:val="95"/>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more than 1 year</w:t>
            </w:r>
            <w:r w:rsidRPr="00CF3B41">
              <w:rPr>
                <w:rFonts w:ascii="Times New Roman" w:eastAsia="Cambria" w:hAnsi="Times New Roman" w:cs="Times New Roman"/>
                <w:w w:val="95"/>
                <w:sz w:val="20"/>
                <w:szCs w:val="20"/>
                <w:lang w:val="en-GB"/>
              </w:rPr>
              <w:t>’</w:t>
            </w:r>
            <w:r w:rsidR="0024704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year.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E1CD1">
              <w:rPr>
                <w:rFonts w:ascii="Times New Roman" w:eastAsia="Cambria" w:hAnsi="Times New Roman" w:cs="Times New Roman"/>
                <w:color w:val="000000" w:themeColor="text1"/>
                <w:spacing w:val="-2"/>
                <w:w w:val="95"/>
                <w:sz w:val="20"/>
                <w:szCs w:val="20"/>
                <w:lang w:val="en-GB"/>
              </w:rPr>
              <w:t>E</w:t>
            </w:r>
            <w:r w:rsidR="000713A0" w:rsidRPr="00DE1CD1">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E1CD1">
              <w:rPr>
                <w:rFonts w:ascii="Times New Roman" w:eastAsia="Cambria" w:hAnsi="Times New Roman" w:cs="Times New Roman"/>
                <w:color w:val="000000" w:themeColor="text1"/>
                <w:spacing w:val="-2"/>
                <w:w w:val="95"/>
                <w:sz w:val="20"/>
                <w:szCs w:val="20"/>
                <w:lang w:val="en-GB"/>
              </w:rPr>
              <w:t>by</w:t>
            </w:r>
            <w:r w:rsidRPr="00DE1CD1">
              <w:rPr>
                <w:rFonts w:ascii="Times New Roman" w:eastAsia="Cambria" w:hAnsi="Times New Roman" w:cs="Times New Roman"/>
                <w:color w:val="000000" w:themeColor="text1"/>
                <w:spacing w:val="-2"/>
                <w:w w:val="95"/>
                <w:sz w:val="20"/>
                <w:szCs w:val="20"/>
                <w:lang w:val="en-GB"/>
              </w:rPr>
              <w:t xml:space="preserve"> the resolution authority</w:t>
            </w:r>
            <w:r w:rsidR="000713A0" w:rsidRPr="00DE1CD1">
              <w:rPr>
                <w:rFonts w:ascii="Times New Roman" w:eastAsia="Cambria" w:hAnsi="Times New Roman" w:cs="Times New Roman"/>
                <w:color w:val="000000" w:themeColor="text1"/>
                <w:spacing w:val="-2"/>
                <w:w w:val="95"/>
                <w:sz w:val="20"/>
                <w:szCs w:val="20"/>
                <w:lang w:val="en-GB"/>
              </w:rPr>
              <w:t>:</w:t>
            </w:r>
          </w:p>
          <w:p w14:paraId="29BDEBD1"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duration of the contract</w:t>
            </w:r>
          </w:p>
          <w:p w14:paraId="760C8B5C"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parties to the contract (authoring party and supplier, contact persons) and their jurisdiction</w:t>
            </w:r>
          </w:p>
          <w:p w14:paraId="5A4B51D7"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nature of the service (i.e. short description of the nature of the transaction between the parties, including prices)</w:t>
            </w:r>
          </w:p>
          <w:p w14:paraId="168F840B"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whether the same service can be offered by any other internal/external provider (and identify potential candidates)</w:t>
            </w:r>
          </w:p>
          <w:p w14:paraId="1AC952CB"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jurisdiction of the contract</w:t>
            </w:r>
          </w:p>
          <w:p w14:paraId="387A0373" w14:textId="5495466F"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 xml:space="preserve">department responsible </w:t>
            </w:r>
            <w:r w:rsidR="00247043" w:rsidRPr="00CF3B41">
              <w:rPr>
                <w:rFonts w:ascii="Times New Roman" w:eastAsia="Cambria" w:hAnsi="Times New Roman" w:cs="Times New Roman"/>
                <w:w w:val="95"/>
                <w:sz w:val="20"/>
                <w:szCs w:val="20"/>
                <w:lang w:val="en-GB"/>
              </w:rPr>
              <w:t xml:space="preserve">for </w:t>
            </w:r>
            <w:r w:rsidRPr="00CF3B41">
              <w:rPr>
                <w:rFonts w:ascii="Times New Roman" w:eastAsia="Cambria" w:hAnsi="Times New Roman" w:cs="Times New Roman"/>
                <w:w w:val="95"/>
                <w:sz w:val="20"/>
                <w:szCs w:val="20"/>
                <w:lang w:val="en-GB"/>
              </w:rPr>
              <w:t>dealing with the main operations covered by the contract</w:t>
            </w:r>
          </w:p>
          <w:p w14:paraId="3BE3141E"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main penalties included in the contract in case of suspension or delay on the payments</w:t>
            </w:r>
          </w:p>
          <w:p w14:paraId="1187855D" w14:textId="7DBBE058"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trigger for early termination and timing allowed for termination</w:t>
            </w:r>
          </w:p>
          <w:p w14:paraId="1713F8AF"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operational support following termination</w:t>
            </w:r>
          </w:p>
          <w:p w14:paraId="74381861"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relevance for which critical functions and business lines</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E1CD1">
              <w:rPr>
                <w:rFonts w:ascii="Times New Roman" w:eastAsia="Cambria" w:hAnsi="Times New Roman" w:cs="Times New Roman"/>
                <w:color w:val="000000" w:themeColor="text1"/>
                <w:spacing w:val="-2"/>
                <w:w w:val="95"/>
                <w:sz w:val="20"/>
                <w:szCs w:val="20"/>
                <w:lang w:val="en-GB"/>
              </w:rPr>
              <w:t>Report one of the following values:</w:t>
            </w:r>
          </w:p>
          <w:p w14:paraId="1A34D4E0"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1 day</w:t>
            </w:r>
          </w:p>
          <w:p w14:paraId="77D7512A"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1 day</w:t>
            </w:r>
            <w:r w:rsidR="00597A96" w:rsidRPr="00CF3B41">
              <w:rPr>
                <w:rFonts w:ascii="Times New Roman" w:eastAsia="Cambria" w:hAnsi="Times New Roman" w:cs="Times New Roman"/>
                <w:w w:val="95"/>
                <w:sz w:val="20"/>
                <w:szCs w:val="20"/>
                <w:lang w:val="en-GB"/>
              </w:rPr>
              <w:t xml:space="preserve"> </w:t>
            </w:r>
            <w:r w:rsidRPr="00CF3B41">
              <w:rPr>
                <w:rFonts w:ascii="Times New Roman" w:eastAsia="Cambria" w:hAnsi="Times New Roman" w:cs="Times New Roman"/>
                <w:w w:val="95"/>
                <w:sz w:val="20"/>
                <w:szCs w:val="20"/>
                <w:lang w:val="en-GB"/>
              </w:rPr>
              <w:t>- 1 week</w:t>
            </w:r>
          </w:p>
          <w:p w14:paraId="1A51B684"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more than 1 week</w:t>
            </w:r>
          </w:p>
          <w:p w14:paraId="4BD39BFA" w14:textId="77777777" w:rsidR="000713A0" w:rsidRPr="00D92B3C" w:rsidRDefault="000713A0">
            <w:pPr>
              <w:pStyle w:val="List1"/>
              <w:rPr>
                <w:rFonts w:eastAsia="Cambria"/>
                <w:w w:val="95"/>
                <w:lang w:val="en-GB"/>
              </w:rPr>
            </w:pPr>
            <w:r w:rsidRPr="00CF3B41">
              <w:rPr>
                <w:rFonts w:ascii="Times New Roman" w:eastAsia="Cambria" w:hAnsi="Times New Roman" w:cs="Times New Roman"/>
                <w:w w:val="95"/>
                <w:sz w:val="20"/>
                <w:szCs w:val="20"/>
                <w:lang w:val="en-GB"/>
              </w:rPr>
              <w:t>no contract regulating the service</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the law of which governs the contract.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Reflects the a</w:t>
            </w:r>
            <w:r w:rsidR="000713A0" w:rsidRPr="00C050EE">
              <w:rPr>
                <w:rFonts w:ascii="Times New Roman" w:eastAsia="Cambria" w:hAnsi="Times New Roman" w:cs="Times New Roman"/>
                <w:color w:val="000000" w:themeColor="text1"/>
                <w:spacing w:val="-2"/>
                <w:w w:val="95"/>
                <w:sz w:val="20"/>
                <w:szCs w:val="20"/>
                <w:lang w:val="en-GB"/>
              </w:rPr>
              <w:t>ssess</w:t>
            </w:r>
            <w:r w:rsidRPr="00C050EE">
              <w:rPr>
                <w:rFonts w:ascii="Times New Roman" w:eastAsia="Cambria" w:hAnsi="Times New Roman" w:cs="Times New Roman"/>
                <w:color w:val="000000" w:themeColor="text1"/>
                <w:spacing w:val="-2"/>
                <w:w w:val="95"/>
                <w:sz w:val="20"/>
                <w:szCs w:val="20"/>
                <w:lang w:val="en-GB"/>
              </w:rPr>
              <w:t>ment</w:t>
            </w:r>
            <w:r w:rsidR="000713A0" w:rsidRPr="00C050EE">
              <w:rPr>
                <w:rFonts w:ascii="Times New Roman" w:eastAsia="Cambria" w:hAnsi="Times New Roman" w:cs="Times New Roman"/>
                <w:color w:val="000000" w:themeColor="text1"/>
                <w:spacing w:val="-2"/>
                <w:w w:val="95"/>
                <w:sz w:val="20"/>
                <w:szCs w:val="20"/>
                <w:lang w:val="en-GB"/>
              </w:rPr>
              <w:t xml:space="preserve"> </w:t>
            </w:r>
            <w:r w:rsidR="008E58CA" w:rsidRPr="00C050EE">
              <w:rPr>
                <w:rFonts w:ascii="Times New Roman" w:eastAsia="Cambria" w:hAnsi="Times New Roman" w:cs="Times New Roman"/>
                <w:color w:val="000000" w:themeColor="text1"/>
                <w:spacing w:val="-2"/>
                <w:w w:val="95"/>
                <w:sz w:val="20"/>
                <w:szCs w:val="20"/>
                <w:lang w:val="en-GB"/>
              </w:rPr>
              <w:t xml:space="preserve">of </w:t>
            </w:r>
            <w:r w:rsidR="000713A0" w:rsidRPr="00C050EE">
              <w:rPr>
                <w:rFonts w:ascii="Times New Roman" w:eastAsia="Cambria" w:hAnsi="Times New Roman" w:cs="Times New Roman"/>
                <w:color w:val="000000" w:themeColor="text1"/>
                <w:spacing w:val="-2"/>
                <w:w w:val="95"/>
                <w:sz w:val="20"/>
                <w:szCs w:val="20"/>
                <w:lang w:val="en-GB"/>
              </w:rPr>
              <w:t xml:space="preserve">whether the contract </w:t>
            </w:r>
            <w:r w:rsidR="009E310F" w:rsidRPr="00C050EE">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C050EE">
              <w:rPr>
                <w:rFonts w:ascii="Times New Roman" w:eastAsia="Cambria" w:hAnsi="Times New Roman" w:cs="Times New Roman"/>
                <w:color w:val="000000" w:themeColor="text1"/>
                <w:spacing w:val="-2"/>
                <w:w w:val="95"/>
                <w:sz w:val="20"/>
                <w:szCs w:val="20"/>
                <w:lang w:val="en-GB"/>
              </w:rPr>
              <w:t>in resolution</w:t>
            </w:r>
            <w:r w:rsidRPr="00C050EE">
              <w:rPr>
                <w:rFonts w:ascii="Times New Roman" w:eastAsia="Cambria" w:hAnsi="Times New Roman" w:cs="Times New Roman"/>
                <w:color w:val="000000" w:themeColor="text1"/>
                <w:spacing w:val="-2"/>
                <w:w w:val="95"/>
                <w:sz w:val="20"/>
                <w:szCs w:val="20"/>
                <w:lang w:val="en-GB"/>
              </w:rPr>
              <w:t xml:space="preserv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 xml:space="preserve">The assessment shall </w:t>
            </w:r>
            <w:r w:rsidR="009E310F" w:rsidRPr="00C050EE">
              <w:rPr>
                <w:rFonts w:ascii="Times New Roman" w:eastAsia="Cambria" w:hAnsi="Times New Roman" w:cs="Times New Roman"/>
                <w:color w:val="000000" w:themeColor="text1"/>
                <w:spacing w:val="-2"/>
                <w:w w:val="95"/>
                <w:sz w:val="20"/>
                <w:szCs w:val="20"/>
                <w:lang w:val="en-GB"/>
              </w:rPr>
              <w:t>take into account</w:t>
            </w:r>
            <w:r w:rsidR="00AC56F9" w:rsidRPr="00C050EE">
              <w:rPr>
                <w:rFonts w:ascii="Times New Roman" w:eastAsia="Cambria" w:hAnsi="Times New Roman" w:cs="Times New Roman"/>
                <w:color w:val="000000" w:themeColor="text1"/>
                <w:spacing w:val="-2"/>
                <w:w w:val="95"/>
                <w:sz w:val="20"/>
                <w:szCs w:val="20"/>
                <w:lang w:val="en-GB"/>
              </w:rPr>
              <w:t>, among other facto</w:t>
            </w:r>
            <w:r w:rsidR="00971A9D" w:rsidRPr="00C050EE">
              <w:rPr>
                <w:rFonts w:ascii="Times New Roman" w:eastAsia="Cambria" w:hAnsi="Times New Roman" w:cs="Times New Roman"/>
                <w:color w:val="000000" w:themeColor="text1"/>
                <w:spacing w:val="-2"/>
                <w:w w:val="95"/>
                <w:sz w:val="20"/>
                <w:szCs w:val="20"/>
                <w:lang w:val="en-GB"/>
              </w:rPr>
              <w:t>r</w:t>
            </w:r>
            <w:r w:rsidR="00AC56F9" w:rsidRPr="00C050EE">
              <w:rPr>
                <w:rFonts w:ascii="Times New Roman" w:eastAsia="Cambria" w:hAnsi="Times New Roman" w:cs="Times New Roman"/>
                <w:color w:val="000000" w:themeColor="text1"/>
                <w:spacing w:val="-2"/>
                <w:w w:val="95"/>
                <w:sz w:val="20"/>
                <w:szCs w:val="20"/>
                <w:lang w:val="en-GB"/>
              </w:rPr>
              <w:t>s</w:t>
            </w:r>
            <w:r w:rsidR="000713A0" w:rsidRPr="00C050EE">
              <w:rPr>
                <w:rFonts w:ascii="Times New Roman" w:eastAsia="Cambria" w:hAnsi="Times New Roman" w:cs="Times New Roman"/>
                <w:color w:val="000000" w:themeColor="text1"/>
                <w:spacing w:val="-2"/>
                <w:w w:val="95"/>
                <w:sz w:val="20"/>
                <w:szCs w:val="20"/>
                <w:lang w:val="en-GB"/>
              </w:rPr>
              <w:t>:</w:t>
            </w:r>
          </w:p>
          <w:p w14:paraId="4132752A" w14:textId="77777777" w:rsidR="000713A0" w:rsidRPr="00C050EE" w:rsidRDefault="009E310F">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any clause that would entitle a counterparty to terminate the contract solely as a result of </w:t>
            </w:r>
            <w:r w:rsidR="000713A0" w:rsidRPr="00C050EE">
              <w:rPr>
                <w:rFonts w:ascii="Times New Roman" w:eastAsia="Cambria" w:hAnsi="Times New Roman" w:cs="Times New Roman"/>
                <w:w w:val="95"/>
                <w:sz w:val="20"/>
                <w:szCs w:val="20"/>
                <w:lang w:val="en-GB"/>
              </w:rPr>
              <w:t>resolution, early intervention measures or cross-default scenarios</w:t>
            </w:r>
            <w:r w:rsidR="00DC1BCF" w:rsidRPr="00C050EE">
              <w:rPr>
                <w:rFonts w:ascii="Times New Roman" w:eastAsia="Cambria" w:hAnsi="Times New Roman" w:cs="Times New Roman"/>
                <w:w w:val="95"/>
                <w:sz w:val="20"/>
                <w:szCs w:val="20"/>
                <w:lang w:val="en-GB"/>
              </w:rPr>
              <w:t xml:space="preserve"> in spite of substantive obligations continuing to be performed</w:t>
            </w:r>
            <w:r w:rsidR="000713A0" w:rsidRPr="00C050EE">
              <w:rPr>
                <w:rFonts w:ascii="Times New Roman" w:eastAsia="Cambria" w:hAnsi="Times New Roman" w:cs="Times New Roman"/>
                <w:w w:val="95"/>
                <w:sz w:val="20"/>
                <w:szCs w:val="20"/>
                <w:lang w:val="en-GB"/>
              </w:rPr>
              <w:t>;</w:t>
            </w:r>
          </w:p>
          <w:p w14:paraId="47C59709" w14:textId="77777777" w:rsidR="000713A0" w:rsidRPr="00C050EE" w:rsidRDefault="009E310F">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any clause that would entitle a counterparty </w:t>
            </w:r>
            <w:r w:rsidR="000713A0" w:rsidRPr="00C050EE">
              <w:rPr>
                <w:rFonts w:ascii="Times New Roman" w:eastAsia="Cambria" w:hAnsi="Times New Roman" w:cs="Times New Roman"/>
                <w:w w:val="95"/>
                <w:sz w:val="20"/>
                <w:szCs w:val="20"/>
                <w:lang w:val="en-GB"/>
              </w:rPr>
              <w:t xml:space="preserve">to alter the terms of service </w:t>
            </w:r>
            <w:r w:rsidR="00DC1BCF" w:rsidRPr="00C050EE">
              <w:rPr>
                <w:rFonts w:ascii="Times New Roman" w:eastAsia="Cambria" w:hAnsi="Times New Roman" w:cs="Times New Roman"/>
                <w:w w:val="95"/>
                <w:sz w:val="20"/>
                <w:szCs w:val="20"/>
                <w:lang w:val="en-GB"/>
              </w:rPr>
              <w:t xml:space="preserve">or </w:t>
            </w:r>
            <w:r w:rsidR="000713A0" w:rsidRPr="00C050EE">
              <w:rPr>
                <w:rFonts w:ascii="Times New Roman" w:eastAsia="Cambria" w:hAnsi="Times New Roman" w:cs="Times New Roman"/>
                <w:w w:val="95"/>
                <w:sz w:val="20"/>
                <w:szCs w:val="20"/>
                <w:lang w:val="en-GB"/>
              </w:rPr>
              <w:t>pricing solely as a result of resolution, early intervention or cross-default scenarios</w:t>
            </w:r>
            <w:r w:rsidR="00DC1BCF" w:rsidRPr="00C050EE">
              <w:rPr>
                <w:rFonts w:ascii="Times New Roman" w:eastAsia="Cambria" w:hAnsi="Times New Roman" w:cs="Times New Roman"/>
                <w:w w:val="95"/>
                <w:sz w:val="20"/>
                <w:szCs w:val="20"/>
                <w:lang w:val="en-GB"/>
              </w:rPr>
              <w:t xml:space="preserve"> in spite of </w:t>
            </w:r>
            <w:r w:rsidR="000713A0" w:rsidRPr="00C050EE">
              <w:rPr>
                <w:rFonts w:ascii="Times New Roman" w:eastAsia="Cambria" w:hAnsi="Times New Roman" w:cs="Times New Roman"/>
                <w:w w:val="95"/>
                <w:sz w:val="20"/>
                <w:szCs w:val="20"/>
                <w:lang w:val="en-GB"/>
              </w:rPr>
              <w:t>substantive obligations continu</w:t>
            </w:r>
            <w:r w:rsidR="00DC1BCF" w:rsidRPr="00C050EE">
              <w:rPr>
                <w:rFonts w:ascii="Times New Roman" w:eastAsia="Cambria" w:hAnsi="Times New Roman" w:cs="Times New Roman"/>
                <w:w w:val="95"/>
                <w:sz w:val="20"/>
                <w:szCs w:val="20"/>
                <w:lang w:val="en-GB"/>
              </w:rPr>
              <w:t>ing</w:t>
            </w:r>
            <w:r w:rsidR="000713A0" w:rsidRPr="00C050EE">
              <w:rPr>
                <w:rFonts w:ascii="Times New Roman" w:eastAsia="Cambria" w:hAnsi="Times New Roman" w:cs="Times New Roman"/>
                <w:w w:val="95"/>
                <w:sz w:val="20"/>
                <w:szCs w:val="20"/>
                <w:lang w:val="en-GB"/>
              </w:rPr>
              <w:t xml:space="preserve"> to be performed;</w:t>
            </w:r>
          </w:p>
          <w:p w14:paraId="024018C1" w14:textId="77777777" w:rsidR="000713A0" w:rsidRPr="00C050EE" w:rsidRDefault="00796C03">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the recognition, in the contract, of </w:t>
            </w:r>
            <w:r w:rsidR="000713A0" w:rsidRPr="00C050EE">
              <w:rPr>
                <w:rFonts w:ascii="Times New Roman" w:eastAsia="Cambria" w:hAnsi="Times New Roman" w:cs="Times New Roman"/>
                <w:w w:val="95"/>
                <w:sz w:val="20"/>
                <w:szCs w:val="20"/>
                <w:lang w:val="en-GB"/>
              </w:rPr>
              <w:t>the suspension rights of resolution authorities.</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Report one of the following values:</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Yes</w:t>
            </w:r>
            <w:r w:rsidRPr="00C050EE">
              <w:rPr>
                <w:rFonts w:ascii="Times New Roman" w:eastAsia="Cambria" w:hAnsi="Times New Roman" w:cs="Times New Roman"/>
                <w:color w:val="000000" w:themeColor="text1"/>
                <w:spacing w:val="-2"/>
                <w:w w:val="95"/>
                <w:sz w:val="20"/>
                <w:szCs w:val="20"/>
                <w:lang w:val="en-GB"/>
              </w:rPr>
              <w:t>’ – if the contract is assessed as resolution-proof</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No</w:t>
            </w:r>
            <w:r w:rsidRPr="00C050EE">
              <w:rPr>
                <w:rFonts w:ascii="Times New Roman" w:eastAsia="Cambria" w:hAnsi="Times New Roman" w:cs="Times New Roman"/>
                <w:color w:val="000000" w:themeColor="text1"/>
                <w:spacing w:val="-2"/>
                <w:w w:val="95"/>
                <w:sz w:val="20"/>
                <w:szCs w:val="20"/>
                <w:lang w:val="en-GB"/>
              </w:rPr>
              <w:t>’  – if the contract is not assessed as resolution-proof</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Not assessed</w:t>
            </w:r>
            <w:r w:rsidRPr="00C050EE">
              <w:rPr>
                <w:rFonts w:ascii="Times New Roman" w:eastAsia="Cambria" w:hAnsi="Times New Roman" w:cs="Times New Roman"/>
                <w:color w:val="000000" w:themeColor="text1"/>
                <w:spacing w:val="-2"/>
                <w:w w:val="95"/>
                <w:sz w:val="20"/>
                <w:szCs w:val="20"/>
                <w:lang w:val="en-GB"/>
              </w:rPr>
              <w:t>’ – if no assessment has been made</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5" w:name="_Toc492542329"/>
      <w:bookmarkStart w:id="26" w:name="_Toc509909047"/>
      <w:r w:rsidRPr="00D92B3C">
        <w:rPr>
          <w:rFonts w:ascii="Times New Roman" w:hAnsi="Times New Roman" w:cs="Times New Roman"/>
          <w:color w:val="000000" w:themeColor="text1"/>
          <w:szCs w:val="20"/>
        </w:rPr>
        <w:t xml:space="preserve">Z 09.00 - FMI Services - Providers and </w:t>
      </w:r>
      <w:r w:rsidR="004E4FCB">
        <w:rPr>
          <w:rFonts w:ascii="Times New Roman" w:hAnsi="Times New Roman" w:cs="Times New Roman"/>
          <w:color w:val="000000" w:themeColor="text1"/>
          <w:szCs w:val="20"/>
        </w:rPr>
        <w:t>u</w:t>
      </w:r>
      <w:r w:rsidR="004E4FCB" w:rsidRPr="00D92B3C">
        <w:rPr>
          <w:rFonts w:ascii="Times New Roman" w:hAnsi="Times New Roman" w:cs="Times New Roman"/>
          <w:color w:val="000000" w:themeColor="text1"/>
          <w:szCs w:val="20"/>
        </w:rPr>
        <w:t xml:space="preserve">sers </w:t>
      </w:r>
      <w:r w:rsidRPr="00D92B3C">
        <w:rPr>
          <w:rFonts w:ascii="Times New Roman" w:hAnsi="Times New Roman" w:cs="Times New Roman"/>
          <w:color w:val="000000" w:themeColor="text1"/>
          <w:szCs w:val="20"/>
        </w:rPr>
        <w:t xml:space="preserve">- Mapping </w:t>
      </w:r>
      <w:r w:rsidR="00852A5E">
        <w:rPr>
          <w:rFonts w:ascii="Times New Roman" w:hAnsi="Times New Roman" w:cs="Times New Roman"/>
          <w:color w:val="000000" w:themeColor="text1"/>
          <w:szCs w:val="20"/>
        </w:rPr>
        <w:t xml:space="preserve"> to</w:t>
      </w:r>
      <w:r w:rsidRPr="00D92B3C">
        <w:rPr>
          <w:rFonts w:ascii="Times New Roman" w:hAnsi="Times New Roman" w:cs="Times New Roman"/>
          <w:color w:val="000000" w:themeColor="text1"/>
          <w:szCs w:val="20"/>
        </w:rPr>
        <w:t xml:space="preserve"> </w:t>
      </w:r>
      <w:r w:rsidR="004E4FCB">
        <w:rPr>
          <w:rFonts w:ascii="Times New Roman" w:hAnsi="Times New Roman" w:cs="Times New Roman"/>
          <w:color w:val="000000" w:themeColor="text1"/>
          <w:szCs w:val="20"/>
        </w:rPr>
        <w:t>c</w:t>
      </w:r>
      <w:r w:rsidRPr="00D92B3C">
        <w:rPr>
          <w:rFonts w:ascii="Times New Roman" w:hAnsi="Times New Roman" w:cs="Times New Roman"/>
          <w:color w:val="000000" w:themeColor="text1"/>
          <w:szCs w:val="20"/>
        </w:rPr>
        <w:t xml:space="preserve">ritical </w:t>
      </w:r>
      <w:bookmarkEnd w:id="25"/>
      <w:bookmarkEnd w:id="26"/>
      <w:r w:rsidR="004E4FCB">
        <w:rPr>
          <w:rFonts w:ascii="Times New Roman" w:hAnsi="Times New Roman" w:cs="Times New Roman"/>
          <w:color w:val="000000" w:themeColor="text1"/>
          <w:szCs w:val="20"/>
        </w:rPr>
        <w:t>f</w:t>
      </w:r>
      <w:r w:rsidR="004E4FCB" w:rsidRPr="00D92B3C">
        <w:rPr>
          <w:rFonts w:ascii="Times New Roman" w:hAnsi="Times New Roman" w:cs="Times New Roman"/>
          <w:color w:val="000000" w:themeColor="text1"/>
          <w:szCs w:val="20"/>
        </w:rPr>
        <w:t>unctions</w:t>
      </w:r>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w:t>
      </w:r>
      <w:r w:rsidR="006B07C6">
        <w:rPr>
          <w:rFonts w:ascii="Times New Roman" w:hAnsi="Times New Roman" w:cs="Times New Roman"/>
          <w:sz w:val="20"/>
          <w:szCs w:val="20"/>
          <w:lang w:val="en-GB"/>
        </w:rPr>
        <w:t>s</w:t>
      </w:r>
      <w:r w:rsidRPr="00D92B3C">
        <w:rPr>
          <w:rFonts w:ascii="Times New Roman" w:hAnsi="Times New Roman" w:cs="Times New Roman"/>
          <w:sz w:val="20"/>
          <w:szCs w:val="20"/>
          <w:lang w:val="en-GB"/>
        </w:rPr>
        <w:t>, securities settlement and custody activities, functions or services, the discontinuation of which can present a serious impediment to, or completely prevent</w:t>
      </w:r>
      <w:r w:rsidR="004E4FCB">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performance of one or more critical functions.</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w:t>
      </w:r>
      <w:r w:rsidR="004E4FCB">
        <w:rPr>
          <w:rFonts w:ascii="Times New Roman" w:hAnsi="Times New Roman" w:cs="Times New Roman"/>
          <w:sz w:val="20"/>
          <w:szCs w:val="20"/>
          <w:lang w:val="en-GB"/>
        </w:rPr>
        <w:t>f</w:t>
      </w:r>
      <w:r w:rsidR="004E4FCB" w:rsidRPr="00D92B3C">
        <w:rPr>
          <w:rFonts w:ascii="Times New Roman" w:hAnsi="Times New Roman" w:cs="Times New Roman"/>
          <w:sz w:val="20"/>
          <w:szCs w:val="20"/>
          <w:lang w:val="en-GB"/>
        </w:rPr>
        <w:t xml:space="preserve">inancial </w:t>
      </w:r>
      <w:r w:rsidR="004E4FCB">
        <w:rPr>
          <w:rFonts w:ascii="Times New Roman" w:hAnsi="Times New Roman" w:cs="Times New Roman"/>
          <w:sz w:val="20"/>
          <w:szCs w:val="20"/>
          <w:lang w:val="en-GB"/>
        </w:rPr>
        <w:t>m</w:t>
      </w:r>
      <w:r w:rsidR="004E4FCB" w:rsidRPr="00D92B3C">
        <w:rPr>
          <w:rFonts w:ascii="Times New Roman" w:hAnsi="Times New Roman" w:cs="Times New Roman"/>
          <w:sz w:val="20"/>
          <w:szCs w:val="20"/>
          <w:lang w:val="en-GB"/>
        </w:rPr>
        <w:t xml:space="preserve">arket </w:t>
      </w:r>
      <w:r w:rsidR="004E4FCB">
        <w:rPr>
          <w:rFonts w:ascii="Times New Roman" w:hAnsi="Times New Roman" w:cs="Times New Roman"/>
          <w:sz w:val="20"/>
          <w:szCs w:val="20"/>
          <w:lang w:val="en-GB"/>
        </w:rPr>
        <w:t>i</w:t>
      </w:r>
      <w:r w:rsidR="004E4FCB" w:rsidRPr="00D92B3C">
        <w:rPr>
          <w:rFonts w:ascii="Times New Roman" w:hAnsi="Times New Roman" w:cs="Times New Roman"/>
          <w:sz w:val="20"/>
          <w:szCs w:val="20"/>
          <w:lang w:val="en-GB"/>
        </w:rPr>
        <w:t xml:space="preserve">nfrastructures </w:t>
      </w:r>
      <w:r w:rsidR="008F6984" w:rsidRPr="00D92B3C">
        <w:rPr>
          <w:rFonts w:ascii="Times New Roman" w:hAnsi="Times New Roman" w:cs="Times New Roman"/>
          <w:sz w:val="20"/>
          <w:szCs w:val="20"/>
          <w:lang w:val="en-GB"/>
        </w:rPr>
        <w:t xml:space="preserve">the disruption of which would present a serious impediment </w:t>
      </w:r>
      <w:r w:rsidR="004E4FCB">
        <w:rPr>
          <w:rFonts w:ascii="Times New Roman" w:hAnsi="Times New Roman" w:cs="Times New Roman"/>
          <w:sz w:val="20"/>
          <w:szCs w:val="20"/>
          <w:lang w:val="en-GB"/>
        </w:rPr>
        <w:t xml:space="preserve">to, </w:t>
      </w:r>
      <w:r w:rsidR="008F6984" w:rsidRPr="00D92B3C">
        <w:rPr>
          <w:rFonts w:ascii="Times New Roman" w:hAnsi="Times New Roman" w:cs="Times New Roman"/>
          <w:sz w:val="20"/>
          <w:szCs w:val="20"/>
          <w:lang w:val="en-GB"/>
        </w:rPr>
        <w:t>or prevent</w:t>
      </w:r>
      <w:r w:rsidR="004E4FCB">
        <w:rPr>
          <w:rFonts w:ascii="Times New Roman" w:hAnsi="Times New Roman" w:cs="Times New Roman"/>
          <w:sz w:val="20"/>
          <w:szCs w:val="20"/>
          <w:lang w:val="en-GB"/>
        </w:rPr>
        <w:t>,</w:t>
      </w:r>
      <w:r w:rsidR="008F6984" w:rsidRPr="00D92B3C">
        <w:rPr>
          <w:rFonts w:ascii="Times New Roman" w:hAnsi="Times New Roman" w:cs="Times New Roman"/>
          <w:sz w:val="20"/>
          <w:szCs w:val="20"/>
          <w:lang w:val="en-GB"/>
        </w:rPr>
        <w:t xml:space="preserve"> the performance of a critical function </w:t>
      </w:r>
      <w:r w:rsidR="004B208B" w:rsidRPr="00D92B3C">
        <w:rPr>
          <w:rFonts w:ascii="Times New Roman" w:hAnsi="Times New Roman" w:cs="Times New Roman"/>
          <w:sz w:val="20"/>
          <w:szCs w:val="20"/>
          <w:lang w:val="en-GB"/>
        </w:rPr>
        <w:t>shall be identified.</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cs="Times New Roman"/>
          <w:sz w:val="20"/>
          <w:szCs w:val="20"/>
        </w:rPr>
        <w:t xml:space="preserve">The combination of </w:t>
      </w:r>
      <w:r w:rsidRPr="00D92B3C">
        <w:rPr>
          <w:rFonts w:ascii="Times New Roman" w:hAnsi="Times New Roman" w:cs="Times New Roman"/>
          <w:sz w:val="20"/>
          <w:szCs w:val="20"/>
        </w:rPr>
        <w:t>values reported in</w:t>
      </w:r>
      <w:r>
        <w:rPr>
          <w:rFonts w:ascii="Times New Roman" w:hAnsi="Times New Roman" w:cs="Times New Roman"/>
          <w:sz w:val="20"/>
          <w:szCs w:val="20"/>
        </w:rPr>
        <w:t xml:space="preserve"> columns 0020, 0030, 0040, 0070 and 0100 </w:t>
      </w:r>
      <w:r w:rsidRPr="00400DF4">
        <w:rPr>
          <w:rFonts w:ascii="Times New Roman" w:hAnsi="Times New Roman" w:cs="Times New Roman"/>
          <w:sz w:val="20"/>
          <w:szCs w:val="20"/>
        </w:rPr>
        <w:t xml:space="preserve">of this template forms a primary key which has to </w:t>
      </w:r>
      <w:r w:rsidRPr="00400DF4">
        <w:rPr>
          <w:rFonts w:ascii="Times New Roman" w:hAnsi="Times New Roman" w:cs="Times New Roman"/>
          <w:sz w:val="20"/>
          <w:szCs w:val="20"/>
          <w:lang w:val="en-GB"/>
        </w:rPr>
        <w:t>be</w:t>
      </w:r>
      <w:r w:rsidRPr="00400DF4">
        <w:rPr>
          <w:rFonts w:ascii="Times New Roman" w:hAnsi="Times New Roman" w:cs="Times New Roman"/>
          <w:sz w:val="20"/>
          <w:szCs w:val="20"/>
        </w:rPr>
        <w:t xml:space="preserve"> unique for each row of the template</w:t>
      </w:r>
      <w:r>
        <w:rPr>
          <w:rFonts w:ascii="Times New Roman" w:hAnsi="Times New Roman" w:cs="Times New Roman"/>
          <w:sz w:val="20"/>
          <w:szCs w:val="20"/>
        </w:rPr>
        <w:t>.</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custody, settlement, clearing or trade repository services, as reported in Z</w:t>
            </w:r>
            <w:r w:rsidR="0097564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 xml:space="preserve"> 01.00 - Organisational structure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97564A">
              <w:rPr>
                <w:rFonts w:ascii="Times New Roman" w:eastAsia="Cambria" w:hAnsi="Times New Roman" w:cs="Times New Roman"/>
                <w:color w:val="000000" w:themeColor="text1"/>
                <w:spacing w:val="-2"/>
                <w:w w:val="95"/>
                <w:sz w:val="20"/>
                <w:szCs w:val="20"/>
                <w:lang w:val="en-GB"/>
              </w:rPr>
              <w:t>e</w:t>
            </w:r>
            <w:r w:rsidR="0097564A"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97564A">
              <w:rPr>
                <w:rFonts w:ascii="Times New Roman" w:eastAsia="Cambria" w:hAnsi="Times New Roman" w:cs="Times New Roman"/>
                <w:color w:val="000000" w:themeColor="text1"/>
                <w:spacing w:val="-2"/>
                <w:w w:val="95"/>
                <w:sz w:val="20"/>
                <w:szCs w:val="20"/>
                <w:lang w:val="en-GB"/>
              </w:rPr>
              <w:t>e</w:t>
            </w:r>
            <w:r w:rsidR="0097564A"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0</w:t>
            </w:r>
            <w:r w:rsidR="008836CA"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 xml:space="preserve">ntity, the performance of which would be impeded or </w:t>
            </w:r>
            <w:r w:rsidR="000B7C65" w:rsidRPr="00D92B3C">
              <w:rPr>
                <w:rFonts w:ascii="Times New Roman" w:hAnsi="Times New Roman" w:cs="Times New Roman"/>
                <w:bCs/>
                <w:color w:val="000000" w:themeColor="text1"/>
                <w:sz w:val="20"/>
                <w:szCs w:val="20"/>
                <w:lang w:val="en-GB"/>
              </w:rPr>
              <w:lastRenderedPageBreak/>
              <w:t>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00E430F7" w:rsidRPr="00D92B3C">
              <w:rPr>
                <w:rFonts w:ascii="Times New Roman" w:eastAsia="Cambria" w:hAnsi="Times New Roman" w:cs="Times New Roman"/>
                <w:color w:val="000000" w:themeColor="text1"/>
                <w:spacing w:val="-2"/>
                <w:w w:val="95"/>
                <w:sz w:val="20"/>
                <w:szCs w:val="20"/>
                <w:lang w:val="en-GB"/>
              </w:rPr>
              <w: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r w:rsidR="0097564A">
              <w:rPr>
                <w:rFonts w:ascii="Times New Roman" w:hAnsi="Times New Roman" w:cs="Times New Roman"/>
                <w:bCs/>
                <w:color w:val="000000" w:themeColor="text1"/>
                <w:sz w:val="20"/>
                <w:szCs w:val="20"/>
                <w:lang w:val="en-GB"/>
              </w:rPr>
              <w:t>.</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r w:rsidR="0097564A">
              <w:rPr>
                <w:rFonts w:ascii="Times New Roman" w:eastAsia="Cambria" w:hAnsi="Times New Roman" w:cs="Times New Roman"/>
                <w:color w:val="000000" w:themeColor="text1"/>
                <w:spacing w:val="-2"/>
                <w:w w:val="95"/>
                <w:sz w:val="20"/>
                <w:szCs w:val="20"/>
                <w:lang w:val="en-GB"/>
              </w:rPr>
              <w:t>.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w:t>
            </w:r>
            <w:r w:rsidR="0097564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w:t>
            </w:r>
            <w:r w:rsidR="0097564A">
              <w:rPr>
                <w:rFonts w:ascii="Times New Roman" w:eastAsia="Cambria" w:hAnsi="Times New Roman" w:cs="Times New Roman"/>
                <w:color w:val="000000" w:themeColor="text1"/>
                <w:spacing w:val="-2"/>
                <w:w w:val="95"/>
                <w:sz w:val="20"/>
                <w:szCs w:val="20"/>
                <w:lang w:val="en-GB"/>
              </w:rPr>
              <w:t>.</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004E5900">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lang w:val="en-GB"/>
              </w:rPr>
            </w:pPr>
            <w:r w:rsidRPr="00BB34DC">
              <w:rPr>
                <w:rFonts w:ascii="Times New Roman" w:hAnsi="Times New Roman" w:cs="Times New Roman"/>
                <w:b/>
                <w:bCs/>
                <w:color w:val="000000" w:themeColor="text1"/>
                <w:sz w:val="20"/>
                <w:szCs w:val="20"/>
                <w:lang w:val="en-GB"/>
              </w:rPr>
              <w:t>Financial Market Infrastructure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eastAsia="Cambria" w:hAnsi="Times New Roman" w:cs="Times New Roman"/>
                <w:color w:val="000000" w:themeColor="text1"/>
                <w:spacing w:val="-2"/>
                <w:w w:val="95"/>
                <w:sz w:val="20"/>
                <w:szCs w:val="20"/>
                <w:lang w:val="en-GB"/>
              </w:rPr>
              <w:t xml:space="preserve">Reference: </w:t>
            </w:r>
            <w:r w:rsidR="000E7F44">
              <w:rPr>
                <w:rFonts w:ascii="Times New Roman" w:eastAsia="Cambria" w:hAnsi="Times New Roman" w:cs="Times New Roman"/>
                <w:color w:val="000000" w:themeColor="text1"/>
                <w:spacing w:val="-2"/>
                <w:w w:val="95"/>
                <w:sz w:val="20"/>
                <w:szCs w:val="20"/>
                <w:lang w:val="en-GB"/>
              </w:rPr>
              <w:t>CPMI</w:t>
            </w:r>
            <w:r w:rsidRPr="00BB34DC">
              <w:rPr>
                <w:rFonts w:ascii="Times New Roman" w:eastAsia="Cambria" w:hAnsi="Times New Roman" w:cs="Times New Roman"/>
                <w:color w:val="000000" w:themeColor="text1"/>
                <w:spacing w:val="-2"/>
                <w:w w:val="95"/>
                <w:sz w:val="20"/>
                <w:szCs w:val="20"/>
                <w:lang w:val="en-GB"/>
              </w:rPr>
              <w:t xml:space="preserve">, </w:t>
            </w:r>
            <w:hyperlink r:id="rId8" w:history="1">
              <w:r w:rsidRPr="00BB34DC">
                <w:rPr>
                  <w:rFonts w:ascii="Times New Roman" w:eastAsia="Cambria" w:hAnsi="Times New Roman" w:cs="Times New Roman"/>
                  <w:color w:val="000000" w:themeColor="text1"/>
                  <w:spacing w:val="-2"/>
                  <w:w w:val="95"/>
                  <w:sz w:val="20"/>
                  <w:szCs w:val="20"/>
                  <w:lang w:val="en-GB"/>
                </w:rPr>
                <w:t>Principles for financial market infrastructures</w:t>
              </w:r>
            </w:hyperlink>
            <w:r w:rsidRPr="00BB34DC">
              <w:rPr>
                <w:rFonts w:ascii="Times New Roman" w:eastAsia="Cambria" w:hAnsi="Times New Roman" w:cs="Times New Roman"/>
                <w:color w:val="000000" w:themeColor="text1"/>
                <w:spacing w:val="-2"/>
                <w:w w:val="95"/>
                <w:sz w:val="20"/>
                <w:szCs w:val="20"/>
                <w:lang w:val="en-GB"/>
              </w:rPr>
              <w:t>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r w:rsidR="0097564A">
              <w:rPr>
                <w:rFonts w:ascii="Times New Roman" w:eastAsia="Cambria" w:hAnsi="Times New Roman" w:cs="Times New Roman"/>
                <w:color w:val="000000" w:themeColor="text1"/>
                <w:spacing w:val="-2"/>
                <w:w w:val="95"/>
                <w:sz w:val="20"/>
                <w:szCs w:val="20"/>
                <w:lang w:val="en-GB"/>
              </w:rPr>
              <w:t>:</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 CSD’ - (International) Central Securities Depository, including (I)</w:t>
            </w:r>
            <w:r w:rsidR="00F55637">
              <w:rPr>
                <w:rFonts w:ascii="Times New Roman" w:hAnsi="Times New Roman" w:cs="Times New Roman"/>
                <w:color w:val="000000" w:themeColor="text1"/>
                <w:sz w:val="20"/>
                <w:szCs w:val="20"/>
                <w:lang w:val="en-GB"/>
              </w:rPr>
              <w:t> </w:t>
            </w:r>
            <w:r w:rsidRPr="00D92B3C">
              <w:rPr>
                <w:rFonts w:ascii="Times New Roman" w:hAnsi="Times New Roman" w:cs="Times New Roman"/>
                <w:color w:val="000000" w:themeColor="text1"/>
                <w:sz w:val="20"/>
                <w:szCs w:val="20"/>
                <w:lang w:val="en-GB"/>
              </w:rPr>
              <w:t>CSD that provide settlement services (internally or outsourced)</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'CCP-Securities'</w:t>
            </w:r>
            <w:r w:rsidR="00F55637" w:rsidRPr="00D92B3C">
              <w:rPr>
                <w:rFonts w:ascii="Times New Roman" w:eastAsia="Cambria" w:hAnsi="Times New Roman" w:cs="Times New Roman"/>
                <w:color w:val="000000" w:themeColor="text1"/>
                <w:spacing w:val="-2"/>
                <w:w w:val="95"/>
                <w:sz w:val="20"/>
                <w:szCs w:val="20"/>
                <w:lang w:val="en-GB"/>
              </w:rPr>
              <w:tab/>
            </w:r>
            <w:r w:rsidRPr="00D92B3C">
              <w:rPr>
                <w:rFonts w:ascii="Times New Roman" w:eastAsia="Cambria" w:hAnsi="Times New Roman" w:cs="Times New Roman"/>
                <w:color w:val="000000" w:themeColor="text1"/>
                <w:spacing w:val="-2"/>
                <w:w w:val="95"/>
                <w:sz w:val="20"/>
                <w:szCs w:val="20"/>
                <w:lang w:val="en-GB"/>
              </w:rPr>
              <w:t xml:space="preserve">Central Counterparty for Securities 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00F55637"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F55637">
              <w:rPr>
                <w:rFonts w:ascii="Times New Roman" w:eastAsia="Cambria" w:hAnsi="Times New Roman" w:cs="Times New Roman"/>
                <w:color w:val="000000" w:themeColor="text1"/>
                <w:spacing w:val="-2"/>
                <w:w w:val="95"/>
                <w:sz w:val="20"/>
                <w:szCs w:val="20"/>
                <w:lang w:val="en-GB"/>
              </w:rPr>
              <w:t>p</w:t>
            </w:r>
            <w:r w:rsidR="00F55637" w:rsidRPr="00D92B3C">
              <w:rPr>
                <w:rFonts w:ascii="Times New Roman" w:eastAsia="Cambria" w:hAnsi="Times New Roman" w:cs="Times New Roman"/>
                <w:color w:val="000000" w:themeColor="text1"/>
                <w:spacing w:val="-2"/>
                <w:w w:val="95"/>
                <w:sz w:val="20"/>
                <w:szCs w:val="20"/>
                <w:lang w:val="en-GB"/>
              </w:rPr>
              <w:t>ayment</w:t>
            </w:r>
            <w:r w:rsidR="00F55637">
              <w:rPr>
                <w:rFonts w:ascii="Times New Roman" w:eastAsia="Cambria" w:hAnsi="Times New Roman" w:cs="Times New Roman"/>
                <w:color w:val="000000" w:themeColor="text1"/>
                <w:spacing w:val="-2"/>
                <w:w w:val="95"/>
                <w:sz w:val="20"/>
                <w:szCs w:val="20"/>
                <w:lang w:val="en-GB"/>
              </w:rPr>
              <w:t>s</w:t>
            </w:r>
            <w:r w:rsidR="00772F88" w:rsidRPr="00D92B3C">
              <w:rPr>
                <w:rFonts w:ascii="Times New Roman" w:eastAsia="Cambria" w:hAnsi="Times New Roman" w:cs="Times New Roman"/>
                <w:color w:val="000000" w:themeColor="text1"/>
                <w:spacing w:val="-2"/>
                <w:w w:val="95"/>
                <w:sz w:val="20"/>
                <w:szCs w:val="20"/>
                <w:lang w:val="en-GB"/>
              </w:rPr>
              <w:t xml:space="preserve">, </w:t>
            </w:r>
            <w:r w:rsidR="00F55637">
              <w:rPr>
                <w:rFonts w:ascii="Times New Roman" w:eastAsia="Cambria" w:hAnsi="Times New Roman" w:cs="Times New Roman"/>
                <w:color w:val="000000" w:themeColor="text1"/>
                <w:spacing w:val="-2"/>
                <w:w w:val="95"/>
                <w:sz w:val="20"/>
                <w:szCs w:val="20"/>
                <w:lang w:val="en-GB"/>
              </w:rPr>
              <w:t>c</w:t>
            </w:r>
            <w:r w:rsidR="00F55637" w:rsidRPr="00D92B3C">
              <w:rPr>
                <w:rFonts w:ascii="Times New Roman" w:eastAsia="Cambria" w:hAnsi="Times New Roman" w:cs="Times New Roman"/>
                <w:color w:val="000000" w:themeColor="text1"/>
                <w:spacing w:val="-2"/>
                <w:w w:val="95"/>
                <w:sz w:val="20"/>
                <w:szCs w:val="20"/>
                <w:lang w:val="en-GB"/>
              </w:rPr>
              <w:t>learing</w:t>
            </w:r>
            <w:r w:rsidR="00772F88" w:rsidRPr="00D92B3C">
              <w:rPr>
                <w:rFonts w:ascii="Times New Roman" w:eastAsia="Cambria" w:hAnsi="Times New Roman" w:cs="Times New Roman"/>
                <w:color w:val="000000" w:themeColor="text1"/>
                <w:spacing w:val="-2"/>
                <w:w w:val="95"/>
                <w:sz w:val="20"/>
                <w:szCs w:val="20"/>
                <w:lang w:val="en-GB"/>
              </w:rPr>
              <w:t xml:space="preserve">, </w:t>
            </w:r>
            <w:r w:rsidR="00F55637">
              <w:rPr>
                <w:rFonts w:ascii="Times New Roman" w:eastAsia="Cambria" w:hAnsi="Times New Roman" w:cs="Times New Roman"/>
                <w:color w:val="000000" w:themeColor="text1"/>
                <w:spacing w:val="-2"/>
                <w:w w:val="95"/>
                <w:sz w:val="20"/>
                <w:szCs w:val="20"/>
                <w:lang w:val="en-GB"/>
              </w:rPr>
              <w:t>s</w:t>
            </w:r>
            <w:r w:rsidR="00F55637" w:rsidRPr="00D92B3C">
              <w:rPr>
                <w:rFonts w:ascii="Times New Roman" w:eastAsia="Cambria" w:hAnsi="Times New Roman" w:cs="Times New Roman"/>
                <w:color w:val="000000" w:themeColor="text1"/>
                <w:spacing w:val="-2"/>
                <w:w w:val="95"/>
                <w:sz w:val="20"/>
                <w:szCs w:val="20"/>
                <w:lang w:val="en-GB"/>
              </w:rPr>
              <w:t xml:space="preserve">ettlement </w:t>
            </w:r>
            <w:r w:rsidR="00772F88" w:rsidRPr="00D92B3C">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c</w:t>
            </w:r>
            <w:r w:rsidR="00F55637" w:rsidRPr="00D92B3C">
              <w:rPr>
                <w:rFonts w:ascii="Times New Roman" w:eastAsia="Cambria" w:hAnsi="Times New Roman" w:cs="Times New Roman"/>
                <w:color w:val="000000" w:themeColor="text1"/>
                <w:spacing w:val="-2"/>
                <w:w w:val="95"/>
                <w:sz w:val="20"/>
                <w:szCs w:val="20"/>
                <w:lang w:val="en-GB"/>
              </w:rPr>
              <w:t xml:space="preserve">ustody </w:t>
            </w:r>
            <w:r w:rsidR="00772F88" w:rsidRPr="00D92B3C">
              <w:rPr>
                <w:rFonts w:ascii="Times New Roman" w:eastAsia="Cambria" w:hAnsi="Times New Roman" w:cs="Times New Roman"/>
                <w:color w:val="000000" w:themeColor="text1"/>
                <w:spacing w:val="-2"/>
                <w:w w:val="95"/>
                <w:sz w:val="20"/>
                <w:szCs w:val="20"/>
                <w:lang w:val="en-GB"/>
              </w:rPr>
              <w:t xml:space="preserve">services are provided by an entity that is not a </w:t>
            </w:r>
            <w:r w:rsidR="00F55637">
              <w:rPr>
                <w:rFonts w:ascii="Times New Roman" w:eastAsia="Cambria" w:hAnsi="Times New Roman" w:cs="Times New Roman"/>
                <w:color w:val="000000" w:themeColor="text1"/>
                <w:spacing w:val="-2"/>
                <w:w w:val="95"/>
                <w:sz w:val="20"/>
                <w:szCs w:val="20"/>
                <w:lang w:val="en-GB"/>
              </w:rPr>
              <w:t>f</w:t>
            </w:r>
            <w:r w:rsidR="00F55637" w:rsidRPr="00D92B3C">
              <w:rPr>
                <w:rFonts w:ascii="Times New Roman" w:eastAsia="Cambria" w:hAnsi="Times New Roman" w:cs="Times New Roman"/>
                <w:color w:val="000000" w:themeColor="text1"/>
                <w:spacing w:val="-2"/>
                <w:w w:val="95"/>
                <w:sz w:val="20"/>
                <w:szCs w:val="20"/>
                <w:lang w:val="en-GB"/>
              </w:rPr>
              <w:t xml:space="preserve">inancial </w:t>
            </w:r>
            <w:r w:rsidR="00F55637">
              <w:rPr>
                <w:rFonts w:ascii="Times New Roman" w:eastAsia="Cambria" w:hAnsi="Times New Roman" w:cs="Times New Roman"/>
                <w:color w:val="000000" w:themeColor="text1"/>
                <w:spacing w:val="-2"/>
                <w:w w:val="95"/>
                <w:sz w:val="20"/>
                <w:szCs w:val="20"/>
                <w:lang w:val="en-GB"/>
              </w:rPr>
              <w:t>m</w:t>
            </w:r>
            <w:r w:rsidR="00772F88" w:rsidRPr="00D92B3C">
              <w:rPr>
                <w:rFonts w:ascii="Times New Roman" w:eastAsia="Cambria" w:hAnsi="Times New Roman" w:cs="Times New Roman"/>
                <w:color w:val="000000" w:themeColor="text1"/>
                <w:spacing w:val="-2"/>
                <w:w w:val="95"/>
                <w:sz w:val="20"/>
                <w:szCs w:val="20"/>
                <w:lang w:val="en-GB"/>
              </w:rPr>
              <w:t xml:space="preserve">arket </w:t>
            </w:r>
            <w:r w:rsidR="00F55637">
              <w:rPr>
                <w:rFonts w:ascii="Times New Roman" w:eastAsia="Cambria" w:hAnsi="Times New Roman" w:cs="Times New Roman"/>
                <w:color w:val="000000" w:themeColor="text1"/>
                <w:spacing w:val="-2"/>
                <w:w w:val="95"/>
                <w:sz w:val="20"/>
                <w:szCs w:val="20"/>
                <w:lang w:val="en-GB"/>
              </w:rPr>
              <w:t>i</w:t>
            </w:r>
            <w:r w:rsidR="00772F88" w:rsidRPr="00D92B3C">
              <w:rPr>
                <w:rFonts w:ascii="Times New Roman" w:eastAsia="Cambria" w:hAnsi="Times New Roman" w:cs="Times New Roman"/>
                <w:color w:val="000000" w:themeColor="text1"/>
                <w:spacing w:val="-2"/>
                <w:w w:val="95"/>
                <w:sz w:val="20"/>
                <w:szCs w:val="20"/>
                <w:lang w:val="en-GB"/>
              </w:rPr>
              <w:t>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Commercial name of the </w:t>
            </w:r>
            <w:r w:rsidR="00F55637">
              <w:rPr>
                <w:rFonts w:ascii="Times New Roman" w:eastAsia="Cambria" w:hAnsi="Times New Roman" w:cs="Times New Roman"/>
                <w:color w:val="000000" w:themeColor="text1"/>
                <w:spacing w:val="-2"/>
                <w:w w:val="95"/>
                <w:sz w:val="20"/>
                <w:szCs w:val="20"/>
                <w:lang w:val="en-GB"/>
              </w:rPr>
              <w:t>f</w:t>
            </w:r>
            <w:r w:rsidR="00F55637" w:rsidRPr="00D92B3C">
              <w:rPr>
                <w:rFonts w:ascii="Times New Roman" w:eastAsia="Cambria" w:hAnsi="Times New Roman" w:cs="Times New Roman"/>
                <w:color w:val="000000" w:themeColor="text1"/>
                <w:spacing w:val="-2"/>
                <w:w w:val="95"/>
                <w:sz w:val="20"/>
                <w:szCs w:val="20"/>
                <w:lang w:val="en-GB"/>
              </w:rPr>
              <w:t xml:space="preserve">inancial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arket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nfrastructure</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r w:rsidR="00F55637">
              <w:rPr>
                <w:rFonts w:ascii="Times New Roman" w:eastAsia="Cambria" w:hAnsi="Times New Roman" w:cs="Times New Roman"/>
                <w:color w:val="000000" w:themeColor="text1"/>
                <w:spacing w:val="-2"/>
                <w:w w:val="95"/>
                <w:sz w:val="20"/>
                <w:szCs w:val="20"/>
                <w:lang w:val="en-GB"/>
              </w:rPr>
              <w:t>.</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00A75FB6" w:rsidRPr="00D92B3C">
              <w:rPr>
                <w:rFonts w:ascii="Times New Roman" w:hAnsi="Times New Roman" w:cs="Times New Roman"/>
                <w:color w:val="000000" w:themeColor="text1"/>
                <w:spacing w:val="-2"/>
                <w:w w:val="95"/>
                <w:sz w:val="20"/>
                <w:szCs w:val="20"/>
                <w:lang w:val="en-GB"/>
              </w:rPr>
              <w:t>a national code.</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F55637">
              <w:rPr>
                <w:rFonts w:ascii="Times New Roman" w:eastAsia="Cambria" w:hAnsi="Times New Roman" w:cs="Times New Roman"/>
                <w:color w:val="000000" w:themeColor="text1"/>
                <w:spacing w:val="-2"/>
                <w:w w:val="95"/>
                <w:sz w:val="20"/>
                <w:szCs w:val="20"/>
                <w:lang w:val="en-GB"/>
              </w:rPr>
              <w:t>d</w:t>
            </w:r>
            <w:r w:rsidR="00F55637" w:rsidRPr="00D92B3C">
              <w:rPr>
                <w:rFonts w:ascii="Times New Roman" w:eastAsia="Cambria" w:hAnsi="Times New Roman" w:cs="Times New Roman"/>
                <w:color w:val="000000" w:themeColor="text1"/>
                <w:spacing w:val="-2"/>
                <w:w w:val="95"/>
                <w:sz w:val="20"/>
                <w:szCs w:val="20"/>
                <w:lang w:val="en-GB"/>
              </w:rPr>
              <w:t xml:space="preserve">irect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embership </w:t>
            </w:r>
            <w:r w:rsidR="00852A5E">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d</w:t>
            </w:r>
            <w:r w:rsidR="00772F88" w:rsidRPr="00D92B3C">
              <w:rPr>
                <w:rFonts w:ascii="Times New Roman" w:eastAsia="Cambria" w:hAnsi="Times New Roman" w:cs="Times New Roman"/>
                <w:color w:val="000000" w:themeColor="text1"/>
                <w:spacing w:val="-2"/>
                <w:w w:val="95"/>
                <w:sz w:val="20"/>
                <w:szCs w:val="20"/>
                <w:lang w:val="en-GB"/>
              </w:rPr>
              <w:t xml:space="preserve">irect </w:t>
            </w:r>
            <w:r w:rsidR="00F55637">
              <w:rPr>
                <w:rFonts w:ascii="Times New Roman" w:eastAsia="Cambria" w:hAnsi="Times New Roman" w:cs="Times New Roman"/>
                <w:color w:val="000000" w:themeColor="text1"/>
                <w:spacing w:val="-2"/>
                <w:w w:val="95"/>
                <w:sz w:val="20"/>
                <w:szCs w:val="20"/>
                <w:lang w:val="en-GB"/>
              </w:rPr>
              <w:t>p</w:t>
            </w:r>
            <w:r w:rsidR="00F55637" w:rsidRPr="00D92B3C">
              <w:rPr>
                <w:rFonts w:ascii="Times New Roman" w:eastAsia="Cambria" w:hAnsi="Times New Roman" w:cs="Times New Roman"/>
                <w:color w:val="000000" w:themeColor="text1"/>
                <w:spacing w:val="-2"/>
                <w:w w:val="95"/>
                <w:sz w:val="20"/>
                <w:szCs w:val="20"/>
                <w:lang w:val="en-GB"/>
              </w:rPr>
              <w:t>articipation</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ndirect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embership </w:t>
            </w:r>
            <w:r w:rsidR="00772F88" w:rsidRPr="00D92B3C">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i</w:t>
            </w:r>
            <w:r w:rsidR="00772F88" w:rsidRPr="00D92B3C">
              <w:rPr>
                <w:rFonts w:ascii="Times New Roman" w:eastAsia="Cambria" w:hAnsi="Times New Roman" w:cs="Times New Roman"/>
                <w:color w:val="000000" w:themeColor="text1"/>
                <w:spacing w:val="-2"/>
                <w:w w:val="95"/>
                <w:sz w:val="20"/>
                <w:szCs w:val="20"/>
                <w:lang w:val="en-GB"/>
              </w:rPr>
              <w:t xml:space="preserve">ndirect </w:t>
            </w:r>
            <w:r w:rsidR="00F55637">
              <w:rPr>
                <w:rFonts w:ascii="Times New Roman" w:eastAsia="Cambria" w:hAnsi="Times New Roman" w:cs="Times New Roman"/>
                <w:color w:val="000000" w:themeColor="text1"/>
                <w:spacing w:val="-2"/>
                <w:w w:val="95"/>
                <w:sz w:val="20"/>
                <w:szCs w:val="20"/>
                <w:lang w:val="en-GB"/>
              </w:rPr>
              <w:t>p</w:t>
            </w:r>
            <w:r w:rsidR="00772F88" w:rsidRPr="00D92B3C">
              <w:rPr>
                <w:rFonts w:ascii="Times New Roman" w:eastAsia="Cambria" w:hAnsi="Times New Roman" w:cs="Times New Roman"/>
                <w:color w:val="000000" w:themeColor="text1"/>
                <w:spacing w:val="-2"/>
                <w:w w:val="95"/>
                <w:sz w:val="20"/>
                <w:szCs w:val="20"/>
                <w:lang w:val="en-GB"/>
              </w:rPr>
              <w:t>articipation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Commercial name of the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ntermediary </w:t>
            </w:r>
            <w:r w:rsidRPr="00D92B3C">
              <w:rPr>
                <w:rFonts w:ascii="Times New Roman" w:eastAsia="Cambria" w:hAnsi="Times New Roman" w:cs="Times New Roman"/>
                <w:color w:val="000000" w:themeColor="text1"/>
                <w:spacing w:val="-2"/>
                <w:w w:val="95"/>
                <w:sz w:val="20"/>
                <w:szCs w:val="20"/>
                <w:lang w:val="en-GB"/>
              </w:rPr>
              <w:t>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80</w:t>
            </w:r>
            <w:r w:rsidRPr="00D92B3C">
              <w:rPr>
                <w:rFonts w:ascii="Times New Roman" w:eastAsia="Cambria" w:hAnsi="Times New Roman" w:cs="Times New Roman"/>
                <w:color w:val="000000" w:themeColor="text1"/>
                <w:spacing w:val="-2"/>
                <w:w w:val="95"/>
                <w:sz w:val="20"/>
                <w:szCs w:val="20"/>
                <w:lang w:val="en-GB"/>
              </w:rPr>
              <w:t>.</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 ‘NA’ (for Not Applicable)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reported.</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ntermediary </w:t>
            </w:r>
            <w:r w:rsidRPr="00D92B3C">
              <w:rPr>
                <w:rFonts w:ascii="Times New Roman" w:eastAsia="Cambria" w:hAnsi="Times New Roman" w:cs="Times New Roman"/>
                <w:color w:val="000000" w:themeColor="text1"/>
                <w:spacing w:val="-2"/>
                <w:w w:val="95"/>
                <w:sz w:val="20"/>
                <w:szCs w:val="20"/>
                <w:lang w:val="en-GB"/>
              </w:rPr>
              <w:t xml:space="preserve">may be either part of the group to which the reporting entity belongs or another credit </w:t>
            </w:r>
            <w:r w:rsidRPr="00D92B3C">
              <w:rPr>
                <w:rFonts w:ascii="Times New Roman" w:eastAsia="Cambria" w:hAnsi="Times New Roman" w:cs="Times New Roman"/>
                <w:color w:val="000000" w:themeColor="text1"/>
                <w:spacing w:val="-2"/>
                <w:w w:val="95"/>
                <w:sz w:val="20"/>
                <w:szCs w:val="20"/>
                <w:lang w:val="en-GB"/>
              </w:rPr>
              <w:lastRenderedPageBreak/>
              <w:t xml:space="preserve">institution not related to that group.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w:t>
            </w:r>
            <w:r w:rsidR="00F55637">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w:t>
            </w:r>
            <w:r w:rsidR="006B07C6">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w:t>
            </w:r>
            <w:r w:rsidR="00F5563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and provide indirect access to the services offered by such FMI</w:t>
            </w:r>
            <w:r w:rsidR="00F5563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national code.</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lang w:val="en-GB"/>
              </w:rPr>
            </w:pPr>
            <w:r w:rsidRPr="00BF16D7">
              <w:rPr>
                <w:rFonts w:ascii="Times New Roman" w:hAnsi="Times New Roman" w:cs="Times New Roman"/>
                <w:color w:val="000000" w:themeColor="text1"/>
                <w:spacing w:val="-2"/>
                <w:w w:val="95"/>
                <w:sz w:val="20"/>
                <w:szCs w:val="20"/>
                <w:lang w:val="en-GB"/>
              </w:rPr>
              <w:t>When ‘Direct’ is reported in column 0</w:t>
            </w:r>
            <w:r w:rsidR="00EC6EE8" w:rsidRPr="00BF16D7">
              <w:rPr>
                <w:rFonts w:ascii="Times New Roman" w:hAnsi="Times New Roman" w:cs="Times New Roman"/>
                <w:color w:val="000000" w:themeColor="text1"/>
                <w:spacing w:val="-2"/>
                <w:w w:val="95"/>
                <w:sz w:val="20"/>
                <w:szCs w:val="20"/>
                <w:lang w:val="en-GB"/>
              </w:rPr>
              <w:t>0</w:t>
            </w:r>
            <w:r w:rsidRPr="00BF16D7">
              <w:rPr>
                <w:rFonts w:ascii="Times New Roman" w:hAnsi="Times New Roman" w:cs="Times New Roman"/>
                <w:color w:val="000000" w:themeColor="text1"/>
                <w:spacing w:val="-2"/>
                <w:w w:val="95"/>
                <w:sz w:val="20"/>
                <w:szCs w:val="20"/>
                <w:lang w:val="en-GB"/>
              </w:rPr>
              <w:t>90, ‘NA’ (for Not Applicable) shall be reported.</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Description of the service if the </w:t>
            </w:r>
            <w:r w:rsidR="0011367A">
              <w:rPr>
                <w:rFonts w:ascii="Times New Roman" w:eastAsia="Cambria" w:hAnsi="Times New Roman" w:cs="Times New Roman"/>
                <w:color w:val="000000" w:themeColor="text1"/>
                <w:spacing w:val="-2"/>
                <w:w w:val="95"/>
                <w:sz w:val="20"/>
                <w:szCs w:val="20"/>
                <w:lang w:val="en-GB"/>
              </w:rPr>
              <w:t>s</w:t>
            </w:r>
            <w:r w:rsidR="0011367A" w:rsidRPr="00D92B3C">
              <w:rPr>
                <w:rFonts w:ascii="Times New Roman" w:eastAsia="Cambria" w:hAnsi="Times New Roman" w:cs="Times New Roman"/>
                <w:color w:val="000000" w:themeColor="text1"/>
                <w:spacing w:val="-2"/>
                <w:w w:val="95"/>
                <w:sz w:val="20"/>
                <w:szCs w:val="20"/>
                <w:lang w:val="en-GB"/>
              </w:rPr>
              <w:t xml:space="preserve">ystem </w:t>
            </w:r>
            <w:r w:rsidR="0011367A">
              <w:rPr>
                <w:rFonts w:ascii="Times New Roman" w:eastAsia="Cambria" w:hAnsi="Times New Roman" w:cs="Times New Roman"/>
                <w:color w:val="000000" w:themeColor="text1"/>
                <w:spacing w:val="-2"/>
                <w:w w:val="95"/>
                <w:sz w:val="20"/>
                <w:szCs w:val="20"/>
                <w:lang w:val="en-GB"/>
              </w:rPr>
              <w:t>t</w:t>
            </w:r>
            <w:r w:rsidR="0011367A" w:rsidRPr="00D92B3C">
              <w:rPr>
                <w:rFonts w:ascii="Times New Roman" w:eastAsia="Cambria" w:hAnsi="Times New Roman" w:cs="Times New Roman"/>
                <w:color w:val="000000" w:themeColor="text1"/>
                <w:spacing w:val="-2"/>
                <w:w w:val="95"/>
                <w:sz w:val="20"/>
                <w:szCs w:val="20"/>
                <w:lang w:val="en-GB"/>
              </w:rPr>
              <w:t xml:space="preserve">ype </w:t>
            </w:r>
            <w:r w:rsidRPr="00D92B3C">
              <w:rPr>
                <w:rFonts w:ascii="Times New Roman" w:eastAsia="Cambria" w:hAnsi="Times New Roman" w:cs="Times New Roman"/>
                <w:color w:val="000000" w:themeColor="text1"/>
                <w:spacing w:val="-2"/>
                <w:w w:val="95"/>
                <w:sz w:val="20"/>
                <w:szCs w:val="20"/>
                <w:lang w:val="en-GB"/>
              </w:rPr>
              <w:t>reported in column 050 is ‘Other’ or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w:t>
            </w:r>
            <w:r w:rsidR="0011367A">
              <w:rPr>
                <w:rFonts w:ascii="Times New Roman" w:eastAsia="Cambria" w:hAnsi="Times New Roman" w:cs="Times New Roman"/>
                <w:color w:val="000000" w:themeColor="text1"/>
                <w:spacing w:val="-2"/>
                <w:w w:val="95"/>
                <w:sz w:val="20"/>
                <w:szCs w:val="20"/>
                <w:lang w:val="en-GB"/>
              </w:rPr>
              <w:t>d</w:t>
            </w:r>
            <w:r w:rsidR="0011367A" w:rsidRPr="00D92B3C">
              <w:rPr>
                <w:rFonts w:ascii="Times New Roman" w:eastAsia="Cambria" w:hAnsi="Times New Roman" w:cs="Times New Roman"/>
                <w:color w:val="000000" w:themeColor="text1"/>
                <w:spacing w:val="-2"/>
                <w:w w:val="95"/>
                <w:sz w:val="20"/>
                <w:szCs w:val="20"/>
                <w:lang w:val="en-GB"/>
              </w:rPr>
              <w:t xml:space="preserve">irect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embership </w:t>
            </w:r>
            <w:r w:rsidRPr="00D92B3C">
              <w:rPr>
                <w:rFonts w:ascii="Times New Roman" w:eastAsia="Cambria" w:hAnsi="Times New Roman" w:cs="Times New Roman"/>
                <w:color w:val="000000" w:themeColor="text1"/>
                <w:spacing w:val="-2"/>
                <w:w w:val="95"/>
                <w:sz w:val="20"/>
                <w:szCs w:val="20"/>
                <w:lang w:val="en-GB"/>
              </w:rPr>
              <w:t xml:space="preserve">or </w:t>
            </w:r>
            <w:r w:rsidR="0011367A">
              <w:rPr>
                <w:rFonts w:ascii="Times New Roman" w:eastAsia="Cambria" w:hAnsi="Times New Roman" w:cs="Times New Roman"/>
                <w:color w:val="000000" w:themeColor="text1"/>
                <w:spacing w:val="-2"/>
                <w:w w:val="95"/>
                <w:sz w:val="20"/>
                <w:szCs w:val="20"/>
                <w:lang w:val="en-GB"/>
              </w:rPr>
              <w:t>d</w:t>
            </w:r>
            <w:r w:rsidR="0011367A" w:rsidRPr="00D92B3C">
              <w:rPr>
                <w:rFonts w:ascii="Times New Roman" w:eastAsia="Cambria" w:hAnsi="Times New Roman" w:cs="Times New Roman"/>
                <w:color w:val="000000" w:themeColor="text1"/>
                <w:spacing w:val="-2"/>
                <w:w w:val="95"/>
                <w:sz w:val="20"/>
                <w:szCs w:val="20"/>
                <w:lang w:val="en-GB"/>
              </w:rPr>
              <w:t xml:space="preserve">irect </w:t>
            </w:r>
            <w:r w:rsidR="0011367A">
              <w:rPr>
                <w:rFonts w:ascii="Times New Roman" w:eastAsia="Cambria" w:hAnsi="Times New Roman" w:cs="Times New Roman"/>
                <w:color w:val="000000" w:themeColor="text1"/>
                <w:spacing w:val="-2"/>
                <w:w w:val="95"/>
                <w:sz w:val="20"/>
                <w:szCs w:val="20"/>
                <w:lang w:val="en-GB"/>
              </w:rPr>
              <w:t>p</w:t>
            </w:r>
            <w:r w:rsidR="0011367A" w:rsidRPr="00D92B3C">
              <w:rPr>
                <w:rFonts w:ascii="Times New Roman" w:eastAsia="Cambria" w:hAnsi="Times New Roman" w:cs="Times New Roman"/>
                <w:color w:val="000000" w:themeColor="text1"/>
                <w:spacing w:val="-2"/>
                <w:w w:val="95"/>
                <w:sz w:val="20"/>
                <w:szCs w:val="20"/>
                <w:lang w:val="en-GB"/>
              </w:rPr>
              <w:t>articipation</w:t>
            </w:r>
            <w:r w:rsidRPr="00D92B3C">
              <w:rPr>
                <w:rFonts w:ascii="Times New Roman" w:eastAsia="Cambria" w:hAnsi="Times New Roman" w:cs="Times New Roman"/>
                <w:color w:val="000000" w:themeColor="text1"/>
                <w:spacing w:val="-2"/>
                <w:w w:val="95"/>
                <w:sz w:val="20"/>
                <w:szCs w:val="20"/>
                <w:lang w:val="en-GB"/>
              </w:rPr>
              <w:t xml:space="preserve">, it is the </w:t>
            </w:r>
            <w:r w:rsidR="0011367A">
              <w:rPr>
                <w:rFonts w:ascii="Times New Roman" w:eastAsia="Cambria" w:hAnsi="Times New Roman" w:cs="Times New Roman"/>
                <w:color w:val="000000" w:themeColor="text1"/>
                <w:spacing w:val="-2"/>
                <w:w w:val="95"/>
                <w:sz w:val="20"/>
                <w:szCs w:val="20"/>
                <w:lang w:val="en-GB"/>
              </w:rPr>
              <w:t>g</w:t>
            </w:r>
            <w:r w:rsidR="0011367A" w:rsidRPr="00D92B3C">
              <w:rPr>
                <w:rFonts w:ascii="Times New Roman" w:eastAsia="Cambria" w:hAnsi="Times New Roman" w:cs="Times New Roman"/>
                <w:color w:val="000000" w:themeColor="text1"/>
                <w:spacing w:val="-2"/>
                <w:w w:val="95"/>
                <w:sz w:val="20"/>
                <w:szCs w:val="20"/>
                <w:lang w:val="en-GB"/>
              </w:rPr>
              <w:t xml:space="preserve">overning </w:t>
            </w:r>
            <w:r w:rsidR="0011367A">
              <w:rPr>
                <w:rFonts w:ascii="Times New Roman" w:eastAsia="Cambria" w:hAnsi="Times New Roman" w:cs="Times New Roman"/>
                <w:color w:val="000000" w:themeColor="text1"/>
                <w:spacing w:val="-2"/>
                <w:w w:val="95"/>
                <w:sz w:val="20"/>
                <w:szCs w:val="20"/>
                <w:lang w:val="en-GB"/>
              </w:rPr>
              <w:t>l</w:t>
            </w:r>
            <w:r w:rsidR="0011367A" w:rsidRPr="00D92B3C">
              <w:rPr>
                <w:rFonts w:ascii="Times New Roman" w:eastAsia="Cambria" w:hAnsi="Times New Roman" w:cs="Times New Roman"/>
                <w:color w:val="000000" w:themeColor="text1"/>
                <w:spacing w:val="-2"/>
                <w:w w:val="95"/>
                <w:sz w:val="20"/>
                <w:szCs w:val="20"/>
                <w:lang w:val="en-GB"/>
              </w:rPr>
              <w:t xml:space="preserve">aw </w:t>
            </w:r>
            <w:r w:rsidRPr="00D92B3C">
              <w:rPr>
                <w:rFonts w:ascii="Times New Roman" w:eastAsia="Cambria" w:hAnsi="Times New Roman" w:cs="Times New Roman"/>
                <w:color w:val="000000" w:themeColor="text1"/>
                <w:spacing w:val="-2"/>
                <w:w w:val="95"/>
                <w:sz w:val="20"/>
                <w:szCs w:val="20"/>
                <w:lang w:val="en-GB"/>
              </w:rPr>
              <w:t xml:space="preserve">of the contract between the </w:t>
            </w:r>
            <w:r w:rsidR="0011367A">
              <w:rPr>
                <w:rFonts w:ascii="Times New Roman" w:eastAsia="Cambria" w:hAnsi="Times New Roman" w:cs="Times New Roman"/>
                <w:color w:val="000000" w:themeColor="text1"/>
                <w:spacing w:val="-2"/>
                <w:w w:val="95"/>
                <w:sz w:val="20"/>
                <w:szCs w:val="20"/>
                <w:lang w:val="en-GB"/>
              </w:rPr>
              <w:t>f</w:t>
            </w:r>
            <w:r w:rsidR="0011367A" w:rsidRPr="00D92B3C">
              <w:rPr>
                <w:rFonts w:ascii="Times New Roman" w:eastAsia="Cambria" w:hAnsi="Times New Roman" w:cs="Times New Roman"/>
                <w:color w:val="000000" w:themeColor="text1"/>
                <w:spacing w:val="-2"/>
                <w:w w:val="95"/>
                <w:sz w:val="20"/>
                <w:szCs w:val="20"/>
                <w:lang w:val="en-GB"/>
              </w:rPr>
              <w:t xml:space="preserve">inancial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arket </w:t>
            </w:r>
            <w:r w:rsidR="0011367A">
              <w:rPr>
                <w:rFonts w:ascii="Times New Roman" w:eastAsia="Cambria" w:hAnsi="Times New Roman" w:cs="Times New Roman"/>
                <w:color w:val="000000" w:themeColor="text1"/>
                <w:spacing w:val="-2"/>
                <w:w w:val="95"/>
                <w:sz w:val="20"/>
                <w:szCs w:val="20"/>
                <w:lang w:val="en-GB"/>
              </w:rPr>
              <w:t xml:space="preserve">infrastructure </w:t>
            </w:r>
            <w:r w:rsidRPr="00D92B3C">
              <w:rPr>
                <w:rFonts w:ascii="Times New Roman" w:eastAsia="Cambria" w:hAnsi="Times New Roman" w:cs="Times New Roman"/>
                <w:color w:val="000000" w:themeColor="text1"/>
                <w:spacing w:val="-2"/>
                <w:w w:val="95"/>
                <w:sz w:val="20"/>
                <w:szCs w:val="20"/>
                <w:lang w:val="en-GB"/>
              </w:rPr>
              <w:t xml:space="preserve">and the </w:t>
            </w:r>
            <w:r w:rsidR="0011367A">
              <w:rPr>
                <w:rFonts w:ascii="Times New Roman" w:eastAsia="Cambria" w:hAnsi="Times New Roman" w:cs="Times New Roman"/>
                <w:color w:val="000000" w:themeColor="text1"/>
                <w:spacing w:val="-2"/>
                <w:w w:val="95"/>
                <w:sz w:val="20"/>
                <w:szCs w:val="20"/>
                <w:lang w:val="en-GB"/>
              </w:rPr>
              <w:t>u</w:t>
            </w:r>
            <w:r w:rsidR="0011367A" w:rsidRPr="00D92B3C">
              <w:rPr>
                <w:rFonts w:ascii="Times New Roman" w:eastAsia="Cambria" w:hAnsi="Times New Roman" w:cs="Times New Roman"/>
                <w:color w:val="000000" w:themeColor="text1"/>
                <w:spacing w:val="-2"/>
                <w:w w:val="95"/>
                <w:sz w:val="20"/>
                <w:szCs w:val="20"/>
                <w:lang w:val="en-GB"/>
              </w:rPr>
              <w:t xml:space="preserve">ser </w:t>
            </w:r>
            <w:r w:rsidRPr="00D92B3C">
              <w:rPr>
                <w:rFonts w:ascii="Times New Roman" w:eastAsia="Cambria" w:hAnsi="Times New Roman" w:cs="Times New Roman"/>
                <w:color w:val="000000" w:themeColor="text1"/>
                <w:spacing w:val="-2"/>
                <w:w w:val="95"/>
                <w:sz w:val="20"/>
                <w:szCs w:val="20"/>
                <w:lang w:val="en-GB"/>
              </w:rPr>
              <w:t xml:space="preserve">which has to be reported. In case of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ndirect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embership </w:t>
            </w:r>
            <w:r w:rsidRPr="00D92B3C">
              <w:rPr>
                <w:rFonts w:ascii="Times New Roman" w:eastAsia="Cambria" w:hAnsi="Times New Roman" w:cs="Times New Roman"/>
                <w:color w:val="000000" w:themeColor="text1"/>
                <w:spacing w:val="-2"/>
                <w:w w:val="95"/>
                <w:sz w:val="20"/>
                <w:szCs w:val="20"/>
                <w:lang w:val="en-GB"/>
              </w:rPr>
              <w:t xml:space="preserve">or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ndirect </w:t>
            </w:r>
            <w:r w:rsidR="0011367A">
              <w:rPr>
                <w:rFonts w:ascii="Times New Roman" w:eastAsia="Cambria" w:hAnsi="Times New Roman" w:cs="Times New Roman"/>
                <w:color w:val="000000" w:themeColor="text1"/>
                <w:spacing w:val="-2"/>
                <w:w w:val="95"/>
                <w:sz w:val="20"/>
                <w:szCs w:val="20"/>
                <w:lang w:val="en-GB"/>
              </w:rPr>
              <w:t>p</w:t>
            </w:r>
            <w:r w:rsidR="0011367A" w:rsidRPr="00D92B3C">
              <w:rPr>
                <w:rFonts w:ascii="Times New Roman" w:eastAsia="Cambria" w:hAnsi="Times New Roman" w:cs="Times New Roman"/>
                <w:color w:val="000000" w:themeColor="text1"/>
                <w:spacing w:val="-2"/>
                <w:w w:val="95"/>
                <w:sz w:val="20"/>
                <w:szCs w:val="20"/>
                <w:lang w:val="en-GB"/>
              </w:rPr>
              <w:t>articipation</w:t>
            </w:r>
            <w:r w:rsidRPr="00D92B3C">
              <w:rPr>
                <w:rFonts w:ascii="Times New Roman" w:eastAsia="Cambria" w:hAnsi="Times New Roman" w:cs="Times New Roman"/>
                <w:color w:val="000000" w:themeColor="text1"/>
                <w:spacing w:val="-2"/>
                <w:w w:val="95"/>
                <w:sz w:val="20"/>
                <w:szCs w:val="20"/>
                <w:lang w:val="en-GB"/>
              </w:rPr>
              <w:t xml:space="preserve">, it is the </w:t>
            </w:r>
            <w:r w:rsidR="0011367A">
              <w:rPr>
                <w:rFonts w:ascii="Times New Roman" w:eastAsia="Cambria" w:hAnsi="Times New Roman" w:cs="Times New Roman"/>
                <w:color w:val="000000" w:themeColor="text1"/>
                <w:spacing w:val="-2"/>
                <w:w w:val="95"/>
                <w:sz w:val="20"/>
                <w:szCs w:val="20"/>
                <w:lang w:val="en-GB"/>
              </w:rPr>
              <w:t>g</w:t>
            </w:r>
            <w:r w:rsidR="0011367A" w:rsidRPr="00D92B3C">
              <w:rPr>
                <w:rFonts w:ascii="Times New Roman" w:eastAsia="Cambria" w:hAnsi="Times New Roman" w:cs="Times New Roman"/>
                <w:color w:val="000000" w:themeColor="text1"/>
                <w:spacing w:val="-2"/>
                <w:w w:val="95"/>
                <w:sz w:val="20"/>
                <w:szCs w:val="20"/>
                <w:lang w:val="en-GB"/>
              </w:rPr>
              <w:t xml:space="preserve">overning </w:t>
            </w:r>
            <w:r w:rsidR="0011367A">
              <w:rPr>
                <w:rFonts w:ascii="Times New Roman" w:eastAsia="Cambria" w:hAnsi="Times New Roman" w:cs="Times New Roman"/>
                <w:color w:val="000000" w:themeColor="text1"/>
                <w:spacing w:val="-2"/>
                <w:w w:val="95"/>
                <w:sz w:val="20"/>
                <w:szCs w:val="20"/>
                <w:lang w:val="en-GB"/>
              </w:rPr>
              <w:t>l</w:t>
            </w:r>
            <w:r w:rsidR="0011367A" w:rsidRPr="00D92B3C">
              <w:rPr>
                <w:rFonts w:ascii="Times New Roman" w:eastAsia="Cambria" w:hAnsi="Times New Roman" w:cs="Times New Roman"/>
                <w:color w:val="000000" w:themeColor="text1"/>
                <w:spacing w:val="-2"/>
                <w:w w:val="95"/>
                <w:sz w:val="20"/>
                <w:szCs w:val="20"/>
                <w:lang w:val="en-GB"/>
              </w:rPr>
              <w:t xml:space="preserve">aw </w:t>
            </w:r>
            <w:r w:rsidRPr="00D92B3C">
              <w:rPr>
                <w:rFonts w:ascii="Times New Roman" w:eastAsia="Cambria" w:hAnsi="Times New Roman" w:cs="Times New Roman"/>
                <w:color w:val="000000" w:themeColor="text1"/>
                <w:spacing w:val="-2"/>
                <w:w w:val="95"/>
                <w:sz w:val="20"/>
                <w:szCs w:val="20"/>
                <w:lang w:val="en-GB"/>
              </w:rPr>
              <w:t xml:space="preserve">of the contract between the </w:t>
            </w:r>
            <w:r w:rsidR="0011367A">
              <w:rPr>
                <w:rFonts w:ascii="Times New Roman" w:eastAsia="Cambria" w:hAnsi="Times New Roman" w:cs="Times New Roman"/>
                <w:color w:val="000000" w:themeColor="text1"/>
                <w:spacing w:val="-2"/>
                <w:w w:val="95"/>
                <w:sz w:val="20"/>
                <w:szCs w:val="20"/>
                <w:lang w:val="en-GB"/>
              </w:rPr>
              <w:t>r</w:t>
            </w:r>
            <w:r w:rsidR="0011367A" w:rsidRPr="00D92B3C">
              <w:rPr>
                <w:rFonts w:ascii="Times New Roman" w:eastAsia="Cambria" w:hAnsi="Times New Roman" w:cs="Times New Roman"/>
                <w:color w:val="000000" w:themeColor="text1"/>
                <w:spacing w:val="-2"/>
                <w:w w:val="95"/>
                <w:sz w:val="20"/>
                <w:szCs w:val="20"/>
                <w:lang w:val="en-GB"/>
              </w:rPr>
              <w:t xml:space="preserve">epresentative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nstitution </w:t>
            </w:r>
            <w:r w:rsidRPr="00D92B3C">
              <w:rPr>
                <w:rFonts w:ascii="Times New Roman" w:eastAsia="Cambria" w:hAnsi="Times New Roman" w:cs="Times New Roman"/>
                <w:color w:val="000000" w:themeColor="text1"/>
                <w:spacing w:val="-2"/>
                <w:w w:val="95"/>
                <w:sz w:val="20"/>
                <w:szCs w:val="20"/>
                <w:lang w:val="en-GB"/>
              </w:rPr>
              <w:t xml:space="preserve">and the </w:t>
            </w:r>
            <w:r w:rsidR="0011367A">
              <w:rPr>
                <w:rFonts w:ascii="Times New Roman" w:eastAsia="Cambria" w:hAnsi="Times New Roman" w:cs="Times New Roman"/>
                <w:color w:val="000000" w:themeColor="text1"/>
                <w:spacing w:val="-2"/>
                <w:w w:val="95"/>
                <w:sz w:val="20"/>
                <w:szCs w:val="20"/>
                <w:lang w:val="en-GB"/>
              </w:rPr>
              <w:t>u</w:t>
            </w:r>
            <w:r w:rsidR="0011367A" w:rsidRPr="00D92B3C">
              <w:rPr>
                <w:rFonts w:ascii="Times New Roman" w:eastAsia="Cambria" w:hAnsi="Times New Roman" w:cs="Times New Roman"/>
                <w:color w:val="000000" w:themeColor="text1"/>
                <w:spacing w:val="-2"/>
                <w:w w:val="95"/>
                <w:sz w:val="20"/>
                <w:szCs w:val="20"/>
                <w:lang w:val="en-GB"/>
              </w:rPr>
              <w:t xml:space="preserve">ser </w:t>
            </w:r>
            <w:r w:rsidRPr="00D92B3C">
              <w:rPr>
                <w:rFonts w:ascii="Times New Roman" w:eastAsia="Cambria" w:hAnsi="Times New Roman" w:cs="Times New Roman"/>
                <w:color w:val="000000" w:themeColor="text1"/>
                <w:spacing w:val="-2"/>
                <w:w w:val="95"/>
                <w:sz w:val="20"/>
                <w:szCs w:val="20"/>
                <w:lang w:val="en-GB"/>
              </w:rPr>
              <w:t xml:space="preserve">which has to be reported.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7" w:name="_Toc492542330"/>
      <w:bookmarkStart w:id="28" w:name="_Toc509909048"/>
      <w:r w:rsidRPr="00D92B3C">
        <w:rPr>
          <w:rFonts w:ascii="Times New Roman" w:hAnsi="Times New Roman" w:cs="Times New Roman"/>
          <w:color w:val="000000" w:themeColor="text1"/>
          <w:szCs w:val="20"/>
        </w:rPr>
        <w:t>Critical information systems</w:t>
      </w:r>
      <w:bookmarkEnd w:id="27"/>
      <w:bookmarkEnd w:id="28"/>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29" w:name="_Toc368311813"/>
      <w:bookmarkStart w:id="30" w:name="_Toc322687864"/>
      <w:bookmarkStart w:id="31" w:name="_Toc368311822"/>
      <w:r w:rsidRPr="00D92B3C">
        <w:rPr>
          <w:rFonts w:ascii="Times New Roman" w:hAnsi="Times New Roman" w:cs="Times New Roman"/>
          <w:b w:val="0"/>
          <w:color w:val="000000" w:themeColor="text1"/>
          <w:sz w:val="20"/>
          <w:szCs w:val="20"/>
          <w:u w:val="single"/>
          <w:lang w:val="en-GB"/>
        </w:rPr>
        <w:t>General remarks</w:t>
      </w:r>
    </w:p>
    <w:p w14:paraId="219E2A8C" w14:textId="77777777" w:rsidR="004507BB" w:rsidRPr="00D92B3C" w:rsidRDefault="004507BB"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t>Th</w:t>
      </w:r>
      <w:r w:rsidR="0069207E" w:rsidRPr="00D92B3C">
        <w:rPr>
          <w:rFonts w:ascii="Times New Roman" w:hAnsi="Times New Roman" w:cs="Times New Roman"/>
          <w:sz w:val="20"/>
          <w:szCs w:val="20"/>
        </w:rPr>
        <w:t xml:space="preserve">is section consists of the </w:t>
      </w:r>
      <w:r w:rsidRPr="00D92B3C">
        <w:rPr>
          <w:rFonts w:ascii="Times New Roman" w:hAnsi="Times New Roman" w:cs="Times New Roman"/>
          <w:sz w:val="20"/>
          <w:szCs w:val="20"/>
        </w:rPr>
        <w:t>following templates: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sidRPr="0002300D">
        <w:rPr>
          <w:rFonts w:ascii="Times New Roman" w:hAnsi="Times New Roman" w:cs="Times New Roman"/>
          <w:sz w:val="20"/>
        </w:rPr>
        <w:t>Z 1</w:t>
      </w:r>
      <w:r w:rsidR="004507BB" w:rsidRPr="0002300D">
        <w:rPr>
          <w:rFonts w:ascii="Times New Roman" w:hAnsi="Times New Roman" w:cs="Times New Roman"/>
          <w:sz w:val="20"/>
        </w:rPr>
        <w:t>0</w:t>
      </w:r>
      <w:r w:rsidR="00AD4B22" w:rsidRPr="0002300D">
        <w:rPr>
          <w:rFonts w:ascii="Times New Roman" w:hAnsi="Times New Roman" w:cs="Times New Roman"/>
          <w:sz w:val="20"/>
        </w:rPr>
        <w:t>.</w:t>
      </w:r>
      <w:r w:rsidR="004507BB" w:rsidRPr="0002300D">
        <w:rPr>
          <w:rFonts w:ascii="Times New Roman" w:hAnsi="Times New Roman" w:cs="Times New Roman"/>
          <w:sz w:val="20"/>
        </w:rPr>
        <w:t xml:space="preserve">01 - Critical </w:t>
      </w:r>
      <w:r w:rsidR="0011367A">
        <w:rPr>
          <w:rFonts w:ascii="Times New Roman" w:hAnsi="Times New Roman" w:cs="Times New Roman"/>
          <w:sz w:val="20"/>
        </w:rPr>
        <w:t>i</w:t>
      </w:r>
      <w:r w:rsidR="0011367A" w:rsidRPr="0002300D">
        <w:rPr>
          <w:rFonts w:ascii="Times New Roman" w:hAnsi="Times New Roman" w:cs="Times New Roman"/>
          <w:sz w:val="20"/>
        </w:rPr>
        <w:t xml:space="preserve">nformation </w:t>
      </w:r>
      <w:r w:rsidR="004507BB" w:rsidRPr="0002300D">
        <w:rPr>
          <w:rFonts w:ascii="Times New Roman" w:hAnsi="Times New Roman" w:cs="Times New Roman"/>
          <w:sz w:val="20"/>
        </w:rPr>
        <w:t xml:space="preserve">systems (General information) (CIS 1), which </w:t>
      </w:r>
      <w:r w:rsidR="0069207E" w:rsidRPr="0002300D">
        <w:rPr>
          <w:rFonts w:ascii="Times New Roman" w:hAnsi="Times New Roman" w:cs="Times New Roman"/>
          <w:sz w:val="20"/>
        </w:rPr>
        <w:t xml:space="preserve">lists </w:t>
      </w:r>
      <w:r w:rsidR="004507BB" w:rsidRPr="0002300D">
        <w:rPr>
          <w:rFonts w:ascii="Times New Roman" w:hAnsi="Times New Roman" w:cs="Times New Roman"/>
          <w:sz w:val="20"/>
        </w:rPr>
        <w:t>all critical information systems in the group;</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sidRPr="0002300D">
        <w:rPr>
          <w:rFonts w:ascii="Times New Roman" w:hAnsi="Times New Roman" w:cs="Times New Roman"/>
          <w:sz w:val="20"/>
        </w:rPr>
        <w:t>Z 1</w:t>
      </w:r>
      <w:r w:rsidR="004507BB" w:rsidRPr="0002300D">
        <w:rPr>
          <w:rFonts w:ascii="Times New Roman" w:hAnsi="Times New Roman" w:cs="Times New Roman"/>
          <w:sz w:val="20"/>
        </w:rPr>
        <w:t>0</w:t>
      </w:r>
      <w:r w:rsidR="00AD4B22" w:rsidRPr="0002300D">
        <w:rPr>
          <w:rFonts w:ascii="Times New Roman" w:hAnsi="Times New Roman" w:cs="Times New Roman"/>
          <w:sz w:val="20"/>
        </w:rPr>
        <w:t>.</w:t>
      </w:r>
      <w:r w:rsidR="004507BB" w:rsidRPr="0002300D">
        <w:rPr>
          <w:rFonts w:ascii="Times New Roman" w:hAnsi="Times New Roman" w:cs="Times New Roman"/>
          <w:sz w:val="20"/>
        </w:rPr>
        <w:t xml:space="preserve">02 - Mapping of </w:t>
      </w:r>
      <w:r w:rsidR="00AF0F1B" w:rsidRPr="0002300D">
        <w:rPr>
          <w:rFonts w:ascii="Times New Roman" w:hAnsi="Times New Roman" w:cs="Times New Roman"/>
          <w:sz w:val="20"/>
        </w:rPr>
        <w:t xml:space="preserve">critical </w:t>
      </w:r>
      <w:r w:rsidR="00E17909" w:rsidRPr="0002300D">
        <w:rPr>
          <w:rFonts w:ascii="Times New Roman" w:hAnsi="Times New Roman" w:cs="Times New Roman"/>
          <w:sz w:val="20"/>
        </w:rPr>
        <w:t>information systems (</w:t>
      </w:r>
      <w:r w:rsidR="005756C5" w:rsidRPr="0002300D">
        <w:rPr>
          <w:rFonts w:ascii="Times New Roman" w:hAnsi="Times New Roman" w:cs="Times New Roman"/>
          <w:sz w:val="20"/>
        </w:rPr>
        <w:t>C</w:t>
      </w:r>
      <w:r w:rsidR="004507BB" w:rsidRPr="0002300D">
        <w:rPr>
          <w:rFonts w:ascii="Times New Roman" w:hAnsi="Times New Roman" w:cs="Times New Roman"/>
          <w:sz w:val="20"/>
        </w:rPr>
        <w:t xml:space="preserve">IS 2), which </w:t>
      </w:r>
      <w:r w:rsidR="0069207E" w:rsidRPr="0002300D">
        <w:rPr>
          <w:rFonts w:ascii="Times New Roman" w:hAnsi="Times New Roman" w:cs="Times New Roman"/>
          <w:sz w:val="20"/>
        </w:rPr>
        <w:t xml:space="preserve">maps </w:t>
      </w:r>
      <w:r w:rsidR="004507BB" w:rsidRPr="0002300D">
        <w:rPr>
          <w:rFonts w:ascii="Times New Roman" w:hAnsi="Times New Roman" w:cs="Times New Roman"/>
          <w:sz w:val="20"/>
        </w:rPr>
        <w:t xml:space="preserve">the critical information systems </w:t>
      </w:r>
      <w:r w:rsidR="0011367A">
        <w:rPr>
          <w:rFonts w:ascii="Times New Roman" w:hAnsi="Times New Roman" w:cs="Times New Roman"/>
          <w:sz w:val="20"/>
        </w:rPr>
        <w:t>on</w:t>
      </w:r>
      <w:r w:rsidR="004507BB" w:rsidRPr="0002300D">
        <w:rPr>
          <w:rFonts w:ascii="Times New Roman" w:hAnsi="Times New Roman" w:cs="Times New Roman"/>
          <w:sz w:val="20"/>
        </w:rPr>
        <w:t>to user entities in the group and critical functions.</w:t>
      </w:r>
      <w:bookmarkStart w:id="32" w:name="_GoBack"/>
      <w:bookmarkEnd w:id="32"/>
    </w:p>
    <w:p w14:paraId="3387030A" w14:textId="512C7D46" w:rsidR="00277550" w:rsidRPr="0002300D" w:rsidRDefault="00AD4B22" w:rsidP="008E116E">
      <w:pPr>
        <w:pStyle w:val="numberedparagraph"/>
        <w:rPr>
          <w:rFonts w:ascii="Times New Roman" w:hAnsi="Times New Roman" w:cs="Times New Roman"/>
          <w:sz w:val="20"/>
        </w:rPr>
      </w:pPr>
      <w:r w:rsidRPr="0002300D">
        <w:rPr>
          <w:rFonts w:ascii="Times New Roman" w:hAnsi="Times New Roman" w:cs="Times New Roman"/>
          <w:sz w:val="20"/>
        </w:rPr>
        <w:t xml:space="preserve">A Critical Information System (‘CIS’) shall be understood as an IT application or software </w:t>
      </w:r>
      <w:r w:rsidR="00733951" w:rsidRPr="0002300D">
        <w:rPr>
          <w:rFonts w:ascii="Times New Roman" w:hAnsi="Times New Roman" w:cs="Times New Roman"/>
          <w:sz w:val="20"/>
        </w:rPr>
        <w:t xml:space="preserve">which supports </w:t>
      </w:r>
      <w:r w:rsidR="004D45EA" w:rsidRPr="0002300D">
        <w:rPr>
          <w:rFonts w:ascii="Times New Roman" w:hAnsi="Times New Roman" w:cs="Times New Roman"/>
          <w:sz w:val="20"/>
        </w:rPr>
        <w:t xml:space="preserve">a critical service </w:t>
      </w:r>
      <w:r w:rsidR="00944F24" w:rsidRPr="0002300D">
        <w:rPr>
          <w:rFonts w:ascii="Times New Roman" w:hAnsi="Times New Roman" w:cs="Times New Roman"/>
          <w:sz w:val="20"/>
        </w:rPr>
        <w:t xml:space="preserve">the disruption of which would present a serious impediment </w:t>
      </w:r>
      <w:r w:rsidR="00697C04">
        <w:rPr>
          <w:rFonts w:ascii="Times New Roman" w:hAnsi="Times New Roman" w:cs="Times New Roman"/>
          <w:sz w:val="20"/>
        </w:rPr>
        <w:t xml:space="preserve">to, </w:t>
      </w:r>
      <w:r w:rsidR="00944F24" w:rsidRPr="0002300D">
        <w:rPr>
          <w:rFonts w:ascii="Times New Roman" w:hAnsi="Times New Roman" w:cs="Times New Roman"/>
          <w:sz w:val="20"/>
        </w:rPr>
        <w:t>or prevent</w:t>
      </w:r>
      <w:r w:rsidR="00697C04">
        <w:rPr>
          <w:rFonts w:ascii="Times New Roman" w:hAnsi="Times New Roman" w:cs="Times New Roman"/>
          <w:sz w:val="20"/>
        </w:rPr>
        <w:t>,</w:t>
      </w:r>
      <w:r w:rsidR="00944F24" w:rsidRPr="0002300D">
        <w:rPr>
          <w:rFonts w:ascii="Times New Roman" w:hAnsi="Times New Roman" w:cs="Times New Roman"/>
          <w:sz w:val="20"/>
        </w:rPr>
        <w:t xml:space="preserve"> the performance of a </w:t>
      </w:r>
      <w:r w:rsidR="008E5FE4" w:rsidRPr="0002300D">
        <w:rPr>
          <w:rFonts w:ascii="Times New Roman" w:hAnsi="Times New Roman" w:cs="Times New Roman"/>
          <w:sz w:val="20"/>
        </w:rPr>
        <w:t>critical function</w:t>
      </w:r>
      <w:r w:rsidRPr="0002300D">
        <w:rPr>
          <w:rFonts w:ascii="Times New Roman" w:hAnsi="Times New Roman" w:cs="Times New Roman"/>
          <w:sz w:val="20"/>
        </w:rPr>
        <w:t>.</w:t>
      </w:r>
      <w:bookmarkEnd w:id="29"/>
      <w:bookmarkEnd w:id="30"/>
    </w:p>
    <w:p w14:paraId="5D8C775D" w14:textId="77777777" w:rsidR="00ED08D2" w:rsidRPr="0002300D" w:rsidRDefault="00262051" w:rsidP="008E116E">
      <w:pPr>
        <w:pStyle w:val="numberedparagraph"/>
        <w:rPr>
          <w:rFonts w:ascii="Times New Roman" w:hAnsi="Times New Roman" w:cs="Times New Roman"/>
          <w:sz w:val="20"/>
        </w:rPr>
      </w:pPr>
      <w:r w:rsidRPr="0002300D">
        <w:rPr>
          <w:rFonts w:ascii="Times New Roman" w:hAnsi="Times New Roman" w:cs="Times New Roman"/>
          <w:sz w:val="20"/>
        </w:rPr>
        <w:t>These templates shall be reported for the entire group.</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 xml:space="preserve">01 - Critical </w:t>
      </w:r>
      <w:r w:rsidR="00697C04">
        <w:rPr>
          <w:rFonts w:ascii="Times New Roman" w:hAnsi="Times New Roman" w:cs="Times New Roman"/>
          <w:b w:val="0"/>
          <w:color w:val="000000" w:themeColor="text1"/>
          <w:sz w:val="20"/>
          <w:szCs w:val="20"/>
          <w:u w:val="single"/>
          <w:lang w:val="en-GB"/>
        </w:rPr>
        <w:t>i</w:t>
      </w:r>
      <w:r w:rsidR="00697C04" w:rsidRPr="00D92B3C">
        <w:rPr>
          <w:rFonts w:ascii="Times New Roman" w:hAnsi="Times New Roman" w:cs="Times New Roman"/>
          <w:b w:val="0"/>
          <w:color w:val="000000" w:themeColor="text1"/>
          <w:sz w:val="20"/>
          <w:szCs w:val="20"/>
          <w:u w:val="single"/>
          <w:lang w:val="en-GB"/>
        </w:rPr>
        <w:t xml:space="preserve">nformation </w:t>
      </w:r>
      <w:r w:rsidR="00D7345B" w:rsidRPr="00D92B3C">
        <w:rPr>
          <w:rFonts w:ascii="Times New Roman" w:hAnsi="Times New Roman" w:cs="Times New Roman"/>
          <w:b w:val="0"/>
          <w:color w:val="000000" w:themeColor="text1"/>
          <w:sz w:val="20"/>
          <w:szCs w:val="20"/>
          <w:u w:val="single"/>
          <w:lang w:val="en-GB"/>
        </w:rPr>
        <w:t>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14:paraId="70F1C8B1" w14:textId="77777777" w:rsidR="000B75A6" w:rsidRPr="00D92B3C" w:rsidRDefault="000B75A6"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The value reported in column </w:t>
      </w:r>
      <w:r w:rsidR="00EA3B0A" w:rsidRPr="00D92B3C">
        <w:rPr>
          <w:rFonts w:ascii="Times New Roman" w:hAnsi="Times New Roman" w:cs="Times New Roman"/>
          <w:sz w:val="20"/>
          <w:szCs w:val="20"/>
        </w:rPr>
        <w:t>0</w:t>
      </w:r>
      <w:r w:rsidRPr="00D92B3C">
        <w:rPr>
          <w:rFonts w:ascii="Times New Roman" w:hAnsi="Times New Roman" w:cs="Times New Roman"/>
          <w:sz w:val="20"/>
          <w:szCs w:val="20"/>
        </w:rPr>
        <w:t xml:space="preserve">010 of this template forms a primary key which has to be unique for each row of the template. </w:t>
      </w:r>
    </w:p>
    <w:p w14:paraId="06AD164E"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w:t>
            </w:r>
            <w:r w:rsidR="0029164D">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02300D">
              <w:rPr>
                <w:rFonts w:ascii="Times New Roman" w:eastAsia="Cambria" w:hAnsi="Times New Roman" w:cs="Times New Roman"/>
                <w:color w:val="000000" w:themeColor="text1"/>
                <w:spacing w:val="-2"/>
                <w:w w:val="95"/>
                <w:sz w:val="20"/>
                <w:szCs w:val="20"/>
                <w:lang w:val="en-GB"/>
              </w:rPr>
              <w:t>Commercial or internal n</w:t>
            </w:r>
            <w:r w:rsidR="00474118" w:rsidRPr="0002300D">
              <w:rPr>
                <w:rFonts w:ascii="Times New Roman" w:eastAsia="Cambria" w:hAnsi="Times New Roman" w:cs="Times New Roman"/>
                <w:color w:val="000000" w:themeColor="text1"/>
                <w:spacing w:val="-2"/>
                <w:w w:val="95"/>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Report one of the following values:</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‘Custom-Built Software For Business Support’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Applications that have been developed </w:t>
            </w:r>
            <w:r w:rsidR="00DD46B3" w:rsidRPr="00CF3B41">
              <w:rPr>
                <w:rFonts w:ascii="Times New Roman" w:eastAsia="Cambria" w:hAnsi="Times New Roman" w:cs="Times New Roman"/>
                <w:color w:val="000000" w:themeColor="text1"/>
                <w:spacing w:val="-2"/>
                <w:w w:val="95"/>
                <w:sz w:val="20"/>
                <w:szCs w:val="20"/>
                <w:lang w:val="en-GB"/>
              </w:rPr>
              <w:t>in accordance with</w:t>
            </w:r>
            <w:r w:rsidRPr="00CF3B41">
              <w:rPr>
                <w:rFonts w:ascii="Times New Roman" w:eastAsia="Cambria" w:hAnsi="Times New Roman" w:cs="Times New Roman"/>
                <w:color w:val="000000" w:themeColor="text1"/>
                <w:spacing w:val="-2"/>
                <w:w w:val="95"/>
                <w:sz w:val="20"/>
                <w:szCs w:val="20"/>
                <w:lang w:val="en-GB"/>
              </w:rPr>
              <w:t xml:space="preserve"> detailed business specifications. It may have been developed internally or </w:t>
            </w:r>
            <w:r w:rsidR="00DD46B3"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external contractors, but always with the purpose of business support.</w:t>
            </w:r>
          </w:p>
          <w:p w14:paraId="6E793F14" w14:textId="77777777" w:rsidR="00AD4B22" w:rsidRPr="00CF3B41" w:rsidRDefault="00AD4B22"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‘Software Purchased As-Is’</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Applications purchased in the market, typically sold or licensed by a vendor, that were not modified in terms of specific customizations to the organisation's business. Applications that were subjected to normal configuration mechanisms are included in this category.</w:t>
            </w:r>
          </w:p>
          <w:p w14:paraId="0F4A80B1" w14:textId="77777777" w:rsidR="00AD4B22" w:rsidRPr="00CF3B41" w:rsidRDefault="00881C3C"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AD4B22" w:rsidRPr="00CF3B41">
              <w:rPr>
                <w:rFonts w:ascii="Times New Roman" w:eastAsia="Cambria" w:hAnsi="Times New Roman" w:cs="Times New Roman"/>
                <w:w w:val="95"/>
                <w:sz w:val="20"/>
                <w:szCs w:val="20"/>
                <w:lang w:val="en-GB"/>
              </w:rPr>
              <w:t>Software Purchased With Custom Modifications</w:t>
            </w:r>
            <w:r w:rsidRPr="00CF3B41">
              <w:rPr>
                <w:rFonts w:ascii="Times New Roman" w:eastAsia="Cambria" w:hAnsi="Times New Roman" w:cs="Times New Roman"/>
                <w:w w:val="95"/>
                <w:sz w:val="20"/>
                <w:szCs w:val="20"/>
                <w:lang w:val="en-GB"/>
              </w:rPr>
              <w:t>’</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Applications purchased in the market but where the vendor (or </w:t>
            </w:r>
            <w:r w:rsidR="003D19C8" w:rsidRPr="00CF3B41">
              <w:rPr>
                <w:rFonts w:ascii="Times New Roman" w:eastAsia="Cambria" w:hAnsi="Times New Roman" w:cs="Times New Roman"/>
                <w:color w:val="000000" w:themeColor="text1"/>
                <w:spacing w:val="-2"/>
                <w:w w:val="95"/>
                <w:sz w:val="20"/>
                <w:szCs w:val="20"/>
                <w:lang w:val="en-GB"/>
              </w:rPr>
              <w:t xml:space="preserve">its </w:t>
            </w:r>
            <w:r w:rsidRPr="00CF3B41">
              <w:rPr>
                <w:rFonts w:ascii="Times New Roman" w:eastAsia="Cambria" w:hAnsi="Times New Roman" w:cs="Times New Roman"/>
                <w:color w:val="000000" w:themeColor="text1"/>
                <w:spacing w:val="-2"/>
                <w:w w:val="95"/>
                <w:sz w:val="20"/>
                <w:szCs w:val="20"/>
                <w:lang w:val="en-GB"/>
              </w:rPr>
              <w:t>representative) has created a specific version for the context of that installation. This particular version is characteri</w:t>
            </w:r>
            <w:r w:rsidR="000E7F44" w:rsidRPr="00CF3B41">
              <w:rPr>
                <w:rFonts w:ascii="Times New Roman" w:eastAsia="Cambria" w:hAnsi="Times New Roman" w:cs="Times New Roman"/>
                <w:color w:val="000000" w:themeColor="text1"/>
                <w:spacing w:val="-2"/>
                <w:w w:val="95"/>
                <w:sz w:val="20"/>
                <w:szCs w:val="20"/>
                <w:lang w:val="en-GB"/>
              </w:rPr>
              <w:t>s</w:t>
            </w:r>
            <w:r w:rsidRPr="00CF3B41">
              <w:rPr>
                <w:rFonts w:ascii="Times New Roman" w:eastAsia="Cambria" w:hAnsi="Times New Roman" w:cs="Times New Roman"/>
                <w:color w:val="000000" w:themeColor="text1"/>
                <w:spacing w:val="-2"/>
                <w:w w:val="95"/>
                <w:sz w:val="20"/>
                <w:szCs w:val="20"/>
                <w:lang w:val="en-GB"/>
              </w:rPr>
              <w:t xml:space="preserve">ed by changes in the application behaviour, </w:t>
            </w:r>
            <w:r w:rsidR="00DD46B3"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new features or by inclusion of non-standard plug-ins developed according to the organisation's business.</w:t>
            </w:r>
          </w:p>
          <w:p w14:paraId="4E296A17" w14:textId="77777777" w:rsidR="00AD4B22" w:rsidRPr="00CF3B41" w:rsidRDefault="00881C3C"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AD4B22" w:rsidRPr="00CF3B41">
              <w:rPr>
                <w:rFonts w:ascii="Times New Roman" w:eastAsia="Cambria" w:hAnsi="Times New Roman" w:cs="Times New Roman"/>
                <w:w w:val="95"/>
                <w:sz w:val="20"/>
                <w:szCs w:val="20"/>
                <w:lang w:val="en-GB"/>
              </w:rPr>
              <w:t>Application / External Portal</w:t>
            </w:r>
            <w:r w:rsidRPr="00CF3B41">
              <w:rPr>
                <w:rFonts w:ascii="Times New Roman" w:eastAsia="Cambria" w:hAnsi="Times New Roman" w:cs="Times New Roman"/>
                <w:w w:val="95"/>
                <w:sz w:val="20"/>
                <w:szCs w:val="20"/>
                <w:lang w:val="en-GB"/>
              </w:rPr>
              <w:t>’</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w:t>
            </w:r>
            <w:r w:rsidR="003D19C8"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partners, to access the services they offer. Normally they are outside the scope of the information systems management of the organisation, and are installed, maintained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w:t>
            </w:r>
            <w:r w:rsidRPr="00DE1CD1">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is the entity responsible for the overall procurement, development, integration, modification, operation, maintenance and retirement of an information system and is a key contributor in developing system design specifications to ensure </w:t>
            </w:r>
            <w:r w:rsidR="003D19C8">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the security and user operational needs are documented, tested and implemented.</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1"/>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14:paraId="4FA9A88F" w14:textId="03FA494D" w:rsidR="00720344" w:rsidRPr="00D92B3C" w:rsidRDefault="00720344"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lastRenderedPageBreak/>
        <w:t xml:space="preserve">The combination of values reported in </w:t>
      </w:r>
      <w:r w:rsidRPr="00C518B0">
        <w:rPr>
          <w:rFonts w:ascii="Times New Roman" w:hAnsi="Times New Roman" w:cs="Times New Roman"/>
          <w:sz w:val="20"/>
          <w:szCs w:val="20"/>
        </w:rPr>
        <w:t>columns 0</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 xml:space="preserve">10,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 xml:space="preserve">030,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040</w:t>
      </w:r>
      <w:r w:rsidR="00400DF4" w:rsidRPr="00C518B0">
        <w:rPr>
          <w:rFonts w:ascii="Times New Roman" w:hAnsi="Times New Roman" w:cs="Times New Roman"/>
          <w:sz w:val="20"/>
          <w:szCs w:val="20"/>
        </w:rPr>
        <w:t xml:space="preserve">,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050</w:t>
      </w:r>
      <w:r w:rsidR="00400DF4" w:rsidRPr="00C518B0">
        <w:rPr>
          <w:rFonts w:ascii="Times New Roman" w:hAnsi="Times New Roman" w:cs="Times New Roman"/>
          <w:sz w:val="20"/>
          <w:szCs w:val="20"/>
        </w:rPr>
        <w:t xml:space="preserve"> and 0060</w:t>
      </w:r>
      <w:r w:rsidRPr="00C518B0">
        <w:rPr>
          <w:rFonts w:ascii="Times New Roman" w:hAnsi="Times New Roman" w:cs="Times New Roman"/>
          <w:sz w:val="20"/>
          <w:szCs w:val="20"/>
        </w:rPr>
        <w:t xml:space="preserve"> of this</w:t>
      </w:r>
      <w:r w:rsidRPr="00D92B3C">
        <w:rPr>
          <w:rFonts w:ascii="Times New Roman" w:hAnsi="Times New Roman" w:cs="Times New Roman"/>
          <w:sz w:val="20"/>
          <w:szCs w:val="20"/>
        </w:rPr>
        <w:t xml:space="preserve"> template forms a primary key which has to be unique for each row of the template. </w:t>
      </w:r>
    </w:p>
    <w:p w14:paraId="3AB449B8"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w:t>
            </w:r>
            <w:r w:rsidR="003D19C8">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w:t>
            </w:r>
            <w:r w:rsidR="00B643AB">
              <w:rPr>
                <w:rFonts w:ascii="Times New Roman" w:eastAsia="Cambria" w:hAnsi="Times New Roman" w:cs="Times New Roman"/>
                <w:color w:val="000000" w:themeColor="text1"/>
                <w:spacing w:val="-2"/>
                <w:w w:val="95"/>
                <w:sz w:val="20"/>
                <w:szCs w:val="20"/>
                <w:lang w:val="en-GB"/>
              </w:rPr>
              <w:t>In case of</w:t>
            </w:r>
            <w:r w:rsidRPr="00D92B3C">
              <w:rPr>
                <w:rFonts w:ascii="Times New Roman" w:eastAsia="Cambria" w:hAnsi="Times New Roman" w:cs="Times New Roman"/>
                <w:color w:val="000000" w:themeColor="text1"/>
                <w:spacing w:val="-2"/>
                <w:w w:val="95"/>
                <w:sz w:val="20"/>
                <w:szCs w:val="20"/>
                <w:lang w:val="en-GB"/>
              </w:rPr>
              <w:t xml:space="preserve"> </w:t>
            </w:r>
            <w:r w:rsidR="000E7F44">
              <w:rPr>
                <w:rFonts w:ascii="Times New Roman" w:eastAsia="Cambria" w:hAnsi="Times New Roman" w:cs="Times New Roman"/>
                <w:color w:val="000000" w:themeColor="text1"/>
                <w:spacing w:val="-2"/>
                <w:w w:val="95"/>
                <w:sz w:val="20"/>
                <w:szCs w:val="20"/>
                <w:lang w:val="en-GB"/>
              </w:rPr>
              <w:t>several users</w:t>
            </w:r>
            <w:r w:rsidRPr="00D92B3C">
              <w:rPr>
                <w:rFonts w:ascii="Times New Roman" w:eastAsia="Cambria" w:hAnsi="Times New Roman" w:cs="Times New Roman"/>
                <w:color w:val="000000" w:themeColor="text1"/>
                <w:spacing w:val="-2"/>
                <w:w w:val="95"/>
                <w:sz w:val="20"/>
                <w:szCs w:val="20"/>
                <w:lang w:val="en-GB"/>
              </w:rPr>
              <w:t xml:space="preserve">, </w:t>
            </w:r>
            <w:r w:rsidR="00A11775">
              <w:rPr>
                <w:rFonts w:ascii="Times New Roman" w:eastAsia="Cambria" w:hAnsi="Times New Roman" w:cs="Times New Roman"/>
                <w:color w:val="000000" w:themeColor="text1"/>
                <w:spacing w:val="-2"/>
                <w:w w:val="95"/>
                <w:sz w:val="20"/>
                <w:szCs w:val="20"/>
                <w:lang w:val="en-GB"/>
              </w:rPr>
              <w:t xml:space="preserve">a separate row for each user of the </w:t>
            </w:r>
            <w:r w:rsidRPr="00D92B3C">
              <w:rPr>
                <w:rFonts w:ascii="Times New Roman" w:eastAsia="Cambria" w:hAnsi="Times New Roman" w:cs="Times New Roman"/>
                <w:color w:val="000000" w:themeColor="text1"/>
                <w:spacing w:val="-2"/>
                <w:w w:val="95"/>
                <w:sz w:val="20"/>
                <w:szCs w:val="20"/>
                <w:lang w:val="en-GB"/>
              </w:rPr>
              <w:t xml:space="preserve">same information system shall be reported.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lang w:val="en-GB"/>
              </w:rPr>
            </w:pPr>
            <w:r w:rsidRPr="0002300D">
              <w:rPr>
                <w:rFonts w:ascii="Times New Roman" w:eastAsia="Cambria" w:hAnsi="Times New Roman" w:cs="Times New Roman"/>
                <w:color w:val="000000" w:themeColor="text1"/>
                <w:spacing w:val="-2"/>
                <w:w w:val="95"/>
                <w:sz w:val="20"/>
                <w:szCs w:val="20"/>
                <w:lang w:val="en-GB"/>
              </w:rPr>
              <w:t xml:space="preserve">The identifier of the critical service, as reported in </w:t>
            </w:r>
            <w:r w:rsidR="00F7117F" w:rsidRPr="0002300D">
              <w:rPr>
                <w:rFonts w:ascii="Times New Roman" w:eastAsia="Cambria" w:hAnsi="Times New Roman" w:cs="Times New Roman"/>
                <w:color w:val="000000" w:themeColor="text1"/>
                <w:spacing w:val="-2"/>
                <w:w w:val="95"/>
                <w:sz w:val="20"/>
                <w:szCs w:val="20"/>
                <w:lang w:val="en-GB"/>
              </w:rPr>
              <w:t>Z 0</w:t>
            </w:r>
            <w:r w:rsidRPr="0002300D">
              <w:rPr>
                <w:rFonts w:ascii="Times New Roman" w:eastAsia="Cambria" w:hAnsi="Times New Roman" w:cs="Times New Roman"/>
                <w:color w:val="000000" w:themeColor="text1"/>
                <w:spacing w:val="-2"/>
                <w:w w:val="95"/>
                <w:sz w:val="20"/>
                <w:szCs w:val="20"/>
                <w:lang w:val="en-GB"/>
              </w:rPr>
              <w:t>8.00 (column 0</w:t>
            </w:r>
            <w:r w:rsidR="001E7CE0" w:rsidRPr="0002300D">
              <w:rPr>
                <w:rFonts w:ascii="Times New Roman" w:eastAsia="Cambria" w:hAnsi="Times New Roman" w:cs="Times New Roman"/>
                <w:color w:val="000000" w:themeColor="text1"/>
                <w:spacing w:val="-2"/>
                <w:w w:val="95"/>
                <w:sz w:val="20"/>
                <w:szCs w:val="20"/>
                <w:lang w:val="en-GB"/>
              </w:rPr>
              <w:t>005</w:t>
            </w:r>
            <w:r w:rsidRPr="0002300D">
              <w:rPr>
                <w:rFonts w:ascii="Times New Roman" w:eastAsia="Cambria" w:hAnsi="Times New Roman" w:cs="Times New Roman"/>
                <w:color w:val="000000" w:themeColor="text1"/>
                <w:spacing w:val="-2"/>
                <w:w w:val="95"/>
                <w:sz w:val="20"/>
                <w:szCs w:val="20"/>
                <w:lang w:val="en-GB"/>
              </w:rPr>
              <w:t>)</w:t>
            </w:r>
            <w:r w:rsidR="003D19C8">
              <w:rPr>
                <w:rFonts w:ascii="Times New Roman" w:eastAsia="Cambria" w:hAnsi="Times New Roman" w:cs="Times New Roman"/>
                <w:color w:val="000000" w:themeColor="text1"/>
                <w:spacing w:val="-2"/>
                <w:w w:val="95"/>
                <w:sz w:val="20"/>
                <w:szCs w:val="20"/>
                <w:lang w:val="en-GB"/>
              </w:rPr>
              <w:t>,</w:t>
            </w:r>
            <w:r w:rsidRPr="0002300D">
              <w:rPr>
                <w:rFonts w:ascii="Times New Roman" w:eastAsia="Cambria" w:hAnsi="Times New Roman" w:cs="Times New Roman"/>
                <w:color w:val="000000" w:themeColor="text1"/>
                <w:spacing w:val="-2"/>
                <w:w w:val="95"/>
                <w:sz w:val="20"/>
                <w:szCs w:val="20"/>
                <w:lang w:val="en-GB"/>
              </w:rPr>
              <w:t xml:space="preserve"> which the system supports.</w:t>
            </w:r>
            <w:r w:rsidR="004A1513" w:rsidRPr="0002300D">
              <w:rPr>
                <w:rFonts w:ascii="Times New Roman" w:eastAsia="Cambria" w:hAnsi="Times New Roman" w:cs="Times New Roman"/>
                <w:color w:val="000000" w:themeColor="text1"/>
                <w:spacing w:val="-2"/>
                <w:w w:val="95"/>
                <w:sz w:val="20"/>
                <w:szCs w:val="20"/>
                <w:lang w:val="en-GB"/>
              </w:rPr>
              <w:t xml:space="preserve"> The critical service may in itself be </w:t>
            </w:r>
            <w:r w:rsidR="00DB035F" w:rsidRPr="0002300D">
              <w:rPr>
                <w:rFonts w:ascii="Times New Roman" w:eastAsia="Cambria" w:hAnsi="Times New Roman" w:cs="Times New Roman"/>
                <w:color w:val="000000" w:themeColor="text1"/>
                <w:spacing w:val="-2"/>
                <w:w w:val="95"/>
                <w:sz w:val="20"/>
                <w:szCs w:val="20"/>
                <w:lang w:val="en-GB"/>
              </w:rPr>
              <w:t xml:space="preserve">an IT service or another type of service which </w:t>
            </w:r>
            <w:r w:rsidR="000F4421" w:rsidRPr="0002300D">
              <w:rPr>
                <w:rFonts w:ascii="Times New Roman" w:eastAsia="Cambria" w:hAnsi="Times New Roman" w:cs="Times New Roman"/>
                <w:color w:val="000000" w:themeColor="text1"/>
                <w:spacing w:val="-2"/>
                <w:w w:val="95"/>
                <w:sz w:val="20"/>
                <w:szCs w:val="20"/>
                <w:lang w:val="en-GB"/>
              </w:rPr>
              <w:t>the information system supports</w:t>
            </w:r>
            <w:r w:rsidR="00C96753" w:rsidRPr="0002300D">
              <w:rPr>
                <w:rFonts w:ascii="Times New Roman" w:eastAsia="Cambria" w:hAnsi="Times New Roman" w:cs="Times New Roman"/>
                <w:color w:val="000000" w:themeColor="text1"/>
                <w:spacing w:val="-2"/>
                <w:w w:val="95"/>
                <w:sz w:val="20"/>
                <w:szCs w:val="20"/>
                <w:lang w:val="en-GB"/>
              </w:rPr>
              <w:t xml:space="preserve"> (for example transaction processing)</w:t>
            </w:r>
            <w:r w:rsidR="000F4421" w:rsidRPr="0002300D">
              <w:rPr>
                <w:rFonts w:ascii="Times New Roman" w:eastAsia="Cambria" w:hAnsi="Times New Roman" w:cs="Times New Roman"/>
                <w:color w:val="000000" w:themeColor="text1"/>
                <w:spacing w:val="-2"/>
                <w:w w:val="95"/>
                <w:sz w:val="20"/>
                <w:szCs w:val="20"/>
                <w:lang w:val="en-GB"/>
              </w:rPr>
              <w:t>.</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00720344"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r w:rsidR="0066672A">
              <w:rPr>
                <w:rFonts w:ascii="Times New Roman" w:eastAsia="Cambria" w:hAnsi="Times New Roman" w:cs="Times New Roman"/>
                <w:color w:val="000000" w:themeColor="text1"/>
                <w:spacing w:val="-2"/>
                <w:w w:val="95"/>
                <w:sz w:val="20"/>
                <w:szCs w:val="20"/>
                <w:lang w:val="en-GB"/>
              </w:rPr>
              <w:t>.</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w:t>
            </w:r>
            <w:r w:rsidR="0066672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w:t>
            </w:r>
            <w:r w:rsidR="0066672A">
              <w:rPr>
                <w:rFonts w:ascii="Times New Roman" w:eastAsia="Cambria" w:hAnsi="Times New Roman" w:cs="Times New Roman"/>
                <w:color w:val="000000" w:themeColor="text1"/>
                <w:spacing w:val="-2"/>
                <w:w w:val="95"/>
                <w:sz w:val="20"/>
                <w:szCs w:val="20"/>
                <w:lang w:val="en-GB"/>
              </w:rPr>
              <w:t>.</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032E046A" w:rsidR="0075382A" w:rsidRDefault="0075382A" w:rsidP="000E60D6">
        <w:pPr>
          <w:pStyle w:val="Footer"/>
          <w:jc w:val="center"/>
        </w:pPr>
        <w:r>
          <w:rPr>
            <w:noProof/>
          </w:rPr>
          <w:fldChar w:fldCharType="begin"/>
        </w:r>
        <w:r>
          <w:rPr>
            <w:noProof/>
          </w:rPr>
          <w:instrText xml:space="preserve"> PAGE   \* MERGEFORMAT </w:instrText>
        </w:r>
        <w:r>
          <w:rPr>
            <w:noProof/>
          </w:rPr>
          <w:fldChar w:fldCharType="separate"/>
        </w:r>
        <w:r w:rsidR="005844B5">
          <w:rPr>
            <w:noProof/>
          </w:rPr>
          <w:t>41</w:t>
        </w:r>
        <w:r>
          <w:rPr>
            <w:noProof/>
          </w:rP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rPr>
          <w:lang w:val="en-GB"/>
        </w:rPr>
      </w:pPr>
      <w:r w:rsidRPr="008E5458">
        <w:rPr>
          <w:rStyle w:val="FootnoteReference"/>
          <w:rFonts w:ascii="Times New Roman" w:hAnsi="Times New Roman"/>
        </w:rPr>
        <w:footnoteRef/>
      </w:r>
      <w:r w:rsidRPr="008E5458">
        <w:t xml:space="preserve"> </w:t>
      </w:r>
      <w:r w:rsidRPr="0002300D">
        <w:rPr>
          <w:lang w:val="en-GB"/>
        </w:rPr>
        <w:t xml:space="preserve">Commission Implementing Regulation (EU) </w:t>
      </w:r>
      <w:r>
        <w:rPr>
          <w:lang w:val="en-GB"/>
        </w:rPr>
        <w:t>2021/451</w:t>
      </w:r>
      <w:r w:rsidRPr="0002300D">
        <w:rPr>
          <w:lang w:val="en-GB"/>
        </w:rPr>
        <w:t xml:space="preserve"> of</w:t>
      </w:r>
      <w:r w:rsidRPr="000D31B7">
        <w:rPr>
          <w:lang w:val="en-GB"/>
        </w:rPr>
        <w:t xml:space="preserve"> 1</w:t>
      </w:r>
      <w:r>
        <w:rPr>
          <w:lang w:val="en-GB"/>
        </w:rPr>
        <w:t>7</w:t>
      </w:r>
      <w:r w:rsidRPr="000D31B7">
        <w:rPr>
          <w:lang w:val="en-GB"/>
        </w:rPr>
        <w:t xml:space="preserve"> </w:t>
      </w:r>
      <w:r>
        <w:rPr>
          <w:lang w:val="en-GB"/>
        </w:rPr>
        <w:t>December</w:t>
      </w:r>
      <w:r w:rsidRPr="000D31B7">
        <w:rPr>
          <w:lang w:val="en-GB"/>
        </w:rPr>
        <w:t xml:space="preserve"> </w:t>
      </w:r>
      <w:r>
        <w:rPr>
          <w:lang w:val="en-GB"/>
        </w:rPr>
        <w:t>2020</w:t>
      </w:r>
      <w:r w:rsidRPr="000D31B7">
        <w:rPr>
          <w:lang w:val="en-GB"/>
        </w:rPr>
        <w:t xml:space="preserve"> laying down implementing technical standards </w:t>
      </w:r>
      <w:r>
        <w:rPr>
          <w:lang w:val="en-GB"/>
        </w:rPr>
        <w:t xml:space="preserve">for the Regulation (EU) No 575/2013 </w:t>
      </w:r>
      <w:r w:rsidRPr="000D31B7">
        <w:rPr>
          <w:lang w:val="en-GB"/>
        </w:rPr>
        <w:t xml:space="preserve">of the European Parliament and of the Council with regard to supervisory reporting of institutions </w:t>
      </w:r>
      <w:r>
        <w:rPr>
          <w:lang w:val="en-GB"/>
        </w:rPr>
        <w:t>and repealing Implementing Regulation (EU) No 680/2014(</w:t>
      </w:r>
      <w:r w:rsidRPr="00B06D73">
        <w:rPr>
          <w:iCs/>
          <w:lang w:val="en-GB"/>
        </w:rPr>
        <w:t>OJ L 97, 19.3.2021, p. 1–1955</w:t>
      </w:r>
      <w:r>
        <w:rPr>
          <w:iCs/>
          <w:lang w:val="en-GB"/>
        </w:rPr>
        <w:t>)</w:t>
      </w:r>
      <w:r w:rsidRPr="000D31B7">
        <w:rPr>
          <w:lang w:val="en-GB"/>
        </w:rPr>
        <w:t>.</w:t>
      </w:r>
    </w:p>
  </w:footnote>
  <w:footnote w:id="2">
    <w:p w14:paraId="733D3558" w14:textId="77777777" w:rsidR="0075382A" w:rsidRPr="00E17940" w:rsidRDefault="0075382A">
      <w:pPr>
        <w:pStyle w:val="FootnoteText"/>
      </w:pPr>
      <w:r w:rsidRPr="008E5458">
        <w:rPr>
          <w:rStyle w:val="FootnoteReference"/>
          <w:rFonts w:ascii="Times New Roman" w:hAnsi="Times New Roman"/>
        </w:rPr>
        <w:footnoteRef/>
      </w:r>
      <w:r w:rsidRPr="008E5458">
        <w:t xml:space="preserve"> Regulation (EC) No 1606/2002 of the European Parliament and of the Council of 19 July 2002 on the application of international accounting standards</w:t>
      </w:r>
      <w:r w:rsidRPr="00543060">
        <w:t xml:space="preserve"> (OJ L 243, 11.9.2002</w:t>
      </w:r>
      <w:r w:rsidRPr="00E17940">
        <w:t>, p.</w:t>
      </w:r>
      <w:r>
        <w:t>1</w:t>
      </w:r>
      <w:r w:rsidRPr="00E17940">
        <w:t>).</w:t>
      </w:r>
    </w:p>
  </w:footnote>
  <w:footnote w:id="3">
    <w:p w14:paraId="3BD45C59" w14:textId="6A60F93C" w:rsidR="0075382A" w:rsidRPr="0090323D" w:rsidRDefault="0075382A">
      <w:pPr>
        <w:pStyle w:val="FootnoteText"/>
      </w:pPr>
      <w:r w:rsidRPr="00BE563C">
        <w:rPr>
          <w:rStyle w:val="FootnoteReference"/>
        </w:rPr>
        <w:footnoteRef/>
      </w:r>
      <w:r w:rsidRPr="00BE563C">
        <w:t xml:space="preserve"> Detailed information may be found at the following website: </w:t>
      </w:r>
      <w:hyperlink r:id="rId1" w:history="1">
        <w:r w:rsidRPr="00BE563C">
          <w:t>www.leiroc.org</w:t>
        </w:r>
      </w:hyperlink>
      <w:r w:rsidRPr="00BE563C">
        <w:t>.</w:t>
      </w:r>
    </w:p>
  </w:footnote>
  <w:footnote w:id="4">
    <w:p w14:paraId="0A6B3364" w14:textId="77777777" w:rsidR="0075382A" w:rsidRPr="00BB34DC" w:rsidRDefault="0075382A">
      <w:pPr>
        <w:pStyle w:val="FootnoteText"/>
        <w:rPr>
          <w:lang w:val="en-GB"/>
        </w:rPr>
      </w:pPr>
      <w:r w:rsidRPr="00E17940">
        <w:rPr>
          <w:rStyle w:val="FootnoteReference"/>
          <w:rFonts w:ascii="Times New Roman" w:hAnsi="Times New Roman"/>
        </w:rPr>
        <w:footnoteRef/>
      </w:r>
      <w:r w:rsidRPr="00E17940">
        <w:t xml:space="preserve"> Council Directive 86/635/EEC of 8 December 1986 on the annual accounts and consolidated accounts of banks and other financial institutions (OJ L 372, </w:t>
      </w:r>
      <w:r w:rsidRPr="00673D9B">
        <w:t>31.12.1986</w:t>
      </w:r>
      <w:r>
        <w:t>, p.1</w:t>
      </w:r>
      <w:r w:rsidRPr="00E17940">
        <w:t>).</w:t>
      </w:r>
    </w:p>
  </w:footnote>
  <w:footnote w:id="5">
    <w:p w14:paraId="4D9F3A53" w14:textId="77777777" w:rsidR="0075382A" w:rsidRPr="00E17940" w:rsidRDefault="0075382A">
      <w:pPr>
        <w:pStyle w:val="FootnoteText"/>
      </w:pPr>
      <w:r w:rsidRPr="008E5458">
        <w:rPr>
          <w:rStyle w:val="FootnoteReference"/>
          <w:rFonts w:ascii="Times New Roman" w:hAnsi="Times New Roman"/>
        </w:rPr>
        <w:footnoteRef/>
      </w:r>
      <w:r w:rsidRPr="008E5458">
        <w:t xml:space="preserve"> R</w:t>
      </w:r>
      <w:r w:rsidRPr="00543060">
        <w:rPr>
          <w:lang w:val="en-GB"/>
        </w:rPr>
        <w:t>egulation (EU) No 575/2013 of the European Parliament and of the Council of 26 June 2013 on prudential requirements for credit institutions and investment firms and amending Regulation (EU) No 648/2012</w:t>
      </w:r>
      <w:r w:rsidRPr="00E17940">
        <w:rPr>
          <w:lang w:val="en-GB"/>
        </w:rPr>
        <w:t xml:space="preserve"> (OJ L 176, 27.6.2013, p. </w:t>
      </w:r>
      <w:r>
        <w:rPr>
          <w:lang w:val="en-GB"/>
        </w:rPr>
        <w:t>1</w:t>
      </w:r>
      <w:r w:rsidRPr="00E17940">
        <w:rPr>
          <w:lang w:val="en-GB"/>
        </w:rPr>
        <w:t>).</w:t>
      </w:r>
    </w:p>
  </w:footnote>
  <w:footnote w:id="6">
    <w:p w14:paraId="708D686D" w14:textId="77777777" w:rsidR="0075382A" w:rsidRPr="00E17940" w:rsidRDefault="0075382A">
      <w:pPr>
        <w:pStyle w:val="FootnoteText"/>
      </w:pPr>
      <w:r>
        <w:rPr>
          <w:rStyle w:val="FootnoteReference"/>
        </w:rPr>
        <w:footnoteRef/>
      </w:r>
      <w:r>
        <w:t xml:space="preserve"> </w:t>
      </w:r>
      <w:r w:rsidRPr="008E5458">
        <w:t xml:space="preserve">Directive 2013/36/EU of the European Parliament and of the Council of 26 </w:t>
      </w:r>
      <w:r w:rsidRPr="00543060">
        <w:t>June 2013 on access to the activity of credit institutions and the prudential supervision of credit institutions and investment firms, amending Directive 2002/87/EC and repealing Directives 2006/48/EC and 2006/49/EC</w:t>
      </w:r>
      <w:r w:rsidRPr="009F61D6">
        <w:t xml:space="preserve"> </w:t>
      </w:r>
      <w:r w:rsidRPr="008B1EBD">
        <w:t>(OJ L 176, 27.6.2013, p.</w:t>
      </w:r>
      <w:r>
        <w:t>338</w:t>
      </w:r>
      <w:r w:rsidRPr="008B1EBD">
        <w:t>)</w:t>
      </w:r>
      <w:r w:rsidRPr="009454D1">
        <w:t>.</w:t>
      </w:r>
    </w:p>
  </w:footnote>
  <w:footnote w:id="7">
    <w:p w14:paraId="7BEC1B79" w14:textId="49B4DD17" w:rsidR="0075382A" w:rsidRPr="00CF3EBF" w:rsidRDefault="0075382A">
      <w:pPr>
        <w:pStyle w:val="FootnoteText"/>
      </w:pPr>
      <w:r w:rsidRPr="00673D9B">
        <w:rPr>
          <w:rStyle w:val="FootnoteReference"/>
          <w:rFonts w:ascii="Times New Roman" w:hAnsi="Times New Roman"/>
        </w:rPr>
        <w:footnoteRef/>
      </w:r>
      <w:r w:rsidRPr="00D73A7B">
        <w:t xml:space="preserve"> Directive 2009/138/EC of the European Parliament and of the Council of 25 November 2009 on the taking-up and pursuit of the business of Insurance and Reinsurance (Solvency II</w:t>
      </w:r>
      <w:r w:rsidRPr="000A3045">
        <w:t xml:space="preserve">) </w:t>
      </w:r>
      <w:r>
        <w:t>(</w:t>
      </w:r>
      <w:r w:rsidRPr="008B1EBD">
        <w:t>OJ L 335, 17.12.2009</w:t>
      </w:r>
      <w:r w:rsidRPr="009454D1">
        <w:t>, p.</w:t>
      </w:r>
      <w:r>
        <w:t>1</w:t>
      </w:r>
      <w:r w:rsidRPr="009454D1">
        <w:t>)</w:t>
      </w:r>
      <w:r w:rsidRPr="00E17940">
        <w:t>.</w:t>
      </w:r>
    </w:p>
  </w:footnote>
  <w:footnote w:id="8">
    <w:p w14:paraId="2BE6F728" w14:textId="3AB24581" w:rsidR="0075382A" w:rsidRPr="00113543" w:rsidRDefault="0075382A">
      <w:pPr>
        <w:pStyle w:val="FootnoteText"/>
      </w:pPr>
      <w:r w:rsidRPr="008E5458">
        <w:rPr>
          <w:rStyle w:val="FootnoteReference"/>
          <w:rFonts w:ascii="Times New Roman" w:hAnsi="Times New Roman"/>
        </w:rPr>
        <w:footnoteRef/>
      </w:r>
      <w:r w:rsidRPr="008E5458">
        <w:t xml:space="preserve"> Commission Recommendation of 6 May 2003 concerning the definition of micro, small and medium-sized enterprises (OJ L 124, 20.5.2003, p. </w:t>
      </w:r>
      <w:r>
        <w:t>36</w:t>
      </w:r>
      <w:r w:rsidRPr="009F61D6">
        <w:t>).</w:t>
      </w:r>
    </w:p>
  </w:footnote>
  <w:footnote w:id="9">
    <w:p w14:paraId="56A4794B" w14:textId="1D36E5BD" w:rsidR="0075382A" w:rsidRDefault="0075382A">
      <w:pPr>
        <w:pStyle w:val="FootnoteText"/>
        <w:rPr>
          <w:lang w:val="en-GB"/>
        </w:rPr>
      </w:pPr>
      <w:r w:rsidRPr="008B1EBD">
        <w:rPr>
          <w:rStyle w:val="FootnoteReference"/>
          <w:rFonts w:ascii="Times New Roman" w:hAnsi="Times New Roman"/>
        </w:rPr>
        <w:footnoteRef/>
      </w:r>
      <w:r w:rsidRPr="008B1EBD">
        <w:t xml:space="preserve"> </w:t>
      </w:r>
      <w:r w:rsidRPr="00673D9B">
        <w:rPr>
          <w:lang w:val="en-GB"/>
        </w:rPr>
        <w:t xml:space="preserve">Regulation </w:t>
      </w:r>
      <w:r w:rsidRPr="00D73A7B">
        <w:rPr>
          <w:lang w:val="en-GB"/>
        </w:rPr>
        <w:t xml:space="preserve">(EU) </w:t>
      </w:r>
      <w:r>
        <w:rPr>
          <w:lang w:val="en-GB"/>
        </w:rPr>
        <w:t>2021/379</w:t>
      </w:r>
      <w:r w:rsidRPr="00D73A7B">
        <w:rPr>
          <w:lang w:val="en-GB"/>
        </w:rPr>
        <w:t xml:space="preserve"> of </w:t>
      </w:r>
      <w:r w:rsidRPr="008B1EBD">
        <w:rPr>
          <w:lang w:val="en-GB"/>
        </w:rPr>
        <w:t xml:space="preserve">the European Central Bank concerning the balance sheet </w:t>
      </w:r>
      <w:r>
        <w:rPr>
          <w:lang w:val="en-GB"/>
        </w:rPr>
        <w:t xml:space="preserve">items </w:t>
      </w:r>
      <w:r w:rsidRPr="008B1EBD">
        <w:rPr>
          <w:lang w:val="en-GB"/>
        </w:rPr>
        <w:t xml:space="preserve">of </w:t>
      </w:r>
      <w:r>
        <w:rPr>
          <w:lang w:val="en-GB"/>
        </w:rPr>
        <w:t xml:space="preserve">credit institutions and of </w:t>
      </w:r>
      <w:r w:rsidRPr="008B1EBD">
        <w:rPr>
          <w:lang w:val="en-GB"/>
        </w:rPr>
        <w:t xml:space="preserve">the monetary financial institutions sector </w:t>
      </w:r>
      <w:r>
        <w:rPr>
          <w:lang w:val="en-GB"/>
        </w:rPr>
        <w:t xml:space="preserve">(recast) </w:t>
      </w:r>
      <w:r w:rsidRPr="008B1EBD">
        <w:rPr>
          <w:lang w:val="en-GB"/>
        </w:rPr>
        <w:t xml:space="preserve">(OJ L </w:t>
      </w:r>
      <w:r>
        <w:rPr>
          <w:lang w:val="en-GB"/>
        </w:rPr>
        <w:t>73,</w:t>
      </w:r>
      <w:r w:rsidRPr="008B1EBD">
        <w:rPr>
          <w:lang w:val="en-GB"/>
        </w:rPr>
        <w:t xml:space="preserve"> </w:t>
      </w:r>
      <w:r>
        <w:rPr>
          <w:lang w:val="en-GB"/>
        </w:rPr>
        <w:t>3.3.2021</w:t>
      </w:r>
      <w:r w:rsidRPr="008B1EBD">
        <w:rPr>
          <w:lang w:val="en-GB"/>
        </w:rPr>
        <w:t>, p</w:t>
      </w:r>
      <w:r>
        <w:rPr>
          <w:lang w:val="en-GB"/>
        </w:rPr>
        <w:t>.16-85</w:t>
      </w:r>
      <w:r w:rsidRPr="008B1EBD">
        <w:rPr>
          <w:lang w:val="en-GB"/>
        </w:rPr>
        <w:t>).</w:t>
      </w:r>
    </w:p>
  </w:footnote>
  <w:footnote w:id="10">
    <w:p w14:paraId="33320726" w14:textId="397F1E31" w:rsidR="0075382A" w:rsidRPr="00433423" w:rsidRDefault="0075382A">
      <w:pPr>
        <w:pStyle w:val="FootnoteText"/>
      </w:pPr>
      <w:r>
        <w:rPr>
          <w:rStyle w:val="FootnoteReference"/>
        </w:rPr>
        <w:footnoteRef/>
      </w:r>
      <w:r w:rsidRPr="00F21209">
        <w:rPr>
          <w:lang w:val="en-GB"/>
        </w:rPr>
        <w:t>Directive</w:t>
      </w:r>
      <w:r>
        <w:rPr>
          <w:lang w:val="en-GB"/>
        </w:rPr>
        <w:t xml:space="preserve"> 2014/65/EU of the European Parliament and of the Council of 15 May 2014 on markets in financial instruments and amending Directive 2002/92/EC and Directive 2011/61/EU (OJ L 173, 12.6.2014, p.</w:t>
      </w:r>
      <w:r w:rsidDel="00E22169">
        <w:rPr>
          <w:lang w:val="en-GB"/>
        </w:rPr>
        <w:t xml:space="preserve"> </w:t>
      </w:r>
      <w:r>
        <w:rPr>
          <w:lang w:val="en-GB"/>
        </w:rPr>
        <w:t>349).</w:t>
      </w:r>
    </w:p>
  </w:footnote>
  <w:footnote w:id="11">
    <w:p w14:paraId="7ECE222F" w14:textId="77777777" w:rsidR="0075382A" w:rsidRPr="00B77FC7" w:rsidRDefault="0075382A">
      <w:pPr>
        <w:pStyle w:val="FootnoteText"/>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w:t>
      </w:r>
    </w:p>
  </w:footnote>
  <w:footnote w:id="12">
    <w:p w14:paraId="45027383" w14:textId="7473EDB5" w:rsidR="0075382A" w:rsidRPr="001D3665" w:rsidRDefault="0075382A">
      <w:pPr>
        <w:pStyle w:val="FootnoteText"/>
      </w:pPr>
      <w:r>
        <w:rPr>
          <w:rStyle w:val="FootnoteReference"/>
        </w:rPr>
        <w:footnoteRef/>
      </w:r>
      <w:r>
        <w:t xml:space="preserve"> Directive 2014/49/EU of the European Parliament and of the Council of 16 April 2014 on deposit guarantee schemes (OJ L 173, 12.6.2014, p. 149).</w:t>
      </w:r>
    </w:p>
  </w:footnote>
  <w:footnote w:id="13">
    <w:p w14:paraId="0A164DF9" w14:textId="77777777" w:rsidR="0075382A" w:rsidRPr="00EB1AD3" w:rsidRDefault="0075382A">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p.32).</w:t>
      </w:r>
    </w:p>
  </w:footnote>
  <w:footnote w:id="14">
    <w:p w14:paraId="14B9F3B8" w14:textId="59942C0A" w:rsidR="0075382A" w:rsidRPr="00EB1AD3" w:rsidRDefault="0075382A">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w:t>
      </w:r>
    </w:p>
  </w:footnote>
  <w:footnote w:id="15">
    <w:p w14:paraId="7EA8BC4D" w14:textId="4A625A59" w:rsidR="0075382A" w:rsidRPr="002B0D5A" w:rsidRDefault="0075382A">
      <w:pPr>
        <w:pStyle w:val="FootnoteText"/>
      </w:pPr>
      <w:r>
        <w:rPr>
          <w:rStyle w:val="FootnoteReference"/>
        </w:rPr>
        <w:footnoteRef/>
      </w:r>
      <w:r>
        <w:t xml:space="preserve"> </w:t>
      </w:r>
      <w:r w:rsidRPr="002B0D5A">
        <w:t>Directive 98/26/EC of the European Parliament and of the Council of 19 May 1998 on settlement finality in payment and securities settlement systems</w:t>
      </w:r>
      <w:r>
        <w:t xml:space="preserve"> (</w:t>
      </w:r>
      <w:r w:rsidRPr="00C21EAE">
        <w:rPr>
          <w:iCs/>
        </w:rPr>
        <w:t>OJ L 166, 11.6.1998, p. 45)</w:t>
      </w:r>
      <w:r>
        <w:rPr>
          <w:i/>
          <w:iCs/>
        </w:rPr>
        <w:t>.</w:t>
      </w:r>
    </w:p>
  </w:footnote>
  <w:footnote w:id="16">
    <w:p w14:paraId="55D8C4D7" w14:textId="234F6046" w:rsidR="0075382A" w:rsidRPr="00D90DF8" w:rsidRDefault="0075382A">
      <w:pPr>
        <w:pStyle w:val="FootnoteText"/>
      </w:pPr>
      <w:r>
        <w:rPr>
          <w:rStyle w:val="FootnoteReference"/>
        </w:rPr>
        <w:footnoteRef/>
      </w:r>
      <w:r>
        <w:t xml:space="preserve"> </w:t>
      </w:r>
      <w:r>
        <w:rPr>
          <w:lang w:val="en-GB"/>
        </w:rPr>
        <w:t>Regulation (EU) No 648/2012 of the European Parliament and of the Council of 4 July 2012 on OTC derivatives, central counterparties and trade repositories (OJ L 201, 27.7.2012, p.1).</w:t>
      </w:r>
    </w:p>
  </w:footnote>
  <w:footnote w:id="17">
    <w:p w14:paraId="5114B6F9" w14:textId="77777777" w:rsidR="0075382A" w:rsidRPr="00CD04C7" w:rsidRDefault="0075382A">
      <w:pPr>
        <w:pStyle w:val="FootnoteText"/>
        <w:rPr>
          <w:lang w:val="en-GB"/>
        </w:rPr>
      </w:pPr>
      <w:r w:rsidRPr="00CD04C7">
        <w:rPr>
          <w:rStyle w:val="FootnoteReference"/>
          <w:rFonts w:ascii="Times New Roman" w:hAnsi="Times New Roman"/>
        </w:rPr>
        <w:footnoteRef/>
      </w:r>
      <w:r w:rsidRPr="00CD04C7">
        <w:t xml:space="preserve"> </w:t>
      </w:r>
      <w:r w:rsidRPr="00CD04C7">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 (OJ L 228, 23.8.2016, p. 7).</w:t>
      </w:r>
    </w:p>
  </w:footnote>
  <w:footnote w:id="18">
    <w:p w14:paraId="22BC5B54" w14:textId="77777777" w:rsidR="0075382A" w:rsidRPr="00CF2751" w:rsidRDefault="0075382A">
      <w:pPr>
        <w:pStyle w:val="FootnoteText"/>
        <w:rPr>
          <w:lang w:val="en-GB"/>
        </w:rPr>
      </w:pPr>
      <w:r w:rsidRPr="00303F4B">
        <w:rPr>
          <w:rStyle w:val="FootnoteReference"/>
          <w:rFonts w:ascii="Times New Roman" w:hAnsi="Times New Roman"/>
          <w:sz w:val="18"/>
        </w:rPr>
        <w:footnoteRef/>
      </w:r>
      <w:r w:rsidRPr="0002300D">
        <w:rPr>
          <w:sz w:val="14"/>
        </w:rPr>
        <w:t xml:space="preserve"> </w:t>
      </w:r>
      <w:r>
        <w:t>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9">
    <w:p w14:paraId="2F087C6F" w14:textId="77777777" w:rsidR="0075382A" w:rsidRPr="00D66550" w:rsidRDefault="0075382A">
      <w:pPr>
        <w:pStyle w:val="FootnoteText"/>
        <w:rPr>
          <w:lang w:val="en-GB"/>
        </w:rPr>
      </w:pPr>
      <w:r w:rsidRPr="00303F4B">
        <w:rPr>
          <w:rStyle w:val="FootnoteReference"/>
          <w:rFonts w:ascii="Times New Roman" w:hAnsi="Times New Roman"/>
          <w:sz w:val="18"/>
        </w:rPr>
        <w:footnoteRef/>
      </w:r>
      <w:r w:rsidRPr="0002300D">
        <w:rPr>
          <w:sz w:val="14"/>
        </w:rPr>
        <w:t xml:space="preserve"> </w:t>
      </w:r>
      <w:r>
        <w:t>Directive (EU) 2015/2366 of the European Parliament and of the Council of 25 November 2015 on payment services in the internal market, amending Directives 2002/65/EC, 2009/110/EC and 2013/36/EU and Regulation (EU) No 1093/2010, and repealing Directive 2007/64/EC (OJ L 337, 23.12.2015, p.</w:t>
      </w:r>
      <w:r w:rsidDel="006B620B">
        <w:t xml:space="preserve"> </w:t>
      </w:r>
      <w:r>
        <w:t>35).</w:t>
      </w:r>
    </w:p>
  </w:footnote>
  <w:footnote w:id="20">
    <w:p w14:paraId="17404B79" w14:textId="34E49F40" w:rsidR="0075382A" w:rsidRPr="00CF3B41" w:rsidRDefault="0075382A">
      <w:pPr>
        <w:pStyle w:val="FootnoteText"/>
        <w:rPr>
          <w:lang w:val="sl-SI"/>
        </w:rPr>
      </w:pPr>
      <w:r>
        <w:rPr>
          <w:rStyle w:val="FootnoteReference"/>
        </w:rPr>
        <w:footnoteRef/>
      </w:r>
      <w:r>
        <w:t xml:space="preserve"> </w:t>
      </w:r>
      <w:r w:rsidRPr="00077199">
        <w:t>Commission Regulation (EC) No 1287/2006 of 10 August 2006 implementing Directive 2004/39/EC of the European Parliament and of the Council as regards record-keeping obligations for investment firms, transaction reporting, market transparency, admission of financial instruments to trading, and defined terms for the purposes of that Directive</w:t>
      </w:r>
      <w:r>
        <w:t xml:space="preserve"> (OJ L </w:t>
      </w:r>
      <w:r w:rsidRPr="00CF3B41">
        <w:rPr>
          <w:iCs/>
        </w:rPr>
        <w:t>241, 2.9.2006, p. 1</w:t>
      </w:r>
      <w:r>
        <w:rPr>
          <w:iCs/>
        </w:rPr>
        <w:t>).</w:t>
      </w:r>
    </w:p>
  </w:footnote>
  <w:footnote w:id="21">
    <w:p w14:paraId="1556A3CF" w14:textId="00EE3CBB" w:rsidR="0075382A" w:rsidRPr="00264CA3" w:rsidRDefault="0075382A">
      <w:pPr>
        <w:pStyle w:val="FootnoteText"/>
        <w:rPr>
          <w:lang w:val="en-GB"/>
        </w:rPr>
      </w:pPr>
      <w:r>
        <w:rPr>
          <w:rStyle w:val="FootnoteReference"/>
        </w:rPr>
        <w:footnoteRef/>
      </w:r>
      <w:r>
        <w:t xml:space="preserve"> </w:t>
      </w:r>
      <w:r>
        <w:rPr>
          <w:lang w:val="en-GB"/>
        </w:rPr>
        <w:t xml:space="preserve">Regulation (EU) No 1409/2013 of the European Central Bank of 28 November 2013 on payment statistics </w:t>
      </w:r>
      <w:r w:rsidRPr="00264CA3">
        <w:rPr>
          <w:iCs/>
          <w:lang w:val="en-GB"/>
        </w:rPr>
        <w:t>(</w:t>
      </w:r>
      <w:r w:rsidRPr="00264CA3">
        <w:rPr>
          <w:lang w:val="en-GB"/>
        </w:rPr>
        <w:t>OJ L 352, 24.12.2013, p. 18–44)</w:t>
      </w:r>
      <w:r>
        <w:rPr>
          <w:lang w:val="en-GB"/>
        </w:rPr>
        <w:t>.</w:t>
      </w:r>
    </w:p>
  </w:footnote>
  <w:footnote w:id="22">
    <w:p w14:paraId="19BD785A" w14:textId="266D260C" w:rsidR="0075382A" w:rsidRPr="00264CA3" w:rsidRDefault="0075382A" w:rsidP="00575F7D">
      <w:pPr>
        <w:pStyle w:val="FootnoteText"/>
        <w:rPr>
          <w:lang w:val="en-GB"/>
        </w:rPr>
      </w:pPr>
      <w:r>
        <w:rPr>
          <w:rStyle w:val="FootnoteReference"/>
        </w:rPr>
        <w:footnoteRef/>
      </w:r>
      <w:r>
        <w:t xml:space="preserve"> </w:t>
      </w:r>
      <w:r w:rsidRPr="00575F7D">
        <w:rPr>
          <w:lang w:val="en-GB"/>
        </w:rPr>
        <w:t>Guideline of the European Central Bank of 4 April 2014 on monetary and financial statistics (ECB/2014/15)</w:t>
      </w:r>
      <w:r>
        <w:rPr>
          <w:lang w:val="en-GB"/>
        </w:rPr>
        <w:t xml:space="preserve"> (</w:t>
      </w:r>
      <w:r w:rsidRPr="00575F7D">
        <w:rPr>
          <w:lang w:val="en-GB"/>
        </w:rPr>
        <w:t>OJ L 340, 26.11.2014, p. 1–209</w:t>
      </w:r>
      <w:r w:rsidRPr="00264CA3">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sidRPr="000E60D6">
      <w:rPr>
        <w:rFonts w:ascii="Times New Roman" w:hAnsi="Times New Roman" w:cs="Times New Roman"/>
      </w:rPr>
      <w:t>EN</w:t>
    </w:r>
  </w:p>
  <w:p w14:paraId="0BBD0984" w14:textId="77777777" w:rsidR="0075382A" w:rsidRPr="000E60D6" w:rsidRDefault="0075382A" w:rsidP="000E60D6">
    <w:pPr>
      <w:pStyle w:val="Header"/>
      <w:jc w:val="center"/>
      <w:rPr>
        <w:rFonts w:ascii="Times New Roman" w:hAnsi="Times New Roman" w:cs="Times New Roman"/>
      </w:rPr>
    </w:pPr>
    <w:r w:rsidRPr="000E60D6">
      <w:rPr>
        <w:rFonts w:ascii="Times New Roman" w:hAnsi="Times New Roman" w:cs="Times New Roman"/>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D76CD4"/>
    <w:pPr>
      <w:numPr>
        <w:numId w:val="19"/>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F9777-C448-4AB1-8EED-6B6BD854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15603</Words>
  <Characters>85350</Characters>
  <Application>Microsoft Office Word</Application>
  <DocSecurity>0</DocSecurity>
  <Lines>1896</Lines>
  <Paragraphs>1553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GRIGORUT Anca (FISMA)</cp:lastModifiedBy>
  <cp:revision>9</cp:revision>
  <dcterms:created xsi:type="dcterms:W3CDTF">2021-12-13T14:31:00Z</dcterms:created>
  <dcterms:modified xsi:type="dcterms:W3CDTF">2021-12-14T12:47:00Z</dcterms:modified>
</cp:coreProperties>
</file>