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A0A03" w14:textId="06928C76" w:rsidR="001C2816" w:rsidRPr="009A5E3C" w:rsidRDefault="00781D38" w:rsidP="00081757">
      <w:pPr>
        <w:pStyle w:val="Pagedecouverture"/>
      </w:pPr>
      <w:bookmarkStart w:id="0" w:name="_GoBack"/>
      <w:bookmarkEnd w:id="0"/>
      <w:r>
        <w:pict w14:anchorId="32BCA4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9A1274D-8975-43F5-BFE5-11A0F6844968" style="width:450.6pt;height:409.8pt">
            <v:imagedata r:id="rId7" o:title=""/>
          </v:shape>
        </w:pict>
      </w:r>
    </w:p>
    <w:p w14:paraId="42BED65A" w14:textId="77777777" w:rsidR="00911C0D" w:rsidRPr="009A5E3C" w:rsidRDefault="00911C0D">
      <w:pPr>
        <w:sectPr w:rsidR="00911C0D" w:rsidRPr="009A5E3C" w:rsidSect="00CC3BB0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2E321C8E" w14:textId="77777777" w:rsidR="00911C0D" w:rsidRPr="009A5E3C" w:rsidRDefault="00DD5153" w:rsidP="00DD5153">
      <w:pPr>
        <w:pStyle w:val="Typedudocument"/>
      </w:pPr>
      <w:r w:rsidRPr="009A5E3C">
        <w:lastRenderedPageBreak/>
        <w:t>PROVEDBENA UREDBA KOMISIJE (EU) …/...</w:t>
      </w:r>
    </w:p>
    <w:p w14:paraId="537E2F9A" w14:textId="7F03543A" w:rsidR="00911C0D" w:rsidRPr="009A5E3C" w:rsidRDefault="009A5E3C" w:rsidP="00DD5153">
      <w:pPr>
        <w:pStyle w:val="Datedadoption"/>
      </w:pPr>
      <w:r>
        <w:t xml:space="preserve">оd </w:t>
      </w:r>
      <w:r w:rsidRPr="005E7576">
        <w:rPr>
          <w:color w:val="FF0000"/>
        </w:rPr>
        <w:t>XXX</w:t>
      </w:r>
    </w:p>
    <w:p w14:paraId="2AF513BE" w14:textId="77777777" w:rsidR="00911C0D" w:rsidRPr="009A5E3C" w:rsidRDefault="00DD5153" w:rsidP="00DD5153">
      <w:pPr>
        <w:pStyle w:val="Titreobjet"/>
      </w:pPr>
      <w:r w:rsidRPr="009A5E3C">
        <w:t>o utvrđivanju provedbenih tehničkih standarda za primjenu Uredbe (EU) br. 575/2013 Europskog parlamenta i Vijeća i Direktive 2014/59/EU Europskog parlamenta i Vijeća u pogledu nadzornog izvješćivanja i javne objave minimalnog zahtjeva za regulatorni kapital i prihvatljive obveze</w:t>
      </w:r>
    </w:p>
    <w:p w14:paraId="17032FFA" w14:textId="77777777" w:rsidR="00911C0D" w:rsidRPr="009A5E3C" w:rsidRDefault="00DD5153" w:rsidP="00DD5153">
      <w:pPr>
        <w:pStyle w:val="IntrtEEE"/>
      </w:pPr>
      <w:r w:rsidRPr="009A5E3C">
        <w:t>(Tekst značajan za EGP)</w:t>
      </w:r>
    </w:p>
    <w:p w14:paraId="70543606" w14:textId="77777777" w:rsidR="00911C0D" w:rsidRPr="009A5E3C" w:rsidRDefault="00911C0D" w:rsidP="00911C0D">
      <w:pPr>
        <w:pStyle w:val="Institutionquiagit"/>
      </w:pPr>
      <w:r w:rsidRPr="009A5E3C">
        <w:t>EUROPSKA KOMISIJA,</w:t>
      </w:r>
    </w:p>
    <w:p w14:paraId="69A98AD3" w14:textId="0BB05083" w:rsidR="00911C0D" w:rsidRPr="009A5E3C" w:rsidRDefault="00911C0D" w:rsidP="007B464C">
      <w:r w:rsidRPr="009A5E3C">
        <w:t>uzimajući u obzir Uredbu (EU) br. 575/2013 Europskog parlamenta i Vijeća od 26. lipnja 2013. o bonitetnim zahtjevima za kreditne institucije i investicijska društva i o izmjeni Uredbe (EU) br. 648/2012</w:t>
      </w:r>
      <w:r w:rsidR="007B464C">
        <w:rPr>
          <w:rStyle w:val="FootnoteReference"/>
        </w:rPr>
        <w:footnoteReference w:id="1"/>
      </w:r>
      <w:r w:rsidRPr="009A5E3C">
        <w:t>, a posebno njezin članak 430. stavak 7. peti podstavak i članak 434.a peti podstavak,</w:t>
      </w:r>
    </w:p>
    <w:p w14:paraId="283FAA3A" w14:textId="49C3BFA6" w:rsidR="00911C0D" w:rsidRPr="009A5E3C" w:rsidRDefault="00911C0D" w:rsidP="007B464C">
      <w:r w:rsidRPr="009A5E3C">
        <w:t>uzimajući u obzir Direktivu 2014/59/EU Europskog parlamenta i Vijeća od 15. svibnja 2014. o uspostavi okvira za oporavak i sanaciju kreditnih institucija i investicijskih društava te o izmjeni Direktive Vijeća 82/891/EEZ i direktiva 2001/24/EZ, 2002/47/EZ, 2004/25/EZ, 2005/56/EZ, 2007/36/EZ, 2011/35/EU, 2012/30/EU i 2013/36/EU te uredbi (EU) br. 1093/2010 i (EU) br. 648/2012 Europskog parlamenta i Vijeća</w:t>
      </w:r>
      <w:r w:rsidR="007B464C">
        <w:rPr>
          <w:rStyle w:val="FootnoteReference"/>
        </w:rPr>
        <w:footnoteReference w:id="2"/>
      </w:r>
      <w:r w:rsidRPr="009A5E3C">
        <w:t>, a posebno njezin članak 45.i stavke 5. i 6.,</w:t>
      </w:r>
    </w:p>
    <w:p w14:paraId="2D724A4A" w14:textId="77777777" w:rsidR="00911C0D" w:rsidRPr="009A5E3C" w:rsidRDefault="00911C0D" w:rsidP="00911C0D">
      <w:r w:rsidRPr="009A5E3C">
        <w:t>budući da:</w:t>
      </w:r>
    </w:p>
    <w:p w14:paraId="1498BCD9" w14:textId="7A8CB3D3" w:rsidR="00911C0D" w:rsidRPr="009A5E3C" w:rsidRDefault="00911C0D" w:rsidP="007B464C">
      <w:pPr>
        <w:pStyle w:val="Considrant"/>
        <w:numPr>
          <w:ilvl w:val="0"/>
          <w:numId w:val="36"/>
        </w:numPr>
      </w:pPr>
      <w:r w:rsidRPr="009A5E3C">
        <w:t>Usklađeni standard minimalnog ukupnog kapaciteta za pokriće gubitaka („standard TLAC”) za globalne sistemski važne institucije (GSV institucije) („minimalni zahtjev za TLAC”) uveden je u zakonodavstvo Unije Uredbom (EU) 2019/876 Europskog parlamenta i Vijeća</w:t>
      </w:r>
      <w:r w:rsidR="007B464C">
        <w:rPr>
          <w:rStyle w:val="FootnoteReference"/>
        </w:rPr>
        <w:footnoteReference w:id="3"/>
      </w:r>
      <w:r w:rsidRPr="009A5E3C">
        <w:rPr>
          <w:sz w:val="23"/>
          <w:szCs w:val="23"/>
        </w:rPr>
        <w:t xml:space="preserve"> o izmjeni Uredbe (EU) br. 575/2013. Dodatak specifičan za GSV institucije i zahtjev specifičan za institucije koje nisu GSV institucije, tj. minimalni zahtjev za regulatorni kapital i prihvatljive obveze (MREL), utvrđeni su ciljanim izmjenama Direktive 2014/59/EU koje su uvedene Direktivom (EU)</w:t>
      </w:r>
      <w:r w:rsidRPr="009A5E3C">
        <w:t xml:space="preserve"> 2019/879 Europskog parlamenta i Vijeća</w:t>
      </w:r>
      <w:r w:rsidR="007B464C">
        <w:rPr>
          <w:rStyle w:val="FootnoteReference"/>
        </w:rPr>
        <w:footnoteReference w:id="4"/>
      </w:r>
      <w:r w:rsidRPr="009A5E3C">
        <w:t>. Zahtjevi za izvješćivanje i objavu standarda TLAC i MREL-a sada su uvršteni u Uredbu (EU) br. 575/2013 odnosno Direktivu 2014/59/EU.</w:t>
      </w:r>
    </w:p>
    <w:p w14:paraId="42917AA4" w14:textId="77777777" w:rsidR="00911C0D" w:rsidRPr="009A5E3C" w:rsidRDefault="00911C0D" w:rsidP="00911C0D">
      <w:pPr>
        <w:pStyle w:val="Considrant"/>
      </w:pPr>
      <w:r w:rsidRPr="009A5E3C">
        <w:t xml:space="preserve">Budući da se standardom TLAC i MREL-om želi ostvariti isti cilj, a to je da institucije i subjekti s poslovnim nastanom u Uniji imaju dovoljan kapacitet za pokriće gubitaka i dokapitalizaciju, ta dva zahtjeva trebala bi biti komplementarni elementi zajedničkog </w:t>
      </w:r>
      <w:r w:rsidRPr="009A5E3C">
        <w:lastRenderedPageBreak/>
        <w:t>okvira. Stoga je primjereno utvrditi skup obrazaca za izvješćivanje i javnu objavu usklađenih informacija o zahtjevu za regulatorni kapital i prihvatljive obveze GSV institucija i značajnih društava kćeri GSV institucija izvan EU-a (TLAC) i MREL-u specifičnom za instituciju koji bi se primjenjivali na sve institucije.</w:t>
      </w:r>
    </w:p>
    <w:p w14:paraId="621ACD0D" w14:textId="77777777" w:rsidR="00911C0D" w:rsidRPr="009A5E3C" w:rsidRDefault="00911C0D" w:rsidP="00911C0D">
      <w:pPr>
        <w:pStyle w:val="Considrant"/>
      </w:pPr>
      <w:r w:rsidRPr="009A5E3C">
        <w:t>U skladu s člankom 434.a Uredbe (EU) No 575/2013, Europsko nadzorno tijelo za bankarstvo (EBA) sastavlja nacrt provedbenih tehničkih standarda kojima se određuju jedinstveni formati za objavu i pritom se nastoji da formati za objavu iz provedbenih tehničkih standarda budu usklađeni s međunarodnim standardima za objave radi lakše usporedivosti informacija. Bazelski odbor za nadzor banaka (BCBS) objavio je u prosincu 2018. ažurirane zahtjeve za objavu iz trećeg stupa, uključujući zahtjeve za objave informacija o TLAC-u. Formati za objavu i povezane upute iz ove Uredbe trebali bi stoga biti usklađeni s tim ažuriranim BCBS-ovim zahtjevima za objavu.</w:t>
      </w:r>
    </w:p>
    <w:p w14:paraId="39396602" w14:textId="77777777" w:rsidR="00911C0D" w:rsidRPr="009A5E3C" w:rsidRDefault="00911C0D" w:rsidP="00911C0D">
      <w:pPr>
        <w:pStyle w:val="Considrant"/>
      </w:pPr>
      <w:r w:rsidRPr="009A5E3C">
        <w:t xml:space="preserve">Kako bi se izbjeglo neopravdano povećanje troškova usklađenja za institucije, a održala kvaliteta podataka, obveze izvješćivanja i objave sadržajno bi trebale biti što usklađenije, među ostalim i u smislu učestalosti. Štoviše, usklađenje provedbenih tehničkih standarda o obvezama izvješćivanja i objave informacija o TLAC-u i MREL-u izričito je propisano u članku 45.i stavku 5. trećem podstavku i stavku 6. trećem podstavku Direktive 2014/59/EU. Stoga je primjereno u jednoj uredbi utvrditi standarde koji se primjenjuju na izvješćivanje i objavu informacija o TLAC-u i MREL-u. Istovremeno bi na odgovarajući način trebalo uskladiti razinu detalja i učestalost izvješćivanja i objava, uzimajući u obzir zahtjeve iz Uredbe (EU) br. 575/2013 odnosno Direktive 2014/59/EU te da treba osigurati da institucije te zahtjeve uvijek ispunjavaju. </w:t>
      </w:r>
    </w:p>
    <w:p w14:paraId="6A0B1EFC" w14:textId="77777777" w:rsidR="00911C0D" w:rsidRPr="009A5E3C" w:rsidRDefault="00911C0D" w:rsidP="00911C0D">
      <w:pPr>
        <w:pStyle w:val="Considrant"/>
        <w:rPr>
          <w:noProof/>
        </w:rPr>
      </w:pPr>
      <w:r w:rsidRPr="009A5E3C">
        <w:t>Direktivom 2014/59/EU propisano je da se informacije o MREL-u dostavljaju nadležnim i sanacijskim tijelima. Uredbom (EU) br. 575/2013 propisano je da se informacije o TLAC-u dostavljaju samo nadležnim tijelima. Međutim, u skladu s člankom 45.d stavkom 1. Direktive 2014/59/EU, MREL sanacijskog subjekta koji je GSV institucija ili dio GSV institucije sastoji se od zahtjeva o TLAC-u i dodataka te je stoga primjereno osigurati da sanacijska tijela od GSV institucija dobiju informacije o TLAC-u u okviru njihova izvješćivanja o MREL-u. Time se ne dovode u pitanje postignuti dogovori nadležnih i sanacijskih tijela o smanjenju protoka podataka.</w:t>
      </w:r>
    </w:p>
    <w:p w14:paraId="47B09598" w14:textId="77777777" w:rsidR="00911C0D" w:rsidRPr="009A5E3C" w:rsidRDefault="00911C0D" w:rsidP="00911C0D">
      <w:pPr>
        <w:pStyle w:val="Considrant"/>
      </w:pPr>
      <w:r w:rsidRPr="009A5E3C">
        <w:t xml:space="preserve">Člankom 45.i stavkom 5. Direktive 2014/59/EU propisano je da EBA izrađuje nacrt provedbenih tehničkih standarda kojima se pobliže određuje standardiziran način pružanja informacija o redu prvenstva stavki regulatornog kapitala i obveza prihvatljivih za </w:t>
      </w:r>
      <w:r w:rsidRPr="009A5E3C">
        <w:rPr>
          <w:i/>
        </w:rPr>
        <w:t>bail-in</w:t>
      </w:r>
      <w:r w:rsidRPr="009A5E3C">
        <w:t xml:space="preserve"> primjenjiv u nacionalnom postupku u slučaju insolventnosti u svakoj državi članici, radi usporedivosti i pravne sigurnosti. Stoga bi sanacijska tijela trebala institucijama u svojoj nadležnosti staviti na raspolaganje standardizirane i pravovremeno ažurirane informacije o insolvencijskoj hijerarhiji u svakoj državi članici. Te bi informacije trebale biti usklađene sa standardiziranim prikazom insolvencijske hijerarhije.</w:t>
      </w:r>
    </w:p>
    <w:p w14:paraId="5C67BF36" w14:textId="77777777" w:rsidR="00911C0D" w:rsidRPr="009A5E3C" w:rsidRDefault="00911C0D" w:rsidP="00911C0D">
      <w:pPr>
        <w:pStyle w:val="Considrant"/>
      </w:pPr>
      <w:r w:rsidRPr="009A5E3C">
        <w:t xml:space="preserve">Što se tiče obveza prihvatljivih za </w:t>
      </w:r>
      <w:r w:rsidRPr="009A5E3C">
        <w:rPr>
          <w:i/>
        </w:rPr>
        <w:t>bail-in</w:t>
      </w:r>
      <w:r w:rsidRPr="009A5E3C">
        <w:t xml:space="preserve"> koje su uređene propisima treće zemlje, člankom 45.i stavkom 5. Direktive 2014/59/EU propisano je i da EBA izrađuje nacrt provedbenih tehničkih standarda kojima se pobliže određuje standardiziran način pružanja informacija o trećim zemljama čijim su propisima takve obveze uređene te, za svaku identificiranu treću zemlju, informacija o tome sadržavaju li takve obveze ugovorne uvjete koji potvrđuju da bi se na njih mogle primijeniti ovlasti za otpis i konverziju u skladu s tom direktivom. Budući da je razinu detalja za dostavu informacija o tim elementima potrebno dodatno utvrditi, EBA će pravovremeno </w:t>
      </w:r>
      <w:r w:rsidRPr="009A5E3C">
        <w:lastRenderedPageBreak/>
        <w:t>zasebno izraditi i Komisiji dostaviti upute i obrasce, kako bi se nadležnim i sanacijskim tijelima omogućio redovit pristup tim informacijama. Činjenica da ti ograničeni dodatni elementi nedostaju neće ni odgoditi niti utjecati na primjenu zahtjeva za izvješćivanje propisanih ovom Uredbom.</w:t>
      </w:r>
    </w:p>
    <w:p w14:paraId="131F500A" w14:textId="77777777" w:rsidR="00911C0D" w:rsidRPr="009A5E3C" w:rsidRDefault="00911C0D" w:rsidP="00911C0D">
      <w:pPr>
        <w:pStyle w:val="Considrant"/>
      </w:pPr>
      <w:r w:rsidRPr="009A5E3C">
        <w:t xml:space="preserve">Subjekti koji dostavljaju informacije trebali bi pri procjeni materijalne značajnosti, zaštićenosti ili povjerljivosti informacija u skladu s člankom 432. Uredbe (EU) br. 575/2013 voditi računa o EBA-inu izdanju relevantnih smjernica. </w:t>
      </w:r>
    </w:p>
    <w:p w14:paraId="334E45CF" w14:textId="77777777" w:rsidR="00911C0D" w:rsidRPr="009A5E3C" w:rsidRDefault="00911C0D" w:rsidP="00911C0D">
      <w:pPr>
        <w:pStyle w:val="Considrant"/>
        <w:rPr>
          <w:noProof/>
        </w:rPr>
      </w:pPr>
      <w:r w:rsidRPr="009A5E3C">
        <w:t>U skladu s člankom 3. stavkom 3. drugim podstavkom Uredbe (EU) 2019/876, obveza izvješćivanja i objave informacija o TLAC-u propisana u članku 430. stavku 1. točki (b), članku 437.a i članku 447. točki (h) Uredbe (EU) br. 575/2013 primjenjuje se od 27. lipnja 2019. Stoga bi nakon stupanja na snagu ove Uredbe, GSV institucije i značajna društva kćeri GSV institucija izvan EU-a trebale odmah objaviti informacije o TLAC-u koristeći obrasce i prateći upute propisane ovom Uredbom. S druge strane, zahtjev za izvješćivanje o TLAC-u u skladu s ovom Uredbom trebao bi se početi primjenjivati tek od 28. lipnja 2021., kako bi institucije i nadležna tijela imali dovoljno vremena za provedbu relevantnih zahtjeva.</w:t>
      </w:r>
    </w:p>
    <w:p w14:paraId="5CD8D630" w14:textId="554B47BE" w:rsidR="00911C0D" w:rsidRPr="009A5E3C" w:rsidRDefault="00911C0D" w:rsidP="00911C0D">
      <w:pPr>
        <w:pStyle w:val="Considrant"/>
        <w:rPr>
          <w:noProof/>
        </w:rPr>
      </w:pPr>
      <w:r w:rsidRPr="009A5E3C">
        <w:rPr>
          <w:color w:val="000000"/>
        </w:rPr>
        <w:t>Što se tiče MREL-a, obveze izvješćivanja iz Direktive 2014/59/EU trebalo je početi primjenjivati najkasnije od 28. prosinca 2020. Međutim, zbog istih razloga kao za TLAC, sve institucije trebale bi dostavljati informacije o MREL-u koristeći obrasce i prateći upute propisane ovom Uredbom od 28. lipnja 2021. S druge strane, datum početka primjene obveze objave informacija o MREL-u trebao bi se poklopiti s istekom prijelaznog razdoblja u skladu s člankom 45.m stavkom 1. Direktive 2014/59/EU, tj. najranije 1. siječnja 2024.</w:t>
      </w:r>
      <w:r w:rsidRPr="009A5E3C">
        <w:t xml:space="preserve"> </w:t>
      </w:r>
    </w:p>
    <w:p w14:paraId="440C2F52" w14:textId="37997D46" w:rsidR="00D05552" w:rsidRPr="009A5E3C" w:rsidRDefault="00EA09E4" w:rsidP="00EA09E4">
      <w:pPr>
        <w:pStyle w:val="Considrant"/>
        <w:rPr>
          <w:noProof/>
        </w:rPr>
      </w:pPr>
      <w:r w:rsidRPr="009A5E3C">
        <w:t xml:space="preserve">S obzirom na potrebu da institucije, nadležna tijela i sanacijska tijela prilagode svoje izvješćivanje i elektroničke sustave zahtjevima iz ove Uredbe, datum dostave tromjesečnog izvješćivanja podataka koji se odnose na referentni datum 30. lipnja 2021. trebao bi biti najkasnije 30. rujna 2021. </w:t>
      </w:r>
    </w:p>
    <w:p w14:paraId="059DCDED" w14:textId="77777777" w:rsidR="00911C0D" w:rsidRPr="009A5E3C" w:rsidRDefault="00911C0D" w:rsidP="00911C0D">
      <w:pPr>
        <w:pStyle w:val="Considrant"/>
        <w:rPr>
          <w:noProof/>
        </w:rPr>
      </w:pPr>
      <w:r w:rsidRPr="009A5E3C">
        <w:t>Ova se Uredba temelji na nacrtu provedbenih tehničkih standarda koji je EBA dostavila Komisiji.</w:t>
      </w:r>
    </w:p>
    <w:p w14:paraId="11F1B273" w14:textId="5428576B" w:rsidR="00911C0D" w:rsidRPr="009A5E3C" w:rsidRDefault="00911C0D" w:rsidP="007B464C">
      <w:pPr>
        <w:pStyle w:val="Considrant"/>
        <w:rPr>
          <w:noProof/>
          <w:color w:val="000000"/>
        </w:rPr>
      </w:pPr>
      <w:r w:rsidRPr="009A5E3C">
        <w:t>EBA je provela otvoreno javno savjetovanje o nacrtu provedbenih tehničkih standarda na kojem se temelji ova Uredba, analizirala moguće povezane troškove i koristi te zatražila savjet Interesne skupine za bankarstvo osnovane u skladu s člankom 37. Uredbe (EU) br. 1093/2010 Europskog parlamenta i Vijeća</w:t>
      </w:r>
      <w:r w:rsidR="007B464C">
        <w:rPr>
          <w:rStyle w:val="FootnoteReference"/>
        </w:rPr>
        <w:footnoteReference w:id="5"/>
      </w:r>
      <w:r w:rsidRPr="009A5E3C">
        <w:t>,</w:t>
      </w:r>
    </w:p>
    <w:p w14:paraId="0057A5D8" w14:textId="77777777" w:rsidR="00911C0D" w:rsidRPr="009A5E3C" w:rsidRDefault="00911C0D" w:rsidP="00911C0D">
      <w:pPr>
        <w:pStyle w:val="Formuledadoption"/>
      </w:pPr>
      <w:r w:rsidRPr="009A5E3C">
        <w:lastRenderedPageBreak/>
        <w:t>DONIJELA JE OVU UREDBU:</w:t>
      </w:r>
    </w:p>
    <w:p w14:paraId="3D820E8F" w14:textId="77777777" w:rsidR="00911C0D" w:rsidRPr="009A5E3C" w:rsidRDefault="00911C0D" w:rsidP="00911C0D">
      <w:pPr>
        <w:pStyle w:val="SectionTitle"/>
        <w:rPr>
          <w:b w:val="0"/>
          <w:i/>
        </w:rPr>
      </w:pPr>
      <w:r w:rsidRPr="009A5E3C">
        <w:rPr>
          <w:b w:val="0"/>
          <w:i/>
        </w:rPr>
        <w:t>GLAVA I.</w:t>
      </w:r>
      <w:r w:rsidRPr="009A5E3C">
        <w:rPr>
          <w:b w:val="0"/>
          <w:i/>
        </w:rPr>
        <w:br/>
        <w:t>NADZORNO IZVJEŠĆIVANJE</w:t>
      </w:r>
    </w:p>
    <w:p w14:paraId="41755B8B" w14:textId="77777777" w:rsidR="00911C0D" w:rsidRPr="009A5E3C" w:rsidRDefault="00911C0D" w:rsidP="00911C0D">
      <w:pPr>
        <w:pStyle w:val="Titrearticle"/>
      </w:pPr>
      <w:r w:rsidRPr="009A5E3C">
        <w:t>Članak 1.</w:t>
      </w:r>
      <w:r w:rsidRPr="009A5E3C">
        <w:br/>
        <w:t>Referentni datumi izvješćivanja</w:t>
      </w:r>
    </w:p>
    <w:p w14:paraId="4E45B252" w14:textId="77777777" w:rsidR="00911C0D" w:rsidRPr="009A5E3C" w:rsidRDefault="00911C0D" w:rsidP="00911C0D">
      <w:pPr>
        <w:keepNext/>
        <w:keepLines/>
        <w:spacing w:before="360"/>
        <w:rPr>
          <w:noProof/>
        </w:rPr>
      </w:pPr>
      <w:r w:rsidRPr="009A5E3C">
        <w:t>Subjekti na koje se primjenjuju zahtjevi za izvješćivanje ukupnog kapaciteta za pokriće gubitaka (TLAC) i minimalni zahtjev za regulatorni kapital i prihvatljive obveze (MREL) na pojedinačnoj ili konsolidiranoj osnovi (izvještajni subjekti) dostavljaju nadležnim i sanacijskim tijelima informacije kakve su na sljedeće referentne datume izvješćivanja:</w:t>
      </w:r>
    </w:p>
    <w:p w14:paraId="62D6D0EC" w14:textId="77777777" w:rsidR="00911C0D" w:rsidRPr="009A5E3C" w:rsidRDefault="00911C0D" w:rsidP="00911C0D">
      <w:pPr>
        <w:pStyle w:val="Point0"/>
        <w:rPr>
          <w:noProof/>
        </w:rPr>
      </w:pPr>
      <w:r w:rsidRPr="009A5E3C">
        <w:t>(a)</w:t>
      </w:r>
      <w:r w:rsidRPr="009A5E3C">
        <w:tab/>
        <w:t>za tromjesečno izvješćivanje: 31. ožujka, 30. lipnja, 30. rujna i 31. prosinca;</w:t>
      </w:r>
    </w:p>
    <w:p w14:paraId="6619E578" w14:textId="77777777" w:rsidR="00911C0D" w:rsidRPr="009A5E3C" w:rsidRDefault="00911C0D" w:rsidP="00911C0D">
      <w:pPr>
        <w:pStyle w:val="Point0"/>
        <w:rPr>
          <w:noProof/>
        </w:rPr>
      </w:pPr>
      <w:r w:rsidRPr="009A5E3C">
        <w:t>(b)</w:t>
      </w:r>
      <w:r w:rsidRPr="009A5E3C">
        <w:tab/>
        <w:t>za polugodišnje izvješćivanje: 30. lipnja i 31. prosinca;</w:t>
      </w:r>
    </w:p>
    <w:p w14:paraId="0A85107A" w14:textId="77777777" w:rsidR="00911C0D" w:rsidRPr="009A5E3C" w:rsidRDefault="00911C0D" w:rsidP="00911C0D">
      <w:pPr>
        <w:pStyle w:val="Point0"/>
        <w:rPr>
          <w:noProof/>
        </w:rPr>
      </w:pPr>
      <w:r w:rsidRPr="009A5E3C">
        <w:t>(c)</w:t>
      </w:r>
      <w:r w:rsidRPr="009A5E3C">
        <w:tab/>
        <w:t>za godišnje izvješćivanje: 31. prosinca.</w:t>
      </w:r>
    </w:p>
    <w:p w14:paraId="2DD5D0AB" w14:textId="77777777" w:rsidR="00911C0D" w:rsidRPr="009A5E3C" w:rsidRDefault="00911C0D" w:rsidP="00911C0D">
      <w:pPr>
        <w:pStyle w:val="Titrearticle"/>
      </w:pPr>
      <w:r w:rsidRPr="009A5E3C">
        <w:t>Članak 2.</w:t>
      </w:r>
      <w:r w:rsidRPr="009A5E3C">
        <w:br/>
        <w:t>Datumi dostave</w:t>
      </w:r>
    </w:p>
    <w:p w14:paraId="7EB2FA5F" w14:textId="77777777" w:rsidR="00911C0D" w:rsidRPr="009A5E3C" w:rsidRDefault="00911C0D" w:rsidP="00080A21">
      <w:pPr>
        <w:pStyle w:val="NumPar1"/>
        <w:numPr>
          <w:ilvl w:val="0"/>
          <w:numId w:val="2"/>
        </w:numPr>
        <w:rPr>
          <w:noProof/>
        </w:rPr>
      </w:pPr>
      <w:r w:rsidRPr="009A5E3C">
        <w:t>Izvještajni subjekti dužni su nadležnim i sanacijskim tijelima dostaviti informacije do kraja radnog vremena na sljedeće datume dostave:</w:t>
      </w:r>
    </w:p>
    <w:p w14:paraId="333C0EF1" w14:textId="0A8DE25F" w:rsidR="00911C0D" w:rsidRPr="009A5E3C" w:rsidRDefault="00911C0D" w:rsidP="00144CAD">
      <w:pPr>
        <w:pStyle w:val="Point1letter"/>
        <w:numPr>
          <w:ilvl w:val="3"/>
          <w:numId w:val="37"/>
        </w:numPr>
        <w:rPr>
          <w:noProof/>
        </w:rPr>
      </w:pPr>
      <w:r w:rsidRPr="009A5E3C">
        <w:t>za tromjesečno izvješćivanje: 19. svibnja, 18. kolovoza, 18. studenoga i 18. veljače, s iznimkom podataka koji se odnose na referentni datum 30. lipnja 2021., za koji je datum dostave najkasnije 30. rujna 2021.;</w:t>
      </w:r>
    </w:p>
    <w:p w14:paraId="2215F3EB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za polugodišnje izvješćivanje: 18. kolovoza i 18. veljače;</w:t>
      </w:r>
    </w:p>
    <w:p w14:paraId="3F3B32F9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za godišnje izvješćivanje: 18. veljače.</w:t>
      </w:r>
    </w:p>
    <w:p w14:paraId="5D1F4190" w14:textId="77777777" w:rsidR="00911C0D" w:rsidRPr="009A5E3C" w:rsidRDefault="00911C0D" w:rsidP="00911C0D">
      <w:pPr>
        <w:pStyle w:val="NumPar1"/>
        <w:rPr>
          <w:noProof/>
        </w:rPr>
      </w:pPr>
      <w:r w:rsidRPr="009A5E3C">
        <w:t>Ako je dan dostave u državi članici nadležnog ili sanacijskog tijela kojem se informacije iz stavka 1. dostavljaju državni praznik, subota ili nedjelja, te se informacije dostavljaju sljedeći radni dan do kraja radnog vremena.</w:t>
      </w:r>
    </w:p>
    <w:p w14:paraId="1323199E" w14:textId="77777777" w:rsidR="00911C0D" w:rsidRPr="009A5E3C" w:rsidRDefault="00911C0D" w:rsidP="00911C0D">
      <w:pPr>
        <w:pStyle w:val="NumPar1"/>
        <w:rPr>
          <w:noProof/>
        </w:rPr>
      </w:pPr>
      <w:r w:rsidRPr="009A5E3C">
        <w:t xml:space="preserve">Izvještajni subjekti mogu dostaviti brojčane podatke za koje vanjski revizori još nisu dostavili mišljenje (nerevidirani brojčani podaci). Ako brojčani podaci koje je vanjski revizor revidirao i za koje je dostavio revizorsko mišljenje (revidirani brojčani podaci) odstupaju od dostavljenih nerevidiranih brojčanih podataka, izvještajni subjekti bez odgode dostavljaju revidirane brojčane podatke. </w:t>
      </w:r>
    </w:p>
    <w:p w14:paraId="449A6FE1" w14:textId="77777777" w:rsidR="00911C0D" w:rsidRPr="009A5E3C" w:rsidRDefault="00911C0D" w:rsidP="00911C0D">
      <w:pPr>
        <w:pStyle w:val="NumPar1"/>
        <w:rPr>
          <w:noProof/>
        </w:rPr>
      </w:pPr>
      <w:r w:rsidRPr="009A5E3C">
        <w:t>Izvještajni subjekti nadležnim i sanacijskim tijelima bez odgode dostavljaju sve druge ispravke.</w:t>
      </w:r>
    </w:p>
    <w:p w14:paraId="73C2EE64" w14:textId="77777777" w:rsidR="00911C0D" w:rsidRPr="009A5E3C" w:rsidRDefault="00911C0D" w:rsidP="00911C0D">
      <w:pPr>
        <w:pStyle w:val="Titrearticle"/>
      </w:pPr>
      <w:r w:rsidRPr="009A5E3C">
        <w:t>Članak 3.</w:t>
      </w:r>
      <w:r w:rsidRPr="009A5E3C">
        <w:br/>
        <w:t>Format i učestalost izvješćivanja sanacijskih subjekata na pojedinačnoj osnovi</w:t>
      </w:r>
    </w:p>
    <w:p w14:paraId="18406280" w14:textId="77777777" w:rsidR="00911C0D" w:rsidRPr="009A5E3C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9A5E3C">
        <w:t>Sanacijski subjekti bez društava kćeri na koje se primjenjuju zahtjevi iz članka 45. Direktive 2014/59/EU u skladu s člankom 45.e te direktive dostavljaju nadležnim i sanacijskim tijelima informacije na pojedinačnoj osnovi kako slijedi:</w:t>
      </w:r>
    </w:p>
    <w:p w14:paraId="790F78D3" w14:textId="77777777" w:rsidR="00911C0D" w:rsidRPr="009A5E3C" w:rsidRDefault="00911C0D" w:rsidP="00080A21">
      <w:pPr>
        <w:pStyle w:val="Point1letter"/>
        <w:numPr>
          <w:ilvl w:val="3"/>
          <w:numId w:val="7"/>
        </w:numPr>
        <w:rPr>
          <w:noProof/>
        </w:rPr>
      </w:pPr>
      <w:r w:rsidRPr="009A5E3C">
        <w:t>informacije o ključnim pokazateljima iz stupca 0010 obrasca 1 u Prilogu I. ovoj Uredbi dostavljaju se tromjesečno, prema uputama iz točke 1. dijela II. Priloga II. ovoj Uredbi;</w:t>
      </w:r>
    </w:p>
    <w:p w14:paraId="619B3CEC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lastRenderedPageBreak/>
        <w:t>informacije o sastavu regulatornog kapitala i prihvatljivih obveza iz stupca 0010 obrasca 2 u Prilogu I. ovoj Uredbi dostavljaju se tromjesečno, prema uputama iz točke 2.1. dijela II. Priloga II. ovoj Uredbi;</w:t>
      </w:r>
    </w:p>
    <w:p w14:paraId="1B7D16C2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strukturi financiranja prihvatljivih obveza iz obrasca 4 u Prilogu I. ovoj Uredbi dostavljaju se tromjesečno, prema uputama iz točke 2.3. dijela II. Priloga II. ovoj Uredbi;</w:t>
      </w:r>
    </w:p>
    <w:p w14:paraId="28DECEF8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instrumentima uređenima propisima treće zemlje iz obrasca 7 u Prilogu I. ovoj Uredbi dostavljaju se tromjesečno, prema uputama iz točke 4. dijela II. Priloga II. ovoj Uredbi.</w:t>
      </w:r>
    </w:p>
    <w:p w14:paraId="06B6C64E" w14:textId="77777777" w:rsidR="00911C0D" w:rsidRPr="009A5E3C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9A5E3C">
        <w:t>Sanacijski subjekti dostavljaju nadležnim i sanacijskim tijelima informacije o raščlambi regulatornog kapitala i obveza prema redu prvenstva u postupku u slučaju insolventnosti iz obrasca 6 u Prilogu I. tromjesečno na pojedinačnoj osnovi, prema uputama iz točke 3.2. dijela II. Priloga II. ovoj Uredbi.</w:t>
      </w:r>
    </w:p>
    <w:p w14:paraId="2CE25962" w14:textId="77777777" w:rsidR="00911C0D" w:rsidRPr="009A5E3C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9A5E3C">
        <w:t>Osim informacija iz stavaka 1. i 2., sanacijski subjekti na koje se zahtjev iz članka 92.a Uredbe (EU) br. 575/2013 primjenjuje na pojedinačnoj osnovi u skladu s člankom 6. stavkom 1.a te uredbe dostavljaju sanacijskim i nadležnim tijelima informacije na pojedinačnoj osnovi kako slijedi:</w:t>
      </w:r>
    </w:p>
    <w:p w14:paraId="028BBD2D" w14:textId="395BEEFF" w:rsidR="00911C0D" w:rsidRPr="009A5E3C" w:rsidRDefault="00911C0D" w:rsidP="00080A21">
      <w:pPr>
        <w:pStyle w:val="Point1letter"/>
        <w:numPr>
          <w:ilvl w:val="3"/>
          <w:numId w:val="8"/>
        </w:numPr>
        <w:rPr>
          <w:noProof/>
        </w:rPr>
      </w:pPr>
      <w:r w:rsidRPr="009A5E3C">
        <w:t>informacije o ključnim pokazateljima iz stupca 0020 obrasca 1 u Prilogu I. ovoj Uredbi dostavljaju se tromjesečno, prema uputama iz točke 1. dijela II. Priloga II. ovoj Uredbi;</w:t>
      </w:r>
    </w:p>
    <w:p w14:paraId="45E52025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sastavu regulatornog kapitala i prihvatljivih obveza iz stupaca 0020 i 0030 obrasca 2 u Prilogu I. ovoj Uredbi dostavljaju se tromjesečno, prema uputama iz točke 2.1. dijela II. Priloga II. ovoj Uredbi.</w:t>
      </w:r>
    </w:p>
    <w:p w14:paraId="020EF926" w14:textId="77777777" w:rsidR="00911C0D" w:rsidRPr="009A5E3C" w:rsidRDefault="00911C0D" w:rsidP="00911C0D">
      <w:pPr>
        <w:pStyle w:val="Titrearticle"/>
      </w:pPr>
      <w:r w:rsidRPr="009A5E3C">
        <w:t>Članak 4.</w:t>
      </w:r>
      <w:r w:rsidRPr="009A5E3C">
        <w:br/>
        <w:t>Format i učestalost izvješćivanja sanacijskih subjekata na konsolidiranoj osnovi</w:t>
      </w:r>
    </w:p>
    <w:p w14:paraId="1378D8C9" w14:textId="77777777" w:rsidR="00911C0D" w:rsidRPr="009A5E3C" w:rsidRDefault="00911C0D" w:rsidP="00080A21">
      <w:pPr>
        <w:pStyle w:val="NumPar1"/>
        <w:numPr>
          <w:ilvl w:val="0"/>
          <w:numId w:val="3"/>
        </w:numPr>
        <w:rPr>
          <w:noProof/>
        </w:rPr>
      </w:pPr>
      <w:r w:rsidRPr="009A5E3C">
        <w:t>Sanacijski subjekti na koje se primjenjuju zahtjevi iz članka 45. Direktive 2014/59/EU na konsolidiranoj osnovi u skladu s člankom 45.e te direktive dostavljaju nadležnim i sanacijskim tijelima informacije na konsolidiranoj osnovi kako slijedi:</w:t>
      </w:r>
    </w:p>
    <w:p w14:paraId="1E21506B" w14:textId="77777777" w:rsidR="00911C0D" w:rsidRPr="009A5E3C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9A5E3C">
        <w:t>informacije o ključnim pokazateljima iz stupca 0010 obrasca 1 u Prilogu I. ovoj Uredbi dostavljaju se tromjesečno, prema uputama iz točke 1. dijela II. Priloga II. ovoj Uredbi;</w:t>
      </w:r>
    </w:p>
    <w:p w14:paraId="7F16E897" w14:textId="77777777" w:rsidR="00911C0D" w:rsidRPr="009A5E3C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9A5E3C">
        <w:t>informacije o sastavu regulatornog kapitala i prihvatljivih obveza iz stupca 0010 obrasca 2 u Prilogu I. ovoj Uredbi dostavljaju se tromjesečno, prema uputama iz točke 2.1. dijela II. Priloga II. ovoj Uredbi;</w:t>
      </w:r>
    </w:p>
    <w:p w14:paraId="2CE5F340" w14:textId="77777777" w:rsidR="00911C0D" w:rsidRPr="009A5E3C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9A5E3C">
        <w:t>informacije o strukturi financiranja prihvatljivih obveza iz obrasca 4 u Prilogu I. ovoj Uredbi dostavljaju se tromjesečno, prema uputama iz točke 2.3. dijela II. Priloga II. ovoj Uredbi;</w:t>
      </w:r>
    </w:p>
    <w:p w14:paraId="0CB1A49C" w14:textId="77777777" w:rsidR="00911C0D" w:rsidRPr="009A5E3C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9A5E3C">
        <w:t>informacije o instrumentima uređenima propisima treće zemlje iz obrasca 7 u Prilogu I. ovoj Uredbi dostavljaju se tromjesečno, prema uputama iz točke 4. dijela II. Priloga II. ovoj Uredbi.</w:t>
      </w:r>
    </w:p>
    <w:p w14:paraId="1604BDA8" w14:textId="77777777" w:rsidR="00911C0D" w:rsidRPr="009A5E3C" w:rsidRDefault="00911C0D" w:rsidP="00080A21">
      <w:pPr>
        <w:pStyle w:val="NumPar1"/>
        <w:numPr>
          <w:ilvl w:val="0"/>
          <w:numId w:val="3"/>
        </w:numPr>
        <w:rPr>
          <w:noProof/>
        </w:rPr>
      </w:pPr>
      <w:r w:rsidRPr="009A5E3C">
        <w:t xml:space="preserve">Osim informacija iz stavka 1., sanacijski subjekti na koje se zahtjev iz članka 92.a Uredbe (EU) br. 575/2013 primjenjuje na konsolidiranoj osnovi u skladu s člankom </w:t>
      </w:r>
      <w:r w:rsidRPr="009A5E3C">
        <w:lastRenderedPageBreak/>
        <w:t>11. stavkom 3.a te uredbe dostavljaju sanacijskim i nadležnim tijelima informacije na konsolidiranoj osnovi kako slijedi:</w:t>
      </w:r>
    </w:p>
    <w:p w14:paraId="4EEC865C" w14:textId="77777777" w:rsidR="00911C0D" w:rsidRPr="009A5E3C" w:rsidRDefault="00911C0D" w:rsidP="00080A21">
      <w:pPr>
        <w:pStyle w:val="Point1letter"/>
        <w:numPr>
          <w:ilvl w:val="3"/>
          <w:numId w:val="10"/>
        </w:numPr>
        <w:rPr>
          <w:noProof/>
        </w:rPr>
      </w:pPr>
      <w:r w:rsidRPr="009A5E3C">
        <w:t>informacije o ključnim pokazateljima iz stupca 0020 obrasca 1 u Prilogu I. ovoj Uredbi dostavljaju se tromjesečno, prema uputama iz točke 1. dijela II. Priloga II. ovoj Uredbi;</w:t>
      </w:r>
    </w:p>
    <w:p w14:paraId="62EB5754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sastavu regulatornog kapitala i prihvatljivih obveza iz stupaca 0020 i 0030 obrasca 2 u Prilogu I. ovoj Uredbi dostavljaju se tromjesečno, prema uputama iz točke 2.1. dijela II. Priloga II. ovoj Uredbi.</w:t>
      </w:r>
    </w:p>
    <w:p w14:paraId="79821E88" w14:textId="77777777" w:rsidR="00911C0D" w:rsidRPr="009A5E3C" w:rsidRDefault="00911C0D" w:rsidP="00911C0D">
      <w:pPr>
        <w:pStyle w:val="Titrearticle"/>
      </w:pPr>
      <w:r w:rsidRPr="009A5E3C">
        <w:t>Članak 5.</w:t>
      </w:r>
      <w:r w:rsidRPr="009A5E3C">
        <w:br/>
        <w:t>Format i učestalost izvješćivanja na pojedinačnoj osnovi subjekata koji sami po sebi nisu sanacijski subjekti i značajnih društava kćeri globalnih sistemski važnih institucija izvan EU-a</w:t>
      </w:r>
    </w:p>
    <w:p w14:paraId="0FDA52A0" w14:textId="77777777" w:rsidR="00911C0D" w:rsidRPr="009A5E3C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9A5E3C">
        <w:t>Subjekti koji sami po sebi nisu sanacijski subjekti i na koje se zahtjevi iz članka 45. Direktive 2014/59/EU primjenjuju na pojedinačnoj osnovi u skladu s člankom 45.f te direktive dostavljaju nadležnim i sanacijskim tijelima informacije na pojedinačnoj osnovi kako slijedi:</w:t>
      </w:r>
    </w:p>
    <w:p w14:paraId="45A08A7C" w14:textId="77777777" w:rsidR="00911C0D" w:rsidRPr="009A5E3C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9A5E3C">
        <w:t>informacije o iznosu i sastavu regulatornog kapitala i prihvatljivih obveza iz stupca 0010 obrasca 3 u Prilogu I. ovoj Uredbi dostavljaju se tromjesečno, prema uputama iz točke 2.2. dijela II. Priloga II. ovoj Uredbi;</w:t>
      </w:r>
    </w:p>
    <w:p w14:paraId="3AED8007" w14:textId="77777777" w:rsidR="00911C0D" w:rsidRPr="009A5E3C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9A5E3C">
        <w:t>informacije o strukturi financiranja prihvatljivih obveza iz obrasca 4 u Prilogu I. ovoj Uredbi dostavljaju se tromjesečno, prema uputama iz točke 2.3. dijela II. Priloga II. ovoj Uredbi;</w:t>
      </w:r>
    </w:p>
    <w:p w14:paraId="4455633C" w14:textId="77777777" w:rsidR="00911C0D" w:rsidRPr="009A5E3C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9A5E3C">
        <w:t>informacije o instrumentima uređenima propisima treće zemlje iz obrasca 7 u Prilogu I. ovoj Uredbi dostavljaju se tromjesečno, prema uputama iz točke 4. dijela II. Priloga II. ovoj Uredbi.</w:t>
      </w:r>
    </w:p>
    <w:p w14:paraId="1ACCD4B5" w14:textId="77777777" w:rsidR="00911C0D" w:rsidRPr="009A5E3C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9A5E3C">
        <w:t>Subjekti koji sami po sebi nisu sanacijski subjekti dostavljaju nadležnim i sanacijskim tijelima informacije o raščlambi regulatornog kapitala i obveza prema redu prvenstva u postupku u slučaju insolventnosti iz obrasca 5 u Prilogu I. tromjesečno na pojedinačnoj osnovi, prema uputama iz točke 3.1. dijela II. Priloga II. ovoj Uredbi.</w:t>
      </w:r>
    </w:p>
    <w:p w14:paraId="3F08EA69" w14:textId="77777777" w:rsidR="00911C0D" w:rsidRPr="009A5E3C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9A5E3C">
        <w:t>Osim informacija iz stavaka 1. i 2., subjekti koji su značajna društva kćeri globalnih sistemski važnih institucija izvan EU-a (GSV institucije) i na koje se zahtjevi iz članka 92.b Uredbe (EU) br. 575/2013 primjenjuju na pojedinačnoj osnovi u skladu s člankom 6. stavkom 1.a te uredbe dostavljaju nadležnim i sanacijskim tijelima tromjesečno na pojedinačnoj osnovi informacije o iznosu i sastavu regulatornog kapitala i prihvatljivih obveza iz stupca 0020 obrasca 3. u Prilogu I. ovoj Uredbi prema uputama iz točke 2.2. dijela II. Priloga II. ovoj Uredbi.</w:t>
      </w:r>
    </w:p>
    <w:p w14:paraId="5415A2FF" w14:textId="77777777" w:rsidR="00911C0D" w:rsidRPr="009A5E3C" w:rsidRDefault="00911C0D" w:rsidP="00911C0D">
      <w:pPr>
        <w:pStyle w:val="Titrearticle"/>
      </w:pPr>
      <w:r w:rsidRPr="009A5E3C">
        <w:t>Članak 6.</w:t>
      </w:r>
      <w:r w:rsidRPr="009A5E3C">
        <w:br/>
        <w:t xml:space="preserve">Format i učestalost izvješćivanja na konsolidiranoj osnovi subjekata koji sami po sebi nisu sanacijski subjekti i značajnih društava kćeri globalnih sistemski važnih institucija izvan EU-a </w:t>
      </w:r>
    </w:p>
    <w:p w14:paraId="5D1AFD35" w14:textId="77777777" w:rsidR="00911C0D" w:rsidRPr="009A5E3C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9A5E3C">
        <w:t xml:space="preserve">Subjekti koji sami po sebi nisu sanacijski subjekti i na koje se zahtjevi iz članka 45. Direktive 2014/59/EU primjenjuju na konsolidiranoj osnovi u skladu s člankom 45.f </w:t>
      </w:r>
      <w:r w:rsidRPr="009A5E3C">
        <w:lastRenderedPageBreak/>
        <w:t>te direktive dostavljaju nadležnim i sanacijskim tijelima informacije na konsolidiranoj osnovi kako slijedi:</w:t>
      </w:r>
    </w:p>
    <w:p w14:paraId="6F70BBA8" w14:textId="77777777" w:rsidR="00911C0D" w:rsidRPr="009A5E3C" w:rsidRDefault="00911C0D" w:rsidP="00080A21">
      <w:pPr>
        <w:pStyle w:val="Point1letter"/>
        <w:numPr>
          <w:ilvl w:val="3"/>
          <w:numId w:val="12"/>
        </w:numPr>
        <w:rPr>
          <w:noProof/>
        </w:rPr>
      </w:pPr>
      <w:r w:rsidRPr="009A5E3C">
        <w:t>informacije o iznosu i sastavu regulatornog kapitala i prihvatljivih obveza iz stupca 0010 obrasca 3 u Prilogu I. ovoj Uredbi dostavljaju se tromjesečno, prema uputama iz točke 2.2. dijela II. Priloga II. ovoj Uredbi;</w:t>
      </w:r>
    </w:p>
    <w:p w14:paraId="52DC2154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strukturi financiranja prihvatljivih obveza iz obrasca 4 u Prilogu I. ovoj Uredbi dostavljaju se tromjesečno, prema uputama iz točke 2.3. dijela II. Priloga II. ovoj Uredbi;</w:t>
      </w:r>
    </w:p>
    <w:p w14:paraId="61F772BF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informacije o instrumentima uređenima propisima treće zemlje iz obrasca 7 u Prilogu I. ovoj Uredbi dostavljaju se tromjesečno, prema uputama iz točke 4. dijela II. Priloga II. ovoj Uredbi.</w:t>
      </w:r>
    </w:p>
    <w:p w14:paraId="6CFA046B" w14:textId="77777777" w:rsidR="00911C0D" w:rsidRPr="009A5E3C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9A5E3C">
        <w:t>Osim informacija iz stavka 1., subjekti koji su značajna društva kćeri GSV institucija izvan EU-a i na koje se zahtjevi iz članka 92.b Uredbe (EU) br. 575/2013 primjenjuje na konsolidiranoj osnovi u skladu s člankom 11. stavkom 3.a te uredbe dostavljaju nadležnim i sanacijskim tijelima tromjesečno na konsolidiranoj osnovi informacije o iznosu i sastavu regulatornog kapitala i prihvatljivih obveza iz stupca 0020 obrasca 3. u Prilogu I. ovoj Uredbi prema uputama iz točke 2.2. dijela II. Priloga II. ovoj Uredbi.</w:t>
      </w:r>
    </w:p>
    <w:p w14:paraId="4E886073" w14:textId="77777777" w:rsidR="00911C0D" w:rsidRPr="009A5E3C" w:rsidRDefault="00911C0D" w:rsidP="00146633">
      <w:pPr>
        <w:pStyle w:val="Titrearticle"/>
        <w:rPr>
          <w:i w:val="0"/>
        </w:rPr>
      </w:pPr>
      <w:r w:rsidRPr="009A5E3C">
        <w:t>Članak 7.</w:t>
      </w:r>
      <w:r w:rsidRPr="009A5E3C">
        <w:br/>
        <w:t>Formati za razmjenu podataka i dodatne informacije</w:t>
      </w:r>
    </w:p>
    <w:p w14:paraId="60E9050D" w14:textId="77777777" w:rsidR="00911C0D" w:rsidRPr="009A5E3C" w:rsidRDefault="00911C0D" w:rsidP="00080A21">
      <w:pPr>
        <w:pStyle w:val="NumPar1"/>
        <w:numPr>
          <w:ilvl w:val="0"/>
          <w:numId w:val="6"/>
        </w:numPr>
        <w:rPr>
          <w:noProof/>
        </w:rPr>
      </w:pPr>
      <w:r w:rsidRPr="009A5E3C">
        <w:t>Izvještajni subjekti dostavljaju informacije u skladu s ovom Uredbom u formatima za razmjenu podataka i prikazima koje odrede njihova nadležna ili sanacijska tijela i u skladu s definicijama podataka iz modela podataka i pravilima validacije iz Priloga III. ovoj Uredbi.</w:t>
      </w:r>
    </w:p>
    <w:p w14:paraId="6673A56D" w14:textId="77777777" w:rsidR="00911C0D" w:rsidRPr="009A5E3C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9A5E3C">
        <w:t>Pri dostavi informacija u skladu s ovom Uredbom izvještajni subjekti pridržavaju se sljedećeg:</w:t>
      </w:r>
    </w:p>
    <w:p w14:paraId="7D9E4167" w14:textId="77777777" w:rsidR="00911C0D" w:rsidRPr="009A5E3C" w:rsidRDefault="00911C0D" w:rsidP="00080A21">
      <w:pPr>
        <w:pStyle w:val="Point1letter"/>
        <w:numPr>
          <w:ilvl w:val="3"/>
          <w:numId w:val="13"/>
        </w:numPr>
        <w:rPr>
          <w:noProof/>
        </w:rPr>
      </w:pPr>
      <w:r w:rsidRPr="009A5E3C">
        <w:t xml:space="preserve">informacije koje nisu potrebne ili primjenjive ne dostavljaju se; </w:t>
      </w:r>
    </w:p>
    <w:p w14:paraId="3B400175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numeričke vrijednosti dostavljaju se kako slijedi:</w:t>
      </w:r>
    </w:p>
    <w:p w14:paraId="2184B4DB" w14:textId="77777777" w:rsidR="00911C0D" w:rsidRPr="009A5E3C" w:rsidRDefault="00911C0D" w:rsidP="00146633">
      <w:pPr>
        <w:pStyle w:val="Point2"/>
      </w:pPr>
      <w:r w:rsidRPr="009A5E3C">
        <w:t>i.</w:t>
      </w:r>
      <w:r w:rsidRPr="009A5E3C">
        <w:tab/>
        <w:t xml:space="preserve">podaci vrste „monetarni” iskazuju se minimalno na razini tisućica; </w:t>
      </w:r>
    </w:p>
    <w:p w14:paraId="7B1AF6BE" w14:textId="77777777" w:rsidR="00911C0D" w:rsidRPr="009A5E3C" w:rsidRDefault="00911C0D" w:rsidP="00146633">
      <w:pPr>
        <w:pStyle w:val="Point2"/>
      </w:pPr>
      <w:r w:rsidRPr="009A5E3C">
        <w:t>ii.</w:t>
      </w:r>
      <w:r w:rsidRPr="009A5E3C">
        <w:tab/>
        <w:t xml:space="preserve">podaci vrste „postotak” iskazuju se po jedinici minimalno s četiri decimalna mjesta; </w:t>
      </w:r>
    </w:p>
    <w:p w14:paraId="5478D846" w14:textId="77777777" w:rsidR="00911C0D" w:rsidRPr="009A5E3C" w:rsidRDefault="00911C0D" w:rsidP="00146633">
      <w:pPr>
        <w:pStyle w:val="Point2"/>
      </w:pPr>
      <w:r w:rsidRPr="009A5E3C">
        <w:t>iii.</w:t>
      </w:r>
      <w:r w:rsidRPr="009A5E3C">
        <w:tab/>
        <w:t>podaci vrste „cijeli broj” iskazuju se bez decimalnih mjesta, minimalno na razini jedinica;</w:t>
      </w:r>
    </w:p>
    <w:p w14:paraId="3B0DDC02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institucije se identificiraju isključivo svojom identifikacijskom oznakom pravnog subjekta (LEI). Pravni subjekti i druge ugovorne strane, osim institucija, identificiraju se identifikacijskom oznakom pravnog subjekta (LEI) ako je imaju.</w:t>
      </w:r>
    </w:p>
    <w:p w14:paraId="1DBE05C1" w14:textId="77777777" w:rsidR="00911C0D" w:rsidRPr="009A5E3C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9A5E3C">
        <w:t>Uz informacije koje izvještajni subjekti dostavljaju u skladu s ovom Uredbom dostavljaju se sljedeće popratne informacije:</w:t>
      </w:r>
    </w:p>
    <w:p w14:paraId="1DEF8C77" w14:textId="77777777" w:rsidR="00911C0D" w:rsidRPr="009A5E3C" w:rsidRDefault="00911C0D" w:rsidP="00080A21">
      <w:pPr>
        <w:pStyle w:val="Point1letter"/>
        <w:numPr>
          <w:ilvl w:val="3"/>
          <w:numId w:val="14"/>
        </w:numPr>
        <w:rPr>
          <w:noProof/>
        </w:rPr>
      </w:pPr>
      <w:r w:rsidRPr="009A5E3C">
        <w:t>referentni datum i referentno razdoblje izvješćivanja;</w:t>
      </w:r>
    </w:p>
    <w:p w14:paraId="09EC726C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valuta izvješćivanja;</w:t>
      </w:r>
    </w:p>
    <w:p w14:paraId="4EEE4DC2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računovodstveni standard;</w:t>
      </w:r>
    </w:p>
    <w:p w14:paraId="2729F1FB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lastRenderedPageBreak/>
        <w:t>LEI institucije koja izvješćuje;</w:t>
      </w:r>
    </w:p>
    <w:p w14:paraId="0F34F03F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ab/>
        <w:t>opseg konsolidacije.</w:t>
      </w:r>
    </w:p>
    <w:p w14:paraId="7CF14DFD" w14:textId="77777777" w:rsidR="00911C0D" w:rsidRPr="009A5E3C" w:rsidRDefault="00911C0D" w:rsidP="00911C0D">
      <w:pPr>
        <w:pStyle w:val="Titrearticle"/>
      </w:pPr>
      <w:r w:rsidRPr="009A5E3C">
        <w:t>Članak 8.</w:t>
      </w:r>
      <w:r w:rsidRPr="009A5E3C">
        <w:br/>
        <w:t>Standardizirani prikaz reda prvenstva u postupku u slučaju insolventnosti</w:t>
      </w:r>
    </w:p>
    <w:p w14:paraId="5049F073" w14:textId="77777777" w:rsidR="00911C0D" w:rsidRPr="009A5E3C" w:rsidRDefault="00911C0D" w:rsidP="00080A21">
      <w:pPr>
        <w:pStyle w:val="NumPar1"/>
        <w:numPr>
          <w:ilvl w:val="0"/>
          <w:numId w:val="23"/>
        </w:numPr>
        <w:rPr>
          <w:noProof/>
        </w:rPr>
      </w:pPr>
      <w:r w:rsidRPr="009A5E3C">
        <w:t>Sanacijska tijela objedinjuju informacije o redu prvenstva stavki u svojem nacionalnom postupku u slučaju insolventnosti u standardiziranom formatu iz Priloga IV. i u slučaju promjene ih bez odgode ažuriraju.</w:t>
      </w:r>
    </w:p>
    <w:p w14:paraId="3F9A4A43" w14:textId="77777777" w:rsidR="00911C0D" w:rsidRPr="009A5E3C" w:rsidRDefault="00911C0D" w:rsidP="00080A21">
      <w:pPr>
        <w:pStyle w:val="NumPar1"/>
        <w:numPr>
          <w:ilvl w:val="0"/>
          <w:numId w:val="23"/>
        </w:numPr>
        <w:rPr>
          <w:noProof/>
        </w:rPr>
      </w:pPr>
      <w:r w:rsidRPr="009A5E3C">
        <w:t>Sanacijska tijela objavljuju informacije iz stavka 1. da bi bile dostupne institucijama koje su pod njihovim nadzorom.</w:t>
      </w:r>
    </w:p>
    <w:p w14:paraId="1D1FC80E" w14:textId="77777777" w:rsidR="00911C0D" w:rsidRPr="009A5E3C" w:rsidRDefault="00911C0D" w:rsidP="00911C0D">
      <w:pPr>
        <w:pStyle w:val="SectionTitle"/>
        <w:rPr>
          <w:b w:val="0"/>
          <w:i/>
        </w:rPr>
      </w:pPr>
      <w:r w:rsidRPr="009A5E3C">
        <w:rPr>
          <w:b w:val="0"/>
          <w:i/>
        </w:rPr>
        <w:t>GLAVA II.</w:t>
      </w:r>
      <w:r w:rsidRPr="009A5E3C">
        <w:rPr>
          <w:b w:val="0"/>
          <w:i/>
        </w:rPr>
        <w:br/>
        <w:t>JAVNE OBJAVE INSTITUCIJA</w:t>
      </w:r>
    </w:p>
    <w:p w14:paraId="674A8126" w14:textId="77777777" w:rsidR="00911C0D" w:rsidRPr="009A5E3C" w:rsidRDefault="00911C0D" w:rsidP="00911C0D">
      <w:pPr>
        <w:pStyle w:val="Titrearticle"/>
      </w:pPr>
      <w:r w:rsidRPr="009A5E3C">
        <w:t>Članak 9.</w:t>
      </w:r>
      <w:r w:rsidRPr="009A5E3C">
        <w:br/>
        <w:t>Učestalost i datumi objava</w:t>
      </w:r>
    </w:p>
    <w:p w14:paraId="30497442" w14:textId="1688CF64" w:rsidR="00911C0D" w:rsidRPr="009A5E3C" w:rsidRDefault="00911C0D" w:rsidP="00080A21">
      <w:pPr>
        <w:pStyle w:val="NumPar1"/>
        <w:numPr>
          <w:ilvl w:val="0"/>
          <w:numId w:val="24"/>
        </w:numPr>
        <w:rPr>
          <w:noProof/>
        </w:rPr>
      </w:pPr>
      <w:r w:rsidRPr="009A5E3C">
        <w:t>Informacije iz članka 10. stavka 1. objavljuju se na tromjesečnoj osnovi. Informacije iz članka 10. stavka 2. objavljuju se na polugodišnjoj osnovi.</w:t>
      </w:r>
    </w:p>
    <w:p w14:paraId="0CFDDF92" w14:textId="77777777" w:rsidR="00911C0D" w:rsidRPr="009A5E3C" w:rsidRDefault="00911C0D" w:rsidP="00146633">
      <w:pPr>
        <w:pStyle w:val="NumPar1"/>
        <w:rPr>
          <w:noProof/>
        </w:rPr>
      </w:pPr>
      <w:r w:rsidRPr="009A5E3C">
        <w:t>Informacije iz članka 11. stavka 1. i članka 14. stavka 1. objavljuju se na polugodišnjoj osnovi. Informacije iz članka 11. stavka 2. i članka 14. stavka 2. objavljuju se na godišnjoj osnovi.</w:t>
      </w:r>
    </w:p>
    <w:p w14:paraId="0276A47B" w14:textId="59C6BE0E" w:rsidR="00911C0D" w:rsidRPr="009A5E3C" w:rsidRDefault="00911C0D" w:rsidP="00146633">
      <w:pPr>
        <w:pStyle w:val="NumPar1"/>
        <w:rPr>
          <w:noProof/>
        </w:rPr>
      </w:pPr>
      <w:r w:rsidRPr="009A5E3C">
        <w:t>Informacije iz članka 12. stavka 1. objavljuju se na tromjesečnoj osnovi. Informacije iz članka 12. stavka 2. objavljuju se na polugodišnjoj osnovi.</w:t>
      </w:r>
    </w:p>
    <w:p w14:paraId="1C90BE41" w14:textId="77777777" w:rsidR="00911C0D" w:rsidRPr="009A5E3C" w:rsidRDefault="00911C0D" w:rsidP="00146633">
      <w:pPr>
        <w:pStyle w:val="NumPar1"/>
        <w:rPr>
          <w:noProof/>
        </w:rPr>
      </w:pPr>
      <w:r w:rsidRPr="009A5E3C">
        <w:t>Informacije iz članka 13. stavka 1. objavljuju se na polugodišnjoj osnovi. Informacije iz članka 13. stavka 2. objavljuju se na godišnjoj osnovi.</w:t>
      </w:r>
    </w:p>
    <w:p w14:paraId="77DF8699" w14:textId="77777777" w:rsidR="00911C0D" w:rsidRPr="009A5E3C" w:rsidRDefault="00911C0D" w:rsidP="00146633">
      <w:pPr>
        <w:pStyle w:val="NumPar1"/>
        <w:rPr>
          <w:noProof/>
        </w:rPr>
      </w:pPr>
      <w:r w:rsidRPr="009A5E3C">
        <w:t>Informacije iz članka 15. objavljuju se kako slijedi:</w:t>
      </w:r>
    </w:p>
    <w:p w14:paraId="553B9B42" w14:textId="77777777" w:rsidR="00911C0D" w:rsidRPr="009A5E3C" w:rsidRDefault="00911C0D" w:rsidP="00080A21">
      <w:pPr>
        <w:pStyle w:val="Point1letter"/>
        <w:numPr>
          <w:ilvl w:val="3"/>
          <w:numId w:val="15"/>
        </w:numPr>
        <w:rPr>
          <w:noProof/>
        </w:rPr>
      </w:pPr>
      <w:r w:rsidRPr="009A5E3C">
        <w:t>na polugodišnjoj osnovi ako je subjekt koji ih objavljuje velika institucija;</w:t>
      </w:r>
    </w:p>
    <w:p w14:paraId="6AC02098" w14:textId="77777777" w:rsidR="00911C0D" w:rsidRPr="009A5E3C" w:rsidRDefault="00146633" w:rsidP="00080A21">
      <w:pPr>
        <w:pStyle w:val="Point1letter"/>
        <w:numPr>
          <w:ilvl w:val="3"/>
          <w:numId w:val="15"/>
        </w:numPr>
        <w:rPr>
          <w:noProof/>
        </w:rPr>
      </w:pPr>
      <w:r w:rsidRPr="009A5E3C">
        <w:t xml:space="preserve">na godišnjoj osnovi ako subjekt koji ih objavljuje nije ni velika institucija niti mala i jednostavna institucija. </w:t>
      </w:r>
    </w:p>
    <w:p w14:paraId="67AF5D74" w14:textId="77777777" w:rsidR="00911C0D" w:rsidRPr="009A5E3C" w:rsidRDefault="00911C0D" w:rsidP="00911C0D">
      <w:pPr>
        <w:pStyle w:val="Point0"/>
        <w:rPr>
          <w:noProof/>
        </w:rPr>
      </w:pPr>
      <w:r w:rsidRPr="009A5E3C">
        <w:t>6.</w:t>
      </w:r>
      <w:r w:rsidRPr="009A5E3C">
        <w:tab/>
        <w:t>Za potrebe javne objave, subjekti koji objavljuju informacije pridržavaju se sljedećeg:</w:t>
      </w:r>
    </w:p>
    <w:p w14:paraId="4DA11D1B" w14:textId="77777777" w:rsidR="00911C0D" w:rsidRPr="009A5E3C" w:rsidRDefault="00911C0D" w:rsidP="00080A21">
      <w:pPr>
        <w:pStyle w:val="Point1letter"/>
        <w:numPr>
          <w:ilvl w:val="3"/>
          <w:numId w:val="16"/>
        </w:numPr>
        <w:rPr>
          <w:noProof/>
        </w:rPr>
      </w:pPr>
      <w:r w:rsidRPr="009A5E3C">
        <w:t xml:space="preserve">godišnje se informacije objavljuju na isti datum na koji institucije objavljuju svoja financijska izvješća ili što prije nakon tog datuma; </w:t>
      </w:r>
    </w:p>
    <w:p w14:paraId="38E67937" w14:textId="77777777" w:rsidR="00911C0D" w:rsidRPr="009A5E3C" w:rsidRDefault="00911C0D" w:rsidP="00080A21">
      <w:pPr>
        <w:pStyle w:val="Point1letter"/>
        <w:numPr>
          <w:ilvl w:val="3"/>
          <w:numId w:val="16"/>
        </w:numPr>
        <w:rPr>
          <w:noProof/>
        </w:rPr>
      </w:pPr>
      <w:r w:rsidRPr="009A5E3C">
        <w:t xml:space="preserve">polugodišnje i tromjesečne informacije objavljuju se na isti datum na koji institucije objavljuju svoja financijska izvješća za odgovarajuće razdoblje, ako je primjenjivo, ili što prije nakon tog datuma; </w:t>
      </w:r>
    </w:p>
    <w:p w14:paraId="7CC4F5BD" w14:textId="3C481126" w:rsidR="00911C0D" w:rsidRPr="009A5E3C" w:rsidRDefault="00911C0D" w:rsidP="007B464C">
      <w:pPr>
        <w:pStyle w:val="Point1letter"/>
        <w:numPr>
          <w:ilvl w:val="3"/>
          <w:numId w:val="16"/>
        </w:numPr>
        <w:rPr>
          <w:noProof/>
        </w:rPr>
      </w:pPr>
      <w:r w:rsidRPr="009A5E3C">
        <w:t>svaka odgoda objave informacija propisanih u ovoj glavi u odnosu na datum objave relevantnih financijskih izvješća mora biti opravdana, a u svakom slučaju ne smije biti izvan roka koji utvrde nadležna tijela u skladu s člankom 106. Direktive 2013/36/EU Europskog parlamenta i Vijeća</w:t>
      </w:r>
      <w:r w:rsidR="007B464C">
        <w:rPr>
          <w:rStyle w:val="FootnoteReference"/>
        </w:rPr>
        <w:footnoteReference w:id="6"/>
      </w:r>
      <w:r w:rsidRPr="009A5E3C">
        <w:t>.</w:t>
      </w:r>
    </w:p>
    <w:p w14:paraId="2B144DCB" w14:textId="77777777" w:rsidR="00911C0D" w:rsidRPr="009A5E3C" w:rsidRDefault="00911C0D" w:rsidP="00911C0D">
      <w:pPr>
        <w:pStyle w:val="Titrearticle"/>
      </w:pPr>
      <w:bookmarkStart w:id="1" w:name="_Ref21085297"/>
      <w:r w:rsidRPr="009A5E3C">
        <w:lastRenderedPageBreak/>
        <w:t>Članak 10.</w:t>
      </w:r>
      <w:bookmarkEnd w:id="1"/>
      <w:r w:rsidRPr="009A5E3C">
        <w:br/>
        <w:t>Objava sanacijskih subjekata o ključnim pokazateljima i zahtjevima o regulatornom kapitalu i prihvatljivim obvezama</w:t>
      </w:r>
    </w:p>
    <w:p w14:paraId="44F94195" w14:textId="77777777" w:rsidR="00911C0D" w:rsidRPr="009A5E3C" w:rsidRDefault="00911C0D" w:rsidP="00080A21">
      <w:pPr>
        <w:pStyle w:val="NumPar1"/>
        <w:numPr>
          <w:ilvl w:val="0"/>
          <w:numId w:val="22"/>
        </w:numPr>
        <w:rPr>
          <w:noProof/>
        </w:rPr>
      </w:pPr>
      <w:r w:rsidRPr="009A5E3C">
        <w:t xml:space="preserve">Subjekti koji se smatraju sanacijskim subjektima koji su GSV institucije ili dio GSV institucije objavljuju informacije propisane u članku 447. točki (h) Uredbe (EU) br. 575/2013 i članku 45.i stavku 3. točkama (a) i (c) Direktive 2014/59/EU koristeći obrazac EU KM2 iz Priloga V. ovoj Uredbi i prateći relevantne upute iz Priloga VI. ovoj Uredbi. </w:t>
      </w:r>
    </w:p>
    <w:p w14:paraId="2955CCFE" w14:textId="77777777" w:rsidR="00911C0D" w:rsidRPr="009A5E3C" w:rsidRDefault="00911C0D" w:rsidP="00080A21">
      <w:pPr>
        <w:pStyle w:val="NumPar1"/>
        <w:numPr>
          <w:ilvl w:val="0"/>
          <w:numId w:val="22"/>
        </w:numPr>
        <w:rPr>
          <w:noProof/>
        </w:rPr>
      </w:pPr>
      <w:r w:rsidRPr="009A5E3C">
        <w:t>Subjekti koji se smatraju sanacijskim subjektima koji nisu ni GSV institucije niti dio GSV institucije objavljuju informacije propisane u članku 45.i stavku 3. točkama (a) i (c) Direktive 2014/59/EU koristeći obrazac EU KM2 iz Priloga V. ovoj Uredbi i prateći relevantne upute iz Priloga VI. ovoj Uredbi.</w:t>
      </w:r>
    </w:p>
    <w:p w14:paraId="5BA5FA46" w14:textId="77777777" w:rsidR="00911C0D" w:rsidRPr="009A5E3C" w:rsidRDefault="00911C0D" w:rsidP="00911C0D">
      <w:pPr>
        <w:pStyle w:val="Titrearticle"/>
      </w:pPr>
      <w:bookmarkStart w:id="2" w:name="_Ref21450145"/>
      <w:r w:rsidRPr="009A5E3C">
        <w:t>Članak 11.</w:t>
      </w:r>
      <w:bookmarkEnd w:id="2"/>
      <w:r w:rsidRPr="009A5E3C">
        <w:br/>
        <w:t>Objava sanacijskih subjekata o sastavu regulatornog kapitala i prihvatljivih obveza</w:t>
      </w:r>
    </w:p>
    <w:p w14:paraId="097F2CA5" w14:textId="77777777" w:rsidR="00911C0D" w:rsidRPr="009A5E3C" w:rsidRDefault="00911C0D" w:rsidP="00080A21">
      <w:pPr>
        <w:pStyle w:val="NumPar1"/>
        <w:numPr>
          <w:ilvl w:val="0"/>
          <w:numId w:val="21"/>
        </w:numPr>
        <w:rPr>
          <w:noProof/>
        </w:rPr>
      </w:pPr>
      <w:r w:rsidRPr="009A5E3C">
        <w:t>Subjekti koji se smatraju sanacijskim subjektima koji su GSV institucije ili dio GSV institucije objavljuju informacije iz članka 437.a točaka (a), (c) i (d) Uredbe (EU) br. 575/2013 i informacije o sastavu regulatornog kapitala i prihvatljivih obveza iz članka 45.i stavka 3. točke (b) Direktive 2014/59/EU koristeći obrazac EU TLAC1 iz Priloga V. ovoj Uredbi i prateći relevantne upute iz Priloga VI. ovoj Uredbi.</w:t>
      </w:r>
    </w:p>
    <w:p w14:paraId="6EE067EB" w14:textId="77777777" w:rsidR="00911C0D" w:rsidRPr="009A5E3C" w:rsidRDefault="00911C0D" w:rsidP="00080A21">
      <w:pPr>
        <w:pStyle w:val="NumPar1"/>
        <w:numPr>
          <w:ilvl w:val="0"/>
          <w:numId w:val="21"/>
        </w:numPr>
        <w:rPr>
          <w:noProof/>
        </w:rPr>
      </w:pPr>
      <w:r w:rsidRPr="009A5E3C">
        <w:t>Subjekti koji se smatraju sanacijskim subjektima koji nisu ni GSV institucije niti dio GSV institucije objavljuju informacije o sastavu regulatornog kapitala i prihvatljivih obveza iz članka 45.i stavka 3. točke (b) Direktive 2014/59/EU koristeći obrazac EU TLAC1 iz Priloga V. ovoj Uredbi i prateći relevantne upute iz Priloga VI. ovoj Uredbi.</w:t>
      </w:r>
    </w:p>
    <w:p w14:paraId="31FF8221" w14:textId="77777777" w:rsidR="00911C0D" w:rsidRPr="009A5E3C" w:rsidRDefault="00911C0D" w:rsidP="00911C0D">
      <w:pPr>
        <w:pStyle w:val="Titrearticle"/>
      </w:pPr>
      <w:bookmarkStart w:id="3" w:name="_Ref21087987"/>
      <w:r w:rsidRPr="009A5E3C">
        <w:t>Članak 12.</w:t>
      </w:r>
      <w:bookmarkEnd w:id="3"/>
      <w:r w:rsidRPr="009A5E3C">
        <w:br/>
        <w:t>Objava subjekata koji sami po sebi nisu sanacijski subjekti o ključnim pokazateljima i internom kapacitetu za pokriće gubitaka</w:t>
      </w:r>
    </w:p>
    <w:p w14:paraId="32300B39" w14:textId="77777777" w:rsidR="00911C0D" w:rsidRPr="009A5E3C" w:rsidRDefault="00911C0D" w:rsidP="00080A21">
      <w:pPr>
        <w:pStyle w:val="NumPar1"/>
        <w:numPr>
          <w:ilvl w:val="0"/>
          <w:numId w:val="20"/>
        </w:numPr>
        <w:rPr>
          <w:noProof/>
        </w:rPr>
      </w:pPr>
      <w:r w:rsidRPr="009A5E3C">
        <w:t>Subjekti koji su značajna društva kćeri GSV institucija izvan EU-a i sami po sebi nisu sanacijska tijela objavljuju sljedeće informacije koristeći obrazac EU ILAC iz Priloga V. ovoj Uredbi i prateći relevantne upute iz Priloga VI. ovoj Uredbi:</w:t>
      </w:r>
    </w:p>
    <w:p w14:paraId="782B5E5F" w14:textId="77777777" w:rsidR="00911C0D" w:rsidRPr="009A5E3C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9A5E3C">
        <w:t>informacije u skladu s člankom 437.a točkama (a), (c) i (d) Uredbe (EU) br. 575/2013;</w:t>
      </w:r>
    </w:p>
    <w:p w14:paraId="32D06C75" w14:textId="77777777" w:rsidR="00911C0D" w:rsidRPr="009A5E3C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9A5E3C">
        <w:t>informacije u skladu s člankom 447 točkom (h) Uredbe (EU) br. 575/2013;</w:t>
      </w:r>
    </w:p>
    <w:p w14:paraId="00DD876B" w14:textId="77777777" w:rsidR="00911C0D" w:rsidRPr="009A5E3C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9A5E3C">
        <w:t>informacije u skladu s člankom 45.i stavkom 3. točkama (a) i (c) Direktive 2014/59/EU;</w:t>
      </w:r>
    </w:p>
    <w:p w14:paraId="4DA0CF37" w14:textId="22E9761B" w:rsidR="00911C0D" w:rsidRPr="009A5E3C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9A5E3C">
        <w:t>informacije o sastavu regulatornog kapitala i prihvatljivih obveza u skladu s člankom 45.i stavkom 3. točkom (b) Direktive 2014/59/EU.</w:t>
      </w:r>
    </w:p>
    <w:p w14:paraId="2D3A456D" w14:textId="77777777" w:rsidR="00911C0D" w:rsidRPr="009A5E3C" w:rsidRDefault="00911C0D" w:rsidP="00911C0D">
      <w:pPr>
        <w:pStyle w:val="Point0"/>
        <w:rPr>
          <w:noProof/>
        </w:rPr>
      </w:pPr>
      <w:r w:rsidRPr="009A5E3C">
        <w:t>2.</w:t>
      </w:r>
      <w:r w:rsidRPr="009A5E3C">
        <w:tab/>
        <w:t>Subjekti koji nisu značajna društva kćeri GSV institucija izvan EU-a i sami po sebi nisu sanacijska tijela objavljuju sljedeće informacije koristeći obrazac EU ILAC iz Priloga V. ovoj Uredbi i prateći relevantne upute iz Priloga VI. ovoj Uredbi:</w:t>
      </w:r>
    </w:p>
    <w:p w14:paraId="2F8640BD" w14:textId="77777777" w:rsidR="00911C0D" w:rsidRPr="009A5E3C" w:rsidRDefault="00911C0D" w:rsidP="00080A21">
      <w:pPr>
        <w:pStyle w:val="Point1letter"/>
        <w:numPr>
          <w:ilvl w:val="3"/>
          <w:numId w:val="18"/>
        </w:numPr>
        <w:rPr>
          <w:noProof/>
        </w:rPr>
      </w:pPr>
      <w:r w:rsidRPr="009A5E3C">
        <w:lastRenderedPageBreak/>
        <w:t>informacije u skladu s člankom 45.i stavkom 3. točkama (a) i (c) Direktive 2014/59/EU;</w:t>
      </w:r>
    </w:p>
    <w:p w14:paraId="4C6E59D7" w14:textId="77777777" w:rsidR="00911C0D" w:rsidRPr="009A5E3C" w:rsidRDefault="00911C0D" w:rsidP="00080A21">
      <w:pPr>
        <w:pStyle w:val="Point1letter"/>
        <w:numPr>
          <w:ilvl w:val="3"/>
          <w:numId w:val="18"/>
        </w:numPr>
        <w:rPr>
          <w:noProof/>
        </w:rPr>
      </w:pPr>
      <w:r w:rsidRPr="009A5E3C">
        <w:t>informacije o sastavu regulatornog kapitala i prihvatljivih obveza u skladu s člankom 45.i stavkom 3. točkom (b) Direktive 2014/59/EU.</w:t>
      </w:r>
    </w:p>
    <w:p w14:paraId="25AF8933" w14:textId="77777777" w:rsidR="009A5E3C" w:rsidRPr="009A5E3C" w:rsidRDefault="00911C0D" w:rsidP="00911C0D">
      <w:pPr>
        <w:pStyle w:val="Titrearticle"/>
      </w:pPr>
      <w:bookmarkStart w:id="4" w:name="_Ref21088028"/>
      <w:r w:rsidRPr="009A5E3C">
        <w:t xml:space="preserve">Članak 13. </w:t>
      </w:r>
      <w:bookmarkEnd w:id="4"/>
    </w:p>
    <w:p w14:paraId="40797C60" w14:textId="417E4F28" w:rsidR="00911C0D" w:rsidRPr="009A5E3C" w:rsidRDefault="00911C0D" w:rsidP="00911C0D">
      <w:pPr>
        <w:pStyle w:val="Titrearticle"/>
      </w:pPr>
      <w:r w:rsidRPr="009A5E3C">
        <w:t>Objava nesanacijskih subjekata o redu prvenstva vjerovnika</w:t>
      </w:r>
    </w:p>
    <w:p w14:paraId="0FA53E9A" w14:textId="16A22625" w:rsidR="00911C0D" w:rsidRPr="009A5E3C" w:rsidRDefault="00911C0D" w:rsidP="00080A21">
      <w:pPr>
        <w:pStyle w:val="NumPar1"/>
        <w:numPr>
          <w:ilvl w:val="0"/>
          <w:numId w:val="19"/>
        </w:numPr>
        <w:rPr>
          <w:noProof/>
        </w:rPr>
      </w:pPr>
      <w:r w:rsidRPr="009A5E3C">
        <w:t xml:space="preserve">Subjekti koji su značajna društva kćeri GSV institucija izvan EU-a i sami po sebi nisu sanacijski subjekti objavljuju informacije o profilu dospijeća i redu prvenstva u redovnom postupku u slučaju insolventnosti iz članka 437.a točaka (a) i (b) Uredbe (EU) br. 575/2013 i članka 45.i stavka 3. točke (b) Direktive 2014/59/EU koristeći obrazac EU TLAC2a iz Priloga V. ovoj Uredbi i prateći relevantne upute iz Priloga VI. ovoj Uredbi. </w:t>
      </w:r>
    </w:p>
    <w:p w14:paraId="515F579C" w14:textId="77777777" w:rsidR="00911C0D" w:rsidRPr="009A5E3C" w:rsidRDefault="00911C0D" w:rsidP="00080A21">
      <w:pPr>
        <w:pStyle w:val="NumPar1"/>
        <w:numPr>
          <w:ilvl w:val="0"/>
          <w:numId w:val="19"/>
        </w:numPr>
        <w:rPr>
          <w:noProof/>
        </w:rPr>
      </w:pPr>
      <w:r w:rsidRPr="009A5E3C">
        <w:t xml:space="preserve">Subjekti koji nisu značajna društva kćeri GSV institucija izvan EU-a i sami po sebi nisu sanacijski subjekti objavljuju informacije o profilu dospijeća i redu prvenstva u redovnom postupku u slučaju insolventnosti iz članka 45.i stavka 3. točke (b) Direktive 2014/59/EU koristeći obrazac EU TLAC2b iz Priloga V. ovoj Uredbi i prateći relevantne upute iz Priloga VI. ovoj Uredbi. </w:t>
      </w:r>
    </w:p>
    <w:p w14:paraId="51B0E851" w14:textId="32AD2F70" w:rsidR="00911C0D" w:rsidRPr="009A5E3C" w:rsidRDefault="00911C0D" w:rsidP="00B129CF">
      <w:pPr>
        <w:pStyle w:val="Text1"/>
        <w:rPr>
          <w:noProof/>
        </w:rPr>
      </w:pPr>
      <w:r w:rsidRPr="009A5E3C">
        <w:t>Subjekti iz ovog stavka prvog podstavka mogu umjesto obrasca EU TLAC2b koristiti obrazac EU TLAC2a za objavu informacija o profilu dospijeća i redu prvenstva u redovnom postupku u slučaju insolventnosti u skladu s člankom 45.i stavkom 3. točkom (b) Direktive 2014/59/EU.</w:t>
      </w:r>
    </w:p>
    <w:p w14:paraId="0ACD53CE" w14:textId="77777777" w:rsidR="00911C0D" w:rsidRPr="009A5E3C" w:rsidRDefault="00911C0D" w:rsidP="00911C0D">
      <w:pPr>
        <w:pStyle w:val="Titrearticle"/>
      </w:pPr>
      <w:bookmarkStart w:id="5" w:name="_Ref21087242"/>
      <w:r w:rsidRPr="009A5E3C">
        <w:t xml:space="preserve">Članak </w:t>
      </w:r>
      <w:bookmarkEnd w:id="5"/>
      <w:r w:rsidRPr="009A5E3C">
        <w:fldChar w:fldCharType="begin"/>
      </w:r>
      <w:r w:rsidRPr="009A5E3C">
        <w:instrText xml:space="preserve"> SEQ Figure \* ARABIC </w:instrText>
      </w:r>
      <w:r w:rsidRPr="009A5E3C">
        <w:fldChar w:fldCharType="separate"/>
      </w:r>
      <w:r w:rsidRPr="009A5E3C">
        <w:t>14</w:t>
      </w:r>
      <w:r w:rsidRPr="009A5E3C">
        <w:fldChar w:fldCharType="end"/>
      </w:r>
      <w:r w:rsidRPr="009A5E3C">
        <w:t xml:space="preserve">. </w:t>
      </w:r>
      <w:r w:rsidRPr="009A5E3C">
        <w:br/>
        <w:t>Objava sanacijskih subjekata o redu prvenstva vjerovnika</w:t>
      </w:r>
    </w:p>
    <w:p w14:paraId="0214BA4A" w14:textId="4F8B03D6" w:rsidR="00911C0D" w:rsidRPr="009A5E3C" w:rsidRDefault="00911C0D" w:rsidP="00080A21">
      <w:pPr>
        <w:pStyle w:val="NumPar1"/>
        <w:numPr>
          <w:ilvl w:val="0"/>
          <w:numId w:val="25"/>
        </w:numPr>
        <w:rPr>
          <w:noProof/>
        </w:rPr>
      </w:pPr>
      <w:r w:rsidRPr="009A5E3C">
        <w:t xml:space="preserve">Subjekti koji se smatraju sanacijskim subjektima koji su GSV institucije ili dio GSV institucije objavljuju informacije o profilu dospijeća i redu prvenstva u redovnom postupku u slučaju insolventnosti iz članka 437.a točaka (a) i (b) Uredbe (EU) br. 575/2013 i članka 45.i stavka 3. točke (b) Direktive 2014/59/EU koristeći obrazac EU TLAC3a iz Priloga V. ovoj Uredbi i prateći relevantne upute iz Priloga VI. ovoj Uredbi. </w:t>
      </w:r>
    </w:p>
    <w:p w14:paraId="703B620D" w14:textId="18C45AB4" w:rsidR="00911C0D" w:rsidRPr="009A5E3C" w:rsidRDefault="00911C0D" w:rsidP="00080A21">
      <w:pPr>
        <w:pStyle w:val="NumPar1"/>
        <w:numPr>
          <w:ilvl w:val="0"/>
          <w:numId w:val="25"/>
        </w:numPr>
        <w:rPr>
          <w:noProof/>
        </w:rPr>
      </w:pPr>
      <w:r w:rsidRPr="009A5E3C">
        <w:t xml:space="preserve">Subjekti koji se smatraju sanacijskim subjektima koji nisu ni GSV institucije niti dio GSV institucije objavljuju informacije o profilu dospijeća i redu prvenstva u redovnom postupku u slučaju insolventnosti iz članka 45.i stavka 3. točke (b) Direktive 2014/59/EU koristeći obrazac EU TLAC3b iz Priloga V. ovoj Uredbi i prateći relevantne upute iz Priloga VI. ovoj Uredbi. </w:t>
      </w:r>
    </w:p>
    <w:p w14:paraId="312D7D45" w14:textId="0EC96E4F" w:rsidR="00911C0D" w:rsidRPr="009A5E3C" w:rsidRDefault="00911C0D" w:rsidP="008E17B7">
      <w:pPr>
        <w:pStyle w:val="Text1"/>
        <w:rPr>
          <w:noProof/>
        </w:rPr>
      </w:pPr>
      <w:r w:rsidRPr="009A5E3C">
        <w:t>Subjekti iz ovog stavka prvog podstavka mogu umjesto obrasca EU TLAC3b koristiti obrazac EU TLAC3a za objavu informacija o profilu dospijeća i redu prvenstva u redovnom postupku u slučaju insolventnosti u skladu s člankom 45.i stavkom 3. točkom (b) Direktive 2014/59/EU.</w:t>
      </w:r>
    </w:p>
    <w:p w14:paraId="392B83E1" w14:textId="0ED4F921" w:rsidR="00911C0D" w:rsidRPr="009A5E3C" w:rsidRDefault="00911C0D" w:rsidP="00911C0D">
      <w:pPr>
        <w:pStyle w:val="Titrearticle"/>
      </w:pPr>
      <w:bookmarkStart w:id="6" w:name="_Ref21087218"/>
      <w:r w:rsidRPr="009A5E3C">
        <w:lastRenderedPageBreak/>
        <w:t>Članak 15.</w:t>
      </w:r>
      <w:bookmarkEnd w:id="6"/>
      <w:r w:rsidRPr="009A5E3C">
        <w:br/>
        <w:t>Objava glavnih značajki regulatornog kapitala i prihvatljivih obveza</w:t>
      </w:r>
    </w:p>
    <w:p w14:paraId="556F10F9" w14:textId="77777777" w:rsidR="00911C0D" w:rsidRPr="009A5E3C" w:rsidRDefault="00911C0D" w:rsidP="00911C0D">
      <w:pPr>
        <w:keepNext/>
        <w:keepLines/>
        <w:spacing w:before="360"/>
      </w:pPr>
      <w:r w:rsidRPr="009A5E3C">
        <w:t xml:space="preserve">Subjekti koji se smatraju sanacijskim subjektima koji su GSV institucije ili dio GSV institucije i subjekti koji su značajna društva kćeri GSV institucija izvan EU-a i sami po sebi nisu sanacijska tijela objavljuju informacije iz članka 437.a točke (a) Uredbe (EU) br. 575/2013 u skladu s provedbenim aktom iz članka 434.a te uredbe. </w:t>
      </w:r>
    </w:p>
    <w:p w14:paraId="20EB102D" w14:textId="77777777" w:rsidR="00911C0D" w:rsidRPr="009A5E3C" w:rsidRDefault="00911C0D" w:rsidP="00146633">
      <w:pPr>
        <w:pStyle w:val="Titrearticle"/>
      </w:pPr>
      <w:r w:rsidRPr="009A5E3C">
        <w:t>Članak 16.</w:t>
      </w:r>
      <w:r w:rsidRPr="009A5E3C">
        <w:br/>
        <w:t>Opća pravila za objave</w:t>
      </w:r>
    </w:p>
    <w:p w14:paraId="74D86184" w14:textId="77777777" w:rsidR="00911C0D" w:rsidRPr="009A5E3C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9A5E3C">
        <w:t xml:space="preserve">Ako subjekti koji objavljuju informacije mogu izostaviti jednu ili više informacija za objavu u skladu s člankom 432. Uredbe (EU) br. 575/2013, relevantni redci ili stupci obrazaca ili tablica propisanih ovom Uredbom mogu ostati prazni i pritom se ne mijenja brojčana oznaka sljedećih redaka ili stupaca. </w:t>
      </w:r>
    </w:p>
    <w:p w14:paraId="2C21F69F" w14:textId="77777777" w:rsidR="00911C0D" w:rsidRPr="009A5E3C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9A5E3C">
        <w:t xml:space="preserve">Subjekti koji objavljuju informacije u relevantnom obrascu ili tablici jasno označavaju prazne retke ili stupce i navode razlog za izostavljanje relevantnih informacija. </w:t>
      </w:r>
    </w:p>
    <w:p w14:paraId="2DFEFA5E" w14:textId="77777777" w:rsidR="00911C0D" w:rsidRPr="009A5E3C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9A5E3C">
        <w:t>Kvalitativni opis i sve druge potrebne dodatne informacije uz kvantitativne objave u skladu s člankom 431. Uredbe (EU) br. 575/2013 dovoljno su jasni i detaljni kako bi korisnici tih informacija razumjeli kvantitativne objave i navode se uz obrasce koje opisuju.</w:t>
      </w:r>
    </w:p>
    <w:p w14:paraId="29D7C25D" w14:textId="77777777" w:rsidR="00911C0D" w:rsidRPr="009A5E3C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9A5E3C">
        <w:t>Subjekti koji objavljuju informacije pri objavi brojčanih vrijednosti pridržavaju se sljedećeg:</w:t>
      </w:r>
    </w:p>
    <w:p w14:paraId="554837EF" w14:textId="77777777" w:rsidR="00911C0D" w:rsidRPr="009A5E3C" w:rsidRDefault="00911C0D" w:rsidP="00B378A2">
      <w:pPr>
        <w:pStyle w:val="Point1letter"/>
        <w:numPr>
          <w:ilvl w:val="3"/>
          <w:numId w:val="38"/>
        </w:numPr>
        <w:rPr>
          <w:noProof/>
        </w:rPr>
      </w:pPr>
      <w:r w:rsidRPr="009A5E3C">
        <w:t>kvantitativni monetarni podaci objavljuju se minimalno na razini milijuna jedinica;</w:t>
      </w:r>
    </w:p>
    <w:p w14:paraId="4E96B6F9" w14:textId="77777777" w:rsidR="00911C0D" w:rsidRPr="009A5E3C" w:rsidRDefault="00911C0D" w:rsidP="00B378A2">
      <w:pPr>
        <w:pStyle w:val="Point1letter"/>
        <w:numPr>
          <w:ilvl w:val="3"/>
          <w:numId w:val="38"/>
        </w:numPr>
        <w:rPr>
          <w:noProof/>
        </w:rPr>
      </w:pPr>
      <w:r w:rsidRPr="009A5E3C">
        <w:t>kvantitativni podaci koji se objavljuju kao „postotak” iskazuju se po jedinici minimalno s četiri decimalna mjesta.</w:t>
      </w:r>
    </w:p>
    <w:p w14:paraId="06F63E8F" w14:textId="77777777" w:rsidR="00911C0D" w:rsidRPr="009A5E3C" w:rsidRDefault="00911C0D" w:rsidP="00146633">
      <w:pPr>
        <w:pStyle w:val="NumPar1"/>
        <w:rPr>
          <w:noProof/>
        </w:rPr>
      </w:pPr>
      <w:r w:rsidRPr="009A5E3C">
        <w:t>Subjekti uz informacije koje objavljuju dostavljaju sljedeće popratne informacije:</w:t>
      </w:r>
    </w:p>
    <w:p w14:paraId="2FCAAE18" w14:textId="77777777" w:rsidR="00911C0D" w:rsidRPr="009A5E3C" w:rsidRDefault="00911C0D" w:rsidP="00B378A2">
      <w:pPr>
        <w:pStyle w:val="Point1letter"/>
        <w:numPr>
          <w:ilvl w:val="3"/>
          <w:numId w:val="27"/>
        </w:numPr>
        <w:rPr>
          <w:noProof/>
        </w:rPr>
      </w:pPr>
      <w:r w:rsidRPr="009A5E3C">
        <w:t xml:space="preserve">referentni datum i referentno razdoblje objave; </w:t>
      </w:r>
    </w:p>
    <w:p w14:paraId="0D85A6C3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 xml:space="preserve">valutu objave; </w:t>
      </w:r>
    </w:p>
    <w:p w14:paraId="5B5B4AB9" w14:textId="2A3BF35F" w:rsidR="00911C0D" w:rsidRPr="009A5E3C" w:rsidRDefault="00911C0D" w:rsidP="00146633">
      <w:pPr>
        <w:pStyle w:val="Point1letter"/>
        <w:rPr>
          <w:noProof/>
        </w:rPr>
      </w:pPr>
      <w:r w:rsidRPr="009A5E3C">
        <w:t>naziv i, ako je relevantno, identifikacijsku oznaku pravne osobe (LEI) subjekta koji objavljuje informacije;</w:t>
      </w:r>
    </w:p>
    <w:p w14:paraId="584E8AC6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 xml:space="preserve">ako je relevantno, računovodstveni standard; i </w:t>
      </w:r>
    </w:p>
    <w:p w14:paraId="582EB987" w14:textId="77777777" w:rsidR="00911C0D" w:rsidRPr="009A5E3C" w:rsidRDefault="00911C0D" w:rsidP="00146633">
      <w:pPr>
        <w:pStyle w:val="Point1letter"/>
        <w:rPr>
          <w:noProof/>
        </w:rPr>
      </w:pPr>
      <w:r w:rsidRPr="009A5E3C">
        <w:t>ako je relevantno, opseg konsolidacije.</w:t>
      </w:r>
    </w:p>
    <w:p w14:paraId="13904397" w14:textId="6E48D9B3" w:rsidR="00911C0D" w:rsidRPr="009A5E3C" w:rsidRDefault="00911C0D" w:rsidP="00911C0D">
      <w:pPr>
        <w:pStyle w:val="SectionTitle"/>
        <w:rPr>
          <w:b w:val="0"/>
          <w:i/>
        </w:rPr>
      </w:pPr>
      <w:r w:rsidRPr="009A5E3C">
        <w:rPr>
          <w:b w:val="0"/>
          <w:i/>
        </w:rPr>
        <w:t>GLAVA III.</w:t>
      </w:r>
      <w:r w:rsidRPr="009A5E3C">
        <w:rPr>
          <w:b w:val="0"/>
          <w:i/>
        </w:rPr>
        <w:br/>
        <w:t>ZAVRŠNE ODREDBE</w:t>
      </w:r>
    </w:p>
    <w:p w14:paraId="207DBFA4" w14:textId="6A156BA8" w:rsidR="00911C0D" w:rsidRPr="009A5E3C" w:rsidRDefault="00911C0D" w:rsidP="00146633">
      <w:pPr>
        <w:pStyle w:val="Titrearticle"/>
      </w:pPr>
      <w:r w:rsidRPr="009A5E3C">
        <w:t>Članak 17.</w:t>
      </w:r>
      <w:r w:rsidRPr="009A5E3C">
        <w:br/>
        <w:t>Stupanje na snagu i primjena</w:t>
      </w:r>
    </w:p>
    <w:p w14:paraId="132DAA82" w14:textId="4F13BF1D" w:rsidR="00911C0D" w:rsidRPr="009A5E3C" w:rsidRDefault="00911C0D" w:rsidP="00911C0D">
      <w:r w:rsidRPr="009A5E3C">
        <w:t xml:space="preserve">Ova Uredba stupa na snagu dvadesetog dana od dana objave u </w:t>
      </w:r>
      <w:r w:rsidRPr="009A5E3C">
        <w:rPr>
          <w:i/>
        </w:rPr>
        <w:t>Službenom listu Europske unije</w:t>
      </w:r>
      <w:r w:rsidRPr="009A5E3C">
        <w:t>.</w:t>
      </w:r>
    </w:p>
    <w:p w14:paraId="59F2EBFB" w14:textId="5F28E1E6" w:rsidR="00911C0D" w:rsidRPr="009A5E3C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9A5E3C">
        <w:t>Glava I. primjenjuje se od 28. lipnja 2021.</w:t>
      </w:r>
    </w:p>
    <w:p w14:paraId="2F7214D1" w14:textId="64BF67D1" w:rsidR="00F82D09" w:rsidRPr="009A5E3C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9A5E3C">
        <w:lastRenderedPageBreak/>
        <w:t xml:space="preserve">Glava II. primjenjuje se od </w:t>
      </w:r>
      <w:r w:rsidRPr="009A5E3C">
        <w:rPr>
          <w:i/>
        </w:rPr>
        <w:t>[please insert the date of entry into force of this Regulation]</w:t>
      </w:r>
      <w:r w:rsidRPr="009A5E3C">
        <w:t xml:space="preserve"> u dijelu koji se odnosi na objave u skladu s člankom437.a i člankom 447. točkom (h) Uredbe (EU) br. 575/2013, a od datuma primjene zahtjeva za objavu u skladu s člankom 3. stavkom 1. trećim podstavkom Direktive (EU) 2019/879 u dijelu koji se odnosi na objave u skladu s člankom 45.i stavkom 3. Direktive 2014/59/EU.</w:t>
      </w:r>
    </w:p>
    <w:p w14:paraId="48405F17" w14:textId="52DE1662" w:rsidR="00911C0D" w:rsidRPr="009A5E3C" w:rsidRDefault="00911C0D" w:rsidP="00911C0D">
      <w:pPr>
        <w:pStyle w:val="Applicationdirecte"/>
        <w:keepNext/>
        <w:keepLines/>
      </w:pPr>
      <w:r w:rsidRPr="009A5E3C">
        <w:t>Ova je Uredba u cijelosti obvezujuća i izravno se primjenjuje u svim državama članicama.</w:t>
      </w:r>
    </w:p>
    <w:p w14:paraId="688CD257" w14:textId="77777777" w:rsidR="00911C0D" w:rsidRPr="009A5E3C" w:rsidRDefault="00DD5153" w:rsidP="00DD5153">
      <w:pPr>
        <w:pStyle w:val="Fait"/>
      </w:pPr>
      <w:r w:rsidRPr="009A5E3C">
        <w:t>Sastavljeno u Bruxellesu</w:t>
      </w:r>
    </w:p>
    <w:p w14:paraId="7D6E3D67" w14:textId="77777777" w:rsidR="00911C0D" w:rsidRPr="009A5E3C" w:rsidRDefault="00911C0D" w:rsidP="00911C0D">
      <w:pPr>
        <w:pStyle w:val="Institutionquisigne"/>
      </w:pPr>
      <w:r w:rsidRPr="009A5E3C">
        <w:tab/>
        <w:t>Za Komisiju</w:t>
      </w:r>
    </w:p>
    <w:p w14:paraId="0936848B" w14:textId="77777777" w:rsidR="00911C0D" w:rsidRPr="009A5E3C" w:rsidRDefault="00911C0D" w:rsidP="00911C0D">
      <w:pPr>
        <w:pStyle w:val="Personnequisigne"/>
      </w:pPr>
      <w:r w:rsidRPr="009A5E3C">
        <w:tab/>
        <w:t>Predsjednica</w:t>
      </w:r>
      <w:r w:rsidRPr="009A5E3C">
        <w:br/>
      </w:r>
      <w:r w:rsidRPr="009A5E3C">
        <w:tab/>
        <w:t>Ursula VON DER LEYEN</w:t>
      </w:r>
    </w:p>
    <w:sectPr w:rsidR="00911C0D" w:rsidRPr="009A5E3C" w:rsidSect="00CC3BB0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968E8" w14:textId="77777777" w:rsidR="00911C0D" w:rsidRDefault="00911C0D" w:rsidP="00911C0D">
      <w:pPr>
        <w:spacing w:before="0" w:after="0"/>
      </w:pPr>
      <w:r>
        <w:separator/>
      </w:r>
    </w:p>
  </w:endnote>
  <w:endnote w:type="continuationSeparator" w:id="0">
    <w:p w14:paraId="285C3A38" w14:textId="77777777" w:rsidR="00911C0D" w:rsidRDefault="00911C0D" w:rsidP="00911C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55EAB" w14:textId="229954B2" w:rsidR="00911C0D" w:rsidRPr="00CC3BB0" w:rsidRDefault="00CC3BB0" w:rsidP="00CC3BB0">
    <w:pPr>
      <w:pStyle w:val="Footer"/>
      <w:rPr>
        <w:rFonts w:ascii="Arial" w:hAnsi="Arial" w:cs="Arial"/>
        <w:b/>
        <w:sz w:val="48"/>
      </w:rPr>
    </w:pPr>
    <w:r w:rsidRPr="00CC3BB0">
      <w:rPr>
        <w:rFonts w:ascii="Arial" w:hAnsi="Arial" w:cs="Arial"/>
        <w:b/>
        <w:sz w:val="48"/>
      </w:rPr>
      <w:t>HR</w:t>
    </w:r>
    <w:r w:rsidRPr="00CC3BB0">
      <w:rPr>
        <w:rFonts w:ascii="Arial" w:hAnsi="Arial" w:cs="Arial"/>
        <w:b/>
        <w:sz w:val="48"/>
      </w:rPr>
      <w:tab/>
    </w:r>
    <w:r w:rsidRPr="00CC3BB0">
      <w:rPr>
        <w:rFonts w:ascii="Arial" w:hAnsi="Arial" w:cs="Arial"/>
        <w:b/>
        <w:sz w:val="48"/>
      </w:rPr>
      <w:tab/>
    </w:r>
    <w:r w:rsidRPr="00CC3BB0">
      <w:tab/>
    </w:r>
    <w:r w:rsidRPr="00CC3BB0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A480" w14:textId="7FF6393E" w:rsidR="00CC3BB0" w:rsidRPr="00CC3BB0" w:rsidRDefault="00CC3BB0" w:rsidP="00CC3BB0">
    <w:pPr>
      <w:pStyle w:val="Footer"/>
      <w:rPr>
        <w:rFonts w:ascii="Arial" w:hAnsi="Arial" w:cs="Arial"/>
        <w:b/>
        <w:sz w:val="48"/>
      </w:rPr>
    </w:pPr>
    <w:r w:rsidRPr="00CC3BB0">
      <w:rPr>
        <w:rFonts w:ascii="Arial" w:hAnsi="Arial" w:cs="Arial"/>
        <w:b/>
        <w:sz w:val="48"/>
      </w:rPr>
      <w:t>HR</w:t>
    </w:r>
    <w:r w:rsidRPr="00CC3BB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81D38">
      <w:rPr>
        <w:noProof/>
      </w:rPr>
      <w:t>12</w:t>
    </w:r>
    <w:r>
      <w:fldChar w:fldCharType="end"/>
    </w:r>
    <w:r>
      <w:tab/>
    </w:r>
    <w:r w:rsidRPr="00CC3BB0">
      <w:tab/>
    </w:r>
    <w:r w:rsidRPr="00CC3BB0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686E6" w14:textId="77777777" w:rsidR="00CC3BB0" w:rsidRPr="00CC3BB0" w:rsidRDefault="00CC3BB0" w:rsidP="00CC3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0D0A5" w14:textId="77777777" w:rsidR="00911C0D" w:rsidRDefault="00911C0D" w:rsidP="00911C0D">
      <w:pPr>
        <w:spacing w:before="0" w:after="0"/>
      </w:pPr>
      <w:r>
        <w:separator/>
      </w:r>
    </w:p>
  </w:footnote>
  <w:footnote w:type="continuationSeparator" w:id="0">
    <w:p w14:paraId="21B25C16" w14:textId="77777777" w:rsidR="00911C0D" w:rsidRDefault="00911C0D" w:rsidP="00911C0D">
      <w:pPr>
        <w:spacing w:before="0" w:after="0"/>
      </w:pPr>
      <w:r>
        <w:continuationSeparator/>
      </w:r>
    </w:p>
  </w:footnote>
  <w:footnote w:id="1">
    <w:p w14:paraId="2EA1D983" w14:textId="520273FE" w:rsidR="007B464C" w:rsidRPr="007B464C" w:rsidRDefault="007B464C" w:rsidP="007B464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7B464C">
        <w:rPr>
          <w:lang w:val="en-US"/>
        </w:rPr>
        <w:tab/>
      </w:r>
      <w:r>
        <w:t>SL L 176, 27.6.2013., str. 1.</w:t>
      </w:r>
    </w:p>
  </w:footnote>
  <w:footnote w:id="2">
    <w:p w14:paraId="4ECD1B1A" w14:textId="34BE4FA5" w:rsidR="007B464C" w:rsidRPr="007B464C" w:rsidRDefault="007B464C" w:rsidP="007B464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7B464C">
        <w:rPr>
          <w:lang w:val="en-US"/>
        </w:rPr>
        <w:tab/>
      </w:r>
      <w:r>
        <w:t>SL L 173, 12.6.2014., str. 190.</w:t>
      </w:r>
    </w:p>
  </w:footnote>
  <w:footnote w:id="3">
    <w:p w14:paraId="2DC2519B" w14:textId="14187CA6" w:rsidR="007B464C" w:rsidRPr="007B464C" w:rsidRDefault="007B464C" w:rsidP="007B464C">
      <w:pPr>
        <w:pStyle w:val="FootnoteText"/>
      </w:pPr>
      <w:r>
        <w:rPr>
          <w:rStyle w:val="FootnoteReference"/>
        </w:rPr>
        <w:footnoteRef/>
      </w:r>
      <w:r w:rsidRPr="007B464C">
        <w:rPr>
          <w:lang w:val="en-US"/>
        </w:rPr>
        <w:tab/>
      </w:r>
      <w:r>
        <w:t>Uredba (EU) 2019/876 Europskog parlamenta i Vijeća od 20. svibnja 2019. o izmjeni Uredbe (EU) br. 575/2013 u pogledu omjera financijske poluge, omjera neto stabilnih izvora financiranja, zahtjeva za regulatorni kapital i prihvatljive obveze, kreditnog rizika druge ugovorne strane, tržišnog rizika, izloženosti prema središnjim drugim ugovornim stranama, izloženosti prema subjektima za zajednička ulaganja, velikih izloženosti, zahtjeva za izvješćivanje i objavu, i Uredbe (EU) br. 648/2012 (SL L 150, 7.6. 2019., str. 1.).</w:t>
      </w:r>
    </w:p>
  </w:footnote>
  <w:footnote w:id="4">
    <w:p w14:paraId="1C3B746F" w14:textId="45934635" w:rsidR="007B464C" w:rsidRPr="007B464C" w:rsidRDefault="007B464C" w:rsidP="007B464C">
      <w:pPr>
        <w:pStyle w:val="FootnoteText"/>
      </w:pPr>
      <w:r>
        <w:rPr>
          <w:rStyle w:val="FootnoteReference"/>
        </w:rPr>
        <w:footnoteRef/>
      </w:r>
      <w:r w:rsidRPr="007B464C">
        <w:tab/>
      </w:r>
      <w:r>
        <w:t>Direktiva (EU) 2019/879 Europskog parlamenta i Vijeća od 20. svibnja 2019. o izmjeni Direktive 2014/59/EU u pogledu kapaciteta pokrivanja gubitaka i dokapitalizacije kreditnih institucija i investicijskih društava te Direktive 98/26/EZ (SL L 150, 7.6.2019., str. 296.).</w:t>
      </w:r>
    </w:p>
  </w:footnote>
  <w:footnote w:id="5">
    <w:p w14:paraId="682BE686" w14:textId="37983683" w:rsidR="007B464C" w:rsidRPr="007B464C" w:rsidRDefault="007B464C" w:rsidP="007B464C">
      <w:pPr>
        <w:pStyle w:val="FootnoteText"/>
      </w:pPr>
      <w:r>
        <w:rPr>
          <w:rStyle w:val="FootnoteReference"/>
        </w:rPr>
        <w:footnoteRef/>
      </w:r>
      <w:r w:rsidRPr="007B464C">
        <w:tab/>
      </w:r>
      <w:r>
        <w:t>Uredba (EU) br. 1093/2010 Europskog parlamenta i Vijeća od 24. studenoga 2010. o osnivanju europskog nadzornog tijela (Europskog nadzornog tijela za bankarstvo), kojom se izmjenjuje Odluka br. 716/2009/EZ i stavlja izvan snage Odluka Komisije 2009/78/EZ (SL L 331, 15.12.2010., str. 12.).</w:t>
      </w:r>
    </w:p>
  </w:footnote>
  <w:footnote w:id="6">
    <w:p w14:paraId="0C501735" w14:textId="484314DF" w:rsidR="007B464C" w:rsidRPr="007B464C" w:rsidRDefault="007B464C" w:rsidP="007B464C">
      <w:pPr>
        <w:pStyle w:val="FootnoteText"/>
      </w:pPr>
      <w:r>
        <w:rPr>
          <w:rStyle w:val="FootnoteReference"/>
        </w:rPr>
        <w:footnoteRef/>
      </w:r>
      <w:r w:rsidRPr="007B464C">
        <w:tab/>
      </w:r>
      <w:r>
        <w:t>Direktiva 2013/36/EU Europskog parlamenta i Vijeća od 26. lipnja 2013. o pristupanju djelatnosti kreditnih institucija i bonitetnom nadzoru nad kreditnim institucijama i investicijskim društvima, izmjeni Direktive 2002/87/EZ te stavljanju izvan snage direktiva 2006/48/EZ i 2006/49/EZ (SL L 176, 27.6.2013., str. 338.).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BAAEF0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2120D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CFA45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91BA0B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B644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20253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61E0D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8A72C0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5"/>
  </w:num>
  <w:num w:numId="30">
    <w:abstractNumId w:val="4"/>
  </w:num>
  <w:num w:numId="31">
    <w:abstractNumId w:val="3"/>
  </w:num>
  <w:num w:numId="32">
    <w:abstractNumId w:val="6"/>
  </w:num>
  <w:num w:numId="33">
    <w:abstractNumId w:val="2"/>
  </w:num>
  <w:num w:numId="34">
    <w:abstractNumId w:val="1"/>
  </w:num>
  <w:num w:numId="35">
    <w:abstractNumId w:val="0"/>
  </w:num>
  <w:num w:numId="36">
    <w:abstractNumId w:val="21"/>
    <w:lvlOverride w:ilvl="0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2"/>
  </w:num>
  <w:num w:numId="41">
    <w:abstractNumId w:val="20"/>
  </w:num>
  <w:num w:numId="42">
    <w:abstractNumId w:val="11"/>
  </w:num>
  <w:num w:numId="43">
    <w:abstractNumId w:val="13"/>
  </w:num>
  <w:num w:numId="44">
    <w:abstractNumId w:val="9"/>
  </w:num>
  <w:num w:numId="45">
    <w:abstractNumId w:val="19"/>
  </w:num>
  <w:num w:numId="46">
    <w:abstractNumId w:val="8"/>
  </w:num>
  <w:num w:numId="47">
    <w:abstractNumId w:val="14"/>
  </w:num>
  <w:num w:numId="48">
    <w:abstractNumId w:val="16"/>
  </w:num>
  <w:num w:numId="49">
    <w:abstractNumId w:val="17"/>
  </w:num>
  <w:num w:numId="50">
    <w:abstractNumId w:val="10"/>
  </w:num>
  <w:num w:numId="51">
    <w:abstractNumId w:val="15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1-03-31 17:24:42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D9A1274D-8975-43F5-BFE5-11A0F6844968"/>
    <w:docVar w:name="LW_COVERPAGE_TYPE" w:val="1"/>
    <w:docVar w:name="LW_CROSSREFERENCE" w:val="&lt;UNUSED&gt;"/>
    <w:docVar w:name="LW_DATE.ADOPT.CP" w:val="\u1086?d XXX"/>
    <w:docVar w:name="LW_DATE.ADOPT.CP_DATEFORMAT" w:val="\u1086?d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" w:val="(Tekst zna\u269?ajan za EGP)"/>
    <w:docVar w:name="LW_INTERETEEE.CP" w:val="(Tekst zna\u269?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" w:val="o utvr\u273?ivanju provedbenih tehni\u269?kih standarda za primjenu Uredbe (EU) br. 575/2013 Europskog parlamenta i Vije\u263?a i Direktive 2014/59/EU Europskog parlamenta i Vije\u263?a u pogledu nadzornog izvje\u353?\u263?ivanja i javne objave minimalnog zahtjeva za regulatorni kapital i prihvatljive obveze"/>
    <w:docVar w:name="LW_TITRE.OBJ.CP" w:val="o utvr\u273?ivanju provedbenih tehni\u269?kih standarda za primjenu Uredbe (EU) br. 575/2013 Europskog parlamenta i Vije\u263?a i Direktive 2014/59/EU Europskog parlamenta i Vije\u263?a u pogledu nadzornog izvje\u353?\u263?ivanja i javne objave minimalnog zahtjeva za regulatorni kapital i prihvatljive obveze"/>
    <w:docVar w:name="LW_TYPE.DOC" w:val="PROVEDBENA UREDBA KOMISIJE (EU) \u8230?/..."/>
    <w:docVar w:name="LW_TYPE.DOC.CP" w:val="PROVEDBENA UREDBA KOMISIJE (EU) \u8230?/..."/>
  </w:docVars>
  <w:rsids>
    <w:rsidRoot w:val="00911C0D"/>
    <w:rsid w:val="00015B5D"/>
    <w:rsid w:val="00022330"/>
    <w:rsid w:val="00050379"/>
    <w:rsid w:val="00080A21"/>
    <w:rsid w:val="00081757"/>
    <w:rsid w:val="000A7517"/>
    <w:rsid w:val="000E198E"/>
    <w:rsid w:val="000F730F"/>
    <w:rsid w:val="00114389"/>
    <w:rsid w:val="0011712E"/>
    <w:rsid w:val="001443C5"/>
    <w:rsid w:val="00144CAD"/>
    <w:rsid w:val="00146633"/>
    <w:rsid w:val="0017105F"/>
    <w:rsid w:val="001B26AE"/>
    <w:rsid w:val="001B613C"/>
    <w:rsid w:val="001C2816"/>
    <w:rsid w:val="001D50FA"/>
    <w:rsid w:val="001E0321"/>
    <w:rsid w:val="001F6393"/>
    <w:rsid w:val="00213D10"/>
    <w:rsid w:val="00221450"/>
    <w:rsid w:val="002219AB"/>
    <w:rsid w:val="00221C95"/>
    <w:rsid w:val="00223BDA"/>
    <w:rsid w:val="00232E98"/>
    <w:rsid w:val="00236A85"/>
    <w:rsid w:val="00252F49"/>
    <w:rsid w:val="00273AFD"/>
    <w:rsid w:val="002A6E40"/>
    <w:rsid w:val="002B1649"/>
    <w:rsid w:val="002F36EF"/>
    <w:rsid w:val="003010D8"/>
    <w:rsid w:val="00352318"/>
    <w:rsid w:val="0038586F"/>
    <w:rsid w:val="003D1FF4"/>
    <w:rsid w:val="00403FFA"/>
    <w:rsid w:val="00416D19"/>
    <w:rsid w:val="004264CB"/>
    <w:rsid w:val="0046555B"/>
    <w:rsid w:val="004C6812"/>
    <w:rsid w:val="004D75CF"/>
    <w:rsid w:val="00501159"/>
    <w:rsid w:val="00515FD9"/>
    <w:rsid w:val="00517C83"/>
    <w:rsid w:val="00521730"/>
    <w:rsid w:val="00534AD8"/>
    <w:rsid w:val="00551A67"/>
    <w:rsid w:val="005656BC"/>
    <w:rsid w:val="00570F2E"/>
    <w:rsid w:val="00576101"/>
    <w:rsid w:val="00595F73"/>
    <w:rsid w:val="005A470A"/>
    <w:rsid w:val="005E7576"/>
    <w:rsid w:val="005F390A"/>
    <w:rsid w:val="005F5FE4"/>
    <w:rsid w:val="0060509B"/>
    <w:rsid w:val="006142ED"/>
    <w:rsid w:val="006601FC"/>
    <w:rsid w:val="006708EF"/>
    <w:rsid w:val="00693D6D"/>
    <w:rsid w:val="0069401E"/>
    <w:rsid w:val="006A0478"/>
    <w:rsid w:val="006E792A"/>
    <w:rsid w:val="0070128F"/>
    <w:rsid w:val="0071293C"/>
    <w:rsid w:val="00763A4C"/>
    <w:rsid w:val="00781D38"/>
    <w:rsid w:val="00786D48"/>
    <w:rsid w:val="007B464C"/>
    <w:rsid w:val="007B47A6"/>
    <w:rsid w:val="007C06F6"/>
    <w:rsid w:val="007C26F8"/>
    <w:rsid w:val="007D06B9"/>
    <w:rsid w:val="007D3252"/>
    <w:rsid w:val="008254B0"/>
    <w:rsid w:val="00867BAC"/>
    <w:rsid w:val="00880594"/>
    <w:rsid w:val="008E0D6D"/>
    <w:rsid w:val="008E17B7"/>
    <w:rsid w:val="008E7A70"/>
    <w:rsid w:val="008F166D"/>
    <w:rsid w:val="00911C0D"/>
    <w:rsid w:val="00936C22"/>
    <w:rsid w:val="00947623"/>
    <w:rsid w:val="009606FE"/>
    <w:rsid w:val="00984A83"/>
    <w:rsid w:val="00986B33"/>
    <w:rsid w:val="00987AD5"/>
    <w:rsid w:val="009A5E3C"/>
    <w:rsid w:val="009B7138"/>
    <w:rsid w:val="009F1589"/>
    <w:rsid w:val="00A06DEF"/>
    <w:rsid w:val="00A242DE"/>
    <w:rsid w:val="00A25281"/>
    <w:rsid w:val="00A314D3"/>
    <w:rsid w:val="00A72CC5"/>
    <w:rsid w:val="00A92F78"/>
    <w:rsid w:val="00AA2E8A"/>
    <w:rsid w:val="00AC0214"/>
    <w:rsid w:val="00AD067C"/>
    <w:rsid w:val="00B076B3"/>
    <w:rsid w:val="00B1066F"/>
    <w:rsid w:val="00B129CF"/>
    <w:rsid w:val="00B15ABD"/>
    <w:rsid w:val="00B26F22"/>
    <w:rsid w:val="00B378A2"/>
    <w:rsid w:val="00B51552"/>
    <w:rsid w:val="00BB495E"/>
    <w:rsid w:val="00BE246D"/>
    <w:rsid w:val="00BF17AA"/>
    <w:rsid w:val="00C13087"/>
    <w:rsid w:val="00C20744"/>
    <w:rsid w:val="00C24556"/>
    <w:rsid w:val="00C638BD"/>
    <w:rsid w:val="00C86532"/>
    <w:rsid w:val="00C9260D"/>
    <w:rsid w:val="00C95437"/>
    <w:rsid w:val="00CC3BB0"/>
    <w:rsid w:val="00CD7950"/>
    <w:rsid w:val="00CE1CB5"/>
    <w:rsid w:val="00CF4557"/>
    <w:rsid w:val="00D05552"/>
    <w:rsid w:val="00D104BF"/>
    <w:rsid w:val="00D251A6"/>
    <w:rsid w:val="00D4070C"/>
    <w:rsid w:val="00D56ED7"/>
    <w:rsid w:val="00D653C4"/>
    <w:rsid w:val="00D80CBF"/>
    <w:rsid w:val="00D90A08"/>
    <w:rsid w:val="00DB7093"/>
    <w:rsid w:val="00DC0EF5"/>
    <w:rsid w:val="00DC44F6"/>
    <w:rsid w:val="00DC7D9F"/>
    <w:rsid w:val="00DD5153"/>
    <w:rsid w:val="00DF03F9"/>
    <w:rsid w:val="00E0465B"/>
    <w:rsid w:val="00E31F5B"/>
    <w:rsid w:val="00E34FF4"/>
    <w:rsid w:val="00E50BE1"/>
    <w:rsid w:val="00E65C7F"/>
    <w:rsid w:val="00E82E00"/>
    <w:rsid w:val="00EA09E4"/>
    <w:rsid w:val="00EB4283"/>
    <w:rsid w:val="00EB491D"/>
    <w:rsid w:val="00EE12E2"/>
    <w:rsid w:val="00EF62B3"/>
    <w:rsid w:val="00F05B01"/>
    <w:rsid w:val="00F20062"/>
    <w:rsid w:val="00F43026"/>
    <w:rsid w:val="00F45263"/>
    <w:rsid w:val="00F82D09"/>
    <w:rsid w:val="00FB396C"/>
    <w:rsid w:val="00FB639E"/>
    <w:rsid w:val="00FC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D75B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5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1B26AE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B26AE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B26AE"/>
    <w:pPr>
      <w:numPr>
        <w:numId w:val="2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26AE"/>
    <w:pPr>
      <w:numPr>
        <w:numId w:val="2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26AE"/>
    <w:pPr>
      <w:numPr>
        <w:numId w:val="3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26AE"/>
    <w:pPr>
      <w:numPr>
        <w:numId w:val="3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B26AE"/>
    <w:pPr>
      <w:numPr>
        <w:numId w:val="3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B26AE"/>
    <w:pPr>
      <w:numPr>
        <w:numId w:val="3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B26AE"/>
    <w:pPr>
      <w:numPr>
        <w:numId w:val="3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B26AE"/>
    <w:pPr>
      <w:numPr>
        <w:numId w:val="3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3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3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3FFA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FFA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FF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FA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uiPriority w:val="99"/>
    <w:unhideWhenUsed/>
    <w:rsid w:val="00403FF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B709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B076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9"/>
      </w:numPr>
    </w:pPr>
  </w:style>
  <w:style w:type="paragraph" w:customStyle="1" w:styleId="Tiret1">
    <w:name w:val="Tiret 1"/>
    <w:basedOn w:val="Point1"/>
    <w:rsid w:val="009B7138"/>
    <w:pPr>
      <w:numPr>
        <w:numId w:val="40"/>
      </w:numPr>
    </w:pPr>
  </w:style>
  <w:style w:type="paragraph" w:customStyle="1" w:styleId="Tiret2">
    <w:name w:val="Tiret 2"/>
    <w:basedOn w:val="Point2"/>
    <w:rsid w:val="009B7138"/>
    <w:pPr>
      <w:numPr>
        <w:numId w:val="41"/>
      </w:numPr>
    </w:pPr>
  </w:style>
  <w:style w:type="paragraph" w:customStyle="1" w:styleId="Tiret3">
    <w:name w:val="Tiret 3"/>
    <w:basedOn w:val="Point3"/>
    <w:rsid w:val="009B7138"/>
    <w:pPr>
      <w:numPr>
        <w:numId w:val="42"/>
      </w:numPr>
    </w:pPr>
  </w:style>
  <w:style w:type="paragraph" w:customStyle="1" w:styleId="Tiret4">
    <w:name w:val="Tiret 4"/>
    <w:basedOn w:val="Point4"/>
    <w:rsid w:val="009B7138"/>
    <w:pPr>
      <w:numPr>
        <w:numId w:val="43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4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4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4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4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46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46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46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46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46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46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46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46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46"/>
      </w:numPr>
    </w:pPr>
  </w:style>
  <w:style w:type="paragraph" w:customStyle="1" w:styleId="Bullet0">
    <w:name w:val="Bullet 0"/>
    <w:basedOn w:val="Normal"/>
    <w:rsid w:val="009B7138"/>
    <w:pPr>
      <w:numPr>
        <w:numId w:val="47"/>
      </w:numPr>
    </w:pPr>
  </w:style>
  <w:style w:type="paragraph" w:customStyle="1" w:styleId="Bullet1">
    <w:name w:val="Bullet 1"/>
    <w:basedOn w:val="Normal"/>
    <w:rsid w:val="009B7138"/>
    <w:pPr>
      <w:numPr>
        <w:numId w:val="48"/>
      </w:numPr>
    </w:pPr>
  </w:style>
  <w:style w:type="paragraph" w:customStyle="1" w:styleId="Bullet2">
    <w:name w:val="Bullet 2"/>
    <w:basedOn w:val="Normal"/>
    <w:rsid w:val="009B7138"/>
    <w:pPr>
      <w:numPr>
        <w:numId w:val="49"/>
      </w:numPr>
    </w:pPr>
  </w:style>
  <w:style w:type="paragraph" w:customStyle="1" w:styleId="Bullet3">
    <w:name w:val="Bullet 3"/>
    <w:basedOn w:val="Normal"/>
    <w:rsid w:val="009B7138"/>
    <w:pPr>
      <w:numPr>
        <w:numId w:val="50"/>
      </w:numPr>
    </w:pPr>
  </w:style>
  <w:style w:type="paragraph" w:customStyle="1" w:styleId="Bullet4">
    <w:name w:val="Bullet 4"/>
    <w:basedOn w:val="Normal"/>
    <w:rsid w:val="009B7138"/>
    <w:pPr>
      <w:numPr>
        <w:numId w:val="51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52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13</Pages>
  <Words>4257</Words>
  <Characters>24563</Characters>
  <Application>Microsoft Office Word</Application>
  <DocSecurity>0</DocSecurity>
  <Lines>446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2021-05-18T11:24:00Z</dcterms:created>
  <dcterms:modified xsi:type="dcterms:W3CDTF">2021-05-18T11:24:00Z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LWTemplateID">
    <vt:lpwstr>SJ-004</vt:lpwstr>
  </property>
  <property fmtid="{D5CDD505-2E9C-101B-9397-08002B2CF9AE}" pid="7" name="DQCStatus">
    <vt:lpwstr>Green (DQC version 03)</vt:lpwstr>
  </property>
</Properties>
</file>