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16" w:rsidRPr="00FC6D3F" w:rsidRDefault="00A64674" w:rsidP="00CA11CC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97456B5B-BB03-4EF0-9DCB-4513AF2B5E5A" style="width:450.6pt;height:423pt">
            <v:imagedata r:id="rId7" o:title=""/>
          </v:shape>
        </w:pict>
      </w:r>
    </w:p>
    <w:p w:rsidR="00911C0D" w:rsidRPr="00FC6D3F" w:rsidRDefault="00911C0D">
      <w:pPr>
        <w:sectPr w:rsidR="00911C0D" w:rsidRPr="00FC6D3F" w:rsidSect="00CA11CC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911C0D" w:rsidRPr="00FC6D3F" w:rsidRDefault="00DD5153" w:rsidP="00DD5153">
      <w:pPr>
        <w:pStyle w:val="Typedudocument"/>
      </w:pPr>
      <w:r w:rsidRPr="00FC6D3F">
        <w:lastRenderedPageBreak/>
        <w:t>REGOLAMENT TA’ IMPLIMENTAZZJONI TAL-KUMMISSJONI (UE) …/...</w:t>
      </w:r>
    </w:p>
    <w:p w:rsidR="00911C0D" w:rsidRPr="00FC6D3F" w:rsidRDefault="00FC6D3F" w:rsidP="00DD5153">
      <w:pPr>
        <w:pStyle w:val="Datedadoption"/>
      </w:pPr>
      <w:r>
        <w:t>ta’ XXX</w:t>
      </w:r>
    </w:p>
    <w:p w:rsidR="00911C0D" w:rsidRPr="00FC6D3F" w:rsidRDefault="00DD5153" w:rsidP="00DD5153">
      <w:pPr>
        <w:pStyle w:val="Titreobjet"/>
      </w:pPr>
      <w:r w:rsidRPr="00FC6D3F">
        <w:t>li jistabbilixxi standards tekniċi ta’ implimentazzjoni għall-applikazzjoni tar-Regolament (UE) Nru 575/2013 tal-Parlament Ewropew u tal-Kunsill u tad-Direttiva 2014/59/UE tal-Parlament Ewropew u tal-Kunsill fir-rigward tar-rapportar superviżorju u d-divulgazzjoni pubblika tar-rekwiżit minimu għall-fondi proprji u l-obbligazzjonijiet eliġibbli</w:t>
      </w:r>
    </w:p>
    <w:p w:rsidR="00911C0D" w:rsidRPr="00FC6D3F" w:rsidRDefault="00DD5153" w:rsidP="00DD5153">
      <w:pPr>
        <w:pStyle w:val="IntrtEEE"/>
      </w:pPr>
      <w:r w:rsidRPr="00FC6D3F">
        <w:t>(Test b’rilevanza għaż-ŻEE)</w:t>
      </w:r>
    </w:p>
    <w:p w:rsidR="00911C0D" w:rsidRPr="00FC6D3F" w:rsidRDefault="00911C0D" w:rsidP="00911C0D">
      <w:pPr>
        <w:pStyle w:val="Institutionquiagit"/>
      </w:pPr>
      <w:r w:rsidRPr="00FC6D3F">
        <w:t>IL-KUMMISSJONI EWROPEA,</w:t>
      </w:r>
    </w:p>
    <w:p w:rsidR="00911C0D" w:rsidRPr="00FC6D3F" w:rsidRDefault="00911C0D" w:rsidP="00911C0D">
      <w:r w:rsidRPr="00FC6D3F">
        <w:t>Wara li kkunsidrat ir-Regolament (UE) Nru 575/2013 tas-26 ta’ Ġunju 2013 tal-Parlament Ewropew u tal-Kunsill dwar ir-rekwiżiti prudenzjali għall-istituzzjonijiet ta’ kreditu u d-ditti tal-investiment u li jemenda r-Regolament (UE) Nru 648/2012</w:t>
      </w:r>
      <w:r w:rsidRPr="00FC6D3F">
        <w:rPr>
          <w:rStyle w:val="FootnoteReference"/>
        </w:rPr>
        <w:footnoteReference w:id="1"/>
      </w:r>
      <w:r w:rsidRPr="00FC6D3F">
        <w:t>, u b’mod partikolari l-ħames subparagrafu tal-Artikolu 430(7) u l-ħames subparagrafu tal-Artikolu 434a tiegħu,</w:t>
      </w:r>
    </w:p>
    <w:p w:rsidR="00911C0D" w:rsidRPr="00FC6D3F" w:rsidRDefault="00911C0D" w:rsidP="00911C0D">
      <w:r w:rsidRPr="00FC6D3F">
        <w:t>Wara li kkunsidrat id-Direttiva 2014/59/UE tal-Parlament Ewropew u tal-Kunsill tal-15 ta’ Mejju 2014 li tistabbilixxi qafas għall-irkupru u r-riżoluzzjoni ta’ istituzzjonijiet ta’ kreditu u ditti ta’ investiment u li temenda d-Direttiva tal-Kunsill 82/891/KEE, u d-Direttivi 2001/24/KE, 2002/47/KE, 2004/25/KE, 2005/56/KE, 2007/36/KE, 2011/35/UE, 2012/30/UE u 2013/36/UE, u r-Regolamenti (UE) Nru 1093/2010 u (UE) Nru 648/2012, tal-Parlament Ewropew u tal-Kunsill</w:t>
      </w:r>
      <w:r w:rsidRPr="00FC6D3F">
        <w:rPr>
          <w:rStyle w:val="FootnoteReference"/>
        </w:rPr>
        <w:footnoteReference w:id="2"/>
      </w:r>
      <w:r w:rsidRPr="00FC6D3F">
        <w:t>, u b’mod partikolari l-Artikolu 45i(5) u (6) tagħha,</w:t>
      </w:r>
    </w:p>
    <w:p w:rsidR="00911C0D" w:rsidRPr="00FC6D3F" w:rsidRDefault="00911C0D" w:rsidP="00911C0D">
      <w:r w:rsidRPr="00FC6D3F">
        <w:t>Billi:</w:t>
      </w:r>
    </w:p>
    <w:p w:rsidR="00911C0D" w:rsidRPr="00FC6D3F" w:rsidRDefault="00911C0D" w:rsidP="00B378A2">
      <w:pPr>
        <w:pStyle w:val="Considrant"/>
        <w:numPr>
          <w:ilvl w:val="0"/>
          <w:numId w:val="36"/>
        </w:numPr>
      </w:pPr>
      <w:r w:rsidRPr="00FC6D3F">
        <w:t>Il-livell minimu armonizzat tad-Dokument dwar il-Kundizzjonijiet tal-Kapaċità Totali ta’ Assorbiment tat-Telf (TLAC) (“standard tat-TLAC”) għal istituzzjonijiet globali sistemikament importanti (G-SIIs) (“ir-rekwiżit tat-TLAC”) ġie introdott fil-leġiżlazzjoni tal-Unjoni bir-Regolament (UE) 2019/876 tal-Parlament Ewropew u tal-Kunsill</w:t>
      </w:r>
      <w:r w:rsidRPr="00FC6D3F">
        <w:rPr>
          <w:rStyle w:val="FootnoteReference"/>
        </w:rPr>
        <w:footnoteReference w:id="3"/>
      </w:r>
      <w:r w:rsidRPr="00FC6D3F">
        <w:rPr>
          <w:sz w:val="23"/>
          <w:szCs w:val="23"/>
        </w:rPr>
        <w:t xml:space="preserve"> li jemenda r-Regolament (UE) Nru 575/2013. Is-supplimentazzjoni speċifika għall-istituzzjoni għal G-SIIs u r-rekwiżit speċifiku għall-istituzzjoni għal dawk li mhumiex G-SIIs, li ssir referenza għalihom bħala r-rekwiżit minimu għall-fondi proprji u l-obbligazzjonijiet eliġibbli (MREL), ġew stabbiliti permezz ta’ emendi mmirati għad-Direttiva 2014/59/UE introdotti mid-Direttiva (UE) </w:t>
      </w:r>
      <w:r w:rsidRPr="00FC6D3F">
        <w:t>2019/879 tal-Parlament Ewropew u tal-Kunsill</w:t>
      </w:r>
      <w:r w:rsidRPr="00FC6D3F">
        <w:rPr>
          <w:rStyle w:val="FootnoteReference"/>
        </w:rPr>
        <w:footnoteReference w:id="4"/>
      </w:r>
      <w:r w:rsidRPr="00FC6D3F">
        <w:t>. Ir-rekwiżiti ta’ rapportar u ta’ divulgazzjoni kemm għall-istandard tat-TLAC kif ukoll għall-MREL issa huma inklużi fir-Regolament (UE) Nru 575/2013 u fid-Direttiva 2014/59/UE, rispettivament.</w:t>
      </w:r>
    </w:p>
    <w:p w:rsidR="00911C0D" w:rsidRPr="00FC6D3F" w:rsidRDefault="00911C0D" w:rsidP="00911C0D">
      <w:pPr>
        <w:pStyle w:val="Considrant"/>
      </w:pPr>
      <w:r w:rsidRPr="00FC6D3F">
        <w:lastRenderedPageBreak/>
        <w:t>Billi l-istandard tat-TLAC u l-MREL għandhom l-istess objettiv li jiżguraw li l-istituzzjonijiet u l-entitajiet stabbiliti fl-Unjoni jkollhom kapaċità suffiċjenti ta’ assorbiment tat-telf u ta’ rikapitalizzazzjoni, jenħtieġ li ż-żewġ rekwiżiti jkunu elementi komplementari ta’ qafas komuni. Huwa għalhekk xieraq li jiġi stabbilit sett ta’ mudelli għar-rapportar u d-divulgazzjoni pubblika ta’ informazzjoni armonizzata dwar ir-rekwiżit għall-fondi proprji u l-obbligazzjonijiet eliġibbli għall-G-SIIs u s-sussidjarji materjali ta’ G-SIIs mhux tal-UE (TLAC) u l-MREL speċifiku għall-istituzzjoni applikabbli għall-istituzzjonijiet kollha.</w:t>
      </w:r>
    </w:p>
    <w:p w:rsidR="00911C0D" w:rsidRPr="00FC6D3F" w:rsidRDefault="00911C0D" w:rsidP="00911C0D">
      <w:pPr>
        <w:pStyle w:val="Considrant"/>
      </w:pPr>
      <w:r w:rsidRPr="00FC6D3F">
        <w:t>Skont l-Artikolu 434a tar-Regolament (UE) Nru 575/2013, l-abbozz ta’ standards tekniċi ta’ implimentazzjoni li għandu jiġi żviluppat mill-Awtorità Bankarja Ewropea (EBA) sabiex jiġu stabbiliti formati ta’ divulgazzjoni uniformi jrid ifittex li jżomm il-konsistenza tal-formati ta’ divulgazzjoni mal-istandards internazzjonali dwar id-divulgazzjonijiet sabiex jiffaċilita l-komparabbiltà tal-informazzjoni. F’Diċembru 2018, il-Kumitat ta’ Basel dwar is-Superviżjoni Bankarja (BCBS) ippubblika r-rekwiżiti tad-divulgazzjoni aġġornati tal-Pilastru 3, inklużi r-rekwiżiti dwar id-divulgazzjonijiet tat-TLAC. Għalhekk, jenħtieġ li l-formati tad-divulgazzjoni u l-istruzzjonijiet assoċjati stabbiliti f’dan ir-Regolament ikunu konsistenti ma’ dawk ir-rekwiżiti tad-divulgazzjoni aġġornati tal-BCBS.</w:t>
      </w:r>
    </w:p>
    <w:p w:rsidR="00911C0D" w:rsidRPr="00FC6D3F" w:rsidRDefault="00911C0D" w:rsidP="00911C0D">
      <w:pPr>
        <w:pStyle w:val="Considrant"/>
      </w:pPr>
      <w:r w:rsidRPr="00FC6D3F">
        <w:t>Sabiex jiġi żgurat li l-kostijiet ta’ konformità għall-istituzzjonijiet ma jiġux miżjuda b’mod mhux raġonevoli u li tinżamm il-kwalità tad-</w:t>
      </w:r>
      <w:r w:rsidRPr="00FC6D3F">
        <w:rPr>
          <w:i/>
        </w:rPr>
        <w:t>data</w:t>
      </w:r>
      <w:r w:rsidRPr="00FC6D3F">
        <w:t xml:space="preserve">, l-obbligi ta’ rapportar u ta’ divulgazzjoni jenħtieġ li jiġu allinjati fis-sustanza tagħhom sal-massimu possibbli ma’ xulxin, inkluż f’termini tal-frekwenza tagħhom. Barra minn hekk, allinjament tal-istandards tekniċi ta’ implimentazzjoni dwar l-obbligi ta’ rapportar u ta’ divulgazzjoni għat-TLAC u l-MREL huwa espliċitament meħtieġ mit-tielet subparagrafu tal-Artikolu 45i(5) u mit-tielet subparagrafu tal-Artikolu 45i(6) tad-Direttiva 2014/59/UE. Għalhekk, huwa xieraq li jiġu stabbiliti, f’Regolament wieħed, standards applikabbli kemm għar-rapportar kif ukoll għad-divulgazzjoni tat-TLAC u tal-MREL. Fl-istess ħin, jenħtieġ li l-granularità u l-frekwenza kemm tar-rapportar kif ukoll tad-divulgazzjonijiet jiġu aġġustati kif xieraq, filwaqt li jitqiesu r-rekwiżiti stabbiliti fir-Regolament (UE) Nru 575/2013 u fid-Direttiva 2014/59/UE, rispettivament, u l-ħtieġa li jiġi żgurat li l-istituzzjonijiet jissodisfaw dawk ir-rekwiżiti f’kull ħin. </w:t>
      </w:r>
    </w:p>
    <w:p w:rsidR="00911C0D" w:rsidRPr="00FC6D3F" w:rsidRDefault="00911C0D" w:rsidP="00911C0D">
      <w:pPr>
        <w:pStyle w:val="Considrant"/>
        <w:rPr>
          <w:noProof/>
        </w:rPr>
      </w:pPr>
      <w:r w:rsidRPr="00FC6D3F">
        <w:t>Id-Direttiva 2014/59/UE tesiġi li l-informazzjoni dwar l-MREL tiġi rrapportata kemm lill-awtoritajiet kompetenti kif ukoll lil dawk ta’ riżoluzzjoni. Ir-Regolament (UE) Nru 575/2013 jesiġi li l-informazzjoni dwar it-TLAC tiġi rrapportata lill-awtoritajiet kompetenti biss. Madankollu, skont l-Artikolu 45d(1) tad-Direttiva 2014/59/UE, l-MREL ta’ entità ta’ riżoluzzjoni li hija G-SII jew parti minn G-SII jikkonsisti fir-rekwiżit tat-TLAC u kwalunkwe supplimentazzjoni addizzjonali. Għalhekk, huwa xieraq li jiġi żgurat li l-awtoritajiet ta’ riżoluzzjoni jiksbu informazzjoni dwar it-TLAC mingħand il-G-SIIs bħala parti mir-rapportar tal-MREL tagħhom. Jenħtieġ li dan ikun mingħajr preġudizzju għall-arranġamenti konklużi mill-awtoritajiet kompetenti u mill-awtoritajiet ta’ riżoluzzjoni biex jimminimizzaw il-flussi tad-</w:t>
      </w:r>
      <w:r w:rsidRPr="00FC6D3F">
        <w:rPr>
          <w:i/>
        </w:rPr>
        <w:t>data</w:t>
      </w:r>
      <w:r w:rsidRPr="00FC6D3F">
        <w:t>.</w:t>
      </w:r>
    </w:p>
    <w:p w:rsidR="00911C0D" w:rsidRPr="00FC6D3F" w:rsidRDefault="00911C0D" w:rsidP="00911C0D">
      <w:pPr>
        <w:pStyle w:val="Considrant"/>
      </w:pPr>
      <w:r w:rsidRPr="00FC6D3F">
        <w:t xml:space="preserve">L-Artikolu 45i(5) tad-Direttiva 2014/59/UE jesiġi li l-EBA tiżviluppa l-abbozz ta’ standards tekniċi ta’ implimentazzjoni biex tispeċifika mod standardizzat ta’ kif tiġi pprovduta informazzjoni dwar il-klassifikazzjoni tal-fondi proprji u l-obbligazzjonijiet ta’ kapaċità ta’ rikapitalizzazzjoni interna applikabbli fi proċedimenti ta’ insolvenza nazzjonali f’kull Stat Membru, għal raġunijiet ta’ komparabbiltà u ċertezza legali. Informazzjoni standardizzata dwar il-ġerarkiji tal-insolvenza f’kull Stat Membru, u aġġornamenti f’waqthom tagħha, jenħtieġ li għalhekk ikunu disponibbli mill-awtoritajiet ta’ riżoluzzjoni rispettivi għall-istituzzjonijiet taħt il-ġuriżdizzjoni </w:t>
      </w:r>
      <w:r w:rsidRPr="00FC6D3F">
        <w:lastRenderedPageBreak/>
        <w:t>tagħhom. Jenħtieġ li dik l-informazzjoni ssegwi preżentazzjoni standardizzata ta’ ġerarkiji ta’ insolvenza.</w:t>
      </w:r>
    </w:p>
    <w:p w:rsidR="00911C0D" w:rsidRPr="00FC6D3F" w:rsidRDefault="00911C0D" w:rsidP="00911C0D">
      <w:pPr>
        <w:pStyle w:val="Considrant"/>
      </w:pPr>
      <w:r w:rsidRPr="00FC6D3F">
        <w:t>Fir-rigward tal-obbligazzjonijiet ta’ kapaċità ta’ rikapitalizzazzjoni interna li huma rregolati mil-liġijiet ta’ pajjiż terz, l-Artikolu 45i(5) tad-Direttiva 2014/59/UE jesiġi wkoll li l-abbozz ta’ standards tekniċi ta’ implimentazzjoni li se tiżviluppa l-EBA jispeċifika mod standardizzat ta’ kif tiġi pprovduta informazzjoni li tindika pajjiżi terzi li l-liġijiet tagħhom jirregolaw tali obbligazzjonijiet u, għal kull pajjiż terz identifikat, jekk tali obbligazzjonijiet fihomx it-terminu kuntrattwali li jirrikonoxxi li jistgħu jkunu soġġetti skont dik id-Direttiva għal setgħat ta’ tniżżil fil-valur u ta’ konverżjoni. Minħabba l-ħtieġa li jiġi vvalutat aktar il-livell ta’ granularità għar-rapportar ta’ dawn l-elementi, l-istruzzjonijiet u l-mudelli relatati se jiġu żviluppati u ppreżentati mill-EBA lill-Kummissjoni separatament fi żmien xieraq sabiex kemm l-awtoritajiet kompetenti kif ukoll dawk ta’ riżoluzzjoni jkollhom aċċess għal din l-informazzjoni fuq bażi regolari. In-nuqqas ta’ dawn l-elementi addizzjonali limitati la se jaffettwa u lanqas idewwem l-applikazzjoni tar-rekwiżiti ta’ rapportar previsti f’dan ir-Regolament.</w:t>
      </w:r>
    </w:p>
    <w:p w:rsidR="00911C0D" w:rsidRPr="00FC6D3F" w:rsidRDefault="00911C0D" w:rsidP="00911C0D">
      <w:pPr>
        <w:pStyle w:val="Considrant"/>
      </w:pPr>
      <w:r w:rsidRPr="00FC6D3F">
        <w:t xml:space="preserve">L-entitajiet li jiddivulgaw jenħtieġ li jqisu l-Linji Gwida rilevanti maħruġa mill-EBA meta jivvalutaw jekk l-informazzjoni hijiex materjali, proprjetarja jew kunfidenzjali f’konformità mal-Artikolu 432 tar-Regolament (UE) Nru 575/2013. </w:t>
      </w:r>
    </w:p>
    <w:p w:rsidR="00911C0D" w:rsidRPr="00FC6D3F" w:rsidRDefault="00911C0D" w:rsidP="00911C0D">
      <w:pPr>
        <w:pStyle w:val="Considrant"/>
        <w:rPr>
          <w:noProof/>
        </w:rPr>
      </w:pPr>
      <w:r w:rsidRPr="00FC6D3F">
        <w:t>L-obbligu li tiġi rrapportata u divulgata l-informazzjoni dwar it-TLAC, kif stipulat fil-punt (b) tal-Artikolu 430(1), fl-Artikolu 437a u fil-punt (h) tal-Artikolu 447 tar-Regolament (UE) Nru 575/2013 ilu japplika mis-27 ta’ Ġunju 2019, f’konformità mat-tieni subparagrafu tal-Artikolu 3(3) tar-Regolament (UE) 2019/876. Konsegwentement, ladarba dan ir-Regolament jidħol fis-seħħ, jenħtieġ li l-G-SIIs u s-sussidjarji materjali ta’ G-SIIs mhux tal-UE jiddivulgaw minnufih informazzjoni dwar it-TLAC billi jużaw il-mudelli u jsegwu l-istruzzjonijiet stipulati f’dan ir-Regolament. B’kuntrast ma’ dan, jenħtieġ li r-rapportar dwar ir-rekwiżit tat-TLAC f’konformità ma’ dan ir-Regolament jibda japplika biss mit-28 ta’ Ġunju 2021, sabiex l-istituzzjonijiet u l-awtoritajiet kompetenti jingħataw biżżejjed żmien biex jimplimentaw ir-rekwiżiti rilevanti.</w:t>
      </w:r>
    </w:p>
    <w:p w:rsidR="00911C0D" w:rsidRPr="00FC6D3F" w:rsidRDefault="00911C0D" w:rsidP="00911C0D">
      <w:pPr>
        <w:pStyle w:val="Considrant"/>
        <w:rPr>
          <w:noProof/>
        </w:rPr>
      </w:pPr>
      <w:r w:rsidRPr="00FC6D3F">
        <w:rPr>
          <w:color w:val="000000"/>
        </w:rPr>
        <w:t>B’rabta mal-MREL, l-obbligi ta’ rapportar stabbiliti fid-Direttiva 2014/59/UE għandhom japplikaw sa mhux aktar tard mit-28 ta’ Diċembru 2020. Madankollu, għall-istess raġunijiet bħal dawk għat-TLAC, l-istituzzjonijiet kollha jenħtieġ li jirrapportaw l-informazzjoni dwar l-MREL bl-użu tal-mudelli u billi jsegwu l-istruzzjonijiet stipulati f’dan ir-Regolament mit-28 ta’ Ġunju 2021. B’kuntrast ma’ dan, jenħtieġ li d-data tal-applikazzjoni tal-obbligi ta’ divulgazzjoni ta’ MREL tikkoinċidi mat-tmiem tal-perjodu ta’ tranżizzjoni skont it-tielet subparagrafu tal-Artikolu 45m(1) tad-Direttiva 2014/59/UE, jiġifieri mhux aktar kmieni mill-1 ta’ Jannar 2024.</w:t>
      </w:r>
      <w:r w:rsidRPr="00FC6D3F">
        <w:t xml:space="preserve"> </w:t>
      </w:r>
    </w:p>
    <w:p w:rsidR="00D05552" w:rsidRPr="00FC6D3F" w:rsidRDefault="00EA09E4" w:rsidP="00EA09E4">
      <w:pPr>
        <w:pStyle w:val="Considrant"/>
        <w:rPr>
          <w:noProof/>
        </w:rPr>
      </w:pPr>
      <w:r w:rsidRPr="00FC6D3F">
        <w:t>Minħabba l-ħtieġa li l-istituzzjonijiet, l-awtoritajiet kompetenti u l-awtoritajiet ta’ riżoluzzjoni jadattaw is-sistemi ta’ rapportar u dawk elettroniċi tagħhom għar-rekwiżiti stabbiliti f’dan ir-Regolament, id-data ta’ rimessa tar-rapportar trimestrali għad-</w:t>
      </w:r>
      <w:r w:rsidRPr="00FC6D3F">
        <w:rPr>
          <w:i/>
          <w:iCs/>
        </w:rPr>
        <w:t>data</w:t>
      </w:r>
      <w:r w:rsidRPr="00FC6D3F">
        <w:t xml:space="preserve"> relatata mad-data ta’ referenza tat-30 ta’ Ġunju 2021 għandha tkun mhux aktar tard mit-30 ta’ Settembru 2021.</w:t>
      </w:r>
      <w:r w:rsidRPr="00FC6D3F">
        <w:cr/>
      </w:r>
      <w:r w:rsidRPr="00FC6D3F">
        <w:br/>
        <w:t xml:space="preserve"> </w:t>
      </w:r>
    </w:p>
    <w:p w:rsidR="00911C0D" w:rsidRPr="00FC6D3F" w:rsidRDefault="00911C0D" w:rsidP="00911C0D">
      <w:pPr>
        <w:pStyle w:val="Considrant"/>
        <w:rPr>
          <w:noProof/>
        </w:rPr>
      </w:pPr>
      <w:r w:rsidRPr="00FC6D3F">
        <w:t>Dan ir-Regolament huwa bbażat fuq l-abbozz ta’ standards tekniċi ta’ implimentazzjoni sottomess lill-Kummissjoni mill-EBA.</w:t>
      </w:r>
    </w:p>
    <w:p w:rsidR="00911C0D" w:rsidRPr="00FC6D3F" w:rsidRDefault="00911C0D" w:rsidP="00911C0D">
      <w:pPr>
        <w:pStyle w:val="Considrant"/>
        <w:rPr>
          <w:noProof/>
          <w:color w:val="000000"/>
        </w:rPr>
      </w:pPr>
      <w:r w:rsidRPr="00FC6D3F">
        <w:lastRenderedPageBreak/>
        <w:t>L-EBA wettqet konsultazzjonijiet pubbliċi miftuħa dwar l-abbozz ta’ standards tekniċi ta’ implementazzjoni li fuqu huwa bbażat dan ir-Regolament, analizzat il-kostijiet u l-benefiċċji potenzjali relatati u talbet il-parir tal-Grupp tal-Partijiet Bankarji Interessati stabbilit f’konformità mal-Artikolu 37 tar-Regolament (UE) Nru 1093/2010 tal-Parlament Ewropew u tal-Kunsill</w:t>
      </w:r>
      <w:r w:rsidRPr="00FC6D3F">
        <w:rPr>
          <w:rStyle w:val="FootnoteReference"/>
        </w:rPr>
        <w:footnoteReference w:id="5"/>
      </w:r>
      <w:r w:rsidRPr="00FC6D3F">
        <w:t>,</w:t>
      </w:r>
    </w:p>
    <w:p w:rsidR="00911C0D" w:rsidRPr="00FC6D3F" w:rsidRDefault="00911C0D" w:rsidP="00911C0D">
      <w:pPr>
        <w:pStyle w:val="Formuledadoption"/>
      </w:pPr>
      <w:r w:rsidRPr="00FC6D3F">
        <w:t>ADOTTAT DAN IR-REGOLAMENT:</w:t>
      </w:r>
    </w:p>
    <w:p w:rsidR="00911C0D" w:rsidRPr="00FC6D3F" w:rsidRDefault="00911C0D" w:rsidP="00911C0D">
      <w:pPr>
        <w:pStyle w:val="SectionTitle"/>
        <w:rPr>
          <w:b w:val="0"/>
          <w:i/>
        </w:rPr>
      </w:pPr>
      <w:r w:rsidRPr="00FC6D3F">
        <w:rPr>
          <w:b w:val="0"/>
          <w:i/>
        </w:rPr>
        <w:t>TITOLU I</w:t>
      </w:r>
      <w:r w:rsidRPr="00FC6D3F">
        <w:t xml:space="preserve"> </w:t>
      </w:r>
      <w:r w:rsidRPr="00FC6D3F">
        <w:br/>
      </w:r>
      <w:r w:rsidRPr="00FC6D3F">
        <w:rPr>
          <w:b w:val="0"/>
          <w:i/>
        </w:rPr>
        <w:t>RAPPORTAR SUPERVIŻORJU</w:t>
      </w:r>
    </w:p>
    <w:p w:rsidR="00911C0D" w:rsidRPr="00FC6D3F" w:rsidRDefault="00911C0D" w:rsidP="00911C0D">
      <w:pPr>
        <w:pStyle w:val="Titrearticle"/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1</w:t>
      </w:r>
      <w:r w:rsidR="00124E6B">
        <w:fldChar w:fldCharType="end"/>
      </w:r>
      <w:r w:rsidRPr="00FC6D3F">
        <w:t xml:space="preserve"> </w:t>
      </w:r>
      <w:r w:rsidRPr="00FC6D3F">
        <w:br/>
        <w:t>Dati ta’ referenza tar-rapportar</w:t>
      </w:r>
    </w:p>
    <w:p w:rsidR="00911C0D" w:rsidRPr="00FC6D3F" w:rsidRDefault="00911C0D" w:rsidP="00911C0D">
      <w:pPr>
        <w:keepNext/>
        <w:keepLines/>
        <w:spacing w:before="360"/>
        <w:rPr>
          <w:noProof/>
        </w:rPr>
      </w:pPr>
      <w:r w:rsidRPr="00FC6D3F">
        <w:t>L-entitajiet soġġetti għal rekwiżiti ta’ rapportar għall-kapaċità totali ta’ assorbiment tat-telf (TLAC) u r-rekwiżit</w:t>
      </w:r>
      <w:r w:rsidRPr="00FC6D3F">
        <w:rPr>
          <w:sz w:val="23"/>
          <w:szCs w:val="23"/>
        </w:rPr>
        <w:t xml:space="preserve"> minimu għall-fondi proprji u l-obbligazzjonijiet eliġibbli </w:t>
      </w:r>
      <w:r w:rsidRPr="00FC6D3F">
        <w:t>(MREL) fuq bażi individwali jew konsolidata (entitajiet li jirrapportaw) għandhom jissottomettu l-informazzjoni lill-awtoritajiet kompetenti u lill-awtoritajiet ta’ riżoluzzjoni kif tkun fid-dati ta’ referenza tar-rapportar li ġejjin:</w:t>
      </w:r>
    </w:p>
    <w:p w:rsidR="00911C0D" w:rsidRPr="00FC6D3F" w:rsidRDefault="00911C0D" w:rsidP="00911C0D">
      <w:pPr>
        <w:pStyle w:val="Point0"/>
        <w:rPr>
          <w:noProof/>
        </w:rPr>
      </w:pPr>
      <w:r w:rsidRPr="00FC6D3F">
        <w:t>(a)</w:t>
      </w:r>
      <w:r w:rsidRPr="00FC6D3F">
        <w:tab/>
        <w:t>għar-rapportar trimestrali: il-31 ta’ Marzu, it-30 ta’ Ġunju, it-30 ta’ Settembru u l-31 ta’ Diċembru;</w:t>
      </w:r>
    </w:p>
    <w:p w:rsidR="00911C0D" w:rsidRPr="00FC6D3F" w:rsidRDefault="00911C0D" w:rsidP="00911C0D">
      <w:pPr>
        <w:pStyle w:val="Point0"/>
        <w:rPr>
          <w:noProof/>
        </w:rPr>
      </w:pPr>
      <w:r w:rsidRPr="00FC6D3F">
        <w:t>(b)</w:t>
      </w:r>
      <w:r w:rsidRPr="00FC6D3F">
        <w:tab/>
        <w:t>għar-rapportar ta’ kull sitt xhur: it-30 ta’ Ġunju u l-31 ta’ Diċembru;</w:t>
      </w:r>
    </w:p>
    <w:p w:rsidR="00911C0D" w:rsidRPr="00FC6D3F" w:rsidRDefault="00911C0D" w:rsidP="00911C0D">
      <w:pPr>
        <w:pStyle w:val="Point0"/>
        <w:rPr>
          <w:noProof/>
        </w:rPr>
      </w:pPr>
      <w:r w:rsidRPr="00FC6D3F">
        <w:t>(c)</w:t>
      </w:r>
      <w:r w:rsidRPr="00FC6D3F">
        <w:tab/>
        <w:t>għar-rapportar annwali: il-31 ta’ Diċembru.</w:t>
      </w:r>
    </w:p>
    <w:p w:rsidR="00911C0D" w:rsidRPr="00FC6D3F" w:rsidRDefault="00911C0D" w:rsidP="00911C0D">
      <w:pPr>
        <w:pStyle w:val="Titrearticle"/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2</w:t>
      </w:r>
      <w:r w:rsidR="00124E6B">
        <w:fldChar w:fldCharType="end"/>
      </w:r>
      <w:r w:rsidRPr="00FC6D3F">
        <w:t xml:space="preserve"> </w:t>
      </w:r>
      <w:r w:rsidRPr="00FC6D3F">
        <w:br/>
        <w:t>Dati ta’ rimessa</w:t>
      </w:r>
    </w:p>
    <w:p w:rsidR="00911C0D" w:rsidRPr="00FC6D3F" w:rsidRDefault="00911C0D" w:rsidP="00080A21">
      <w:pPr>
        <w:pStyle w:val="NumPar1"/>
        <w:numPr>
          <w:ilvl w:val="0"/>
          <w:numId w:val="2"/>
        </w:numPr>
        <w:rPr>
          <w:noProof/>
        </w:rPr>
      </w:pPr>
      <w:r w:rsidRPr="00FC6D3F">
        <w:t>L-entitajiet li jirrapportaw għandhom jissottomettu l-informazzjoni lill-awtoritajiet kompetenti u lill-awtoritajiet ta’ riżoluzzjoni sa tmiem il-ġurnata tax-xogħol tad-dati ta’ rimessa li ġejjin:</w:t>
      </w:r>
    </w:p>
    <w:p w:rsidR="00911C0D" w:rsidRPr="00FC6D3F" w:rsidRDefault="00911C0D" w:rsidP="00144CAD">
      <w:pPr>
        <w:pStyle w:val="Point1letter"/>
        <w:numPr>
          <w:ilvl w:val="3"/>
          <w:numId w:val="37"/>
        </w:numPr>
        <w:rPr>
          <w:noProof/>
        </w:rPr>
      </w:pPr>
      <w:r w:rsidRPr="00FC6D3F">
        <w:t>għar-rapportar trimestrali: id-19 ta’ Mejju, it-18 ta’ Awwissu, it-18 ta’ Novembru u t-18 ta’ Frar, bl-eċċezzjoni tad-</w:t>
      </w:r>
      <w:r w:rsidRPr="00FC6D3F">
        <w:rPr>
          <w:i/>
          <w:iCs/>
        </w:rPr>
        <w:t>data</w:t>
      </w:r>
      <w:r w:rsidRPr="00FC6D3F">
        <w:t xml:space="preserve"> relatata mad-data ta’ referenza tat-30 ta’ Ġunju 2021, li għaliha d-data ta’ rimessa għandha tkun mhux aktar tard mit-30 ta’ Settembru 2021;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għar-rapportar ta’ kull sitt xhur: it-18 ta’ Awwissu u t-18 ta’ Frar;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għar-rapportar annwali: it-18 ta’ Frar.</w:t>
      </w:r>
    </w:p>
    <w:p w:rsidR="00911C0D" w:rsidRPr="00FC6D3F" w:rsidRDefault="00911C0D" w:rsidP="00911C0D">
      <w:pPr>
        <w:pStyle w:val="NumPar1"/>
        <w:rPr>
          <w:noProof/>
        </w:rPr>
      </w:pPr>
      <w:r w:rsidRPr="00FC6D3F">
        <w:t>Meta l-ġurnata tar-rimessa tkun btala pubblika fl-Istat Membru tal-awtorità kompetenti jew tal-awtorità ta’ riżoluzzjoni li lilha għandha tiġi sottomessa l-informazzjoni msemmija fil-paragrafu 1, jew inkella nhar ta’ Sibt jew Ħadd, dik l-informazzjoni għandha tiġi sottomessa sa tmiem il-ġurnata tax-xogħol tal-ġurnata tax-xogħol ta’ wara.</w:t>
      </w:r>
    </w:p>
    <w:p w:rsidR="00911C0D" w:rsidRPr="00FC6D3F" w:rsidRDefault="00911C0D" w:rsidP="00911C0D">
      <w:pPr>
        <w:pStyle w:val="NumPar1"/>
        <w:rPr>
          <w:noProof/>
        </w:rPr>
      </w:pPr>
      <w:r w:rsidRPr="00FC6D3F">
        <w:t xml:space="preserve">L-entitajiet li jirrapportaw jistgħu jissottomettu ċifri li ma jkunux irċevew opinjoni ta’ awditur estern (ċifri mhux awditjati). Meta ċ-ċifri awditjati minn awditur estern li jesprimi opinjoni ta’ awditjar (ċifri awditjati) jiddevjaw miċ-ċifri mhux awditjati </w:t>
      </w:r>
      <w:r w:rsidRPr="00FC6D3F">
        <w:lastRenderedPageBreak/>
        <w:t xml:space="preserve">sottomessi, l-entitajiet li jirrapportaw għandhom jissottomettu ċ-ċifri awditjati riveduti mingħajr dewmien żejjed. </w:t>
      </w:r>
    </w:p>
    <w:p w:rsidR="00911C0D" w:rsidRPr="00FC6D3F" w:rsidRDefault="00911C0D" w:rsidP="00911C0D">
      <w:pPr>
        <w:pStyle w:val="NumPar1"/>
        <w:rPr>
          <w:noProof/>
        </w:rPr>
      </w:pPr>
      <w:r w:rsidRPr="00FC6D3F">
        <w:t>L-entitajiet li jirrapportaw għandhom jissottomettu kwalunkwe korrezzjoni oħra lill-awtoritajiet kompetenti u lill-awtoritajiet ta’ riżoluzzjoni mingħajr dewmien żejjed.</w:t>
      </w:r>
    </w:p>
    <w:p w:rsidR="00911C0D" w:rsidRPr="00FC6D3F" w:rsidRDefault="00911C0D" w:rsidP="00911C0D">
      <w:pPr>
        <w:pStyle w:val="Titrearticle"/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3</w:t>
      </w:r>
      <w:r w:rsidR="00124E6B">
        <w:fldChar w:fldCharType="end"/>
      </w:r>
      <w:r w:rsidRPr="00FC6D3F">
        <w:t xml:space="preserve"> </w:t>
      </w:r>
      <w:r w:rsidRPr="00FC6D3F">
        <w:br/>
        <w:t>Il-format u l-frekwenza tar-rapportar mill-entitajiet ta’ riżoluzzjoni fuq bażi individwali</w:t>
      </w:r>
    </w:p>
    <w:p w:rsidR="00911C0D" w:rsidRPr="00FC6D3F" w:rsidRDefault="00911C0D" w:rsidP="00080A21">
      <w:pPr>
        <w:pStyle w:val="NumPar1"/>
        <w:numPr>
          <w:ilvl w:val="0"/>
          <w:numId w:val="1"/>
        </w:numPr>
        <w:rPr>
          <w:noProof/>
        </w:rPr>
      </w:pPr>
      <w:r w:rsidRPr="00FC6D3F">
        <w:t>L-entitajiet ta’ riżoluzzjoni mingħajr sussidjarji soġġetti għar-rekwiżiti stabbiliti fl-Artikolu 45 tad-Direttiva 2014/59/UE f’konformità mal-Artikolu 45e ta’ dik id-Direttiva għandhom jissottomettu lill-awtoritajiet kompetenti u lill-awtoritajiet ta’ riżoluzzjoni informazzjoni fuq bażi individwali kif ġej:</w:t>
      </w:r>
    </w:p>
    <w:p w:rsidR="00911C0D" w:rsidRPr="00FC6D3F" w:rsidRDefault="00911C0D" w:rsidP="00080A21">
      <w:pPr>
        <w:pStyle w:val="Point1letter"/>
        <w:numPr>
          <w:ilvl w:val="3"/>
          <w:numId w:val="7"/>
        </w:numPr>
        <w:rPr>
          <w:noProof/>
        </w:rPr>
      </w:pPr>
      <w:r w:rsidRPr="00FC6D3F">
        <w:t>l-informazzjoni dwar metriċi ewlenin kif speċifikat fil-kolonni 0010 tal-mudell 1 tal-Anness I ta’ dan ir-Regolament għandha tiġi rrapportata bi frekwenza trimestrali f’konformità mal-istruzzjonijiet fil-punt 1 tal-Parti II tal-Anness II ta’ dan ir-Regolament;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l-informazzjoni dwar il-kompożizzjoni tal-fondi proprji u l-obbligazzjonijiet eliġibbli kif speċifikat fil-kolonna 0010 tal-mudell 2 tal-Anness I ta’ dan ir-Regolament għandha tiġi rrapportata bi frekwenza trimestrali f’konformità mal-istruzzjonijiet fil-punt 2.1 tal-Parti II tal-Anness II ta’ dan ir-Regolament;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l-informazzjoni dwar l-istruttura ta’ finanzjament tal-obbligazzjonijiet eliġibbli kif speċifikat fil-mudell 4 tal-Anness I ta’ dan ir-Regolament għandha tiġi rrapportata bi frekwenza trimestrali f’konformità mal-istruzzjonijiet fil-punt 2.3 tal-Parti II tal-Anness II ta’ dan ir-Regolament;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l-informazzjoni dwar l-istrumenti rregolati mil-liġi ta’ pajjiż terz, kif speċifikat fil-mudell 7 tal-Anness I ta’ dan ir-Regolament, għandha tiġi rrapportata bi frekwenza trimestrali f’konformità mal-istruzzjonijiet fil-punt 4 tal-Parti II tal-Anness II ta’ dan ir-Regolament.</w:t>
      </w:r>
    </w:p>
    <w:p w:rsidR="00911C0D" w:rsidRPr="00FC6D3F" w:rsidRDefault="00911C0D" w:rsidP="00080A21">
      <w:pPr>
        <w:pStyle w:val="NumPar1"/>
        <w:numPr>
          <w:ilvl w:val="0"/>
          <w:numId w:val="1"/>
        </w:numPr>
        <w:rPr>
          <w:noProof/>
        </w:rPr>
      </w:pPr>
      <w:r w:rsidRPr="00FC6D3F">
        <w:t>L-entitajiet ta’ riżoluzzjoni għandhom jissottomettu lill-awtoritajiet kompetenti u lill-awtoritajiet ta’ riżoluzzjoni informazzjoni dwar id-diżaggregazzjoni tal-fondi proprji u l-obbligazzjonijiet skont il-grad ta’ insolvenza kif speċifikat fil-mudell 6 tal-Anness I fuq bażi individwali bi frekwenza trimestrali f’konformità mal-istruzzjonijiet fil-punt 3.2 tal-Parti II tal-Anness II.</w:t>
      </w:r>
    </w:p>
    <w:p w:rsidR="00911C0D" w:rsidRPr="00FC6D3F" w:rsidRDefault="00911C0D" w:rsidP="00080A21">
      <w:pPr>
        <w:pStyle w:val="NumPar1"/>
        <w:numPr>
          <w:ilvl w:val="0"/>
          <w:numId w:val="1"/>
        </w:numPr>
        <w:rPr>
          <w:noProof/>
        </w:rPr>
      </w:pPr>
      <w:r w:rsidRPr="00FC6D3F">
        <w:t>Minbarra l-informazzjoni msemmija fil-paragrafi 1 u 2, l-entitajiet ta’ riżoluzzjoni soġġetti għar-rekwiżit stabbilit fl-Artikolu 92a tar-Regolament (UE) Nru 575/2013 fuq bażi individwali f’konformità mal-Artikolu 6(1a) ta’ dak ir-Regolament għandhom jissottomettu lill-awtoritajiet ta’ riżoluzzjoni u lill-awtoritajiet kompetenti informazzjoni fuq bażi individwali kif ġej:</w:t>
      </w:r>
    </w:p>
    <w:p w:rsidR="00911C0D" w:rsidRPr="00FC6D3F" w:rsidRDefault="00911C0D" w:rsidP="00080A21">
      <w:pPr>
        <w:pStyle w:val="Point1letter"/>
        <w:numPr>
          <w:ilvl w:val="3"/>
          <w:numId w:val="8"/>
        </w:numPr>
        <w:rPr>
          <w:noProof/>
        </w:rPr>
      </w:pPr>
      <w:r w:rsidRPr="00FC6D3F">
        <w:t>l-informazzjoni dwar metriċi ewlenin kif speċifikat fil-kolonni 0020 tal-mudell 1 tal-Anness I ta’ dan ir-Regolament għandha tiġi rrapportata bi frekwenza trimestrali f’konformità mal-istruzzjonijiet fil-punt 1 tal-Parti II tal-Anness II ta’ dan ir-Regolament;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l-informazzjoni dwar il-kompożizzjoni tal-fondi proprji u l-obbligazzjonijiet eliġibbli kif speċifikat fil-kolonni 0020 u 0030 tal-mudell 2 tal-Anness I ta’ dan ir-Regolament għandha tiġi rrapportata bi frekwenza trimestrali f’konformità mal-istruzzjonijiet fil-punt 2.1 tal-Parti II tal-Anness II ta’ dan ir-Regolament.</w:t>
      </w:r>
    </w:p>
    <w:p w:rsidR="00911C0D" w:rsidRPr="00FC6D3F" w:rsidRDefault="00911C0D" w:rsidP="00911C0D">
      <w:pPr>
        <w:pStyle w:val="Titrearticle"/>
      </w:pPr>
      <w:r w:rsidRPr="00FC6D3F">
        <w:lastRenderedPageBreak/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4</w:t>
      </w:r>
      <w:r w:rsidR="00124E6B">
        <w:fldChar w:fldCharType="end"/>
      </w:r>
      <w:r w:rsidRPr="00FC6D3F">
        <w:t xml:space="preserve"> </w:t>
      </w:r>
      <w:r w:rsidRPr="00FC6D3F">
        <w:br/>
        <w:t>Il-format u l-frekwenza tar-rapportar mill-entitajiet ta’ riżoluzzjoni fuq bażi konsolidata</w:t>
      </w:r>
    </w:p>
    <w:p w:rsidR="00911C0D" w:rsidRPr="00FC6D3F" w:rsidRDefault="00911C0D" w:rsidP="00080A21">
      <w:pPr>
        <w:pStyle w:val="NumPar1"/>
        <w:numPr>
          <w:ilvl w:val="0"/>
          <w:numId w:val="3"/>
        </w:numPr>
        <w:rPr>
          <w:noProof/>
        </w:rPr>
      </w:pPr>
      <w:r w:rsidRPr="00FC6D3F">
        <w:t>L-entitajiet ta’ riżoluzzjoni soġġetti għar-rekwiżiti stabbiliti fl-Artikolu 45 tad-Direttiva 2014/59/UE fuq bażi konsolidata f’konformità mal-Artikolu 45e ta’ dik id-Direttiva għandhom jissottomettu lill-awtoritajiet kompetenti u lill-awtoritajiet ta’ riżoluzzjoni informazzjoni fuq bażi konsolidata kif ġej:</w:t>
      </w:r>
    </w:p>
    <w:p w:rsidR="00911C0D" w:rsidRPr="00FC6D3F" w:rsidRDefault="00911C0D" w:rsidP="00080A21">
      <w:pPr>
        <w:pStyle w:val="Point1letter"/>
        <w:numPr>
          <w:ilvl w:val="3"/>
          <w:numId w:val="9"/>
        </w:numPr>
        <w:rPr>
          <w:noProof/>
        </w:rPr>
      </w:pPr>
      <w:r w:rsidRPr="00FC6D3F">
        <w:t>l-informazzjoni dwar metriċi ewlenin kif speċifikat fil-kolonni 0010 tal-mudell 1 tal-Anness I ta’ dan ir-Regolament għandha tiġi rrapportata bi frekwenza trimestrali f’konformità mal-istruzzjonijiet fil-punt 1 tal-Parti II tal-Anness II ta’ dan ir-Regolament;</w:t>
      </w:r>
    </w:p>
    <w:p w:rsidR="00911C0D" w:rsidRPr="00FC6D3F" w:rsidRDefault="00911C0D" w:rsidP="00080A21">
      <w:pPr>
        <w:pStyle w:val="Point1letter"/>
        <w:numPr>
          <w:ilvl w:val="3"/>
          <w:numId w:val="9"/>
        </w:numPr>
        <w:rPr>
          <w:noProof/>
        </w:rPr>
      </w:pPr>
      <w:r w:rsidRPr="00FC6D3F">
        <w:t>l-informazzjoni dwar il-kompożizzjoni tal-fondi proprji u l-obbligazzjonijiet eliġibbli kif speċifikat fil-kolonna 0010 tal-mudell 2 tal-Anness I ta’ dan ir-Regolament għandha tiġi rrapportata bi frekwenza trimestrali f’konformità mal-istruzzjonijiet fil-punt 2.1 tal-Parti II tal-Anness II ta’ dan ir-Regolament;</w:t>
      </w:r>
    </w:p>
    <w:p w:rsidR="00911C0D" w:rsidRPr="00FC6D3F" w:rsidRDefault="00911C0D" w:rsidP="00080A21">
      <w:pPr>
        <w:pStyle w:val="Point1letter"/>
        <w:numPr>
          <w:ilvl w:val="3"/>
          <w:numId w:val="9"/>
        </w:numPr>
        <w:rPr>
          <w:noProof/>
        </w:rPr>
      </w:pPr>
      <w:r w:rsidRPr="00FC6D3F">
        <w:t>l-informazzjoni dwar l-istruttura ta’ finanzjament tal-obbligazzjonijiet eliġibbli kif speċifikat fil-mudell 4 tal-Anness I ta’ dan ir-Regolament għandha tiġi rrapportata bi frekwenza trimestrali f’konformità mal-istruzzjonijiet fil-punt 2.3 tal-Parti II tal-Anness II ta’ dan ir-Regolament;</w:t>
      </w:r>
    </w:p>
    <w:p w:rsidR="00911C0D" w:rsidRPr="00FC6D3F" w:rsidRDefault="00911C0D" w:rsidP="00080A21">
      <w:pPr>
        <w:pStyle w:val="Point1letter"/>
        <w:numPr>
          <w:ilvl w:val="3"/>
          <w:numId w:val="9"/>
        </w:numPr>
        <w:rPr>
          <w:noProof/>
        </w:rPr>
      </w:pPr>
      <w:r w:rsidRPr="00FC6D3F">
        <w:t>l-informazzjoni dwar l-istrumenti rregolati mil-liġi ta’ pajjiż terz kif speċifikat fil-mudell 7 tal-Anness I ta’ dan ir-Regolament għandha tiġi rrapportata bi frekwenza trimestrali f’konformità mal-istruzzjonijiet fil-punt 4 tal-Parti II tal-Anness II ta’ dan ir-Regolament.</w:t>
      </w:r>
    </w:p>
    <w:p w:rsidR="00911C0D" w:rsidRPr="00FC6D3F" w:rsidRDefault="00911C0D" w:rsidP="00080A21">
      <w:pPr>
        <w:pStyle w:val="NumPar1"/>
        <w:numPr>
          <w:ilvl w:val="0"/>
          <w:numId w:val="3"/>
        </w:numPr>
        <w:rPr>
          <w:noProof/>
        </w:rPr>
      </w:pPr>
      <w:r w:rsidRPr="00FC6D3F">
        <w:t>Minbarra l-informazzjoni msemmija fil-paragrafu 1, l-entitajiet ta’ riżoluzzjoni soġġetti għar-rekwiżit stabbilit fl-Artikolu 92a tar-Regolament (UE) Nru 575/2013 fuq bażi konsolidata f’konformità mal-Artikolu 11(3a) ta’ dak ir-Regolament għandhom jissottomettu lill-awtoritajiet kompetenti u lill-awtoritajiet ta’ riżoluzzjoni informazzjoni fuq bażi konsolidata kif ġej:</w:t>
      </w:r>
    </w:p>
    <w:p w:rsidR="00911C0D" w:rsidRPr="00FC6D3F" w:rsidRDefault="00911C0D" w:rsidP="00080A21">
      <w:pPr>
        <w:pStyle w:val="Point1letter"/>
        <w:numPr>
          <w:ilvl w:val="3"/>
          <w:numId w:val="10"/>
        </w:numPr>
        <w:rPr>
          <w:noProof/>
        </w:rPr>
      </w:pPr>
      <w:r w:rsidRPr="00FC6D3F">
        <w:t>l-informazzjoni dwar metriċi ewlenin kif speċifikat fil-kolonni 0020 tal-mudell 1 tal-Anness I ta’ dan ir-Regolament għandha tiġi rrapportata bi frekwenza trimestrali f’konformità mal-istruzzjonijiet fil-punt 1 tal-Parti II tal-Anness II ta’ dan ir-Regolament;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l-informazzjoni dwar il-kompożizzjoni tal-fondi proprji u l-obbligazzjonijiet eliġibbli kif speċifikat fil-kolonni 0020 u 0030 tal-mudell 2 tal-Anness I ta’ dan ir-Regolament għandha tiġi rrapportata bi frekwenza trimestrali f’konformità mal-istruzzjonijiet fil-punt 2.1 tal-Parti II tal-Anness II ta’ dan ir-Regolament.</w:t>
      </w:r>
    </w:p>
    <w:p w:rsidR="00911C0D" w:rsidRPr="00FC6D3F" w:rsidRDefault="00911C0D" w:rsidP="00911C0D">
      <w:pPr>
        <w:pStyle w:val="Titrearticle"/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5</w:t>
      </w:r>
      <w:r w:rsidR="00124E6B">
        <w:fldChar w:fldCharType="end"/>
      </w:r>
      <w:r w:rsidRPr="00FC6D3F">
        <w:t xml:space="preserve"> </w:t>
      </w:r>
      <w:r w:rsidRPr="00FC6D3F">
        <w:br/>
        <w:t>Il-format u l-frekwenza tar-rapportar fuq bażi individwali minn entitajiet li huma stess mhumiex entitajiet ta’ riżoluzzjoni u minn sussidjarji materjali ta’ istituzzjonijiet globali sistemikament importanti mhux tal-UE</w:t>
      </w:r>
    </w:p>
    <w:p w:rsidR="00911C0D" w:rsidRPr="00FC6D3F" w:rsidRDefault="00911C0D" w:rsidP="00080A21">
      <w:pPr>
        <w:pStyle w:val="NumPar1"/>
        <w:numPr>
          <w:ilvl w:val="0"/>
          <w:numId w:val="4"/>
        </w:numPr>
        <w:rPr>
          <w:noProof/>
        </w:rPr>
      </w:pPr>
      <w:r w:rsidRPr="00FC6D3F">
        <w:t>L-entitajiet li huma stess mhumiex entitajiet ta’ riżoluzzjoni u li huma soġġetti għar-rekwiżiti stabbiliti fl-Artikolu 45 tad-Direttiva 2014/59/UE fuq bażi individwali f’konformità mal-Artikolu 45f ta’ dik id-Direttiva għandhom jissottomettu lill-awtoritajiet kompetenti u lill-awtoritajiet ta’ riżoluzzjoni informazzjoni fuq bażi individwali kif ġej:</w:t>
      </w:r>
    </w:p>
    <w:p w:rsidR="00911C0D" w:rsidRPr="00FC6D3F" w:rsidRDefault="00911C0D" w:rsidP="00080A21">
      <w:pPr>
        <w:pStyle w:val="Point1letter"/>
        <w:numPr>
          <w:ilvl w:val="3"/>
          <w:numId w:val="11"/>
        </w:numPr>
        <w:rPr>
          <w:noProof/>
        </w:rPr>
      </w:pPr>
      <w:r w:rsidRPr="00FC6D3F">
        <w:lastRenderedPageBreak/>
        <w:t>l-informazzjoni dwar l-ammont u l-kompożizzjoni tal-fondi proprji u tal-obbligazzjonijiet eliġibbli kif speċifikat fil-kolonna 0010 tal-mudell 3 tal-Anness I ta’ dan ir-Regolament għandha tiġi rrapportata bi frekwenza trimestrali f’konformità mal-istruzzjonijiet fil-punt 2.2 tal-Parti II tal-Anness II ta’ dan ir-Regolament;</w:t>
      </w:r>
    </w:p>
    <w:p w:rsidR="00911C0D" w:rsidRPr="00FC6D3F" w:rsidRDefault="00911C0D" w:rsidP="00080A21">
      <w:pPr>
        <w:pStyle w:val="Point1letter"/>
        <w:numPr>
          <w:ilvl w:val="3"/>
          <w:numId w:val="11"/>
        </w:numPr>
        <w:rPr>
          <w:noProof/>
        </w:rPr>
      </w:pPr>
      <w:r w:rsidRPr="00FC6D3F">
        <w:t>l-informazzjoni dwar l-istruttura ta’ finanzjament tal-obbligazzjonijiet eliġibbli kif speċifikat fil-mudell 4 tal-Anness I ta’ dan ir-Regolament għandha tiġi rrapportata bi frekwenza trimestrali f’konformità mal-istruzzjonijiet fil-punt 2.3 tal-Parti II tal-Anness II ta’ dan ir-Regolament;</w:t>
      </w:r>
    </w:p>
    <w:p w:rsidR="00911C0D" w:rsidRPr="00FC6D3F" w:rsidRDefault="00911C0D" w:rsidP="00080A21">
      <w:pPr>
        <w:pStyle w:val="Point1letter"/>
        <w:numPr>
          <w:ilvl w:val="3"/>
          <w:numId w:val="11"/>
        </w:numPr>
        <w:rPr>
          <w:noProof/>
        </w:rPr>
      </w:pPr>
      <w:r w:rsidRPr="00FC6D3F">
        <w:t>l-informazzjoni dwar l-istrumenti rregolati mil-liġi ta’ pajjiż terz, kif speċifikat fil-mudell 7 tal-Anness I ta’ dan ir-Regolament, għandha tiġi rrapportata bi frekwenza trimestrali f’konformità mal-istruzzjonijiet fil-punt 4 tal-Parti II tal-Anness II ta’ dan ir-Regolament.</w:t>
      </w:r>
    </w:p>
    <w:p w:rsidR="00911C0D" w:rsidRPr="00FC6D3F" w:rsidRDefault="00911C0D" w:rsidP="00080A21">
      <w:pPr>
        <w:pStyle w:val="NumPar1"/>
        <w:numPr>
          <w:ilvl w:val="0"/>
          <w:numId w:val="4"/>
        </w:numPr>
        <w:rPr>
          <w:noProof/>
        </w:rPr>
      </w:pPr>
      <w:r w:rsidRPr="00FC6D3F">
        <w:t>L-entitajiet li huma stess mhumiex entitajiet ta’ riżoluzzjoni għandhom jissottomettu lill-awtoritajiet kompetenti u lill-awtoritajiet ta’ riżoluzzjoni informazzjoni dwar id-diżaggregazzjoni tal-fondi u l-obbligazzjonijiet proprji skont il-grad ta’ insolvenza kif speċifikat fil-mudell 5 tal-Anness I fuq bażi individwali bi frekwenza trimestrali f’konformità mal-istruzzjonijiet fil-punt 3.1 tal-Parti II tal-Anness II.</w:t>
      </w:r>
    </w:p>
    <w:p w:rsidR="00911C0D" w:rsidRPr="00FC6D3F" w:rsidRDefault="00911C0D" w:rsidP="00080A21">
      <w:pPr>
        <w:pStyle w:val="NumPar1"/>
        <w:numPr>
          <w:ilvl w:val="0"/>
          <w:numId w:val="4"/>
        </w:numPr>
        <w:rPr>
          <w:noProof/>
        </w:rPr>
      </w:pPr>
      <w:r w:rsidRPr="00FC6D3F">
        <w:t>Minbarra l-informazzjoni msemmija fil-paragrafi 1 u 2, l-entitajiet li huma sussidjarji materjali ta’ istituzzjonijiet globali sistematikament importanti (G-SIIs) mhux tal-UE u huma soġġetti għar-rekwiżit stabbilit fl-Artikolu 92b tar-Regolament (UE) Nru 575/2013 fuq bażi individwali f’konformità mal-Artikolu 6(1a) ta’ dak ir-Regolament għandhom jissottomettu lill-awtoritajiet kompetenti u lill-awtoritajiet ta’ riżoluzzjoni informazzjoni dwar l-ammont u l-kompożizzjoni tal-fondi proprji u tal-obbligazzjonijiet eliġibbli kif speċifikat fil-kolonna 0020 tal-mudell 3 tal-Anness I ta’ dan ir-Regolament fuq bażi individwali bi frekwenza trimestrali f’konformità mal-istruzzjonijiet fil-punt 2.2 tal-Parti II tal-Anness II ta’ dan ir-Regolament.</w:t>
      </w:r>
    </w:p>
    <w:p w:rsidR="00911C0D" w:rsidRPr="00FC6D3F" w:rsidRDefault="00911C0D" w:rsidP="00911C0D">
      <w:pPr>
        <w:pStyle w:val="Titrearticle"/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6</w:t>
      </w:r>
      <w:r w:rsidR="00124E6B">
        <w:fldChar w:fldCharType="end"/>
      </w:r>
      <w:r w:rsidRPr="00FC6D3F">
        <w:t xml:space="preserve"> </w:t>
      </w:r>
      <w:r w:rsidRPr="00FC6D3F">
        <w:br/>
        <w:t xml:space="preserve">Il-format u l-frekwenza tar-rapportar fuq bażi konsolidata minn entitajiet li huma stess mhumiex entitajiet ta’ riżoluzzjoni u minn sussidjarji materjali ta’ istituzzjonijiet globali sistemikament importanti mhux tal-UE </w:t>
      </w:r>
    </w:p>
    <w:p w:rsidR="00911C0D" w:rsidRPr="00FC6D3F" w:rsidRDefault="00911C0D" w:rsidP="00080A21">
      <w:pPr>
        <w:pStyle w:val="NumPar1"/>
        <w:numPr>
          <w:ilvl w:val="0"/>
          <w:numId w:val="5"/>
        </w:numPr>
        <w:rPr>
          <w:noProof/>
        </w:rPr>
      </w:pPr>
      <w:r w:rsidRPr="00FC6D3F">
        <w:t>L-entitajiet li huma stess mhumiex entitajiet ta’ riżoluzzjoni u li huma soġġetti għar-rekwiżiti stabbiliti fl-Artikolu 45 tad-Direttiva 2014/59/UE fuq bażi konsolidata f’konformità mal-Artikolu 45f ta’ dik id-Direttiva għandhom jissottomettu lill-awtoritajiet kompetenti u lill-awtoritajiet ta’ riżoluzzjoni informazzjoni fuq bażi konsolidata kif ġej:</w:t>
      </w:r>
    </w:p>
    <w:p w:rsidR="00911C0D" w:rsidRPr="00FC6D3F" w:rsidRDefault="00911C0D" w:rsidP="00080A21">
      <w:pPr>
        <w:pStyle w:val="Point1letter"/>
        <w:numPr>
          <w:ilvl w:val="3"/>
          <w:numId w:val="12"/>
        </w:numPr>
        <w:rPr>
          <w:noProof/>
        </w:rPr>
      </w:pPr>
      <w:r w:rsidRPr="00FC6D3F">
        <w:t>l-informazzjoni dwar l-ammont u l-kompożizzjoni tal-fondi proprji u l-obbligazzjonijiet eliġibbli kif speċifikat fil-kolonna 0010 tal-mudell 3 tal-Anness I ta’ dan ir-Regolament għandha tiġi rrapportata f’konformità mal-istruzzjonijiet fil-punt 2.2 tal-Parti II tal-Anness II ta’ dan ir-Regolament bi frekwenza trimestrali;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l-informazzjoni dwar l-istruttura ta’ finanzjament tal-obbligazzjonijiet eliġibbli kif speċifikat fil-mudell 4 tal-Anness I ta’ dan ir-Regolament għandha tiġi rrapportata bi frekwenza trimestrali f’konformità mal-istruzzjonijiet fil-punt 2.3 tal-Parti II tal-Anness II ta’ dan ir-Regolament;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lastRenderedPageBreak/>
        <w:t>l-informazzjoni dwar l-istrumenti rregolati mil-liġi ta’ pajjiż terz, kif speċifikat fil-mudell 7 tal-Anness I ta’ dan ir-Regolament, għandha tiġi rrapportata bi frekwenza trimestrali f’konformità mal-istruzzjonijiet fil-punt 4 tal-Parti II tal-Anness II ta’ dan ir-Regolament.</w:t>
      </w:r>
    </w:p>
    <w:p w:rsidR="00911C0D" w:rsidRPr="00FC6D3F" w:rsidRDefault="00911C0D" w:rsidP="00080A21">
      <w:pPr>
        <w:pStyle w:val="NumPar1"/>
        <w:numPr>
          <w:ilvl w:val="0"/>
          <w:numId w:val="5"/>
        </w:numPr>
        <w:rPr>
          <w:noProof/>
        </w:rPr>
      </w:pPr>
      <w:r w:rsidRPr="00FC6D3F">
        <w:t>Minbarra l-informazzjoni msemmija fil-paragrafu 1, l-entitajiet li huma sussidjarji materjali ta’ G-SIIs mhux tal-UE u huma soġġetti għar-rekwiżit stabbilit fl-Artikolu 92b tar-Regolament (UE) Nru 575/2013 fuq bażi konsolidata f’konformità mal-Artikolu 11(3a) ta’ dak ir-Regolament għandhom jissottomettu lill-awtoritajiet kompetenti u lill-awtoritajiet ta’ riżoluzzjoni informazzjoni dwar l-ammont u l-kompożizzjoni tal-fondi proprji u tal-obbligazzjonijiet eliġibbli kif speċifikat fil-kolonna 0020 tal-mudell 3 tal-Anness I ta’ dan ir-Regolament fuq bażi konsolidata bi frekwenza trimestrali f’konformità mal-istruzzjonijiet fil-punt 2.2 tal-Parti II tal-Anness II ta’ dan ir-Regolament.</w:t>
      </w:r>
    </w:p>
    <w:p w:rsidR="00911C0D" w:rsidRPr="00FC6D3F" w:rsidRDefault="00911C0D" w:rsidP="00146633">
      <w:pPr>
        <w:pStyle w:val="Titrearticle"/>
        <w:rPr>
          <w:i w:val="0"/>
        </w:rPr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7</w:t>
      </w:r>
      <w:r w:rsidR="00124E6B">
        <w:fldChar w:fldCharType="end"/>
      </w:r>
      <w:r w:rsidRPr="00FC6D3F">
        <w:t xml:space="preserve"> </w:t>
      </w:r>
      <w:r w:rsidRPr="00FC6D3F">
        <w:br/>
        <w:t>Il-formati tal-iskambju tad-data u l-informazzjoni assoċjata mas-sottomissjonijiet</w:t>
      </w:r>
    </w:p>
    <w:p w:rsidR="00911C0D" w:rsidRPr="00FC6D3F" w:rsidRDefault="00911C0D" w:rsidP="00080A21">
      <w:pPr>
        <w:pStyle w:val="NumPar1"/>
        <w:numPr>
          <w:ilvl w:val="0"/>
          <w:numId w:val="6"/>
        </w:numPr>
        <w:rPr>
          <w:noProof/>
        </w:rPr>
      </w:pPr>
      <w:r w:rsidRPr="00FC6D3F">
        <w:t>L-entitajiet li jirrapportaw għandhom jissottomettu l-informazzjoni f’konformità ma’ dan ir-Regolament fil-formati u r-rappreżentazzjonijiet tal-iskambju tad-</w:t>
      </w:r>
      <w:r w:rsidRPr="00FC6D3F">
        <w:rPr>
          <w:i/>
        </w:rPr>
        <w:t>data</w:t>
      </w:r>
      <w:r w:rsidRPr="00FC6D3F">
        <w:t xml:space="preserve"> speċifikati mill-awtoritajiet kompetenti jew mill-awtoritajiet ta’ riżoluzzjoni tagħhom, u f’konformità mad-definizzjonijiet tal-punti ta’ </w:t>
      </w:r>
      <w:r w:rsidRPr="00FC6D3F">
        <w:rPr>
          <w:i/>
        </w:rPr>
        <w:t>data</w:t>
      </w:r>
      <w:r w:rsidRPr="00FC6D3F">
        <w:t xml:space="preserve"> inklużi fil-formola tal-punti ta’ </w:t>
      </w:r>
      <w:r w:rsidRPr="00FC6D3F">
        <w:rPr>
          <w:i/>
        </w:rPr>
        <w:t>data</w:t>
      </w:r>
      <w:r w:rsidRPr="00FC6D3F">
        <w:t xml:space="preserve"> u r-regoli ta’ validazzjoni stipulati fl-Anness III ta’ dan ir-Regolament.</w:t>
      </w:r>
    </w:p>
    <w:p w:rsidR="00911C0D" w:rsidRPr="00FC6D3F" w:rsidRDefault="00911C0D" w:rsidP="00080A21">
      <w:pPr>
        <w:pStyle w:val="NumPar1"/>
        <w:numPr>
          <w:ilvl w:val="0"/>
          <w:numId w:val="5"/>
        </w:numPr>
        <w:rPr>
          <w:noProof/>
        </w:rPr>
      </w:pPr>
      <w:r w:rsidRPr="00FC6D3F">
        <w:t>Meta jissottomettu l-informazzjoni f’konformità ma’ dan ir-Regolament, l-entitajiet li jirrapportaw għandhom josservaw dan li ġej:</w:t>
      </w:r>
    </w:p>
    <w:p w:rsidR="00911C0D" w:rsidRPr="00FC6D3F" w:rsidRDefault="00911C0D" w:rsidP="00080A21">
      <w:pPr>
        <w:pStyle w:val="Point1letter"/>
        <w:numPr>
          <w:ilvl w:val="3"/>
          <w:numId w:val="13"/>
        </w:numPr>
        <w:rPr>
          <w:noProof/>
        </w:rPr>
      </w:pPr>
      <w:r w:rsidRPr="00FC6D3F">
        <w:t xml:space="preserve">l-informazzjoni li mhijiex meħtieġa jew li mhijiex applikabbli ma għandhiex tiġi inkluża f’sottomissjoni ta’ </w:t>
      </w:r>
      <w:r w:rsidRPr="00FC6D3F">
        <w:rPr>
          <w:i/>
        </w:rPr>
        <w:t>data</w:t>
      </w:r>
      <w:r w:rsidRPr="00FC6D3F">
        <w:t xml:space="preserve">; 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il-valuri numeriċi għandhom jiġu sottomessi kif ġej:</w:t>
      </w:r>
    </w:p>
    <w:p w:rsidR="00911C0D" w:rsidRPr="00FC6D3F" w:rsidRDefault="00911C0D" w:rsidP="00146633">
      <w:pPr>
        <w:pStyle w:val="Point2"/>
      </w:pPr>
      <w:r w:rsidRPr="00FC6D3F">
        <w:t>(i)</w:t>
      </w:r>
      <w:r w:rsidRPr="00FC6D3F">
        <w:tab/>
        <w:t xml:space="preserve">il-punti ta’ </w:t>
      </w:r>
      <w:r w:rsidRPr="00FC6D3F">
        <w:rPr>
          <w:i/>
        </w:rPr>
        <w:t>data</w:t>
      </w:r>
      <w:r w:rsidRPr="00FC6D3F">
        <w:t xml:space="preserve"> tat-tip ta’ </w:t>
      </w:r>
      <w:r w:rsidRPr="00FC6D3F">
        <w:rPr>
          <w:i/>
        </w:rPr>
        <w:t>data</w:t>
      </w:r>
      <w:r w:rsidRPr="00FC6D3F">
        <w:t xml:space="preserve"> “Ammont monetarju” għandhom jiġu rrapportati bl-użu ta’ preċiżjoni minima ekwivalenti għal eluf ta’ unitajiet; </w:t>
      </w:r>
    </w:p>
    <w:p w:rsidR="00911C0D" w:rsidRPr="00FC6D3F" w:rsidRDefault="00911C0D" w:rsidP="00146633">
      <w:pPr>
        <w:pStyle w:val="Point2"/>
      </w:pPr>
      <w:r w:rsidRPr="00FC6D3F">
        <w:t>(ii)</w:t>
      </w:r>
      <w:r w:rsidRPr="00FC6D3F">
        <w:tab/>
        <w:t xml:space="preserve">il-punti ta’ </w:t>
      </w:r>
      <w:r w:rsidRPr="00FC6D3F">
        <w:rPr>
          <w:i/>
        </w:rPr>
        <w:t>data</w:t>
      </w:r>
      <w:r w:rsidRPr="00FC6D3F">
        <w:t xml:space="preserve"> tat-tip ta’ </w:t>
      </w:r>
      <w:r w:rsidRPr="00FC6D3F">
        <w:rPr>
          <w:i/>
        </w:rPr>
        <w:t>data</w:t>
      </w:r>
      <w:r w:rsidRPr="00FC6D3F">
        <w:t xml:space="preserve"> “Persentaġġ” għandhom jiġu espressi bħala unità bi preċiżjoni minima ekwivalenti għal erba’ pożizzjonijiet deċimali; </w:t>
      </w:r>
    </w:p>
    <w:p w:rsidR="00911C0D" w:rsidRPr="00FC6D3F" w:rsidRDefault="00911C0D" w:rsidP="00146633">
      <w:pPr>
        <w:pStyle w:val="Point2"/>
      </w:pPr>
      <w:r w:rsidRPr="00FC6D3F">
        <w:t>(iii)</w:t>
      </w:r>
      <w:r w:rsidRPr="00FC6D3F">
        <w:tab/>
        <w:t xml:space="preserve">il-punti ta’ </w:t>
      </w:r>
      <w:r w:rsidRPr="00FC6D3F">
        <w:rPr>
          <w:i/>
        </w:rPr>
        <w:t>data</w:t>
      </w:r>
      <w:r w:rsidRPr="00FC6D3F">
        <w:t xml:space="preserve"> tat-tip ta’ </w:t>
      </w:r>
      <w:r w:rsidRPr="00FC6D3F">
        <w:rPr>
          <w:i/>
        </w:rPr>
        <w:t>data</w:t>
      </w:r>
      <w:r w:rsidRPr="00FC6D3F">
        <w:t xml:space="preserve"> “Integer (numru sħiħ)” għandhom jiġu rrapportati bla pożizzjonijiet deċimali u bi preċiżjoni ekwivalenti għal unitajiet;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l-istituzzjonijiet għandhom jiġu identifikati biss permezz tal-Identifikatur ta’ Entità Ġuridika (LEI) tagħhom. L-entitajiet ġuridiċi u l-kontropartijiet għajr l-istituzzjonijiet għandhom jiġu identifikati permezz tal-LEI tagħhom, fejn ikun disponibbli.</w:t>
      </w:r>
    </w:p>
    <w:p w:rsidR="00911C0D" w:rsidRPr="00FC6D3F" w:rsidRDefault="00911C0D" w:rsidP="00080A21">
      <w:pPr>
        <w:pStyle w:val="NumPar1"/>
        <w:numPr>
          <w:ilvl w:val="0"/>
          <w:numId w:val="5"/>
        </w:numPr>
        <w:rPr>
          <w:noProof/>
        </w:rPr>
      </w:pPr>
      <w:r w:rsidRPr="00FC6D3F">
        <w:t>L-informazzjoni sottomessa mill-entitajiet li jirrapportaw f’konformità ma’ dan ir-Regolament għandha tkun akkumpanjata mill-informazzjoni li ġejja:</w:t>
      </w:r>
    </w:p>
    <w:p w:rsidR="00911C0D" w:rsidRPr="00FC6D3F" w:rsidRDefault="00911C0D" w:rsidP="00080A21">
      <w:pPr>
        <w:pStyle w:val="Point1letter"/>
        <w:numPr>
          <w:ilvl w:val="3"/>
          <w:numId w:val="14"/>
        </w:numPr>
        <w:rPr>
          <w:noProof/>
        </w:rPr>
      </w:pPr>
      <w:r w:rsidRPr="00FC6D3F">
        <w:t>id-data ta’ referenza tar-rapportar u l-perjodu ta’ referenza;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il-munita tar-rapportar;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l-istandard tal-kontabilità;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lastRenderedPageBreak/>
        <w:t>il-LEI tal-istituzzjoni li tirrapporta;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ab/>
        <w:t>l-ambitu tal-konsolidazzjoni.</w:t>
      </w:r>
    </w:p>
    <w:p w:rsidR="00911C0D" w:rsidRPr="00FC6D3F" w:rsidRDefault="00911C0D" w:rsidP="00911C0D">
      <w:pPr>
        <w:pStyle w:val="Titrearticle"/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8</w:t>
      </w:r>
      <w:r w:rsidR="00124E6B">
        <w:fldChar w:fldCharType="end"/>
      </w:r>
      <w:r w:rsidRPr="00FC6D3F">
        <w:t xml:space="preserve"> </w:t>
      </w:r>
      <w:r w:rsidRPr="00FC6D3F">
        <w:br/>
        <w:t>Preżentazzjoni standardizzata tal-klassifikazzjonijiet tal-insolvenza</w:t>
      </w:r>
    </w:p>
    <w:p w:rsidR="00911C0D" w:rsidRPr="00FC6D3F" w:rsidRDefault="00911C0D" w:rsidP="00080A21">
      <w:pPr>
        <w:pStyle w:val="NumPar1"/>
        <w:numPr>
          <w:ilvl w:val="0"/>
          <w:numId w:val="23"/>
        </w:numPr>
        <w:rPr>
          <w:noProof/>
        </w:rPr>
      </w:pPr>
      <w:r w:rsidRPr="00FC6D3F">
        <w:t>L-awtoritajiet ta’ riżoluzzjoni għandhom jikkompilaw l-informazzjoni dwar il-klassifikazzjoni tal-entrati fil-proċedimenti ta’ insolvenza nazzjonali tagħhom fil-format standardizzat speċifikat fl-Anness IV. Huma għandhom jaġġornaw dik l-informazzjoni meta jseħħu bidliet mingħajr dewmien żejjed.</w:t>
      </w:r>
    </w:p>
    <w:p w:rsidR="00911C0D" w:rsidRPr="00FC6D3F" w:rsidRDefault="00911C0D" w:rsidP="00080A21">
      <w:pPr>
        <w:pStyle w:val="NumPar1"/>
        <w:numPr>
          <w:ilvl w:val="0"/>
          <w:numId w:val="23"/>
        </w:numPr>
        <w:rPr>
          <w:noProof/>
        </w:rPr>
      </w:pPr>
      <w:r w:rsidRPr="00FC6D3F">
        <w:t>L-awtoritajiet ta’ riżoluzzjoni għandhom jippubblikaw l-informazzjoni msemmija fil-paragrafu 1 sabiex jagħmluha disponibbli għall-istituzzjonijiet soġġetti għas-superviżjoni tagħhom.</w:t>
      </w:r>
    </w:p>
    <w:p w:rsidR="00911C0D" w:rsidRPr="00FC6D3F" w:rsidRDefault="00911C0D" w:rsidP="00911C0D">
      <w:pPr>
        <w:pStyle w:val="SectionTitle"/>
        <w:rPr>
          <w:b w:val="0"/>
          <w:i/>
        </w:rPr>
      </w:pPr>
      <w:r w:rsidRPr="00FC6D3F">
        <w:rPr>
          <w:b w:val="0"/>
          <w:i/>
        </w:rPr>
        <w:t>TITOLU II</w:t>
      </w:r>
      <w:r w:rsidRPr="00FC6D3F">
        <w:t xml:space="preserve"> </w:t>
      </w:r>
      <w:r w:rsidRPr="00FC6D3F">
        <w:br/>
      </w:r>
      <w:r w:rsidRPr="00FC6D3F">
        <w:rPr>
          <w:b w:val="0"/>
          <w:i/>
        </w:rPr>
        <w:t>DIVULGAZZJONI PUBBLIKA MILL-ISTITUZZJONIJIET</w:t>
      </w:r>
    </w:p>
    <w:p w:rsidR="00911C0D" w:rsidRPr="00FC6D3F" w:rsidRDefault="00911C0D" w:rsidP="00911C0D">
      <w:pPr>
        <w:pStyle w:val="Titrearticle"/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9</w:t>
      </w:r>
      <w:r w:rsidR="00124E6B">
        <w:fldChar w:fldCharType="end"/>
      </w:r>
      <w:r w:rsidRPr="00FC6D3F">
        <w:t xml:space="preserve"> </w:t>
      </w:r>
      <w:r w:rsidRPr="00FC6D3F">
        <w:br/>
        <w:t>Il-frekwenza tad-divulgazzjoni u d-dati tad-divulgazzjoni</w:t>
      </w:r>
    </w:p>
    <w:p w:rsidR="00911C0D" w:rsidRPr="00FC6D3F" w:rsidRDefault="00911C0D" w:rsidP="00080A21">
      <w:pPr>
        <w:pStyle w:val="NumPar1"/>
        <w:numPr>
          <w:ilvl w:val="0"/>
          <w:numId w:val="24"/>
        </w:numPr>
        <w:rPr>
          <w:noProof/>
        </w:rPr>
      </w:pPr>
      <w:r w:rsidRPr="00FC6D3F">
        <w:t>Id-divulgazzjonijiet imsemmija fl-Artikolu 10(1) għandhom isiru fuq bażi trimestrali. Id-divulgazzjonijiet imsemmija fl-Artikolu 10(2) għandhom isiru fuq bażi ta’ kull sitt xhur.</w:t>
      </w:r>
    </w:p>
    <w:p w:rsidR="00911C0D" w:rsidRPr="00FC6D3F" w:rsidRDefault="00911C0D" w:rsidP="00146633">
      <w:pPr>
        <w:pStyle w:val="NumPar1"/>
        <w:rPr>
          <w:noProof/>
        </w:rPr>
      </w:pPr>
      <w:r w:rsidRPr="00FC6D3F">
        <w:t xml:space="preserve">Id-divulgazzjonijiet imsemmija fl-Artikoli </w:t>
      </w:r>
      <w:r w:rsidRPr="00FC6D3F">
        <w:fldChar w:fldCharType="begin"/>
      </w:r>
      <w:r w:rsidRPr="00FC6D3F">
        <w:instrText xml:space="preserve"> REF _Ref21450145 \# 0 \h  \* MERGEFORMAT </w:instrText>
      </w:r>
      <w:r w:rsidRPr="00FC6D3F">
        <w:fldChar w:fldCharType="separate"/>
      </w:r>
      <w:r w:rsidRPr="00FC6D3F">
        <w:t>11</w:t>
      </w:r>
      <w:r w:rsidRPr="00FC6D3F">
        <w:fldChar w:fldCharType="end"/>
      </w:r>
      <w:r w:rsidRPr="00FC6D3F">
        <w:t xml:space="preserve">(1) u </w:t>
      </w:r>
      <w:r w:rsidRPr="00FC6D3F">
        <w:fldChar w:fldCharType="begin"/>
      </w:r>
      <w:r w:rsidRPr="00FC6D3F">
        <w:instrText xml:space="preserve"> REF _Ref21087242 \# 0 \h  \* MERGEFORMAT </w:instrText>
      </w:r>
      <w:r w:rsidRPr="00FC6D3F">
        <w:fldChar w:fldCharType="separate"/>
      </w:r>
      <w:r w:rsidRPr="00FC6D3F">
        <w:t>14</w:t>
      </w:r>
      <w:r w:rsidRPr="00FC6D3F">
        <w:fldChar w:fldCharType="end"/>
      </w:r>
      <w:r w:rsidRPr="00FC6D3F">
        <w:t xml:space="preserve">(1) għandhom isiru fuq bażi ta’ kull sitt xhur. Id-divulgazzjonijiet imsemmija fl-Artikoli </w:t>
      </w:r>
      <w:r w:rsidRPr="00FC6D3F">
        <w:fldChar w:fldCharType="begin"/>
      </w:r>
      <w:r w:rsidRPr="00FC6D3F">
        <w:instrText xml:space="preserve"> REF _Ref21450145 \# 0 \h  \* MERGEFORMAT </w:instrText>
      </w:r>
      <w:r w:rsidRPr="00FC6D3F">
        <w:fldChar w:fldCharType="separate"/>
      </w:r>
      <w:r w:rsidRPr="00FC6D3F">
        <w:t>11</w:t>
      </w:r>
      <w:r w:rsidRPr="00FC6D3F">
        <w:fldChar w:fldCharType="end"/>
      </w:r>
      <w:r w:rsidRPr="00FC6D3F">
        <w:t>(2) u 14(2) għandhom isiru fuq bażi annwali.</w:t>
      </w:r>
    </w:p>
    <w:p w:rsidR="00911C0D" w:rsidRPr="00FC6D3F" w:rsidRDefault="00911C0D" w:rsidP="00146633">
      <w:pPr>
        <w:pStyle w:val="NumPar1"/>
        <w:rPr>
          <w:noProof/>
        </w:rPr>
      </w:pPr>
      <w:r w:rsidRPr="00FC6D3F">
        <w:t>Id-divulgazzjonijiet imsemmija fl-Artikolu 12(1) għandhom isiru fuq bażi trimestrali. Id-divulgazzjonijiet imsemmija fl-Artikolu 12(2) għandhom isiru fuq bażi ta’ kull sitt xhur.</w:t>
      </w:r>
    </w:p>
    <w:p w:rsidR="00911C0D" w:rsidRPr="00FC6D3F" w:rsidRDefault="00911C0D" w:rsidP="00146633">
      <w:pPr>
        <w:pStyle w:val="NumPar1"/>
        <w:rPr>
          <w:noProof/>
        </w:rPr>
      </w:pPr>
      <w:r w:rsidRPr="00FC6D3F">
        <w:t>Id-divulgazzjonijiet imsemmija fl-Artikolu 13(1) għandhom isiru fuq bażi ta’ kull sitt xhur. Id-divulgazzjonijiet imsemmija fl-Artikolu 13(2) għandhom isiru kull sena.</w:t>
      </w:r>
    </w:p>
    <w:p w:rsidR="00911C0D" w:rsidRPr="00FC6D3F" w:rsidRDefault="00911C0D" w:rsidP="00146633">
      <w:pPr>
        <w:pStyle w:val="NumPar1"/>
        <w:rPr>
          <w:noProof/>
        </w:rPr>
      </w:pPr>
      <w:r w:rsidRPr="00FC6D3F">
        <w:t xml:space="preserve">Id-divulgazzjonijiet imsemmija fl-Artikolu </w:t>
      </w:r>
      <w:r w:rsidRPr="00FC6D3F">
        <w:fldChar w:fldCharType="begin"/>
      </w:r>
      <w:r w:rsidRPr="00FC6D3F">
        <w:instrText xml:space="preserve"> REF _Ref21087218 \# 0 \h  \* MERGEFORMAT </w:instrText>
      </w:r>
      <w:r w:rsidRPr="00FC6D3F">
        <w:fldChar w:fldCharType="separate"/>
      </w:r>
      <w:r w:rsidRPr="00FC6D3F">
        <w:t>15</w:t>
      </w:r>
      <w:r w:rsidRPr="00FC6D3F">
        <w:fldChar w:fldCharType="end"/>
      </w:r>
      <w:r w:rsidRPr="00FC6D3F">
        <w:t xml:space="preserve"> għandhom isiru kif ġej:</w:t>
      </w:r>
    </w:p>
    <w:p w:rsidR="00911C0D" w:rsidRPr="00FC6D3F" w:rsidRDefault="00911C0D" w:rsidP="00080A21">
      <w:pPr>
        <w:pStyle w:val="Point1letter"/>
        <w:numPr>
          <w:ilvl w:val="3"/>
          <w:numId w:val="15"/>
        </w:numPr>
        <w:rPr>
          <w:noProof/>
        </w:rPr>
      </w:pPr>
      <w:r w:rsidRPr="00FC6D3F">
        <w:t>fuq bażi ta’ kull sitt xhur meta l-entità li tiddivulga tkun istituzzjoni kbira;</w:t>
      </w:r>
    </w:p>
    <w:p w:rsidR="00911C0D" w:rsidRPr="00FC6D3F" w:rsidRDefault="00146633" w:rsidP="00080A21">
      <w:pPr>
        <w:pStyle w:val="Point1letter"/>
        <w:numPr>
          <w:ilvl w:val="3"/>
          <w:numId w:val="15"/>
        </w:numPr>
        <w:rPr>
          <w:noProof/>
        </w:rPr>
      </w:pPr>
      <w:r w:rsidRPr="00FC6D3F">
        <w:t xml:space="preserve">fuq bażi annwali meta l-entità li tiddivulga la tkun istituzzjoni kbira u lanqas istituzzjoni żgħira u mhux kumplessa. </w:t>
      </w:r>
    </w:p>
    <w:p w:rsidR="00911C0D" w:rsidRPr="00FC6D3F" w:rsidRDefault="00911C0D" w:rsidP="00911C0D">
      <w:pPr>
        <w:pStyle w:val="Point0"/>
        <w:rPr>
          <w:noProof/>
        </w:rPr>
      </w:pPr>
      <w:r w:rsidRPr="00FC6D3F">
        <w:t>6.</w:t>
      </w:r>
      <w:r w:rsidRPr="00FC6D3F">
        <w:tab/>
        <w:t>Għall-finijiet ta’ divulgazzjoni pubblika, l-entitajiet li jiddivulgaw għandhom josservaw dan li ġej:</w:t>
      </w:r>
    </w:p>
    <w:p w:rsidR="00911C0D" w:rsidRPr="00FC6D3F" w:rsidRDefault="00911C0D" w:rsidP="00080A21">
      <w:pPr>
        <w:pStyle w:val="Point1letter"/>
        <w:numPr>
          <w:ilvl w:val="3"/>
          <w:numId w:val="16"/>
        </w:numPr>
        <w:rPr>
          <w:noProof/>
        </w:rPr>
      </w:pPr>
      <w:r w:rsidRPr="00FC6D3F">
        <w:t xml:space="preserve">id-divulgazzjonijiet annwali għandhom jiġu ppubblikati fl-istess data bħad-data li fiha l-istituzzjonijiet jippubblikaw id-dikjarazzjonijiet finanzjarji tagħhom jew mill-aktar fis possibbli wara dik id-data; </w:t>
      </w:r>
    </w:p>
    <w:p w:rsidR="00911C0D" w:rsidRPr="00FC6D3F" w:rsidRDefault="00911C0D" w:rsidP="00080A21">
      <w:pPr>
        <w:pStyle w:val="Point1letter"/>
        <w:numPr>
          <w:ilvl w:val="3"/>
          <w:numId w:val="16"/>
        </w:numPr>
        <w:rPr>
          <w:noProof/>
        </w:rPr>
      </w:pPr>
      <w:r w:rsidRPr="00FC6D3F">
        <w:t xml:space="preserve">id-divulgazzjonijiet fuq bażi ta’ kull sitt xhur u trimestrali għandhom jiġu ppubblikati fl-istess data bħad-data li fiha l-istituzzjonijiet jippubblikaw ir-rapporti finanzjarji tagħhom għall-perjodu korrispondenti, fejn applikabbli, jew mill-aktar fis possibbli wara dik id-data; </w:t>
      </w:r>
    </w:p>
    <w:p w:rsidR="00911C0D" w:rsidRPr="00FC6D3F" w:rsidRDefault="00911C0D" w:rsidP="00080A21">
      <w:pPr>
        <w:pStyle w:val="Point1letter"/>
        <w:numPr>
          <w:ilvl w:val="3"/>
          <w:numId w:val="16"/>
        </w:numPr>
        <w:rPr>
          <w:noProof/>
        </w:rPr>
      </w:pPr>
      <w:r w:rsidRPr="00FC6D3F">
        <w:t xml:space="preserve">kwalunkwe dewmien bejn id-data tal-pubblikazzjoni tad-divulgazzjonijiet meħtieġa skont dan it-Titolu u r-rapporti finanzjarji rilevanti għandu jkun </w:t>
      </w:r>
      <w:r w:rsidRPr="00FC6D3F">
        <w:lastRenderedPageBreak/>
        <w:t>raġonevoli u, fi kwalunkwe każ, ma għandu jaqbeż l-ebda perjodu ta’ żmien stabbilit mill-awtoritajiet kompetenti skont l-Artikolu 106 tad-Direttiva 2013/36/UE tal-Parlament Ewropew u tal-Kunsill</w:t>
      </w:r>
      <w:r w:rsidRPr="00FC6D3F">
        <w:rPr>
          <w:rStyle w:val="FootnoteReference"/>
          <w:noProof/>
        </w:rPr>
        <w:footnoteReference w:id="6"/>
      </w:r>
      <w:r w:rsidRPr="00FC6D3F">
        <w:t>.</w:t>
      </w:r>
    </w:p>
    <w:p w:rsidR="00911C0D" w:rsidRPr="00FC6D3F" w:rsidRDefault="00911C0D" w:rsidP="00911C0D">
      <w:pPr>
        <w:pStyle w:val="Titrearticle"/>
      </w:pPr>
      <w:bookmarkStart w:id="1" w:name="_Ref21085297"/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10</w:t>
      </w:r>
      <w:r w:rsidR="00124E6B">
        <w:fldChar w:fldCharType="end"/>
      </w:r>
      <w:bookmarkEnd w:id="1"/>
      <w:r w:rsidRPr="00FC6D3F">
        <w:t xml:space="preserve"> </w:t>
      </w:r>
      <w:r w:rsidRPr="00FC6D3F">
        <w:br/>
        <w:t>Divulgazzjoni tal-metriċi ewlenin dwar il-fondi proprji u l-obbligazzjonijiet eliġibbli u r-rekwiżiti għall-fondi proprji u l-obbligazzjonijiet eliġibbli mill-entitajiet ta’ riżoluzzjoni</w:t>
      </w:r>
    </w:p>
    <w:p w:rsidR="00911C0D" w:rsidRPr="00FC6D3F" w:rsidRDefault="00911C0D" w:rsidP="00080A21">
      <w:pPr>
        <w:pStyle w:val="NumPar1"/>
        <w:numPr>
          <w:ilvl w:val="0"/>
          <w:numId w:val="22"/>
        </w:numPr>
        <w:rPr>
          <w:noProof/>
        </w:rPr>
      </w:pPr>
      <w:r w:rsidRPr="00FC6D3F">
        <w:t xml:space="preserve">L-entitajiet identifikati bħala entitajiet ta’ riżoluzzjoni li huma G-SII jew parti minn G-SII għandhom jagħmlu d-divulgazzjonijiet meħtieġa fil-punt (h) tal-Artikolu 447 tar-Regolament (UE) Nru 575/2013 u fil-punti (a) u (c) tal-Artikolu 45i(3) tad-Direttiva 2014/59/UE f’konformità mal-mudell EU KM2 tal-Anness V ta’ dan ir-Regolament u l-istruzzjonijiet rilevanti stabbiliti fl-Anness VI ta’ dan ir-Regolament. </w:t>
      </w:r>
    </w:p>
    <w:p w:rsidR="00911C0D" w:rsidRPr="00FC6D3F" w:rsidRDefault="00911C0D" w:rsidP="00080A21">
      <w:pPr>
        <w:pStyle w:val="NumPar1"/>
        <w:numPr>
          <w:ilvl w:val="0"/>
          <w:numId w:val="22"/>
        </w:numPr>
        <w:rPr>
          <w:noProof/>
        </w:rPr>
      </w:pPr>
      <w:r w:rsidRPr="00FC6D3F">
        <w:t>L-entitajiet identifikati bħala entitajiet ta’ riżoluzzjoni li la huma G-SIIs u lanqas parti minn G-SII għandhom jagħmlu d-divulgazzjonijiet meħtieġa fil-punti (a) u (c) tal-Artikolu 45i(3) tad-Direttiva 2014/59/UE f’konformità mal-mudell EU KM2 tal-Anness V ta’ dan ir-Regolament u l-istruzzjonijiet rilevanti stabbiliti fl-Anness VI ta’ dan ir-Regolament.</w:t>
      </w:r>
    </w:p>
    <w:p w:rsidR="00911C0D" w:rsidRPr="00FC6D3F" w:rsidRDefault="00911C0D" w:rsidP="00911C0D">
      <w:pPr>
        <w:pStyle w:val="Titrearticle"/>
      </w:pPr>
      <w:bookmarkStart w:id="2" w:name="_Ref21450145"/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11</w:t>
      </w:r>
      <w:r w:rsidR="00124E6B">
        <w:fldChar w:fldCharType="end"/>
      </w:r>
      <w:bookmarkEnd w:id="2"/>
      <w:r w:rsidRPr="00FC6D3F">
        <w:t xml:space="preserve"> </w:t>
      </w:r>
      <w:r w:rsidRPr="00FC6D3F">
        <w:br/>
        <w:t>Divulgazzjoni tal-kompożizzjoni tal-fondi proprji u l-obbligazzjonijiet eliġibbli mill-entitajiet ta’ riżoluzzjoni</w:t>
      </w:r>
    </w:p>
    <w:p w:rsidR="00911C0D" w:rsidRPr="00FC6D3F" w:rsidRDefault="00911C0D" w:rsidP="00080A21">
      <w:pPr>
        <w:pStyle w:val="NumPar1"/>
        <w:numPr>
          <w:ilvl w:val="0"/>
          <w:numId w:val="21"/>
        </w:numPr>
        <w:rPr>
          <w:noProof/>
        </w:rPr>
      </w:pPr>
      <w:r w:rsidRPr="00FC6D3F">
        <w:t>L-entitajiet identifikati bħala entitajiet ta’ riżoluzzjoni li huma G-SII jew parti minn G-SII għandhom jagħmlu d-divulgazzjonijiet meħtieġa f’konformità mal-punti (a), (c) u (d) tal-Artikolu 437a tar-Regolament (UE) Nru 575/2013 u d-divulgazzjoni dwar il-kompożizzjoni tal-fondi proprji u l-obbligazzjonijiet eliġibbli meħtieġa fil-punt (b) tal-Artikolu 45i(3) tad-Direttiva 2014/59/UE f’konformità mal-mudell EU TLAC1 tal-Anness V ta’ dan ir-Regolament u l-istruzzjonijiet rilevanti stabbiliti fl-Anness VI ta’ dan ir-Regolament.</w:t>
      </w:r>
    </w:p>
    <w:p w:rsidR="00911C0D" w:rsidRPr="00FC6D3F" w:rsidRDefault="00911C0D" w:rsidP="00080A21">
      <w:pPr>
        <w:pStyle w:val="NumPar1"/>
        <w:numPr>
          <w:ilvl w:val="0"/>
          <w:numId w:val="21"/>
        </w:numPr>
        <w:rPr>
          <w:noProof/>
        </w:rPr>
      </w:pPr>
      <w:r w:rsidRPr="00FC6D3F">
        <w:t>L-entitajiet identifikati bħala entitajiet ta’ riżoluzzjoni li la huma G-SIIs u lanqas parti minn G-SII għandhom jagħmlu d-divulgazzjoni dwar il-kompożizzjoni tal-fondi proprji u l-obbligazzjonijiet eliġibbli meħtieġa f’konformità mal-punt (b) tal-Artikolu 45i(3) tad-Direttiva 2014/59/UE f’konformità mal-mudell EU TLAC1 tal-Anness V ta’ dan ir-Regolament u l-istruzzjonijiet rilevanti stabbiliti fl-Anness VI ta’ dan ir-Regolament.</w:t>
      </w:r>
    </w:p>
    <w:p w:rsidR="00911C0D" w:rsidRPr="00FC6D3F" w:rsidRDefault="00911C0D" w:rsidP="00911C0D">
      <w:pPr>
        <w:pStyle w:val="Titrearticle"/>
      </w:pPr>
      <w:bookmarkStart w:id="3" w:name="_Ref21087987"/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12</w:t>
      </w:r>
      <w:r w:rsidR="00124E6B">
        <w:fldChar w:fldCharType="end"/>
      </w:r>
      <w:bookmarkEnd w:id="3"/>
      <w:r w:rsidRPr="00FC6D3F">
        <w:t xml:space="preserve"> </w:t>
      </w:r>
      <w:r w:rsidRPr="00FC6D3F">
        <w:br/>
        <w:t>Divulgazzjoni tal-metriċi ewlenin u tal-kapaċità interna ta’ assorbiment tat-telf mill-entitajiet li huma stess mhumiex entitajiet ta’ riżoluzzjoni</w:t>
      </w:r>
    </w:p>
    <w:p w:rsidR="00911C0D" w:rsidRPr="00FC6D3F" w:rsidRDefault="00911C0D" w:rsidP="00080A21">
      <w:pPr>
        <w:pStyle w:val="NumPar1"/>
        <w:numPr>
          <w:ilvl w:val="0"/>
          <w:numId w:val="20"/>
        </w:numPr>
        <w:rPr>
          <w:noProof/>
        </w:rPr>
      </w:pPr>
      <w:r w:rsidRPr="00FC6D3F">
        <w:t>L-entitajiet li huma sussidjarji materjali ta’ G-SIIs mhux tal-UE u li huma stess mhumiex entitajiet ta’ riżoluzzjoni għandhom jagħmlu d-divulgazzjonijiet li ġejjin f’konformità mal-mudell EU ILAC tal-Anness V ta' dan ir-Regolament u l-istruzzjonijiet rilevanti stabbiliti fl-Anness VI ta' dan ir-Regolament:</w:t>
      </w:r>
    </w:p>
    <w:p w:rsidR="00911C0D" w:rsidRPr="00FC6D3F" w:rsidRDefault="00911C0D" w:rsidP="00080A21">
      <w:pPr>
        <w:pStyle w:val="Point1letter"/>
        <w:numPr>
          <w:ilvl w:val="3"/>
          <w:numId w:val="17"/>
        </w:numPr>
        <w:rPr>
          <w:noProof/>
        </w:rPr>
      </w:pPr>
      <w:r w:rsidRPr="00FC6D3F">
        <w:lastRenderedPageBreak/>
        <w:t>divulgazzjonijiet meħtieġa f’konformità mal-punti (a), (c) u (d) tal-Artikolu 437a tar-Regolament (UE) Nru 575/2013;</w:t>
      </w:r>
    </w:p>
    <w:p w:rsidR="00911C0D" w:rsidRPr="00FC6D3F" w:rsidRDefault="00911C0D" w:rsidP="00080A21">
      <w:pPr>
        <w:pStyle w:val="Point1letter"/>
        <w:numPr>
          <w:ilvl w:val="3"/>
          <w:numId w:val="17"/>
        </w:numPr>
        <w:rPr>
          <w:noProof/>
        </w:rPr>
      </w:pPr>
      <w:r w:rsidRPr="00FC6D3F">
        <w:t>divulgazzjonijiet meħtieġa f’konformità mal-punt (h) tal-Artikolu 447 tar-Regolament (UE) Nru 575/2013;</w:t>
      </w:r>
    </w:p>
    <w:p w:rsidR="00911C0D" w:rsidRPr="00FC6D3F" w:rsidRDefault="00911C0D" w:rsidP="00080A21">
      <w:pPr>
        <w:pStyle w:val="Point1letter"/>
        <w:numPr>
          <w:ilvl w:val="3"/>
          <w:numId w:val="17"/>
        </w:numPr>
        <w:rPr>
          <w:noProof/>
        </w:rPr>
      </w:pPr>
      <w:r w:rsidRPr="00FC6D3F">
        <w:t>divulgazzjonijiet meħtieġa f’konformità mal-punti (a) u (c) tal-Artikolu 45i(3) tad-Direttiva 2014/59/UE;</w:t>
      </w:r>
    </w:p>
    <w:p w:rsidR="00911C0D" w:rsidRPr="00FC6D3F" w:rsidRDefault="00911C0D" w:rsidP="00080A21">
      <w:pPr>
        <w:pStyle w:val="Point1letter"/>
        <w:numPr>
          <w:ilvl w:val="3"/>
          <w:numId w:val="17"/>
        </w:numPr>
        <w:rPr>
          <w:noProof/>
        </w:rPr>
      </w:pPr>
      <w:r w:rsidRPr="00FC6D3F">
        <w:t>divulgazzjonijiet rigward il-kompożizzjoni tal-fondi proprji u tal-obbligazzjonijiet eliġibbli meħtieġa f’konformità mal-punt (b) tal-Artikolu 45i(3) tad-Direttiva 2014/59/UE.</w:t>
      </w:r>
    </w:p>
    <w:p w:rsidR="00911C0D" w:rsidRPr="00FC6D3F" w:rsidRDefault="00911C0D" w:rsidP="00911C0D">
      <w:pPr>
        <w:pStyle w:val="Point0"/>
        <w:rPr>
          <w:noProof/>
        </w:rPr>
      </w:pPr>
      <w:r w:rsidRPr="00FC6D3F">
        <w:t>2.</w:t>
      </w:r>
      <w:r w:rsidRPr="00FC6D3F">
        <w:tab/>
        <w:t>L-entitajiet għajr is-sussidjarji materjali ta’ G-SIIs mhux tal-UE li huma stess mhumiex entitajiet ta’ riżoluzzjoni għandhom jagħmlu d-divulgazzjonijiet li ġejjin f’konformità mal</w:t>
      </w:r>
      <w:r w:rsidR="00FC6D3F">
        <w:t>-mudell EU ILAC tal-Anness V ta’</w:t>
      </w:r>
      <w:r w:rsidRPr="00FC6D3F">
        <w:t xml:space="preserve"> dan ir-Regolament u l-istruzzjonijiet rilev</w:t>
      </w:r>
      <w:r w:rsidR="00FC6D3F">
        <w:t>anti stabbiliti fl-Anness VI ta’</w:t>
      </w:r>
      <w:r w:rsidRPr="00FC6D3F">
        <w:t xml:space="preserve"> dan ir-Regolament:</w:t>
      </w:r>
    </w:p>
    <w:p w:rsidR="00911C0D" w:rsidRPr="00FC6D3F" w:rsidRDefault="00911C0D" w:rsidP="00080A21">
      <w:pPr>
        <w:pStyle w:val="Point1letter"/>
        <w:numPr>
          <w:ilvl w:val="3"/>
          <w:numId w:val="18"/>
        </w:numPr>
        <w:rPr>
          <w:noProof/>
        </w:rPr>
      </w:pPr>
      <w:r w:rsidRPr="00FC6D3F">
        <w:t>divulgazzjonijiet meħtieġa f’konformità mal-punti (a) u (c) tal-Artikolu 45i(3) tad-Direttiva 2014/59/UE;</w:t>
      </w:r>
    </w:p>
    <w:p w:rsidR="00911C0D" w:rsidRPr="00FC6D3F" w:rsidRDefault="00911C0D" w:rsidP="00080A21">
      <w:pPr>
        <w:pStyle w:val="Point1letter"/>
        <w:numPr>
          <w:ilvl w:val="3"/>
          <w:numId w:val="18"/>
        </w:numPr>
        <w:rPr>
          <w:noProof/>
        </w:rPr>
      </w:pPr>
      <w:r w:rsidRPr="00FC6D3F">
        <w:t>divulgazzjonijiet rigward il-kompożizzjoni tal-fondi proprji u tal-obbligazzjonijiet eliġibbli meħtieġa f’konformità mal-punt (b) tal-Artikolu 45i(3) tad-Direttiva 2014/59/UE.</w:t>
      </w:r>
    </w:p>
    <w:p w:rsidR="00911C0D" w:rsidRPr="00FC6D3F" w:rsidRDefault="00911C0D" w:rsidP="00911C0D">
      <w:pPr>
        <w:pStyle w:val="Titrearticle"/>
      </w:pPr>
      <w:bookmarkStart w:id="4" w:name="_Ref21088028"/>
      <w:r w:rsidRPr="00FC6D3F">
        <w:t xml:space="preserve">Artikolu </w:t>
      </w:r>
      <w:bookmarkEnd w:id="4"/>
      <w:r w:rsidRPr="00FC6D3F">
        <w:fldChar w:fldCharType="begin"/>
      </w:r>
      <w:r w:rsidRPr="00FC6D3F">
        <w:instrText xml:space="preserve"> SEQ Figure \* ARABIC </w:instrText>
      </w:r>
      <w:r w:rsidRPr="00FC6D3F">
        <w:fldChar w:fldCharType="separate"/>
      </w:r>
      <w:r w:rsidRPr="00FC6D3F">
        <w:t>13</w:t>
      </w:r>
      <w:r w:rsidRPr="00FC6D3F">
        <w:fldChar w:fldCharType="end"/>
      </w:r>
      <w:r w:rsidRPr="00FC6D3F">
        <w:t xml:space="preserve"> </w:t>
      </w:r>
      <w:r w:rsidRPr="00FC6D3F">
        <w:br/>
        <w:t>Divulgazzjoni tal-klassifikazzjoni tal-kredituri minn entitajiet mhux ta’ riżoluzzjoni</w:t>
      </w:r>
    </w:p>
    <w:p w:rsidR="00911C0D" w:rsidRPr="00FC6D3F" w:rsidRDefault="00911C0D" w:rsidP="00080A21">
      <w:pPr>
        <w:pStyle w:val="NumPar1"/>
        <w:numPr>
          <w:ilvl w:val="0"/>
          <w:numId w:val="19"/>
        </w:numPr>
        <w:rPr>
          <w:noProof/>
        </w:rPr>
      </w:pPr>
      <w:r w:rsidRPr="00FC6D3F">
        <w:t xml:space="preserve">L-entitajiet li huma sussidjarji materjali ta’ G-SIIs mhux tal-UE u li huma stess mhumiex entitajiet ta’ riżoluzzjoni għandhom jagħmlu d-divulgazzjonijiet dwar il-profil tal-maturità u l-klassifikazzjoni fil-proċedimenti ta’ insolvenza normali stabbiliti fil-punti (a) u (b) tal-Artikolu 437a tar-Regolament (UE) Nru 575/2013 u fil-punt (b) tal-Artikolu 45i(3) tad-Direttiva 2014/59/UE, f’konformità mal-mudell EU TLAC2a tal-Anness V ta’ dan ir-Regolament u l-istruzzjonijiet rilevanti stabbiliti fl-Anness VI ta’ dan ir-Regolament. </w:t>
      </w:r>
    </w:p>
    <w:p w:rsidR="00911C0D" w:rsidRPr="00FC6D3F" w:rsidRDefault="00911C0D" w:rsidP="00080A21">
      <w:pPr>
        <w:pStyle w:val="NumPar1"/>
        <w:numPr>
          <w:ilvl w:val="0"/>
          <w:numId w:val="19"/>
        </w:numPr>
        <w:rPr>
          <w:noProof/>
        </w:rPr>
      </w:pPr>
      <w:r w:rsidRPr="00FC6D3F">
        <w:t xml:space="preserve">L-entitajiet għajr is-sussidjarji materjali ta’ G-SIIs mhux tal-UE li huma stess mhumiex entitajiet ta’ riżoluzzjoni għandhom jagħmlu d-divulgazzjonijiet dwar il-profil tal-maturità u l-klassifikazzjoni fil-proċedimenti normali ta’ insolvenza stabbiliti fil-punt (b) tal-Artikolu 45i(3) tad-Direttiva 2014/59/UE f’konformità mal-mudell EU TLAC2b tal-Anness V ta’ dan ir-Regolament u l-istruzzjonijiet rilevanti stabbiliti fl-Anness VI ta’ dan ir-Regolament. </w:t>
      </w:r>
    </w:p>
    <w:p w:rsidR="00911C0D" w:rsidRPr="00FC6D3F" w:rsidRDefault="00911C0D" w:rsidP="00B129CF">
      <w:pPr>
        <w:pStyle w:val="Text1"/>
        <w:rPr>
          <w:noProof/>
        </w:rPr>
      </w:pPr>
      <w:r w:rsidRPr="00FC6D3F">
        <w:t>L-entitajiet imsemmija fl-ewwel subparagrafu ta’ dan il-paragrafu jistgħu jagħżlu li jużaw il-mudell EU TLAC2a minflok EU TLAC2b biex jiddivulgaw informazzjoni dwar il-profil tal-maturità u l-klassifikazzjoni fil-proċedimenti normali ta’ insolvenza meħtieġa f’konformità mal-punt (b) tal-Artikolu 45i(3) tad-Direttiva 2014/59/UE.</w:t>
      </w:r>
    </w:p>
    <w:p w:rsidR="00911C0D" w:rsidRPr="00FC6D3F" w:rsidRDefault="00911C0D" w:rsidP="00911C0D">
      <w:pPr>
        <w:pStyle w:val="Titrearticle"/>
      </w:pPr>
      <w:bookmarkStart w:id="5" w:name="_Ref21087242"/>
      <w:r w:rsidRPr="00FC6D3F">
        <w:t>L-Artikolu</w:t>
      </w:r>
      <w:bookmarkEnd w:id="5"/>
      <w:r w:rsidRPr="00FC6D3F">
        <w:t xml:space="preserve">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14</w:t>
      </w:r>
      <w:r w:rsidR="00124E6B">
        <w:fldChar w:fldCharType="end"/>
      </w:r>
      <w:r w:rsidRPr="00FC6D3F">
        <w:br/>
        <w:t>Divulgazzjoni tal-klassifikazzjoni tal-kredituri mill-entitajiet ta’ riżoluzzjoni</w:t>
      </w:r>
    </w:p>
    <w:p w:rsidR="00911C0D" w:rsidRPr="00FC6D3F" w:rsidRDefault="00911C0D" w:rsidP="00080A21">
      <w:pPr>
        <w:pStyle w:val="NumPar1"/>
        <w:numPr>
          <w:ilvl w:val="0"/>
          <w:numId w:val="25"/>
        </w:numPr>
        <w:rPr>
          <w:noProof/>
        </w:rPr>
      </w:pPr>
      <w:r w:rsidRPr="00FC6D3F">
        <w:t xml:space="preserve">L-entitajiet identifikati bħala entitajiet ta’ riżoluzzjoni li huma G-SIIs jew parti minn G-SII għandhom jagħmlu d-divulgazzjonijiet dwar il-profil tal-maturità u l-klassifikazzjoni fil-proċedimenti normali ta’ insolvenza stabbiliti fil-punti (a) u (b) tal-Artikolu 437a tar-Regolament (UE) Nru 575/2013 u l-punt (b) tal-Artikolu 45i(3) tad-Direttiva 2014/59/UE, f’konformità mal-mudell EU TLAC3a tal-Anness V ta’ </w:t>
      </w:r>
      <w:r w:rsidRPr="00FC6D3F">
        <w:lastRenderedPageBreak/>
        <w:t xml:space="preserve">dan ir-Regolament u l-istruzzjonijiet rilevanti stabbiliti fl-Anness VI ta’ dan ir-Regolament. </w:t>
      </w:r>
    </w:p>
    <w:p w:rsidR="00911C0D" w:rsidRPr="00FC6D3F" w:rsidRDefault="00911C0D" w:rsidP="00080A21">
      <w:pPr>
        <w:pStyle w:val="NumPar1"/>
        <w:numPr>
          <w:ilvl w:val="0"/>
          <w:numId w:val="25"/>
        </w:numPr>
        <w:rPr>
          <w:noProof/>
        </w:rPr>
      </w:pPr>
      <w:r w:rsidRPr="00FC6D3F">
        <w:t xml:space="preserve">L-entitajiet identifikati bħala entitajiet ta’ riżoluzzjoni li la huma G-SIIs u lanqas parti minn G-SII għandhom jagħmlu d-divulgazzjonijiet dwar il-profil tal-maturità u l-klassifikazzjoni fil-proċedimenti normali ta’ insolvenza stabbiliti fil-punt (b) tal-Artikolu 45i(3) tad-Direttiva 2014/59/UE, f’konformità mal-mudell EU TLAC3b tal-Anness V ta’ dan ir-Regolament u l-istruzzjonijiet rilevanti stabbiliti fl-Anness VI ta’ dan ir-Regolament. </w:t>
      </w:r>
    </w:p>
    <w:p w:rsidR="00911C0D" w:rsidRPr="00FC6D3F" w:rsidRDefault="00911C0D" w:rsidP="008E17B7">
      <w:pPr>
        <w:pStyle w:val="Text1"/>
        <w:rPr>
          <w:noProof/>
        </w:rPr>
      </w:pPr>
      <w:r w:rsidRPr="00FC6D3F">
        <w:t>L-entitajiet imsemmija fl-ewwel subparagrafu ta’ dan il-paragrafu jistgħu jagħżlu li jużaw il-mudell EU TLAC3a minflok EU TLAC3b biex jiddivulgaw informazzjoni dwar il-profil tal-maturità u l-klassifikazzjoni fil-proċedimenti normali ta’ insolvenza meħtieġa f’konformità mal-punt (b) tal-Artikolu 45i(3) tad-Direttiva 2014/59/UE.</w:t>
      </w:r>
    </w:p>
    <w:p w:rsidR="00911C0D" w:rsidRPr="00FC6D3F" w:rsidRDefault="00911C0D" w:rsidP="00911C0D">
      <w:pPr>
        <w:pStyle w:val="Titrearticle"/>
      </w:pPr>
      <w:bookmarkStart w:id="6" w:name="_Ref21087218"/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15</w:t>
      </w:r>
      <w:r w:rsidR="00124E6B">
        <w:fldChar w:fldCharType="end"/>
      </w:r>
      <w:bookmarkEnd w:id="6"/>
      <w:r w:rsidRPr="00FC6D3F">
        <w:t xml:space="preserve"> </w:t>
      </w:r>
      <w:r w:rsidRPr="00FC6D3F">
        <w:br/>
        <w:t>Divulgazzjoni tal-karatteristiċi ewlenin tal-fondi proprji u l-istrumenti eliġibbli</w:t>
      </w:r>
    </w:p>
    <w:p w:rsidR="00911C0D" w:rsidRPr="00FC6D3F" w:rsidRDefault="00911C0D" w:rsidP="00911C0D">
      <w:pPr>
        <w:keepNext/>
        <w:keepLines/>
        <w:spacing w:before="360"/>
      </w:pPr>
      <w:r w:rsidRPr="00FC6D3F">
        <w:t xml:space="preserve">L-entitajiet identifikati bħala entitajiet ta’ riżoluzzjoni li huma G-SIIs jew parti minn G-SII u entitajiet li huma sussidjarji materjali ta’ G-SIIs mhux tal-UE u li mhumiex huma stess entitajiet ta’ riżoluzzjoni għandhom jagħmlu d-divulgazzjonijiet stabbiliti fil-punt (a) tal-Artikolu 437a tar-Regolament (UE) Nru 575/2013, f’konformità mal-att ta’ implimentazzjoni msemmi fl-Artikolu 434a ta’ dak ir-Regolament. </w:t>
      </w:r>
    </w:p>
    <w:p w:rsidR="00911C0D" w:rsidRPr="00FC6D3F" w:rsidRDefault="00911C0D" w:rsidP="00146633">
      <w:pPr>
        <w:pStyle w:val="Titrearticle"/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16</w:t>
      </w:r>
      <w:r w:rsidR="00124E6B">
        <w:fldChar w:fldCharType="end"/>
      </w:r>
      <w:r w:rsidRPr="00FC6D3F">
        <w:t xml:space="preserve"> </w:t>
      </w:r>
      <w:r w:rsidRPr="00FC6D3F">
        <w:br/>
        <w:t>Regoli ġenerali dwar id-divulgazzjoni</w:t>
      </w:r>
    </w:p>
    <w:p w:rsidR="00911C0D" w:rsidRPr="00FC6D3F" w:rsidRDefault="00911C0D" w:rsidP="00080A21">
      <w:pPr>
        <w:pStyle w:val="NumPar1"/>
        <w:numPr>
          <w:ilvl w:val="0"/>
          <w:numId w:val="26"/>
        </w:numPr>
        <w:rPr>
          <w:noProof/>
        </w:rPr>
      </w:pPr>
      <w:r w:rsidRPr="00FC6D3F">
        <w:t xml:space="preserve">Meta l-entitajiet li jiddivulgaw jistgħu jħallu barra waħda jew aktar mid-divulgazzjonijiet f’konformità mal-Artikolu 432 tar-Regolament (UE) Nru 575/2013, ir-ringieli jew il-kolonni rilevanti tal-mudelli jew tat-tabelli stipulati f’dan ir-Regolament jistgħu jitħallew vojta u n-numerazzjoni tar-ringieli jew tal-kolonni sussegwenti ma għandhiex tinbidel. </w:t>
      </w:r>
    </w:p>
    <w:p w:rsidR="00911C0D" w:rsidRPr="00FC6D3F" w:rsidRDefault="00911C0D" w:rsidP="00080A21">
      <w:pPr>
        <w:pStyle w:val="NumPar1"/>
        <w:numPr>
          <w:ilvl w:val="0"/>
          <w:numId w:val="26"/>
        </w:numPr>
        <w:rPr>
          <w:noProof/>
        </w:rPr>
      </w:pPr>
      <w:r w:rsidRPr="00FC6D3F">
        <w:t xml:space="preserve">L-entitajiet li jiddivulgaw għandhom jinnotaw b’mod ċar fil-mudell jew fit-tabella rilevanti r-ringieli jew il-kolonni vojta u r-raġuni għall-ommissjoni tad-divulgazzjoni rilevanti. </w:t>
      </w:r>
    </w:p>
    <w:p w:rsidR="00911C0D" w:rsidRPr="00FC6D3F" w:rsidRDefault="00911C0D" w:rsidP="00080A21">
      <w:pPr>
        <w:pStyle w:val="NumPar1"/>
        <w:numPr>
          <w:ilvl w:val="0"/>
          <w:numId w:val="26"/>
        </w:numPr>
        <w:rPr>
          <w:noProof/>
        </w:rPr>
      </w:pPr>
      <w:r w:rsidRPr="00FC6D3F">
        <w:t>In-narrattiva kwalitattiva u kwalunkwe informazzjoni supplimentari meħtieġa oħra li takkumpanja d-divulgazzjonijiet kwantitattivi f’konformità mal-Artikolu 431 tar-Regolament (UE) Nru 575/2013 għandhom ikunu adegwatament ċari u komprensivi, u jippermettu lill-utenti tal-informazzjoni jifhmu d-divulgazzjonijiet kwantitattivi u għandhom jitqiegħdu ħdejn il-mudelli li huma jiddeskrivu.</w:t>
      </w:r>
    </w:p>
    <w:p w:rsidR="00911C0D" w:rsidRPr="00FC6D3F" w:rsidRDefault="00911C0D" w:rsidP="00080A21">
      <w:pPr>
        <w:pStyle w:val="NumPar1"/>
        <w:numPr>
          <w:ilvl w:val="0"/>
          <w:numId w:val="26"/>
        </w:numPr>
        <w:rPr>
          <w:noProof/>
        </w:rPr>
      </w:pPr>
      <w:r w:rsidRPr="00FC6D3F">
        <w:t>L-entitajiet li jiddivulgaw għandhom josservaw dan li ġej fir-rigward tad-divulgazzjoni tal-valuri numeriċi:</w:t>
      </w:r>
    </w:p>
    <w:p w:rsidR="00911C0D" w:rsidRPr="00FC6D3F" w:rsidRDefault="00911C0D" w:rsidP="00B378A2">
      <w:pPr>
        <w:pStyle w:val="Point1letter"/>
        <w:numPr>
          <w:ilvl w:val="3"/>
          <w:numId w:val="38"/>
        </w:numPr>
        <w:rPr>
          <w:noProof/>
        </w:rPr>
      </w:pPr>
      <w:r w:rsidRPr="00FC6D3F">
        <w:t>id-</w:t>
      </w:r>
      <w:r w:rsidRPr="00FC6D3F">
        <w:rPr>
          <w:i/>
        </w:rPr>
        <w:t>data</w:t>
      </w:r>
      <w:r w:rsidRPr="00FC6D3F">
        <w:t xml:space="preserve"> monetarja kwantitattiva għandha tiġi divulgata bl-użu ta’ preċiżjoni minima ekwivalenti għal miljuni ta’ unitajiet.</w:t>
      </w:r>
    </w:p>
    <w:p w:rsidR="00911C0D" w:rsidRPr="00FC6D3F" w:rsidRDefault="00911C0D" w:rsidP="00B378A2">
      <w:pPr>
        <w:pStyle w:val="Point1letter"/>
        <w:numPr>
          <w:ilvl w:val="3"/>
          <w:numId w:val="38"/>
        </w:numPr>
        <w:rPr>
          <w:noProof/>
        </w:rPr>
      </w:pPr>
      <w:r w:rsidRPr="00FC6D3F">
        <w:t>id-</w:t>
      </w:r>
      <w:r w:rsidRPr="00FC6D3F">
        <w:rPr>
          <w:i/>
        </w:rPr>
        <w:t>data</w:t>
      </w:r>
      <w:r w:rsidRPr="00FC6D3F">
        <w:t xml:space="preserve"> kwantitattiva divulgata bħala “Persentaġġ” għandha tiġi espressa bħala għal kull unità bi preċiżjoni minima ekwivalenti għal erba’ pożizzjonijiet deċimali.</w:t>
      </w:r>
    </w:p>
    <w:p w:rsidR="00911C0D" w:rsidRPr="00FC6D3F" w:rsidRDefault="00911C0D" w:rsidP="00146633">
      <w:pPr>
        <w:pStyle w:val="NumPar1"/>
        <w:rPr>
          <w:noProof/>
        </w:rPr>
      </w:pPr>
      <w:r w:rsidRPr="00FC6D3F">
        <w:t>L-entitajiet li jiddivulgaw għandhom jakkumpanjaw l-informazzjoni divulgata b’dawn li ġejjin:</w:t>
      </w:r>
    </w:p>
    <w:p w:rsidR="00911C0D" w:rsidRPr="00FC6D3F" w:rsidRDefault="00911C0D" w:rsidP="00B378A2">
      <w:pPr>
        <w:pStyle w:val="Point1letter"/>
        <w:numPr>
          <w:ilvl w:val="3"/>
          <w:numId w:val="27"/>
        </w:numPr>
        <w:rPr>
          <w:noProof/>
        </w:rPr>
      </w:pPr>
      <w:r w:rsidRPr="00FC6D3F">
        <w:lastRenderedPageBreak/>
        <w:t xml:space="preserve">id-data ta’ referenza tad-divulgazzjoni u l-perjodu ta’ referenza; 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 xml:space="preserve">il-munita tad-divulgazzjoni; 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l-isem u, fejn rilevanti, l-Identifikatur ta’ Entità Ġuridika (LEI) tal-entità li tiddivulga;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 xml:space="preserve">fejn rilevanti, l-istandard tal-kontabilità; u </w:t>
      </w:r>
    </w:p>
    <w:p w:rsidR="00911C0D" w:rsidRPr="00FC6D3F" w:rsidRDefault="00911C0D" w:rsidP="00146633">
      <w:pPr>
        <w:pStyle w:val="Point1letter"/>
        <w:rPr>
          <w:noProof/>
        </w:rPr>
      </w:pPr>
      <w:r w:rsidRPr="00FC6D3F">
        <w:t>fejn rilevanti, il-kamp ta’ applikazzjoni tal-konsolidazzjoni.</w:t>
      </w:r>
    </w:p>
    <w:p w:rsidR="00911C0D" w:rsidRPr="00FC6D3F" w:rsidRDefault="00911C0D" w:rsidP="00911C0D">
      <w:pPr>
        <w:pStyle w:val="SectionTitle"/>
        <w:rPr>
          <w:b w:val="0"/>
          <w:i/>
        </w:rPr>
      </w:pPr>
      <w:r w:rsidRPr="00FC6D3F">
        <w:rPr>
          <w:b w:val="0"/>
          <w:i/>
        </w:rPr>
        <w:t>TITOLU III</w:t>
      </w:r>
      <w:r w:rsidRPr="00FC6D3F">
        <w:t xml:space="preserve"> </w:t>
      </w:r>
      <w:r w:rsidRPr="00FC6D3F">
        <w:br/>
      </w:r>
      <w:r w:rsidRPr="00FC6D3F">
        <w:rPr>
          <w:b w:val="0"/>
          <w:i/>
        </w:rPr>
        <w:t>DISPOŻIZZJONIJIET FINALI</w:t>
      </w:r>
    </w:p>
    <w:p w:rsidR="00911C0D" w:rsidRPr="00FC6D3F" w:rsidRDefault="00911C0D" w:rsidP="00146633">
      <w:pPr>
        <w:pStyle w:val="Titrearticle"/>
      </w:pPr>
      <w:r w:rsidRPr="00FC6D3F">
        <w:t xml:space="preserve">Artikolu </w:t>
      </w:r>
      <w:r w:rsidR="00124E6B">
        <w:fldChar w:fldCharType="begin"/>
      </w:r>
      <w:r w:rsidR="00124E6B">
        <w:instrText xml:space="preserve"> SEQ Figure \* ARABIC </w:instrText>
      </w:r>
      <w:r w:rsidR="00124E6B">
        <w:fldChar w:fldCharType="separate"/>
      </w:r>
      <w:r w:rsidRPr="00FC6D3F">
        <w:t>17</w:t>
      </w:r>
      <w:r w:rsidR="00124E6B">
        <w:fldChar w:fldCharType="end"/>
      </w:r>
      <w:r w:rsidRPr="00FC6D3F">
        <w:t xml:space="preserve"> </w:t>
      </w:r>
      <w:r w:rsidRPr="00FC6D3F">
        <w:br/>
        <w:t>Dħul fis-seħħ u applikazzjoni</w:t>
      </w:r>
    </w:p>
    <w:p w:rsidR="00911C0D" w:rsidRPr="00FC6D3F" w:rsidRDefault="00911C0D" w:rsidP="00911C0D">
      <w:r w:rsidRPr="00FC6D3F">
        <w:t>Dan ir-Regolament għandu jidħol fis-seħħ fl-għoxrin jum wara dak tal-pubblikazzjoni tiegħu f’</w:t>
      </w:r>
      <w:r w:rsidRPr="00FC6D3F">
        <w:rPr>
          <w:i/>
        </w:rPr>
        <w:t>Il-Ġurnal Uffiċjali tal-Unjoni Ewropea</w:t>
      </w:r>
      <w:r w:rsidRPr="00FC6D3F">
        <w:t>.</w:t>
      </w:r>
    </w:p>
    <w:p w:rsidR="00911C0D" w:rsidRPr="00FC6D3F" w:rsidRDefault="00911C0D" w:rsidP="00911C0D">
      <w:pPr>
        <w:widowControl w:val="0"/>
        <w:autoSpaceDE w:val="0"/>
        <w:autoSpaceDN w:val="0"/>
        <w:rPr>
          <w:rFonts w:eastAsia="Times New Roman"/>
        </w:rPr>
      </w:pPr>
      <w:r w:rsidRPr="00FC6D3F">
        <w:t>It-Titolu I għandu japplika mit-28 ta’ Ġunju 2021.</w:t>
      </w:r>
    </w:p>
    <w:p w:rsidR="00F82D09" w:rsidRPr="00FC6D3F" w:rsidRDefault="00911C0D" w:rsidP="00911C0D">
      <w:pPr>
        <w:widowControl w:val="0"/>
        <w:autoSpaceDE w:val="0"/>
        <w:autoSpaceDN w:val="0"/>
        <w:rPr>
          <w:rFonts w:eastAsia="Times New Roman"/>
        </w:rPr>
      </w:pPr>
      <w:r w:rsidRPr="00FC6D3F">
        <w:t xml:space="preserve">It-Titolu II għandu japplika minn </w:t>
      </w:r>
      <w:r w:rsidRPr="00FC6D3F">
        <w:rPr>
          <w:i/>
        </w:rPr>
        <w:t>[jekk jogħġbok daħħal id-data tad-dħul fis-seħħ ta’ dan ir-Regolament]</w:t>
      </w:r>
      <w:r w:rsidRPr="00FC6D3F">
        <w:t xml:space="preserve"> fir-rigward tad-divulgazzjonijiet f’konformità mal-Artikolu 437a u mal-punt (h) tal-Artikolu 447 tar-Regolament (UE) Nru 575/2013, u mid-data tal-applikazzjoni tar-rekwiżiti tad-divulgazzjoni f’konformità mat-tielet subparagrafu tal-Artikolu 3(1) tad-Direttiva (UE) 2019/879, fir-rigward tad-divulgazzjonijiet f’konformità mal-Artikolu 45i(3) tad-Direttiva 2014/59/UE.</w:t>
      </w:r>
    </w:p>
    <w:p w:rsidR="00911C0D" w:rsidRPr="00FC6D3F" w:rsidRDefault="00911C0D" w:rsidP="00911C0D">
      <w:pPr>
        <w:pStyle w:val="Applicationdirecte"/>
        <w:keepNext/>
        <w:keepLines/>
      </w:pPr>
      <w:r w:rsidRPr="00FC6D3F">
        <w:t>Dan ir-Regolament għandu jorbot fl-intier tiegħu u japplika direttament fl-Istati Membri kollha.</w:t>
      </w:r>
    </w:p>
    <w:p w:rsidR="00911C0D" w:rsidRPr="00FC6D3F" w:rsidRDefault="00DD5153" w:rsidP="00DD5153">
      <w:pPr>
        <w:pStyle w:val="Fait"/>
      </w:pPr>
      <w:r w:rsidRPr="00FC6D3F">
        <w:t>Magħmul fi Brussell,</w:t>
      </w:r>
    </w:p>
    <w:p w:rsidR="00911C0D" w:rsidRPr="00FC6D3F" w:rsidRDefault="00911C0D" w:rsidP="00911C0D">
      <w:pPr>
        <w:pStyle w:val="Institutionquisigne"/>
      </w:pPr>
      <w:r w:rsidRPr="00FC6D3F">
        <w:tab/>
        <w:t>Għall-Kummissjoni</w:t>
      </w:r>
    </w:p>
    <w:p w:rsidR="00911C0D" w:rsidRPr="00FC6D3F" w:rsidRDefault="00911C0D" w:rsidP="00911C0D">
      <w:pPr>
        <w:pStyle w:val="Personnequisigne"/>
      </w:pPr>
      <w:r w:rsidRPr="00FC6D3F">
        <w:tab/>
        <w:t xml:space="preserve">Il-President </w:t>
      </w:r>
      <w:r w:rsidRPr="00FC6D3F">
        <w:br/>
      </w:r>
      <w:r w:rsidRPr="00FC6D3F">
        <w:tab/>
        <w:t>Ursula VON DER LEYEN</w:t>
      </w:r>
    </w:p>
    <w:sectPr w:rsidR="00911C0D" w:rsidRPr="00FC6D3F" w:rsidSect="00CA11CC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C0D" w:rsidRDefault="00911C0D" w:rsidP="00911C0D">
      <w:pPr>
        <w:spacing w:before="0" w:after="0"/>
      </w:pPr>
      <w:r>
        <w:separator/>
      </w:r>
    </w:p>
  </w:endnote>
  <w:endnote w:type="continuationSeparator" w:id="0">
    <w:p w:rsidR="00911C0D" w:rsidRDefault="00911C0D" w:rsidP="00911C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D3F" w:rsidRPr="00CA11CC" w:rsidRDefault="00CA11CC" w:rsidP="00CA11CC">
    <w:pPr>
      <w:pStyle w:val="Footer"/>
      <w:rPr>
        <w:rFonts w:ascii="Arial" w:hAnsi="Arial" w:cs="Arial"/>
        <w:b/>
        <w:sz w:val="48"/>
      </w:rPr>
    </w:pPr>
    <w:r w:rsidRPr="00CA11CC">
      <w:rPr>
        <w:rFonts w:ascii="Arial" w:hAnsi="Arial" w:cs="Arial"/>
        <w:b/>
        <w:sz w:val="48"/>
      </w:rPr>
      <w:t>MT</w:t>
    </w:r>
    <w:r w:rsidRPr="00CA11CC">
      <w:rPr>
        <w:rFonts w:ascii="Arial" w:hAnsi="Arial" w:cs="Arial"/>
        <w:b/>
        <w:sz w:val="48"/>
      </w:rPr>
      <w:tab/>
    </w:r>
    <w:r w:rsidRPr="00CA11CC">
      <w:rPr>
        <w:rFonts w:ascii="Arial" w:hAnsi="Arial" w:cs="Arial"/>
        <w:b/>
        <w:sz w:val="48"/>
      </w:rPr>
      <w:tab/>
    </w:r>
    <w:r w:rsidRPr="00CA11CC">
      <w:tab/>
    </w:r>
    <w:r w:rsidRPr="00CA11CC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1CC" w:rsidRPr="00CA11CC" w:rsidRDefault="00CA11CC" w:rsidP="00CA11CC">
    <w:pPr>
      <w:pStyle w:val="Footer"/>
      <w:rPr>
        <w:rFonts w:ascii="Arial" w:hAnsi="Arial" w:cs="Arial"/>
        <w:b/>
        <w:sz w:val="48"/>
      </w:rPr>
    </w:pPr>
    <w:r w:rsidRPr="00CA11CC">
      <w:rPr>
        <w:rFonts w:ascii="Arial" w:hAnsi="Arial" w:cs="Arial"/>
        <w:b/>
        <w:sz w:val="48"/>
      </w:rPr>
      <w:t>MT</w:t>
    </w:r>
    <w:r w:rsidRPr="00CA11C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A64674">
      <w:rPr>
        <w:noProof/>
      </w:rPr>
      <w:t>13</w:t>
    </w:r>
    <w:r>
      <w:fldChar w:fldCharType="end"/>
    </w:r>
    <w:r>
      <w:tab/>
    </w:r>
    <w:r w:rsidRPr="00CA11CC">
      <w:tab/>
    </w:r>
    <w:r w:rsidRPr="00CA11CC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1CC" w:rsidRPr="00CA11CC" w:rsidRDefault="00CA11CC" w:rsidP="00CA11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C0D" w:rsidRDefault="00911C0D" w:rsidP="00911C0D">
      <w:pPr>
        <w:spacing w:before="0" w:after="0"/>
      </w:pPr>
      <w:r>
        <w:separator/>
      </w:r>
    </w:p>
  </w:footnote>
  <w:footnote w:type="continuationSeparator" w:id="0">
    <w:p w:rsidR="00911C0D" w:rsidRDefault="00911C0D" w:rsidP="00911C0D">
      <w:pPr>
        <w:spacing w:before="0" w:after="0"/>
      </w:pPr>
      <w:r>
        <w:continuationSeparator/>
      </w:r>
    </w:p>
  </w:footnote>
  <w:footnote w:id="1">
    <w:p w:rsidR="00911C0D" w:rsidRPr="00464C90" w:rsidRDefault="00911C0D" w:rsidP="00911C0D">
      <w:pPr>
        <w:pStyle w:val="FootnoteText"/>
      </w:pPr>
      <w:r>
        <w:rPr>
          <w:rStyle w:val="FootnoteReference"/>
        </w:rPr>
        <w:footnoteRef/>
      </w:r>
      <w:r>
        <w:tab/>
        <w:t>ĠU L 176, 27.6.2013, p. 1.</w:t>
      </w:r>
    </w:p>
  </w:footnote>
  <w:footnote w:id="2">
    <w:p w:rsidR="00911C0D" w:rsidRDefault="00911C0D" w:rsidP="00911C0D">
      <w:pPr>
        <w:pStyle w:val="FootnoteText"/>
      </w:pPr>
      <w:r>
        <w:rPr>
          <w:rStyle w:val="FootnoteReference"/>
        </w:rPr>
        <w:footnoteRef/>
      </w:r>
      <w:r>
        <w:tab/>
        <w:t>ĠU L 173, 12.6.2014, p. 190.</w:t>
      </w:r>
    </w:p>
  </w:footnote>
  <w:footnote w:id="3">
    <w:p w:rsidR="00911C0D" w:rsidRPr="007A7954" w:rsidRDefault="00911C0D" w:rsidP="00911C0D">
      <w:pPr>
        <w:pStyle w:val="FootnoteText"/>
      </w:pPr>
      <w:r>
        <w:rPr>
          <w:rStyle w:val="FootnoteReference"/>
        </w:rPr>
        <w:footnoteRef/>
      </w:r>
      <w:r>
        <w:tab/>
        <w:t>Ir-Regolament (UE) 2019/876 tal-Parlament Ewropew u tal-Kunsill tal-20 ta’ Mejju 2019 li jemenda r-Regolament (UE) Nru 575/2013 dwar il-proporzjon ta’ lieva finanzjarja, il-proporzjon ta’ finanzjament stabbli nett, rekwiżiti għall-fondi proprji u obbligazzjonijiet eliġibbli, riskju ta’ kreditu tal-kontroparti, riskju tas-suq, skoperturi għal kontropartijiet ċentrali, skoperturi għal impriżi ta’ investiment kollettiv, skoperturi kbar, rekwiżiti ta’ rapportar u divulgazzjoni, u r-Regolament (UE) Nru 648/2012 (ĠU L 150, 7.6. 2019, p. 1).</w:t>
      </w:r>
    </w:p>
  </w:footnote>
  <w:footnote w:id="4">
    <w:p w:rsidR="00911C0D" w:rsidRPr="00520ABD" w:rsidRDefault="00911C0D" w:rsidP="00911C0D">
      <w:pPr>
        <w:pStyle w:val="FootnoteText"/>
      </w:pPr>
      <w:r>
        <w:rPr>
          <w:rStyle w:val="FootnoteReference"/>
        </w:rPr>
        <w:footnoteRef/>
      </w:r>
      <w:r>
        <w:tab/>
        <w:t>Id-Direttiva (UE) 2019/879 tal-Parlament Ewropew u tal-Kunsill tal-20 ta’ Mejju 2019 li temenda d-Direttiva 2014/59/UE fir-rigward tal-kapaċità ta’ assorbiment tat-telf u ta’ rikapitalizzazzjoni ta’ istituzzjonijiet tal-kreditu u ditti tal-investiment u d-Direttiva 98/26/KE (ĠU L 150, 7.6.2019, p. 296).</w:t>
      </w:r>
    </w:p>
  </w:footnote>
  <w:footnote w:id="5">
    <w:p w:rsidR="00911C0D" w:rsidRPr="006D7393" w:rsidRDefault="00911C0D" w:rsidP="00911C0D">
      <w:pPr>
        <w:pStyle w:val="FootnoteText"/>
      </w:pPr>
      <w:r>
        <w:rPr>
          <w:rStyle w:val="FootnoteReference"/>
        </w:rPr>
        <w:footnoteRef/>
      </w:r>
      <w:r>
        <w:tab/>
        <w:t>Ir-Regolament (UE) Nru 1093/2010 tal-Parlament Ewropew u tal-Kunsill tal-24 ta’ Novembru 2010 li jistabbilixxi Awtorità Superviżorja Ewropea (Awtorità Bankarja Ewropea) u li jemenda d-Deċiżjoni Nru 716/2009/KE u jħassar id-Deċiżjoni tal-Kummissjoni 2009/78/KE (ĠU L 331, 15.12.2010, p. 12).</w:t>
      </w:r>
    </w:p>
  </w:footnote>
  <w:footnote w:id="6">
    <w:p w:rsidR="00911C0D" w:rsidRDefault="00911C0D" w:rsidP="00911C0D">
      <w:pPr>
        <w:pStyle w:val="FootnoteText"/>
      </w:pPr>
      <w:r>
        <w:rPr>
          <w:rStyle w:val="FootnoteReference"/>
        </w:rPr>
        <w:footnoteRef/>
      </w:r>
      <w:r>
        <w:tab/>
        <w:t>Id-Direttiva 2013/36/UE tal-Parlament Ewropew u tal-Kunsill tas-26 ta’ Ġunju 2013 dwar l-aċċess għall-attività tal-istituzzjonijiet ta’ kreditu u s-superviżjoni prudenzjali tal-istituzzjonijiet ta’ kreditu u tad-ditti tal-investiment, li temenda d-Direttiva 2002/87/KE u li tħassar id-Direttivi 2006/48/KE u 2006/49/KE (ĠU L 176, 27.6.2013, p. 338).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0BAAEF0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2120D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CFA45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91BA0B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B64431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202532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61E0D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8A72C0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5"/>
  </w:num>
  <w:num w:numId="30">
    <w:abstractNumId w:val="4"/>
  </w:num>
  <w:num w:numId="31">
    <w:abstractNumId w:val="3"/>
  </w:num>
  <w:num w:numId="32">
    <w:abstractNumId w:val="6"/>
  </w:num>
  <w:num w:numId="33">
    <w:abstractNumId w:val="2"/>
  </w:num>
  <w:num w:numId="34">
    <w:abstractNumId w:val="1"/>
  </w:num>
  <w:num w:numId="35">
    <w:abstractNumId w:val="0"/>
  </w:num>
  <w:num w:numId="36">
    <w:abstractNumId w:val="21"/>
    <w:lvlOverride w:ilvl="0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12"/>
  </w:num>
  <w:num w:numId="41">
    <w:abstractNumId w:val="20"/>
  </w:num>
  <w:num w:numId="42">
    <w:abstractNumId w:val="11"/>
  </w:num>
  <w:num w:numId="43">
    <w:abstractNumId w:val="13"/>
  </w:num>
  <w:num w:numId="44">
    <w:abstractNumId w:val="9"/>
  </w:num>
  <w:num w:numId="45">
    <w:abstractNumId w:val="19"/>
  </w:num>
  <w:num w:numId="46">
    <w:abstractNumId w:val="8"/>
  </w:num>
  <w:num w:numId="47">
    <w:abstractNumId w:val="14"/>
  </w:num>
  <w:num w:numId="48">
    <w:abstractNumId w:val="16"/>
  </w:num>
  <w:num w:numId="49">
    <w:abstractNumId w:val="17"/>
  </w:num>
  <w:num w:numId="50">
    <w:abstractNumId w:val="10"/>
  </w:num>
  <w:num w:numId="51">
    <w:abstractNumId w:val="15"/>
  </w:num>
  <w:num w:numId="52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1-03-30 22:19:31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97456B5B-BB03-4EF0-9DCB-4513AF2B5E5A"/>
    <w:docVar w:name="LW_COVERPAGE_TYPE" w:val="1"/>
    <w:docVar w:name="LW_CROSSREFERENCE" w:val="&lt;UNUSED&gt;"/>
    <w:docVar w:name="LW_DATE.ADOPT.CP" w:val="ta\u8217? XXX"/>
    <w:docVar w:name="LW_DATE.ADOPT.CP_DATEFORMAT" w:val="ta\u8217?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" w:val="(Test b'rilevanza g\u295?a\u380?-\u379?EE)"/>
    <w:docVar w:name="LW_INTERETEEE.CP" w:val="(Test b'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" w:val="li jistabbilixxi standards tekni\u267?i ta\u8217? implimentazzjoni g\u295?all-applikazzjoni tar-Regolament (UE) Nru 575/2013 tal-Parlament Ewropew u tal-Kunsill u tad-Direttiva 2014/59/UE tal-Parlament Ewropew u tal-Kunsill fir-rigward tar-rapportar supervi\u380?orju u d-divulgazzjoni pubblika tar-rekwi\u380?it minimu g\u295?all-fondi proprji u l-obbligazzjonijiet eli\u289?ibbli"/>
    <w:docVar w:name="LW_TITRE.OBJ.CP" w:val="li jistabbilixxi standards tekni\u267?i ta\u8217? implimentazzjoni g\u295?all-applikazzjoni tar-Regolament (UE) Nru 575/2013 tal-Parlament Ewropew u tal-Kunsill u tad-Direttiva 2014/59/UE tal-Parlament Ewropew u tal-Kunsill fir-rigward tar-rapportar supervi\u380?orju u d-divulgazzjoni pubblika tar-rekwi\u380?it minimu g\u295?all-fondi proprji u l-obbligazzjonijiet eli\u289?ibbli"/>
    <w:docVar w:name="LW_TYPE.DOC" w:val="REGOLAMENT TA\u8217? IMPLIMENTAZZJONI TAL-KUMMISSJONI (UE) .../..."/>
    <w:docVar w:name="LW_TYPE.DOC.CP" w:val="REGOLAMENT TA\u8217? IMPLIMENTAZZJONI TAL-KUMMISSJONI (UE) .../..."/>
  </w:docVars>
  <w:rsids>
    <w:rsidRoot w:val="00911C0D"/>
    <w:rsid w:val="00022330"/>
    <w:rsid w:val="00050379"/>
    <w:rsid w:val="00080A21"/>
    <w:rsid w:val="000A7517"/>
    <w:rsid w:val="000E198E"/>
    <w:rsid w:val="000F730F"/>
    <w:rsid w:val="00114389"/>
    <w:rsid w:val="00124E6B"/>
    <w:rsid w:val="00144CAD"/>
    <w:rsid w:val="00146633"/>
    <w:rsid w:val="0017105F"/>
    <w:rsid w:val="001B26AE"/>
    <w:rsid w:val="001C2816"/>
    <w:rsid w:val="001D50FA"/>
    <w:rsid w:val="001E0321"/>
    <w:rsid w:val="001F6393"/>
    <w:rsid w:val="00213D10"/>
    <w:rsid w:val="00221C95"/>
    <w:rsid w:val="00223BDA"/>
    <w:rsid w:val="00232E98"/>
    <w:rsid w:val="00252F49"/>
    <w:rsid w:val="00273AFD"/>
    <w:rsid w:val="002A6E40"/>
    <w:rsid w:val="0038586F"/>
    <w:rsid w:val="003D1FF4"/>
    <w:rsid w:val="00403FFA"/>
    <w:rsid w:val="004D75CF"/>
    <w:rsid w:val="00501159"/>
    <w:rsid w:val="00515FD9"/>
    <w:rsid w:val="00534AD8"/>
    <w:rsid w:val="00576101"/>
    <w:rsid w:val="00595F73"/>
    <w:rsid w:val="005A470A"/>
    <w:rsid w:val="005F390A"/>
    <w:rsid w:val="0060509B"/>
    <w:rsid w:val="006142ED"/>
    <w:rsid w:val="006601FC"/>
    <w:rsid w:val="00693D6D"/>
    <w:rsid w:val="0069401E"/>
    <w:rsid w:val="006E792A"/>
    <w:rsid w:val="0070128F"/>
    <w:rsid w:val="00713A23"/>
    <w:rsid w:val="00781168"/>
    <w:rsid w:val="00786D48"/>
    <w:rsid w:val="007B47A6"/>
    <w:rsid w:val="007C06F6"/>
    <w:rsid w:val="007D06B9"/>
    <w:rsid w:val="007D3252"/>
    <w:rsid w:val="00867BAC"/>
    <w:rsid w:val="008E0D6D"/>
    <w:rsid w:val="008E17B7"/>
    <w:rsid w:val="008F166D"/>
    <w:rsid w:val="00911C0D"/>
    <w:rsid w:val="00936C22"/>
    <w:rsid w:val="00947623"/>
    <w:rsid w:val="009606FE"/>
    <w:rsid w:val="00986B33"/>
    <w:rsid w:val="00987AD5"/>
    <w:rsid w:val="009B7138"/>
    <w:rsid w:val="009F1589"/>
    <w:rsid w:val="00A242DE"/>
    <w:rsid w:val="00A25281"/>
    <w:rsid w:val="00A64674"/>
    <w:rsid w:val="00A72CC5"/>
    <w:rsid w:val="00A92F78"/>
    <w:rsid w:val="00AA2E8A"/>
    <w:rsid w:val="00AC0214"/>
    <w:rsid w:val="00AD067C"/>
    <w:rsid w:val="00B076B3"/>
    <w:rsid w:val="00B1066F"/>
    <w:rsid w:val="00B129CF"/>
    <w:rsid w:val="00B15ABD"/>
    <w:rsid w:val="00B26F22"/>
    <w:rsid w:val="00B378A2"/>
    <w:rsid w:val="00B47B08"/>
    <w:rsid w:val="00B51552"/>
    <w:rsid w:val="00BE246D"/>
    <w:rsid w:val="00BF17AA"/>
    <w:rsid w:val="00C13087"/>
    <w:rsid w:val="00C20744"/>
    <w:rsid w:val="00C24556"/>
    <w:rsid w:val="00C86532"/>
    <w:rsid w:val="00C9260D"/>
    <w:rsid w:val="00C95437"/>
    <w:rsid w:val="00CA11CC"/>
    <w:rsid w:val="00CD7950"/>
    <w:rsid w:val="00D05552"/>
    <w:rsid w:val="00D104BF"/>
    <w:rsid w:val="00D4070C"/>
    <w:rsid w:val="00D56ED7"/>
    <w:rsid w:val="00D653C4"/>
    <w:rsid w:val="00D80CBF"/>
    <w:rsid w:val="00DB7093"/>
    <w:rsid w:val="00DC0EF5"/>
    <w:rsid w:val="00DC7D9F"/>
    <w:rsid w:val="00DD5153"/>
    <w:rsid w:val="00E0465B"/>
    <w:rsid w:val="00E31F5B"/>
    <w:rsid w:val="00E34FF4"/>
    <w:rsid w:val="00E65C7F"/>
    <w:rsid w:val="00EA09E4"/>
    <w:rsid w:val="00EE12E2"/>
    <w:rsid w:val="00EF62B3"/>
    <w:rsid w:val="00F20062"/>
    <w:rsid w:val="00F45263"/>
    <w:rsid w:val="00F82D09"/>
    <w:rsid w:val="00FB396C"/>
    <w:rsid w:val="00FB639E"/>
    <w:rsid w:val="00FC5586"/>
    <w:rsid w:val="00FC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45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45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45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45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1B26AE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B26AE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B26AE"/>
    <w:pPr>
      <w:numPr>
        <w:numId w:val="2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B26AE"/>
    <w:pPr>
      <w:numPr>
        <w:numId w:val="2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B26AE"/>
    <w:pPr>
      <w:numPr>
        <w:numId w:val="3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B26AE"/>
    <w:pPr>
      <w:numPr>
        <w:numId w:val="3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B26AE"/>
    <w:pPr>
      <w:numPr>
        <w:numId w:val="3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B26AE"/>
    <w:pPr>
      <w:numPr>
        <w:numId w:val="3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B26AE"/>
    <w:pPr>
      <w:numPr>
        <w:numId w:val="3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B26AE"/>
    <w:pPr>
      <w:numPr>
        <w:numId w:val="35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3FFA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F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FFA"/>
    <w:rPr>
      <w:rFonts w:ascii="Times New Roman" w:hAnsi="Times New Roman" w:cs="Times New Roman"/>
      <w:b/>
      <w:bCs/>
      <w:sz w:val="20"/>
      <w:szCs w:val="20"/>
      <w:lang w:val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FF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FA"/>
    <w:rPr>
      <w:rFonts w:ascii="Segoe UI" w:hAnsi="Segoe UI" w:cs="Segoe UI"/>
      <w:sz w:val="18"/>
      <w:szCs w:val="18"/>
      <w:lang w:val="mt-MT"/>
    </w:rPr>
  </w:style>
  <w:style w:type="character" w:styleId="Hyperlink">
    <w:name w:val="Hyperlink"/>
    <w:basedOn w:val="DefaultParagraphFont"/>
    <w:uiPriority w:val="99"/>
    <w:unhideWhenUsed/>
    <w:rsid w:val="00403FFA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DB7093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B076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39"/>
      </w:numPr>
    </w:pPr>
  </w:style>
  <w:style w:type="paragraph" w:customStyle="1" w:styleId="Tiret1">
    <w:name w:val="Tiret 1"/>
    <w:basedOn w:val="Point1"/>
    <w:rsid w:val="009B7138"/>
    <w:pPr>
      <w:numPr>
        <w:numId w:val="40"/>
      </w:numPr>
    </w:pPr>
  </w:style>
  <w:style w:type="paragraph" w:customStyle="1" w:styleId="Tiret2">
    <w:name w:val="Tiret 2"/>
    <w:basedOn w:val="Point2"/>
    <w:rsid w:val="009B7138"/>
    <w:pPr>
      <w:numPr>
        <w:numId w:val="41"/>
      </w:numPr>
    </w:pPr>
  </w:style>
  <w:style w:type="paragraph" w:customStyle="1" w:styleId="Tiret3">
    <w:name w:val="Tiret 3"/>
    <w:basedOn w:val="Point3"/>
    <w:rsid w:val="009B7138"/>
    <w:pPr>
      <w:numPr>
        <w:numId w:val="42"/>
      </w:numPr>
    </w:pPr>
  </w:style>
  <w:style w:type="paragraph" w:customStyle="1" w:styleId="Tiret4">
    <w:name w:val="Tiret 4"/>
    <w:basedOn w:val="Point4"/>
    <w:rsid w:val="009B7138"/>
    <w:pPr>
      <w:numPr>
        <w:numId w:val="43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44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44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44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44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46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46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46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46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46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46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46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46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46"/>
      </w:numPr>
    </w:pPr>
  </w:style>
  <w:style w:type="paragraph" w:customStyle="1" w:styleId="Bullet0">
    <w:name w:val="Bullet 0"/>
    <w:basedOn w:val="Normal"/>
    <w:rsid w:val="009B7138"/>
    <w:pPr>
      <w:numPr>
        <w:numId w:val="47"/>
      </w:numPr>
    </w:pPr>
  </w:style>
  <w:style w:type="paragraph" w:customStyle="1" w:styleId="Bullet1">
    <w:name w:val="Bullet 1"/>
    <w:basedOn w:val="Normal"/>
    <w:rsid w:val="009B7138"/>
    <w:pPr>
      <w:numPr>
        <w:numId w:val="48"/>
      </w:numPr>
    </w:pPr>
  </w:style>
  <w:style w:type="paragraph" w:customStyle="1" w:styleId="Bullet2">
    <w:name w:val="Bullet 2"/>
    <w:basedOn w:val="Normal"/>
    <w:rsid w:val="009B7138"/>
    <w:pPr>
      <w:numPr>
        <w:numId w:val="49"/>
      </w:numPr>
    </w:pPr>
  </w:style>
  <w:style w:type="paragraph" w:customStyle="1" w:styleId="Bullet3">
    <w:name w:val="Bullet 3"/>
    <w:basedOn w:val="Normal"/>
    <w:rsid w:val="009B7138"/>
    <w:pPr>
      <w:numPr>
        <w:numId w:val="50"/>
      </w:numPr>
    </w:pPr>
  </w:style>
  <w:style w:type="paragraph" w:customStyle="1" w:styleId="Bullet4">
    <w:name w:val="Bullet 4"/>
    <w:basedOn w:val="Normal"/>
    <w:rsid w:val="009B7138"/>
    <w:pPr>
      <w:numPr>
        <w:numId w:val="51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52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14</Pages>
  <Words>4408</Words>
  <Characters>33018</Characters>
  <Application>Microsoft Office Word</Application>
  <DocSecurity>0</DocSecurity>
  <Lines>550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2021-05-18T12:40:00Z</dcterms:created>
  <dcterms:modified xsi:type="dcterms:W3CDTF">2021-05-18T12:40:00Z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Part">
    <vt:lpwstr>1</vt:lpwstr>
  </property>
  <property fmtid="{D5CDD505-2E9C-101B-9397-08002B2CF9AE}" pid="5" name="Total parts">
    <vt:lpwstr>1</vt:lpwstr>
  </property>
  <property fmtid="{D5CDD505-2E9C-101B-9397-08002B2CF9AE}" pid="6" name="LWTemplateID">
    <vt:lpwstr>SJ-004</vt:lpwstr>
  </property>
  <property fmtid="{D5CDD505-2E9C-101B-9397-08002B2CF9AE}" pid="7" name="DQCStatus">
    <vt:lpwstr>Green (DQC version 03)</vt:lpwstr>
  </property>
</Properties>
</file>