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46FB9EE8" w:rsidR="001C2816" w:rsidRPr="00FD66A4" w:rsidRDefault="00AA25B2" w:rsidP="00F36BEC">
      <w:pPr>
        <w:pStyle w:val="Pagedecouverture"/>
      </w:pPr>
      <w:bookmarkStart w:id="0" w:name="_GoBack"/>
      <w:bookmarkEnd w:id="0"/>
      <w:r>
        <w:pict w14:anchorId="132687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19799A6-282E-4E72-97C4-ED063561D602" style="width:449.4pt;height:436.2pt">
            <v:imagedata r:id="rId7" o:title=""/>
          </v:shape>
        </w:pict>
      </w:r>
    </w:p>
    <w:p w14:paraId="42BED65A" w14:textId="77777777" w:rsidR="00911C0D" w:rsidRPr="00FD66A4" w:rsidRDefault="00911C0D">
      <w:pPr>
        <w:sectPr w:rsidR="00911C0D" w:rsidRPr="00FD66A4" w:rsidSect="00061026">
          <w:footerReference w:type="default" r:id="rId8"/>
          <w:pgSz w:w="11907" w:h="16839"/>
          <w:pgMar w:top="1134" w:right="1417" w:bottom="1134" w:left="1417" w:header="709" w:footer="709" w:gutter="0"/>
          <w:pgNumType w:start="0"/>
          <w:cols w:space="720"/>
          <w:docGrid w:linePitch="360"/>
        </w:sectPr>
      </w:pPr>
    </w:p>
    <w:p w14:paraId="2E321C8E" w14:textId="77777777" w:rsidR="00911C0D" w:rsidRPr="00FD66A4" w:rsidRDefault="00DD5153" w:rsidP="00DD5153">
      <w:pPr>
        <w:pStyle w:val="Typedudocument"/>
      </w:pPr>
      <w:r w:rsidRPr="00FD66A4">
        <w:lastRenderedPageBreak/>
        <w:t>DURCHFÜHRUNGSVERORDNUNG (EU) .../… DER KOMMISSION</w:t>
      </w:r>
    </w:p>
    <w:p w14:paraId="537E2F9A" w14:textId="55F15C8A" w:rsidR="00911C0D" w:rsidRPr="00FD66A4" w:rsidRDefault="00FD66A4" w:rsidP="00DD5153">
      <w:pPr>
        <w:pStyle w:val="Datedadoption"/>
      </w:pPr>
      <w:r>
        <w:t>vom XXX</w:t>
      </w:r>
    </w:p>
    <w:p w14:paraId="2AF513BE" w14:textId="77777777" w:rsidR="00911C0D" w:rsidRPr="00FD66A4" w:rsidRDefault="00DD5153" w:rsidP="00DD5153">
      <w:pPr>
        <w:pStyle w:val="Titreobjet"/>
      </w:pPr>
      <w:r w:rsidRPr="00FD66A4">
        <w:t>zur Festlegung technischer Durchführungsstandards für die Anwendung der Verordnung (EU) Nr. 575/2013 des Europäischen Parlaments und des Rates und der Richtlinie 2014/59/EU des Europäischen Parlaments und des Rates im Hinblick auf die aufsichtlichen Meldungen und die Offenlegung der Mindestanforderung an Eigenmittel und berücksichtigungsfähige Verbindlichkeiten</w:t>
      </w:r>
    </w:p>
    <w:p w14:paraId="17032FFA" w14:textId="77777777" w:rsidR="00911C0D" w:rsidRPr="00FD66A4" w:rsidRDefault="00DD5153" w:rsidP="00DD5153">
      <w:pPr>
        <w:pStyle w:val="IntrtEEE"/>
      </w:pPr>
      <w:r w:rsidRPr="00FD66A4">
        <w:t>(Text von Bedeutung für den EWR)</w:t>
      </w:r>
    </w:p>
    <w:p w14:paraId="70543606" w14:textId="77777777" w:rsidR="00911C0D" w:rsidRPr="00FD66A4" w:rsidRDefault="00911C0D" w:rsidP="00911C0D">
      <w:pPr>
        <w:pStyle w:val="Institutionquiagit"/>
      </w:pPr>
      <w:r w:rsidRPr="00FD66A4">
        <w:t>DIE EUROPÄISCHE KOMMISSION —</w:t>
      </w:r>
    </w:p>
    <w:p w14:paraId="69A98AD3" w14:textId="30134CBB" w:rsidR="00911C0D" w:rsidRPr="00FD66A4" w:rsidRDefault="00911C0D" w:rsidP="00911C0D">
      <w:r w:rsidRPr="00FD66A4">
        <w:t>gestützt auf die Verordnung (EU) Nr. 575/2013 des Europäischen Parlaments und des Rates vom 26. Juni 2013 über Aufsichtsanforderungen an Kreditinstitute und Wertpapierfirmen und zur Änderung der Verordnung (EU) Nr. 648/2012</w:t>
      </w:r>
      <w:r w:rsidRPr="00FD66A4">
        <w:rPr>
          <w:rStyle w:val="FootnoteReference"/>
        </w:rPr>
        <w:footnoteReference w:id="1"/>
      </w:r>
      <w:r w:rsidRPr="00FD66A4">
        <w:t>, insbesondere auf Artikel 430 Absatz 7 Unterabsatz 5 und Artikel 434a Unterabsatz 5,</w:t>
      </w:r>
    </w:p>
    <w:p w14:paraId="283FAA3A" w14:textId="77777777" w:rsidR="00911C0D" w:rsidRPr="00FD66A4" w:rsidRDefault="00911C0D" w:rsidP="00911C0D">
      <w:r w:rsidRPr="00FD66A4">
        <w:t>gestützt auf die Richtlinie 2014/59/EU des Europäischen Parlaments und des Rates vom 15. Mai 2014 zur Festlegung eines Rahmens für die Sanierung und Abwicklung von Kreditinstituten und Wertpapierfirmen und zur Änderung der Richtlinien 82/891/EWG des Rates, der Richtlinien 2001/24/EG, 2002/47/EG, 2004/25/EG, 2005/56/EG, 2007/36/EG, 2011/35/EU, 2012/30/EU und 2013/36/EU sowie der Verordnungen (EU) Nr. 1093/2010 und (EU) Nr. 648/2012 des Europäischen Parlaments und des Rates</w:t>
      </w:r>
      <w:r w:rsidRPr="00FD66A4">
        <w:rPr>
          <w:rStyle w:val="FootnoteReference"/>
        </w:rPr>
        <w:footnoteReference w:id="2"/>
      </w:r>
      <w:r w:rsidRPr="00FD66A4">
        <w:t>, und insbesondere auf Artikel 45i Absätze 5 und 6,</w:t>
      </w:r>
    </w:p>
    <w:p w14:paraId="2D724A4A" w14:textId="77777777" w:rsidR="00911C0D" w:rsidRPr="00FD66A4" w:rsidRDefault="00911C0D" w:rsidP="00911C0D">
      <w:r w:rsidRPr="00FD66A4">
        <w:t>in Erwägung nachstehender Gründe:</w:t>
      </w:r>
    </w:p>
    <w:p w14:paraId="1498BCD9" w14:textId="55EE7DC6" w:rsidR="00911C0D" w:rsidRPr="00FD66A4" w:rsidRDefault="00911C0D" w:rsidP="00432305">
      <w:pPr>
        <w:pStyle w:val="Considrant"/>
        <w:numPr>
          <w:ilvl w:val="0"/>
          <w:numId w:val="9"/>
        </w:numPr>
      </w:pPr>
      <w:r w:rsidRPr="00FD66A4">
        <w:t>Die harmonisierte Mindesthöhe der Gesamtverlustabsorptionsfähigkeit („Total Loss Absorbing Capacity“, kurz:  „TLAC“) (im Folgenden „TLAC-Standard“) für global systemrelevante Institute (G-SRI) (im Folgenden „TLAC-Anforderung“) wurde durch die Verordnung (EU) 2019/876 des Europäischen Parlaments und des Rates</w:t>
      </w:r>
      <w:r w:rsidRPr="00FD66A4">
        <w:rPr>
          <w:rStyle w:val="FootnoteReference"/>
        </w:rPr>
        <w:footnoteReference w:id="3"/>
      </w:r>
      <w:r w:rsidRPr="00FD66A4">
        <w:t xml:space="preserve"> zur Änderung der Verordnung (EU) Nr. 575/2013 in das Unionsrecht eingeführt.</w:t>
      </w:r>
      <w:r w:rsidRPr="00FD66A4">
        <w:rPr>
          <w:sz w:val="23"/>
          <w:szCs w:val="23"/>
        </w:rPr>
        <w:t xml:space="preserve">  Der institutsspezifische Aufschlag für G-SRI und die institutsspezifische Anforderung an Nicht-G-SRI, die als Mindestanforderungen an Eigenmittel und berücksichtigungsfähige Verbindlichkeiten (MREL) bezeichnet werden, wurden mittels gezielter Änderungen an der Richtlinie 2014/59/EU durch die Richtlinie (EU) Nr. 2019/879 des Europäischen Parlaments und des Rates</w:t>
      </w:r>
      <w:r w:rsidRPr="00FD66A4">
        <w:rPr>
          <w:rStyle w:val="FootnoteReference"/>
        </w:rPr>
        <w:footnoteReference w:id="4"/>
      </w:r>
      <w:r w:rsidRPr="00FD66A4">
        <w:rPr>
          <w:sz w:val="23"/>
          <w:szCs w:val="23"/>
        </w:rPr>
        <w:t xml:space="preserve"> eingeführt.</w:t>
      </w:r>
      <w:r w:rsidRPr="00FD66A4">
        <w:t xml:space="preserve"> Die Melde- und Offenlegungspflichten sowohl </w:t>
      </w:r>
      <w:r w:rsidRPr="00FD66A4">
        <w:lastRenderedPageBreak/>
        <w:t>für den TLAC-Standard als auch für die MREL sind nun Teil der Verordnung (EU) Nr. 575/2013 bzw. der Richtlinie 2014/59/EU.</w:t>
      </w:r>
    </w:p>
    <w:p w14:paraId="42917AA4" w14:textId="77777777" w:rsidR="00911C0D" w:rsidRPr="00FD66A4" w:rsidRDefault="00911C0D" w:rsidP="00911C0D">
      <w:pPr>
        <w:pStyle w:val="Considrant"/>
      </w:pPr>
      <w:r w:rsidRPr="00FD66A4">
        <w:t>Da der TLAC-Standard und die MREL dasselbe Ziel verfolgen – die Gewährleistung einer ausreichenden Verlustabsorptions- und Rekapitalisierungskapazität von in der Union niedergelassenen Instituten und Unternehmen – sollten die beiden Anforderungen einander in einem gemeinsamen Rahmen ergänzen. Daher ist es angebracht, eine Reihe von Meldebögen für die Meldung und Offenlegung harmonisierter Informationen über die Anforderung an Eigenmittel und berücksichtigungsfähige Verbindlichkeiten für G-SRI und bedeutende Tochterunternehmen von Nicht-EU-G-SRI (TLAC) sowie die für alle Institute geltenden institutsspezifischen MREL festzulegen.</w:t>
      </w:r>
    </w:p>
    <w:p w14:paraId="621ACD0D" w14:textId="77777777" w:rsidR="00911C0D" w:rsidRPr="00FD66A4" w:rsidRDefault="00911C0D" w:rsidP="00911C0D">
      <w:pPr>
        <w:pStyle w:val="Considrant"/>
      </w:pPr>
      <w:r w:rsidRPr="00FD66A4">
        <w:t>Gemäß Artikel 434a der Verordnung (EU) Nr. 575/2013 soll im Rahmen des von der Europäischen Bankenaufsichtsbehörde (EBA) zu erarbeitenden Entwurfs technischer Durchführungsstandards zur Festlegung einheitlicher Offenlegungsformate im Hinblick auf eine bessere Vergleichbarkeit der Informationen angestrebt werden, dass die Offenlegungsformate mit den internationalen Offenlegungsstandards kohärent sind. Im Dezember 2018 veröffentlichte der Basler Ausschuss für Bankenaufsicht aktualisierte Offenlegungsanforderungen der Säule 3, darunter auch Anforderungen an TLAC-Offenlegungen. Die in dieser Verordnung enthaltenen Offenlegungsformate und zugehörigen Erläuterungen sollten daher mit diesen aktualisierten Offenlegungsanforderungen des Basler Ausschusses übereinstimmen.</w:t>
      </w:r>
    </w:p>
    <w:p w14:paraId="39396602" w14:textId="77777777" w:rsidR="00911C0D" w:rsidRPr="00FD66A4" w:rsidRDefault="00911C0D" w:rsidP="00911C0D">
      <w:pPr>
        <w:pStyle w:val="Considrant"/>
      </w:pPr>
      <w:r w:rsidRPr="00FD66A4">
        <w:t xml:space="preserve">Um sicherzustellen, dass die Befolgungskosten für die Institute nicht unverhältnismäßig erhöht werden und die Qualität der Daten erhalten bleibt, sollten die Melde- und Offenlegungspflichten inhaltlich so weit wie möglich aneinander angeglichen werden, auch in Bezug auf ihre zeitlichen Abstände. Darüber hinaus wird eine Angleichung der technischen Durchführungsstandards zu den Melde- und Offenlegungspflichten für die TLAC und die MREL in Artikel 45i Absatz 5 Unterabsatz 3 und Artikel 45i Absatz 6 Unterabsatz 3 der Richtlinie 2014/59/EU ausdrücklich gefordert. Es ist daher angemessen, in einer einzigen Verordnung Standards festzulegen, die sowohl für die Meldung als auch für die Offenlegung der TLAC und der MREL gelten. Gleichzeitig sollten die Granularität und die Häufigkeit sowohl der Meldungen als auch der Offenlegung unter Berücksichtigung der in der Verordnung (EU) Nr. 575/2013 bzw. in der Richtlinie 2014/59/EU festgelegten Anforderungen und der Notwendigkeit der Gewährleistung, dass die Institute diese Anforderungen jederzeit erfüllen, soweit erforderlich angepasst werden. </w:t>
      </w:r>
    </w:p>
    <w:p w14:paraId="6A0B1EFC" w14:textId="77777777" w:rsidR="00911C0D" w:rsidRPr="00FD66A4" w:rsidRDefault="00911C0D" w:rsidP="00911C0D">
      <w:pPr>
        <w:pStyle w:val="Considrant"/>
        <w:rPr>
          <w:noProof/>
        </w:rPr>
      </w:pPr>
      <w:r w:rsidRPr="00FD66A4">
        <w:t>Gemäß der Richtlinie 2014/59/EU müssen Informationen über die MREL sowohl den zuständigen Behörden als auch den Abwicklungsbehörden gemeldet werden. Gemäß der Verordnung (EU) Nr. 575/2013 müssen Informationen über die TLAC nur den zuständigen Behörden gemeldet werden. Gemäß Artikel 45d Absatz 1 der Richtlinie 2014/59/EU besteht die MREL eines Abwicklungsunternehmens, das ein G-SRI oder Teil eines G-SRI ist, jedoch aus der TLAC-Anforderung und etwaigen zusätzlichen Aufschlägen. Daher sollte sichergestellt werden, dass die Abwicklungsbehörden im Rahmen der MREL-Meldungen auch Informationen über die TLAC von G-SRI einholen. Dies sollte unbeschadet der von den zuständigen Behörden und den Abwicklungsbehörden getroffenen Rechtsvereinbarungen zur Minimierung des Datenflusses gelten.</w:t>
      </w:r>
    </w:p>
    <w:p w14:paraId="47B09598" w14:textId="77777777" w:rsidR="00911C0D" w:rsidRPr="00FD66A4" w:rsidRDefault="00911C0D" w:rsidP="00911C0D">
      <w:pPr>
        <w:pStyle w:val="Considrant"/>
      </w:pPr>
      <w:r w:rsidRPr="00FD66A4">
        <w:t xml:space="preserve">Gemäß Artikel 45i Absatz 5 der Richtlinie 2014/59/EU ist in dem von der EBA zu entwickelnden Entwurf technischer Durchführungsstandards aus Gründen der </w:t>
      </w:r>
      <w:r w:rsidRPr="00FD66A4">
        <w:lastRenderedPageBreak/>
        <w:t>Vergleichbarkeit und der Rechtssicherheit ein Standardverfahren für die Übermittlung von Angaben zur Rangfolge der Eigenmittel und der bail-in-fähigen Verbindlichkeiten festzulegen, das für die nationalen Insolvenzverfahren in jedem Mitgliedstaat gilt Standardisierte Informationen über die Insolvenzrangfolgen in den einzelnen Mitgliedstaaten und deren rechtzeitige Aktualisierung sollten daher von den jeweiligen Abwicklungsbehörden den ihrer Gerichtsbarkeit unterstehenden Instituten zur Verfügung gestellt werden. Diese Informationen sollten einer standardisierten Darstellung der Insolvenzrangfolge folgen.</w:t>
      </w:r>
    </w:p>
    <w:p w14:paraId="5C67BF36" w14:textId="77777777" w:rsidR="00911C0D" w:rsidRPr="00FD66A4" w:rsidRDefault="00911C0D" w:rsidP="00911C0D">
      <w:pPr>
        <w:pStyle w:val="Considrant"/>
      </w:pPr>
      <w:r w:rsidRPr="00FD66A4">
        <w:t>In Bezug auf bail-in-fähige Verbindlichkeiten, die den Gesetzen eines Drittlandes unterliegen, schreibt Artikel 45i Absatz 5 der Richtlinie 2014/59/EU ferner vor, dass in den von der EBA zu entwickelnden Entwürfen technischer Durchführungsstandards eine standardisierte Art und Weise der Bereitstellung von Informationen festgelegt wird, in der die Drittländer angegeben werden, deren Gesetze derartige Verbindlichkeiten regeln, und in der für jedes ermittelte Drittland angegeben wird, ob diese Verbindlichkeiten die Vertragsklausel enthalten, mit der anerkannt wird, dass sie gemäß dieser Richtlinie Herabschreibungs- und Umwandlungsbefugnissen unterliegen können. Da die Granularität der Meldungen über diese Elemente noch weiter bewertet werden muss, werden die entsprechenden Erläuterungen und Meldebögen von der EBA erarbeitet und der Kommission zu gegebener Zeit separat vorgelegt, damit sowohl die zuständigen Behörden als auch die Abwicklungsbehörden regelmäßig Zugang zu diesen Informationen haben. Das Fehlen dieser begrenzten ergänzenden Bestandteile wird die Anwendung der in dieser Verordnung vorgesehenen Meldeanforderungen weder beeinträchtigen noch verzögern.</w:t>
      </w:r>
    </w:p>
    <w:p w14:paraId="131F500A" w14:textId="77777777" w:rsidR="00911C0D" w:rsidRPr="00FD66A4" w:rsidRDefault="00911C0D" w:rsidP="00911C0D">
      <w:pPr>
        <w:pStyle w:val="Considrant"/>
      </w:pPr>
      <w:r w:rsidRPr="00FD66A4">
        <w:t xml:space="preserve">Die meldenden Unternehmen sollten bei der Beurteilung, ob es sich um wesentliche Informationen, Geschäftsgeheimnisse oder vertrauliche Informationen im Sinne von Artikel 432 der Verordnung (EU) Nr. 575/2013 handelt, die einschlägigen Leitlinien der EBA berücksichtigen. </w:t>
      </w:r>
    </w:p>
    <w:p w14:paraId="334E45CF" w14:textId="77777777" w:rsidR="00911C0D" w:rsidRPr="00FD66A4" w:rsidRDefault="00911C0D" w:rsidP="00911C0D">
      <w:pPr>
        <w:pStyle w:val="Considrant"/>
        <w:rPr>
          <w:noProof/>
        </w:rPr>
      </w:pPr>
      <w:r w:rsidRPr="00FD66A4">
        <w:t>Die Pflicht zur Meldung und Offenlegung von Informationen über die TLAC gemäß Artikel 430 Absatz 1 Buchstabe b, Artikel 437a und Artikel 447 Buchstabe h der Verordnung (EU) Nr. 575/2013 gilt seit dem 27. Juni 2019 in Übereinstimmung mit Artikel 3 Absatz 3 Unterabsatz 2 der Verordnung (EU) 2019/876. Folglich sollten G-SRI und bedeutende Tochterunternehmen von Nicht-EU-G-SRI nach Inkrafttreten dieser Verordnung unverzüglich Informationen zur TLAC unter Verwendung der Meldebögen und unter Befolgung der in dieser Verordnung festgelegten Erläuterungen offenlegen. Die Meldeplicht für die TLAC-Anforderung gemäß dieser Verordnung sollte dagegen erst ab dem 28. Juni 2021 gelten, um den Instituten und den zuständigen Behörden ausreichend Zeit für die Umsetzung der entsprechenden Anforderungen zu geben.</w:t>
      </w:r>
    </w:p>
    <w:p w14:paraId="5CD8D630" w14:textId="554B47BE" w:rsidR="00911C0D" w:rsidRPr="00FD66A4" w:rsidRDefault="00911C0D" w:rsidP="00911C0D">
      <w:pPr>
        <w:pStyle w:val="Considrant"/>
        <w:rPr>
          <w:noProof/>
        </w:rPr>
      </w:pPr>
      <w:r w:rsidRPr="00FD66A4">
        <w:rPr>
          <w:color w:val="000000"/>
        </w:rPr>
        <w:t>In Bezug auf die MREL sollen die in der Richtlinie 2014/59/EU festgelegten Meldepflichten spätestens ab dem 28. Dezember 2020 gelten. Aus denselben Gründen wie für die TLAC sollten jedoch alle Institute ab dem 28. Juni 2021 Informationen zu den MREL unter Verwendung der Meldebögen und unter Beachtung der in dieser Verordnung festgelegten Erläuterungen melden. Der Geltungsbeginn der MREL-Offenlegungspflichten sollte dagegen mit dem Ende der Übergangsfrist gemäß Artikel 45m Absatz 1 Unterabsatz 3 der Richtlinie 2014/59/EU zusammenfallen, d. h. frühestens am 1. Januar 2024.</w:t>
      </w:r>
      <w:r w:rsidRPr="00FD66A4">
        <w:t xml:space="preserve"> </w:t>
      </w:r>
    </w:p>
    <w:p w14:paraId="440C2F52" w14:textId="37997D46" w:rsidR="00D05552" w:rsidRPr="00FD66A4" w:rsidRDefault="00EA09E4" w:rsidP="00EA09E4">
      <w:pPr>
        <w:pStyle w:val="Considrant"/>
        <w:rPr>
          <w:noProof/>
        </w:rPr>
      </w:pPr>
      <w:r w:rsidRPr="00FD66A4">
        <w:t xml:space="preserve">Da die Institute, die zuständigen Behörden und die Abwicklungsbehörden ihre Melde- und elektronischen Systeme an die in dieser Verordnung festgelegten Anforderungen </w:t>
      </w:r>
      <w:r w:rsidRPr="00FD66A4">
        <w:lastRenderedPageBreak/>
        <w:t xml:space="preserve">anpassen müssen, sollte der Einreichungstermin für die vierteljährliche Meldung von Daten zum Stichtag 30. Juni 2021 spätestens der 30. September 2021 sein. </w:t>
      </w:r>
    </w:p>
    <w:p w14:paraId="059DCDED" w14:textId="77777777" w:rsidR="00911C0D" w:rsidRPr="00FD66A4" w:rsidRDefault="00911C0D" w:rsidP="00911C0D">
      <w:pPr>
        <w:pStyle w:val="Considrant"/>
        <w:rPr>
          <w:noProof/>
        </w:rPr>
      </w:pPr>
      <w:r w:rsidRPr="00FD66A4">
        <w:t>Diese Verordnung beruht auf dem Entwurf technischer Durchführungsstandards, der der Kommission von der EBA vorgelegt wurde.</w:t>
      </w:r>
    </w:p>
    <w:p w14:paraId="11F1B273" w14:textId="77777777" w:rsidR="00911C0D" w:rsidRPr="00FD66A4" w:rsidRDefault="00911C0D" w:rsidP="00911C0D">
      <w:pPr>
        <w:pStyle w:val="Considrant"/>
        <w:rPr>
          <w:noProof/>
          <w:color w:val="000000"/>
        </w:rPr>
      </w:pPr>
      <w:r w:rsidRPr="00FD66A4">
        <w:t>Die EBA hat zu diesem Entwurf öffentliche Konsultationen durchgeführt, die damit verbundenen potenziellen Kosten- und Nutzeneffekte analysiert und die Stellungnahme der nach Artikel 37 der Verordnung (EU) Nr. 1093/2010 des Europäischen Parlaments und des Rates</w:t>
      </w:r>
      <w:r w:rsidRPr="00FD66A4">
        <w:rPr>
          <w:rStyle w:val="FootnoteReference"/>
        </w:rPr>
        <w:footnoteReference w:id="5"/>
      </w:r>
      <w:r w:rsidRPr="00FD66A4">
        <w:t xml:space="preserve"> eingesetzten Interessengruppe Bankensektor eingeholt —</w:t>
      </w:r>
    </w:p>
    <w:p w14:paraId="0057A5D8" w14:textId="77777777" w:rsidR="00911C0D" w:rsidRPr="00FD66A4" w:rsidRDefault="00911C0D" w:rsidP="00911C0D">
      <w:pPr>
        <w:pStyle w:val="Formuledadoption"/>
      </w:pPr>
      <w:r w:rsidRPr="00FD66A4">
        <w:t>HAT FOLGENDE VERORDNUNG ERLASSEN:</w:t>
      </w:r>
    </w:p>
    <w:p w14:paraId="3D820E8F" w14:textId="77777777" w:rsidR="00911C0D" w:rsidRPr="00FD66A4" w:rsidRDefault="00911C0D" w:rsidP="00911C0D">
      <w:pPr>
        <w:pStyle w:val="SectionTitle"/>
        <w:rPr>
          <w:b w:val="0"/>
          <w:i/>
        </w:rPr>
      </w:pPr>
      <w:r w:rsidRPr="00FD66A4">
        <w:rPr>
          <w:b w:val="0"/>
          <w:i/>
        </w:rPr>
        <w:t>TITEL I</w:t>
      </w:r>
      <w:r w:rsidRPr="00FD66A4">
        <w:t xml:space="preserve"> </w:t>
      </w:r>
      <w:r w:rsidRPr="00FD66A4">
        <w:br/>
      </w:r>
      <w:r w:rsidRPr="00FD66A4">
        <w:rPr>
          <w:b w:val="0"/>
          <w:i/>
        </w:rPr>
        <w:t>AUFSICHTLICHE MELDUNGEN</w:t>
      </w:r>
    </w:p>
    <w:p w14:paraId="41755B8B" w14:textId="77777777" w:rsidR="00911C0D" w:rsidRPr="00FD66A4" w:rsidRDefault="00911C0D" w:rsidP="00911C0D">
      <w:pPr>
        <w:pStyle w:val="Titrearticle"/>
      </w:pPr>
      <w:r w:rsidRPr="00FD66A4">
        <w:t xml:space="preserve">Artikel </w:t>
      </w:r>
      <w:r w:rsidR="00432305">
        <w:fldChar w:fldCharType="begin"/>
      </w:r>
      <w:r w:rsidR="00432305">
        <w:instrText xml:space="preserve"> SEQ Figure \* ARABIC </w:instrText>
      </w:r>
      <w:r w:rsidR="00432305">
        <w:fldChar w:fldCharType="separate"/>
      </w:r>
      <w:r w:rsidRPr="00FD66A4">
        <w:t>1</w:t>
      </w:r>
      <w:r w:rsidR="00432305">
        <w:fldChar w:fldCharType="end"/>
      </w:r>
      <w:r w:rsidRPr="00FD66A4">
        <w:t xml:space="preserve"> </w:t>
      </w:r>
      <w:r w:rsidRPr="00FD66A4">
        <w:br/>
        <w:t>Meldestichtage</w:t>
      </w:r>
    </w:p>
    <w:p w14:paraId="4E45B252" w14:textId="77777777" w:rsidR="00911C0D" w:rsidRPr="00FD66A4" w:rsidRDefault="00911C0D" w:rsidP="00911C0D">
      <w:pPr>
        <w:keepNext/>
        <w:keepLines/>
        <w:spacing w:before="360"/>
        <w:rPr>
          <w:noProof/>
        </w:rPr>
      </w:pPr>
      <w:r w:rsidRPr="00FD66A4">
        <w:t>Unternehmen, die der Meldepflicht für die Gesamtverlustabsorptionskapazität (TLAC) und die Mindestanforderung an Eigenmittel und berücksichtigungsfähige Verbindlichkeiten (MREL) auf Einzel- oder konsolidierter Basis unterliegen (berichtende Rechtsträger), übermitteln den zuständigen Behörden und den Abwicklungsbehörden Informationen zum Stand an den folgenden Meldestichtagen:</w:t>
      </w:r>
    </w:p>
    <w:p w14:paraId="62D6D0EC" w14:textId="77777777" w:rsidR="00911C0D" w:rsidRPr="00FD66A4" w:rsidRDefault="00911C0D" w:rsidP="00911C0D">
      <w:pPr>
        <w:pStyle w:val="Point0"/>
        <w:rPr>
          <w:noProof/>
        </w:rPr>
      </w:pPr>
      <w:r w:rsidRPr="00FD66A4">
        <w:t>a)</w:t>
      </w:r>
      <w:r w:rsidRPr="00FD66A4">
        <w:tab/>
        <w:t>bei vierteljährlicher Meldung: 31. März, 30. Juni, 30. September und 31. Dezember;</w:t>
      </w:r>
    </w:p>
    <w:p w14:paraId="6619E578" w14:textId="77777777" w:rsidR="00911C0D" w:rsidRPr="00FD66A4" w:rsidRDefault="00911C0D" w:rsidP="00911C0D">
      <w:pPr>
        <w:pStyle w:val="Point0"/>
        <w:rPr>
          <w:noProof/>
        </w:rPr>
      </w:pPr>
      <w:r w:rsidRPr="00FD66A4">
        <w:t>b)</w:t>
      </w:r>
      <w:r w:rsidRPr="00FD66A4">
        <w:tab/>
        <w:t>bei halbjährlicher Meldung: 30. Juni und 31. Dezember;</w:t>
      </w:r>
    </w:p>
    <w:p w14:paraId="0A85107A" w14:textId="77777777" w:rsidR="00911C0D" w:rsidRPr="00FD66A4" w:rsidRDefault="00911C0D" w:rsidP="00911C0D">
      <w:pPr>
        <w:pStyle w:val="Point0"/>
        <w:rPr>
          <w:noProof/>
        </w:rPr>
      </w:pPr>
      <w:r w:rsidRPr="00FD66A4">
        <w:t>c)</w:t>
      </w:r>
      <w:r w:rsidRPr="00FD66A4">
        <w:tab/>
        <w:t>bei jährlicher Meldung: 31. Dezember.</w:t>
      </w:r>
    </w:p>
    <w:p w14:paraId="2DD5D0AB" w14:textId="77777777" w:rsidR="00911C0D" w:rsidRPr="00FD66A4" w:rsidRDefault="00911C0D" w:rsidP="00911C0D">
      <w:pPr>
        <w:pStyle w:val="Titrearticle"/>
      </w:pPr>
      <w:r w:rsidRPr="00FD66A4">
        <w:t xml:space="preserve">Artikel </w:t>
      </w:r>
      <w:r w:rsidR="00432305">
        <w:fldChar w:fldCharType="begin"/>
      </w:r>
      <w:r w:rsidR="00432305">
        <w:instrText xml:space="preserve"> SEQ Figure \* ARABIC </w:instrText>
      </w:r>
      <w:r w:rsidR="00432305">
        <w:fldChar w:fldCharType="separate"/>
      </w:r>
      <w:r w:rsidRPr="00FD66A4">
        <w:t>2</w:t>
      </w:r>
      <w:r w:rsidR="00432305">
        <w:fldChar w:fldCharType="end"/>
      </w:r>
      <w:r w:rsidRPr="00FD66A4">
        <w:t xml:space="preserve"> </w:t>
      </w:r>
      <w:r w:rsidRPr="00FD66A4">
        <w:br/>
        <w:t>Einreichungstermine</w:t>
      </w:r>
    </w:p>
    <w:p w14:paraId="7EB2FA5F" w14:textId="594B7E64" w:rsidR="00911C0D" w:rsidRPr="00FD66A4" w:rsidRDefault="00504B07" w:rsidP="00504B07">
      <w:pPr>
        <w:pStyle w:val="ManualNumPar1"/>
        <w:rPr>
          <w:noProof/>
        </w:rPr>
      </w:pPr>
      <w:r>
        <w:t>(1)</w:t>
      </w:r>
      <w:r>
        <w:tab/>
      </w:r>
      <w:r w:rsidR="00911C0D" w:rsidRPr="00FD66A4">
        <w:t>Die berichtenden Unternehmen melden den zuständigen Behörden und den Abwicklungsbehörden ihre Angaben zu folgenden Einreichungsterminen bis Geschäftsschluss:</w:t>
      </w:r>
    </w:p>
    <w:p w14:paraId="333C0EF1" w14:textId="533FC17D" w:rsidR="00911C0D" w:rsidRPr="00FD66A4" w:rsidRDefault="00CF3C2F" w:rsidP="00CF3C2F">
      <w:pPr>
        <w:pStyle w:val="Point1"/>
        <w:rPr>
          <w:noProof/>
        </w:rPr>
      </w:pPr>
      <w:r>
        <w:t>a)</w:t>
      </w:r>
      <w:r w:rsidRPr="00CF3C2F">
        <w:tab/>
      </w:r>
      <w:r w:rsidR="00911C0D" w:rsidRPr="00FD66A4">
        <w:t>bei vierteljährlicher Meldung: 19. Mai, 18. August, 18. November und 18. Februar, mit Ausnahme der Daten zum Stichtag 30. Juni 2021, die bis spätestens 30. September 2021 einzureichen sind;</w:t>
      </w:r>
    </w:p>
    <w:p w14:paraId="2215F3EB" w14:textId="124A7DA9" w:rsidR="00911C0D" w:rsidRPr="00FD66A4" w:rsidRDefault="00CF3C2F" w:rsidP="00CF3C2F">
      <w:pPr>
        <w:pStyle w:val="Point1"/>
        <w:rPr>
          <w:noProof/>
        </w:rPr>
      </w:pPr>
      <w:r>
        <w:t>b)</w:t>
      </w:r>
      <w:r w:rsidRPr="00CF3C2F">
        <w:tab/>
      </w:r>
      <w:r w:rsidR="00911C0D" w:rsidRPr="00FD66A4">
        <w:t>bei halbjährlicher Meldung: 18. August und 18. Februar;</w:t>
      </w:r>
    </w:p>
    <w:p w14:paraId="3F3B32F9" w14:textId="3A1AB605" w:rsidR="00911C0D" w:rsidRPr="00FD66A4" w:rsidRDefault="00CF3C2F" w:rsidP="00CF3C2F">
      <w:pPr>
        <w:pStyle w:val="Point1"/>
        <w:rPr>
          <w:noProof/>
        </w:rPr>
      </w:pPr>
      <w:r>
        <w:t>c)</w:t>
      </w:r>
      <w:r w:rsidRPr="00CF3C2F">
        <w:tab/>
      </w:r>
      <w:r w:rsidR="00911C0D" w:rsidRPr="00FD66A4">
        <w:t>bei jährlicher Meldung: 18. Februar.</w:t>
      </w:r>
    </w:p>
    <w:p w14:paraId="5D1F4190" w14:textId="6B08EF6F" w:rsidR="00911C0D" w:rsidRPr="00FD66A4" w:rsidRDefault="00504B07" w:rsidP="00504B07">
      <w:pPr>
        <w:pStyle w:val="ManualNumPar1"/>
        <w:rPr>
          <w:noProof/>
        </w:rPr>
      </w:pPr>
      <w:r>
        <w:t>(2)</w:t>
      </w:r>
      <w:r>
        <w:tab/>
      </w:r>
      <w:r w:rsidR="00911C0D" w:rsidRPr="00FD66A4">
        <w:t>Ist der Einreichungstermin in dem Mitgliedstaat der zuständigen Behörde oder der Abwicklungsbehörde, der die in Absatz 1 genannten Informationen zu übermitteln sind, ein gesetzlicher Feiertag oder ein Samstag oder Sonntag, so werden diese Informationen am darauffolgenden Arbeitstag bis zum Geschäftsschluss übermittelt.</w:t>
      </w:r>
    </w:p>
    <w:p w14:paraId="1323199E" w14:textId="19FBAE87" w:rsidR="00911C0D" w:rsidRPr="00FD66A4" w:rsidRDefault="00504B07" w:rsidP="00504B07">
      <w:pPr>
        <w:pStyle w:val="ManualNumPar1"/>
        <w:rPr>
          <w:noProof/>
        </w:rPr>
      </w:pPr>
      <w:r>
        <w:lastRenderedPageBreak/>
        <w:t>(3)</w:t>
      </w:r>
      <w:r>
        <w:tab/>
      </w:r>
      <w:r w:rsidR="00911C0D" w:rsidRPr="00FD66A4">
        <w:t xml:space="preserve">Die berichtenden Unternehmen können Zahlen übermitteln, die noch nicht Gegenstand des Prüfungsurteils eines externen Abschlussprüfers gewesen sind (ungeprüfte Zahlen). Weichen die geprüften Zahlen von einem externen Abschlussprüfer, der ein Prüfungsurteil abgibt, (geprüfte Zahlen) von den vorgelegten ungeprüften Zahlen ab, legen die berichtenden Unternehmen die korrigierten, geprüften Zahlen ohne ungebührliche Verzögerung vor. </w:t>
      </w:r>
    </w:p>
    <w:p w14:paraId="449A6FE1" w14:textId="4A2769EB" w:rsidR="00911C0D" w:rsidRPr="00FD66A4" w:rsidRDefault="00504B07" w:rsidP="00504B07">
      <w:pPr>
        <w:pStyle w:val="ManualNumPar1"/>
        <w:rPr>
          <w:noProof/>
        </w:rPr>
      </w:pPr>
      <w:r>
        <w:t>(4)</w:t>
      </w:r>
      <w:r>
        <w:tab/>
      </w:r>
      <w:r w:rsidR="00911C0D" w:rsidRPr="00FD66A4">
        <w:t>Die berichtenden Unternehmen übermitteln den zuständigen Behörden und den Abwicklungsbehörden alle sonstigen Korrekturen ohne ungebührliche Verzögerung.</w:t>
      </w:r>
    </w:p>
    <w:p w14:paraId="73C2EE64" w14:textId="77777777" w:rsidR="00911C0D" w:rsidRPr="00FD66A4" w:rsidRDefault="00911C0D" w:rsidP="00911C0D">
      <w:pPr>
        <w:pStyle w:val="Titrearticle"/>
      </w:pPr>
      <w:r w:rsidRPr="00FD66A4">
        <w:t xml:space="preserve">Artikel </w:t>
      </w:r>
      <w:r w:rsidR="00432305">
        <w:fldChar w:fldCharType="begin"/>
      </w:r>
      <w:r w:rsidR="00432305">
        <w:instrText xml:space="preserve"> SEQ Figure \* ARABIC </w:instrText>
      </w:r>
      <w:r w:rsidR="00432305">
        <w:fldChar w:fldCharType="separate"/>
      </w:r>
      <w:r w:rsidRPr="00FD66A4">
        <w:t>3</w:t>
      </w:r>
      <w:r w:rsidR="00432305">
        <w:fldChar w:fldCharType="end"/>
      </w:r>
      <w:r w:rsidRPr="00FD66A4">
        <w:t xml:space="preserve"> </w:t>
      </w:r>
      <w:r w:rsidRPr="00FD66A4">
        <w:br/>
        <w:t>Format und Häufigkeit der Meldungen durch Abwicklungseinheiten auf individueller Basis</w:t>
      </w:r>
    </w:p>
    <w:p w14:paraId="18406280" w14:textId="428AEEBC" w:rsidR="00911C0D" w:rsidRPr="00FD66A4" w:rsidRDefault="00504B07" w:rsidP="00504B07">
      <w:pPr>
        <w:pStyle w:val="ManualNumPar1"/>
        <w:rPr>
          <w:noProof/>
        </w:rPr>
      </w:pPr>
      <w:r>
        <w:t>(1)</w:t>
      </w:r>
      <w:r>
        <w:tab/>
      </w:r>
      <w:r w:rsidR="00911C0D" w:rsidRPr="00FD66A4">
        <w:t>Abwicklungseinheiten ohne Tochterunternehmen, die den Anforderungen gemäß Artikel 45 der Richtlinie 2014/59/EU nach Artikel 45e der genannten Richtlinie unterliegen, übermitteln den zuständigen Behörden und den Abwicklungsbehörden Informationen auf individueller Basis wie folgt:</w:t>
      </w:r>
    </w:p>
    <w:p w14:paraId="790F78D3" w14:textId="0BFB1B3E" w:rsidR="00911C0D" w:rsidRPr="00FD66A4" w:rsidRDefault="00CF3C2F" w:rsidP="00CF3C2F">
      <w:pPr>
        <w:pStyle w:val="Point1"/>
        <w:rPr>
          <w:noProof/>
        </w:rPr>
      </w:pPr>
      <w:r>
        <w:t>a)</w:t>
      </w:r>
      <w:r w:rsidRPr="00CF3C2F">
        <w:tab/>
      </w:r>
      <w:r w:rsidR="00911C0D" w:rsidRPr="00FD66A4">
        <w:t>Informationen zu den wichtigsten Parametern gemäß Spalte 0010 des Meldebogens 1 in Anhang I der vorliegenden Verordnung werden vierteljährlich in Übereinstimmung mit den Erläuterungen in Anhang II Teil II Nummer 1 der vorliegenden Verordnung gemeldet;</w:t>
      </w:r>
    </w:p>
    <w:p w14:paraId="619B3CEC" w14:textId="2511D378" w:rsidR="00911C0D" w:rsidRPr="00FD66A4" w:rsidRDefault="00CF3C2F" w:rsidP="00CF3C2F">
      <w:pPr>
        <w:pStyle w:val="Point1"/>
        <w:rPr>
          <w:noProof/>
        </w:rPr>
      </w:pPr>
      <w:r>
        <w:t>b)</w:t>
      </w:r>
      <w:r w:rsidRPr="00CF3C2F">
        <w:tab/>
      </w:r>
      <w:r w:rsidR="00911C0D" w:rsidRPr="00FD66A4">
        <w:t>Informationen über die Zusammensetzung der Eigenmittel und berücksichtigungsfähigen Verbindlichkeiten gemäß Spalte 0010 des Meldebogens 2 in Anhang I der vorliegenden Verordnung werden vierteljährlich in Übereinstimmung mit den Erläuterungen in Anhang II Teil II Nummer 2.1 der vorliegenden Verordnung gemeldet;</w:t>
      </w:r>
    </w:p>
    <w:p w14:paraId="1B7D16C2" w14:textId="35A3EED0" w:rsidR="00911C0D" w:rsidRPr="00FD66A4" w:rsidRDefault="00CF3C2F" w:rsidP="00CF3C2F">
      <w:pPr>
        <w:pStyle w:val="Point1"/>
        <w:rPr>
          <w:noProof/>
        </w:rPr>
      </w:pPr>
      <w:r>
        <w:t>c)</w:t>
      </w:r>
      <w:r w:rsidRPr="00CF3C2F">
        <w:tab/>
      </w:r>
      <w:r w:rsidR="00911C0D" w:rsidRPr="00FD66A4">
        <w:t>Informationen über die Finanzierungsstruktur der berücksichtigungsfähigen Verbindlichkeiten gemäß Meldebogen 4 in Anhang I der vorliegenden Verordnung werden vierteljährlich in Übereinstimmung mit den Erläuterungen in Anhang II Teil II Nummer 2.3 der vorliegenden Verordnung gemeldet;</w:t>
      </w:r>
    </w:p>
    <w:p w14:paraId="28DECEF8" w14:textId="388BF85E" w:rsidR="00911C0D" w:rsidRPr="00FD66A4" w:rsidRDefault="00CF3C2F" w:rsidP="00CF3C2F">
      <w:pPr>
        <w:pStyle w:val="Point1"/>
        <w:rPr>
          <w:noProof/>
        </w:rPr>
      </w:pPr>
      <w:r>
        <w:t>d)</w:t>
      </w:r>
      <w:r w:rsidRPr="00CF3C2F">
        <w:tab/>
      </w:r>
      <w:r w:rsidR="00911C0D" w:rsidRPr="00FD66A4">
        <w:t>Informationen über Instrumente, die gemäß Meldebogen 7 in Anhang I der vorliegenden Verordnung Rechtsvorschriften von Drittländern unterliegen, werden vierteljährlich in Übereinstimmung mit den Erläuterungen in Anhang II Teil II Nummer 4 der vorliegenden Verordnung gemeldet.</w:t>
      </w:r>
    </w:p>
    <w:p w14:paraId="06B6C64E" w14:textId="6A68449E" w:rsidR="00911C0D" w:rsidRPr="00FD66A4" w:rsidRDefault="00504B07" w:rsidP="00504B07">
      <w:pPr>
        <w:pStyle w:val="ManualNumPar1"/>
        <w:rPr>
          <w:noProof/>
        </w:rPr>
      </w:pPr>
      <w:r>
        <w:t>(2)</w:t>
      </w:r>
      <w:r>
        <w:tab/>
      </w:r>
      <w:r w:rsidR="00911C0D" w:rsidRPr="00FD66A4">
        <w:t>Die Abwicklungseinheiten übermitteln den zuständigen Behörden und den Abwicklungsbehörden Informationen über die Aufgliederung der Eigenmittel und Verbindlichkeiten nach Insolvenzrangfolge gemäß Meldebogen 6 in Anhang I auf individueller Basis und vierteljährlich in Übereinstimmung mit den Erläuterungen in Anhang II Teil II Nummer 3.2.</w:t>
      </w:r>
    </w:p>
    <w:p w14:paraId="2CE25962" w14:textId="56A5F1F3" w:rsidR="00911C0D" w:rsidRPr="00FD66A4" w:rsidRDefault="00504B07" w:rsidP="00504B07">
      <w:pPr>
        <w:pStyle w:val="ManualNumPar1"/>
        <w:rPr>
          <w:noProof/>
        </w:rPr>
      </w:pPr>
      <w:r>
        <w:t>(3)</w:t>
      </w:r>
      <w:r>
        <w:tab/>
      </w:r>
      <w:r w:rsidR="00911C0D" w:rsidRPr="00FD66A4">
        <w:t>Zusätzlich zu den in den Absätzen 1 und 2 genannten Informationen übermitteln die Abwicklungseinheiten, die der Anforderung gemäß Artikel 92a der Verordnung (EU) Nr. 575/2013 unterliegen, den Abwicklungsbehörden und den zuständigen Behörden auf individueller Basis gemäß Artikel 6 Absatz 1a der genannten Verordnung folgende Informationen:</w:t>
      </w:r>
    </w:p>
    <w:p w14:paraId="028BBD2D" w14:textId="43890770" w:rsidR="00911C0D" w:rsidRPr="00FD66A4" w:rsidRDefault="00504B07" w:rsidP="00504B07">
      <w:pPr>
        <w:pStyle w:val="Point1"/>
        <w:rPr>
          <w:noProof/>
        </w:rPr>
      </w:pPr>
      <w:r>
        <w:t>a)</w:t>
      </w:r>
      <w:r w:rsidRPr="00504B07">
        <w:tab/>
      </w:r>
      <w:r w:rsidR="00911C0D" w:rsidRPr="00FD66A4">
        <w:t>Informationen zu den wichtigsten Parametern gemäß Spalte 0020 des Meldebogens 1 in Anhang I der vorliegenden Verordnung werden vierteljährlich in Übereinstimmung mit den Erläuterungen in Anhang II Teil II Nummer 1 der vorliegenden Verordnung gemeldet;</w:t>
      </w:r>
    </w:p>
    <w:p w14:paraId="45E52025" w14:textId="41A768C3" w:rsidR="00911C0D" w:rsidRPr="00FD66A4" w:rsidRDefault="00504B07" w:rsidP="00504B07">
      <w:pPr>
        <w:pStyle w:val="Point1"/>
        <w:rPr>
          <w:noProof/>
        </w:rPr>
      </w:pPr>
      <w:r>
        <w:lastRenderedPageBreak/>
        <w:t>b)</w:t>
      </w:r>
      <w:r w:rsidRPr="00504B07">
        <w:tab/>
      </w:r>
      <w:r w:rsidR="00911C0D" w:rsidRPr="00FD66A4">
        <w:t>Informationen über die Zusammensetzung der Eigenmittel und berücksichtigungsfähigen Verbindlichkeiten gemäß Spalten 0020 und 0030 des Meldebogens 2 in Anhang I der vorliegenden Verordnung werden vierteljährlich in Übereinstimmung mit den Erläuterungen in Anhang II Teil II Nummer 2.1 der vorliegenden Verordnung gemeldet.</w:t>
      </w:r>
    </w:p>
    <w:p w14:paraId="020EF926" w14:textId="77777777" w:rsidR="00911C0D" w:rsidRPr="00FD66A4" w:rsidRDefault="00911C0D" w:rsidP="00911C0D">
      <w:pPr>
        <w:pStyle w:val="Titrearticle"/>
      </w:pPr>
      <w:r w:rsidRPr="00FD66A4">
        <w:t xml:space="preserve">Artikel </w:t>
      </w:r>
      <w:r w:rsidR="00432305">
        <w:fldChar w:fldCharType="begin"/>
      </w:r>
      <w:r w:rsidR="00432305">
        <w:instrText xml:space="preserve"> SEQ Figure \* ARABIC </w:instrText>
      </w:r>
      <w:r w:rsidR="00432305">
        <w:fldChar w:fldCharType="separate"/>
      </w:r>
      <w:r w:rsidRPr="00FD66A4">
        <w:t>4</w:t>
      </w:r>
      <w:r w:rsidR="00432305">
        <w:fldChar w:fldCharType="end"/>
      </w:r>
      <w:r w:rsidRPr="00FD66A4">
        <w:t xml:space="preserve"> </w:t>
      </w:r>
      <w:r w:rsidRPr="00FD66A4">
        <w:br/>
        <w:t>Format und Häufigkeit der Meldungen durch Abwicklungseinheiten auf konsolidierter Basis</w:t>
      </w:r>
    </w:p>
    <w:p w14:paraId="1378D8C9" w14:textId="296F6B71" w:rsidR="00911C0D" w:rsidRPr="00FD66A4" w:rsidRDefault="00504B07" w:rsidP="00504B07">
      <w:pPr>
        <w:pStyle w:val="ManualNumPar1"/>
        <w:rPr>
          <w:noProof/>
        </w:rPr>
      </w:pPr>
      <w:r>
        <w:t>(1)</w:t>
      </w:r>
      <w:r>
        <w:tab/>
      </w:r>
      <w:r w:rsidR="00911C0D" w:rsidRPr="00FD66A4">
        <w:t>Abwicklungseinheiten, die den Anforderungen gemäß Artikel 45 der Richtlinie 2014/59/EU nach Artikel 45e der genannten Richtlinie auf konsolidierter Basis unterliegen, übermitteln den zuständigen Behörden und den Abwicklungsbehörden Informationen auf konsolidierter Basis wie folgt:</w:t>
      </w:r>
    </w:p>
    <w:p w14:paraId="1E21506B" w14:textId="7B1A00FE" w:rsidR="00911C0D" w:rsidRPr="00FD66A4" w:rsidRDefault="00CF3C2F" w:rsidP="00CF3C2F">
      <w:pPr>
        <w:pStyle w:val="Point1"/>
        <w:rPr>
          <w:noProof/>
        </w:rPr>
      </w:pPr>
      <w:r>
        <w:t>a)</w:t>
      </w:r>
      <w:r w:rsidRPr="00CF3C2F">
        <w:tab/>
      </w:r>
      <w:r w:rsidR="00911C0D" w:rsidRPr="00FD66A4">
        <w:t>Informationen zu den wichtigsten Parametern gemäß Spalte 0010 des Meldebogens 1 in Anhang I der vorliegenden Verordnung werden vierteljährlich in Übereinstimmung mit den Erläuterungen in Anhang II Teil II Nummer 1 der vorliegenden Verordnung gemeldet;</w:t>
      </w:r>
    </w:p>
    <w:p w14:paraId="7F16E897" w14:textId="689E7F46" w:rsidR="00911C0D" w:rsidRPr="00FD66A4" w:rsidRDefault="00CF3C2F" w:rsidP="00CF3C2F">
      <w:pPr>
        <w:pStyle w:val="Point1"/>
        <w:rPr>
          <w:noProof/>
        </w:rPr>
      </w:pPr>
      <w:r>
        <w:t>b)</w:t>
      </w:r>
      <w:r w:rsidRPr="00CF3C2F">
        <w:tab/>
      </w:r>
      <w:r w:rsidR="00911C0D" w:rsidRPr="00FD66A4">
        <w:t>Informationen über die Zusammensetzung der Eigenmittel und berücksichtigungsfähigen Verbindlichkeiten gemäß Spalte 0010 des Meldebogens 2 in Anhang I der vorliegenden Verordnung werden vierteljährlich in Übereinstimmung mit den Erläuterungen in Anhang II Teil II Nummer 2.1 der vorliegenden Verordnung gemeldet;</w:t>
      </w:r>
    </w:p>
    <w:p w14:paraId="2CE5F340" w14:textId="5736E69E" w:rsidR="00911C0D" w:rsidRPr="00FD66A4" w:rsidRDefault="00CF3C2F" w:rsidP="00CF3C2F">
      <w:pPr>
        <w:pStyle w:val="Point1"/>
        <w:rPr>
          <w:noProof/>
        </w:rPr>
      </w:pPr>
      <w:r>
        <w:t>c)</w:t>
      </w:r>
      <w:r w:rsidRPr="00CF3C2F">
        <w:tab/>
      </w:r>
      <w:r w:rsidR="00911C0D" w:rsidRPr="00FD66A4">
        <w:t>Informationen über die Finanzierungsstruktur der berücksichtigungsfähigen Verbindlichkeiten gemäß Meldebogen 4 in Anhang I der vorliegenden Verordnung werden vierteljährlich in Übereinstimmung mit den Erläuterungen in Anhang II Teil II Nummer 2.3 der vorliegenden Verordnung gemeldet;</w:t>
      </w:r>
    </w:p>
    <w:p w14:paraId="0CB1A49C" w14:textId="034FC8AB" w:rsidR="00911C0D" w:rsidRPr="00FD66A4" w:rsidRDefault="00CF3C2F" w:rsidP="00CF3C2F">
      <w:pPr>
        <w:pStyle w:val="Point1"/>
        <w:rPr>
          <w:noProof/>
        </w:rPr>
      </w:pPr>
      <w:r>
        <w:t>d)</w:t>
      </w:r>
      <w:r w:rsidRPr="00CF3C2F">
        <w:tab/>
      </w:r>
      <w:r w:rsidR="00911C0D" w:rsidRPr="00FD66A4">
        <w:t>Informationen über Instrumente, die gemäß Meldebogen 7 in Anhang I der vorliegenden Verordnung Rechtsvorschriften von Drittländern unterliegen, werden vierteljährlich in Übereinstimmung mit den Erläuterungen in Anhang II Teil II Nummer 4 der vorliegenden Verordnung gemeldet.</w:t>
      </w:r>
    </w:p>
    <w:p w14:paraId="1604BDA8" w14:textId="191C6A22" w:rsidR="00911C0D" w:rsidRPr="00FD66A4" w:rsidRDefault="00504B07" w:rsidP="00504B07">
      <w:pPr>
        <w:pStyle w:val="ManualNumPar1"/>
        <w:rPr>
          <w:noProof/>
        </w:rPr>
      </w:pPr>
      <w:r>
        <w:t>(2)</w:t>
      </w:r>
      <w:r>
        <w:tab/>
      </w:r>
      <w:r w:rsidR="00911C0D" w:rsidRPr="00FD66A4">
        <w:t>Zusätzlich zu den in Absatz 1 genannten Informationen übermitteln die Abwicklungseinheiten, die der Anforderung gemäß Artikel 92a der Verordnung (EU) Nr. 575/2013 auf konsolidierter Basis unterliegen, den zuständigen Behörden und den Abwicklungsbehörden auf konsolidierter Basis gemäß Artikel 11 Absatz 3a der genannten Verordnung folgende Informationen:</w:t>
      </w:r>
    </w:p>
    <w:p w14:paraId="4EEC865C" w14:textId="548A8093" w:rsidR="00911C0D" w:rsidRPr="00FD66A4" w:rsidRDefault="00CF3C2F" w:rsidP="00CF3C2F">
      <w:pPr>
        <w:pStyle w:val="Point1"/>
        <w:rPr>
          <w:noProof/>
        </w:rPr>
      </w:pPr>
      <w:r>
        <w:t>a)</w:t>
      </w:r>
      <w:r w:rsidRPr="00CF3C2F">
        <w:tab/>
      </w:r>
      <w:r w:rsidR="00911C0D" w:rsidRPr="00FD66A4">
        <w:t>Informationen zu den wichtigsten Parametern gemäß Spalte 0020 des Meldebogens 1 in Anhang I der vorliegenden Verordnung werden vierteljährlich in Übereinstimmung mit den Erläuterungen in Anhang II Teil II Nummer 1 der vorliegenden Verordnung gemeldet;</w:t>
      </w:r>
    </w:p>
    <w:p w14:paraId="62EB5754" w14:textId="4888551D" w:rsidR="00911C0D" w:rsidRPr="00FD66A4" w:rsidRDefault="00CF3C2F" w:rsidP="00CF3C2F">
      <w:pPr>
        <w:pStyle w:val="Point1"/>
        <w:rPr>
          <w:noProof/>
        </w:rPr>
      </w:pPr>
      <w:r>
        <w:t>b)</w:t>
      </w:r>
      <w:r w:rsidRPr="00CF3C2F">
        <w:tab/>
      </w:r>
      <w:r w:rsidR="00911C0D" w:rsidRPr="00FD66A4">
        <w:t>Informationen über die Zusammensetzung der Eigenmittel und berücksichtigungsfähigen Verbindlichkeiten gemäß Spalten 0020 und 0030 des Meldebogens 2 in Anhang I der vorliegenden Verordnung werden vierteljährlich in Übereinstimmung mit den Erläuterungen in Anhang II Teil II Nummer 2.1 der vorliegenden Verordnung gemeldet.</w:t>
      </w:r>
    </w:p>
    <w:p w14:paraId="79821E88" w14:textId="77777777" w:rsidR="00911C0D" w:rsidRPr="00FD66A4" w:rsidRDefault="00911C0D" w:rsidP="00911C0D">
      <w:pPr>
        <w:pStyle w:val="Titrearticle"/>
      </w:pPr>
      <w:r w:rsidRPr="00FD66A4">
        <w:t xml:space="preserve">Artikel </w:t>
      </w:r>
      <w:r w:rsidR="00432305">
        <w:fldChar w:fldCharType="begin"/>
      </w:r>
      <w:r w:rsidR="00432305">
        <w:instrText xml:space="preserve"> SEQ Figure \* ARABIC </w:instrText>
      </w:r>
      <w:r w:rsidR="00432305">
        <w:fldChar w:fldCharType="separate"/>
      </w:r>
      <w:r w:rsidRPr="00FD66A4">
        <w:t>5</w:t>
      </w:r>
      <w:r w:rsidR="00432305">
        <w:fldChar w:fldCharType="end"/>
      </w:r>
      <w:r w:rsidRPr="00FD66A4">
        <w:t xml:space="preserve"> </w:t>
      </w:r>
      <w:r w:rsidRPr="00FD66A4">
        <w:br/>
        <w:t xml:space="preserve">Format und Häufigkeit der Meldungen auf individueller Basis durch Unternehmen, die selbst </w:t>
      </w:r>
      <w:r w:rsidRPr="00FD66A4">
        <w:lastRenderedPageBreak/>
        <w:t>keine Abwicklungseinheiten sind, sowie durch bedeutende Tochterunternehmen von global systemrelevanten Nicht-EU-Instituten</w:t>
      </w:r>
    </w:p>
    <w:p w14:paraId="0FDA52A0" w14:textId="3209D43C" w:rsidR="00911C0D" w:rsidRPr="00FD66A4" w:rsidRDefault="00504B07" w:rsidP="00504B07">
      <w:pPr>
        <w:pStyle w:val="ManualNumPar1"/>
        <w:rPr>
          <w:noProof/>
        </w:rPr>
      </w:pPr>
      <w:r>
        <w:t>(1)</w:t>
      </w:r>
      <w:r>
        <w:tab/>
      </w:r>
      <w:r w:rsidR="00911C0D" w:rsidRPr="00FD66A4">
        <w:t>Unternehmen, die nicht selbst Abwicklungseinheiten sind und den Anforderungen gemäß Artikel 45 der Richtlinie 2014/59/EU nach Artikel 45f der genannten Richtlinie auf individueller Basis unterliegen, übermitteln den zuständigen Behörden und den Abwicklungsbehörden Informationen auf individueller Basis wie folgt:</w:t>
      </w:r>
    </w:p>
    <w:p w14:paraId="45A08A7C" w14:textId="66ED6965" w:rsidR="00911C0D" w:rsidRPr="00FD66A4" w:rsidRDefault="00CF3C2F" w:rsidP="00CF3C2F">
      <w:pPr>
        <w:pStyle w:val="Point1"/>
        <w:rPr>
          <w:noProof/>
        </w:rPr>
      </w:pPr>
      <w:r>
        <w:t>a)</w:t>
      </w:r>
      <w:r w:rsidRPr="00CF3C2F">
        <w:tab/>
      </w:r>
      <w:r w:rsidR="00911C0D" w:rsidRPr="00FD66A4">
        <w:t>Informationen über die Höhe und die Zusammensetzung der Eigenmittel und berücksichtigungsfähigen Verbindlichkeiten gemäß Spalte 0010 des Meldebogens 3 in Anhang I der vorliegenden Verordnung werden vierteljährlich in Übereinstimmung mit den Erläuterungen in Anhang II Teil II Nummer 2.2 der vorliegenden Verordnung gemeldet;</w:t>
      </w:r>
    </w:p>
    <w:p w14:paraId="3AED8007" w14:textId="0CE4AA73" w:rsidR="00911C0D" w:rsidRPr="00FD66A4" w:rsidRDefault="00CF3C2F" w:rsidP="00CF3C2F">
      <w:pPr>
        <w:pStyle w:val="Point1"/>
        <w:rPr>
          <w:noProof/>
        </w:rPr>
      </w:pPr>
      <w:r>
        <w:t>b)</w:t>
      </w:r>
      <w:r w:rsidRPr="00CF3C2F">
        <w:tab/>
      </w:r>
      <w:r w:rsidR="00911C0D" w:rsidRPr="00FD66A4">
        <w:t>Informationen über die Finanzierungsstruktur der berücksichtigungsfähigen Verbindlichkeiten gemäß Meldebogen 4 in Anhang I der vorliegenden Verordnung werden vierteljährlich in Übereinstimmung mit den Erläuterungen in Anhang II Teil II Nummer 2.3 der vorliegenden Verordnung gemeldet;</w:t>
      </w:r>
    </w:p>
    <w:p w14:paraId="4455633C" w14:textId="2BEC4E43" w:rsidR="00911C0D" w:rsidRPr="00FD66A4" w:rsidRDefault="00CF3C2F" w:rsidP="00CF3C2F">
      <w:pPr>
        <w:pStyle w:val="Point1"/>
        <w:rPr>
          <w:noProof/>
        </w:rPr>
      </w:pPr>
      <w:r>
        <w:t>c)</w:t>
      </w:r>
      <w:r w:rsidRPr="00CF3C2F">
        <w:tab/>
      </w:r>
      <w:r w:rsidR="00911C0D" w:rsidRPr="00FD66A4">
        <w:t>Informationen über Instrumente, die gemäß Meldebogen 7 in Anhang I der vorliegenden Verordnung Rechtsvorschriften von Drittländern unterliegen, werden vierteljährlich in Übereinstimmung mit den Erläuterungen in Anhang II Teil II Nummer 4 der vorliegenden Verordnung gemeldet.</w:t>
      </w:r>
    </w:p>
    <w:p w14:paraId="1ACCD4B5" w14:textId="34EC70C4" w:rsidR="00911C0D" w:rsidRPr="00FD66A4" w:rsidRDefault="00504B07" w:rsidP="00504B07">
      <w:pPr>
        <w:pStyle w:val="ManualNumPar1"/>
        <w:rPr>
          <w:noProof/>
        </w:rPr>
      </w:pPr>
      <w:r>
        <w:t>(2)</w:t>
      </w:r>
      <w:r>
        <w:tab/>
      </w:r>
      <w:r w:rsidR="00911C0D" w:rsidRPr="00FD66A4">
        <w:t>Unternehmen, die nicht selbst Abwicklungseinheiten sind, übermitteln den zuständigen Behörden und den Abwicklungsbehörden Informationen über die Aufgliederung des Rangs der Eigenmittel und Verbindlichkeiten in der Insolvenz gemäß Meldebogen 5 in Anhang I auf individueller Basis und vierteljährlich in Übereinstimmung mit den Erläuterungen in Anhang II Teil II Nummer 3.1.</w:t>
      </w:r>
    </w:p>
    <w:p w14:paraId="3F08EA69" w14:textId="413C7632" w:rsidR="00911C0D" w:rsidRPr="00FD66A4" w:rsidRDefault="00504B07" w:rsidP="00504B07">
      <w:pPr>
        <w:pStyle w:val="ManualNumPar1"/>
        <w:rPr>
          <w:noProof/>
        </w:rPr>
      </w:pPr>
      <w:r>
        <w:t>(3)</w:t>
      </w:r>
      <w:r>
        <w:tab/>
      </w:r>
      <w:r w:rsidR="00911C0D" w:rsidRPr="00FD66A4">
        <w:t>Zusätzlich zu den in den Absätzen 1 und 2 genannten Informationen übermitteln Unternehmen, die bedeutende Tochterunternehmen von global systemrelevanten Nicht-EU-Instituten (G-SRI) sind und gemäß Artikel 6 Absatz 1a der Verordnung (EU) Nr. 575/2013 auf individueller Basis der Anforderung des Artikels 92b der genannten Verordnung unterliegen, den zuständigen Behörden und den Abwicklungsbehörden vierteljährlich Informationen über die Höhe und die Zusammensetzung der Eigenmittel und berücksichtigungsfähigen Verbindlichkeiten gemäß Spalte 0020 des Meldebogens 3 in Anhang I der vorliegenden Verordnung auf individueller Basis in Übereinstimmung mit den Erläuterungen in Nummer 2.2 von Teil II des Anhangs II der vorliegenden Verordnung.</w:t>
      </w:r>
    </w:p>
    <w:p w14:paraId="5415A2FF" w14:textId="77777777" w:rsidR="00911C0D" w:rsidRPr="00FD66A4" w:rsidRDefault="00911C0D" w:rsidP="00911C0D">
      <w:pPr>
        <w:pStyle w:val="Titrearticle"/>
      </w:pPr>
      <w:r w:rsidRPr="00FD66A4">
        <w:t xml:space="preserve">Artikel </w:t>
      </w:r>
      <w:r w:rsidR="00432305">
        <w:fldChar w:fldCharType="begin"/>
      </w:r>
      <w:r w:rsidR="00432305">
        <w:instrText xml:space="preserve"> SEQ Figure \* ARABIC </w:instrText>
      </w:r>
      <w:r w:rsidR="00432305">
        <w:fldChar w:fldCharType="separate"/>
      </w:r>
      <w:r w:rsidRPr="00FD66A4">
        <w:t>6</w:t>
      </w:r>
      <w:r w:rsidR="00432305">
        <w:fldChar w:fldCharType="end"/>
      </w:r>
      <w:r w:rsidRPr="00FD66A4">
        <w:t xml:space="preserve"> </w:t>
      </w:r>
      <w:r w:rsidRPr="00FD66A4">
        <w:br/>
        <w:t xml:space="preserve">Format und Häufigkeit der Meldungen auf konsolidierter Basis durch Unternehmen, die selbst keine Abwicklungseinheiten sind, sowie durch bedeutende Tochterunternehmen von global systemrelevanten Nicht-EU-Instituten </w:t>
      </w:r>
    </w:p>
    <w:p w14:paraId="5D1AFD35" w14:textId="4993D4F9" w:rsidR="00911C0D" w:rsidRPr="00FD66A4" w:rsidRDefault="00504B07" w:rsidP="00504B07">
      <w:pPr>
        <w:pStyle w:val="ManualNumPar1"/>
        <w:rPr>
          <w:noProof/>
        </w:rPr>
      </w:pPr>
      <w:r>
        <w:t>(1)</w:t>
      </w:r>
      <w:r>
        <w:tab/>
      </w:r>
      <w:r w:rsidR="00911C0D" w:rsidRPr="00FD66A4">
        <w:t>Unternehmen, die nicht selbst Abwicklungseinheiten sind und den Anforderungen gemäß Artikel 45 der Richtlinie 2014/59/EU nach Artikel 45f der genannten Richtlinie auf konsolidierter Basis unterliegen, übermitteln den zuständigen Behörden und den Abwicklungsbehörden Informationen auf konsolidierter Basis wie folgt:</w:t>
      </w:r>
    </w:p>
    <w:p w14:paraId="6F70BBA8" w14:textId="07DCD221" w:rsidR="00911C0D" w:rsidRPr="00FD66A4" w:rsidRDefault="00CF3C2F" w:rsidP="00CF3C2F">
      <w:pPr>
        <w:pStyle w:val="Point1"/>
        <w:rPr>
          <w:noProof/>
        </w:rPr>
      </w:pPr>
      <w:r>
        <w:t>a)</w:t>
      </w:r>
      <w:r w:rsidRPr="00CF3C2F">
        <w:tab/>
      </w:r>
      <w:r w:rsidR="00911C0D" w:rsidRPr="00FD66A4">
        <w:t xml:space="preserve">Informationen über die Höhe und die Zusammensetzung der Eigenmittel und berücksichtigungsfähigen Verbindlichkeiten gemäß Spalte 0010 des Meldebogens 3 in Anhang I der vorliegenden Verordnung werden </w:t>
      </w:r>
      <w:r w:rsidR="00911C0D" w:rsidRPr="00FD66A4">
        <w:lastRenderedPageBreak/>
        <w:t>vierteljährlich in Übereinstimmung mit den Erläuterungen in Anhang II Teil II Nummer 2.2 der vorliegenden Verordnung gemeldet;</w:t>
      </w:r>
    </w:p>
    <w:p w14:paraId="52DC2154" w14:textId="6E7C5067" w:rsidR="00911C0D" w:rsidRPr="00FD66A4" w:rsidRDefault="00CF3C2F" w:rsidP="00CF3C2F">
      <w:pPr>
        <w:pStyle w:val="Point1"/>
        <w:rPr>
          <w:noProof/>
        </w:rPr>
      </w:pPr>
      <w:r>
        <w:t>b)</w:t>
      </w:r>
      <w:r w:rsidRPr="00CF3C2F">
        <w:tab/>
      </w:r>
      <w:r w:rsidR="00911C0D" w:rsidRPr="00FD66A4">
        <w:t>Informationen über die Finanzierungsstruktur der berücksichtigungsfähigen Verbindlichkeiten gemäß Meldebogen 4 in Anhang I der vorliegenden Verordnung werden vierteljährlich in Übereinstimmung mit den Erläuterungen in Anhang II Teil II Nummer 2.3 der vorliegenden Verordnung gemeldet;</w:t>
      </w:r>
    </w:p>
    <w:p w14:paraId="61F772BF" w14:textId="61C65DB7" w:rsidR="00911C0D" w:rsidRPr="00FD66A4" w:rsidRDefault="00CF3C2F" w:rsidP="00CF3C2F">
      <w:pPr>
        <w:pStyle w:val="Point1"/>
        <w:rPr>
          <w:noProof/>
        </w:rPr>
      </w:pPr>
      <w:r>
        <w:t>c)</w:t>
      </w:r>
      <w:r w:rsidRPr="00CF3C2F">
        <w:tab/>
      </w:r>
      <w:r w:rsidR="00911C0D" w:rsidRPr="00FD66A4">
        <w:t>Informationen über Instrumente, die gemäß Meldebogen 7 in Anhang I der vorliegenden Verordnung Rechtsvorschriften von Drittländern unterliegen, werden vierteljährlich in Übereinstimmung mit den Erläuterungen in Anhang II Teil II Nummer 4 der vorliegenden Verordnung gemeldet.</w:t>
      </w:r>
    </w:p>
    <w:p w14:paraId="6CFA046B" w14:textId="7A12FC8F" w:rsidR="00911C0D" w:rsidRPr="00FD66A4" w:rsidRDefault="00504B07" w:rsidP="00504B07">
      <w:pPr>
        <w:pStyle w:val="ManualNumPar1"/>
        <w:rPr>
          <w:noProof/>
        </w:rPr>
      </w:pPr>
      <w:r>
        <w:t>(2)</w:t>
      </w:r>
      <w:r>
        <w:tab/>
      </w:r>
      <w:r w:rsidR="00911C0D" w:rsidRPr="00FD66A4">
        <w:t>Zusätzlich zu den in Absatz 1 genannten Informationen übermitteln Unternehmen, die bedeutende Tochterunternehmen von G-SRI sind und gemäß Artikel 11 Absatz 3a der Verordnung (EU) Nr. 575/2013 auf konsolidierter Basis der Anforderung des Artikels 92b der genannten Verordnung unterliegen, den zuständigen Behörden und den Abwicklungsbehörden vierteljährlich Informationen über die Höhe und die Zusammensetzung der Eigenmittel und berücksichtigungsfähigen Verbindlichkeiten gemäß Spalte 0020 des Meldebogens 3 in Anhang I der vorliegenden Verordnung auf konsolidierter Basis in Übereinstimmung mit den Erläuterungen in Nummer 2.2 von Teil II des Anhangs II der vorliegenden Verordnung.</w:t>
      </w:r>
    </w:p>
    <w:p w14:paraId="4E886073" w14:textId="77777777" w:rsidR="00911C0D" w:rsidRPr="00FD66A4" w:rsidRDefault="00911C0D" w:rsidP="00146633">
      <w:pPr>
        <w:pStyle w:val="Titrearticle"/>
        <w:rPr>
          <w:i w:val="0"/>
        </w:rPr>
      </w:pPr>
      <w:r w:rsidRPr="00FD66A4">
        <w:t xml:space="preserve">Artikel </w:t>
      </w:r>
      <w:r w:rsidR="00432305">
        <w:fldChar w:fldCharType="begin"/>
      </w:r>
      <w:r w:rsidR="00432305">
        <w:instrText xml:space="preserve"> SEQ Figure \* ARABIC </w:instrText>
      </w:r>
      <w:r w:rsidR="00432305">
        <w:fldChar w:fldCharType="separate"/>
      </w:r>
      <w:r w:rsidRPr="00FD66A4">
        <w:t>7</w:t>
      </w:r>
      <w:r w:rsidR="00432305">
        <w:fldChar w:fldCharType="end"/>
      </w:r>
      <w:r w:rsidRPr="00FD66A4">
        <w:t xml:space="preserve"> </w:t>
      </w:r>
      <w:r w:rsidRPr="00FD66A4">
        <w:br/>
        <w:t>Formate für den Datenaustausch und bei Meldungen anzugebende Daten</w:t>
      </w:r>
    </w:p>
    <w:p w14:paraId="60E9050D" w14:textId="035594B1" w:rsidR="00911C0D" w:rsidRPr="00504B07" w:rsidRDefault="00504B07" w:rsidP="00504B07">
      <w:pPr>
        <w:pStyle w:val="ManualNumPar1"/>
      </w:pPr>
      <w:r>
        <w:t>(1)</w:t>
      </w:r>
      <w:r>
        <w:tab/>
      </w:r>
      <w:r w:rsidR="00911C0D" w:rsidRPr="00504B07">
        <w:t>Die berichtenden Unternehmen übermitteln die Informationen gemäß dieser Verordnung in den von ihren zuständigen Behörden oder Abwicklungsbehörden festgelegten Datenaustauschformaten und -darstellungen sowie im Einklang mit den im Datenpunktmodell enthaltenen Datenpunktdefinitionen und den in Anhang III dieser Verordnung festgelegten Validierungsregeln.</w:t>
      </w:r>
    </w:p>
    <w:p w14:paraId="6673A56D" w14:textId="6BF14B1A" w:rsidR="00911C0D" w:rsidRPr="00504B07" w:rsidRDefault="00504B07" w:rsidP="00504B07">
      <w:pPr>
        <w:pStyle w:val="ManualNumPar1"/>
      </w:pPr>
      <w:r>
        <w:t>(2)</w:t>
      </w:r>
      <w:r>
        <w:tab/>
      </w:r>
      <w:r w:rsidR="00911C0D" w:rsidRPr="00504B07">
        <w:t>Bei der Übermittlung von Informationen gemäß dieser Verordnung müssen die berichtenden Unternehmen Folgendes beachten:</w:t>
      </w:r>
    </w:p>
    <w:p w14:paraId="7D9E4167" w14:textId="78C4C5C8" w:rsidR="00911C0D" w:rsidRPr="00FD66A4" w:rsidRDefault="00CF3C2F" w:rsidP="00CF3C2F">
      <w:pPr>
        <w:pStyle w:val="Point1"/>
        <w:rPr>
          <w:noProof/>
        </w:rPr>
      </w:pPr>
      <w:r>
        <w:t>a)</w:t>
      </w:r>
      <w:r w:rsidRPr="00CF3C2F">
        <w:tab/>
      </w:r>
      <w:r w:rsidR="00911C0D" w:rsidRPr="00FD66A4">
        <w:t xml:space="preserve">Nicht vorgeschriebene oder nicht zutreffende Angaben sind nicht in die Datenmeldung aufzunehmen; </w:t>
      </w:r>
    </w:p>
    <w:p w14:paraId="3B400175" w14:textId="6C02A041" w:rsidR="00911C0D" w:rsidRPr="00FD66A4" w:rsidRDefault="00CF3C2F" w:rsidP="00CF3C2F">
      <w:pPr>
        <w:pStyle w:val="Point1"/>
        <w:rPr>
          <w:noProof/>
        </w:rPr>
      </w:pPr>
      <w:r>
        <w:t>b)</w:t>
      </w:r>
      <w:r w:rsidRPr="00CF3C2F">
        <w:tab/>
      </w:r>
      <w:r w:rsidR="00911C0D" w:rsidRPr="00FD66A4">
        <w:t>Zahlenwerte sind wie folgt zu übermitteln:</w:t>
      </w:r>
    </w:p>
    <w:p w14:paraId="2184B4DB" w14:textId="77777777" w:rsidR="00911C0D" w:rsidRPr="00FD66A4" w:rsidRDefault="00911C0D" w:rsidP="00146633">
      <w:pPr>
        <w:pStyle w:val="Point2"/>
      </w:pPr>
      <w:r w:rsidRPr="00FD66A4">
        <w:t>i)</w:t>
      </w:r>
      <w:r w:rsidRPr="00FD66A4">
        <w:tab/>
        <w:t xml:space="preserve">Datenpunkte vom Datentyp „monetär“ werden mit einer Mindestpräzision, die tausend Einheiten entspricht, ausgewiesen; </w:t>
      </w:r>
    </w:p>
    <w:p w14:paraId="7B1AF6BE" w14:textId="77777777" w:rsidR="00911C0D" w:rsidRPr="00FD66A4" w:rsidRDefault="00911C0D" w:rsidP="00146633">
      <w:pPr>
        <w:pStyle w:val="Point2"/>
      </w:pPr>
      <w:r w:rsidRPr="00FD66A4">
        <w:t>ii)</w:t>
      </w:r>
      <w:r w:rsidRPr="00FD66A4">
        <w:tab/>
        <w:t xml:space="preserve">Datenpunkte vom Datentyp „prozentual“ werden pro Einheit mit einer Mindestpräzision von vier Dezimalstellen gemeldet; </w:t>
      </w:r>
    </w:p>
    <w:p w14:paraId="5478D846" w14:textId="77777777" w:rsidR="00911C0D" w:rsidRPr="00FD66A4" w:rsidRDefault="00911C0D" w:rsidP="00146633">
      <w:pPr>
        <w:pStyle w:val="Point2"/>
      </w:pPr>
      <w:r w:rsidRPr="00FD66A4">
        <w:t>iii)</w:t>
      </w:r>
      <w:r w:rsidRPr="00FD66A4">
        <w:tab/>
        <w:t>Datenpunkte vom Datentyp „integer“ werden ohne Dezimalstellen mit einer Präzision von einer Einheit gemeldet;</w:t>
      </w:r>
    </w:p>
    <w:p w14:paraId="3B0DDC02" w14:textId="369EA0BA" w:rsidR="00911C0D" w:rsidRPr="00FD66A4" w:rsidRDefault="00CF3C2F" w:rsidP="00CF3C2F">
      <w:pPr>
        <w:pStyle w:val="Point1"/>
        <w:rPr>
          <w:noProof/>
        </w:rPr>
      </w:pPr>
      <w:r>
        <w:t>c)</w:t>
      </w:r>
      <w:r w:rsidRPr="00CF3C2F">
        <w:tab/>
      </w:r>
      <w:r w:rsidR="00911C0D" w:rsidRPr="00FD66A4">
        <w:t>Institute werden ausschließlich durch ihre Rechtsträgerkennung (LEI) gekennzeichnet. Juristische Personen und Gegenparteien, die keine Institute sind, werden – soweit vorhanden – durch ihre LEI gekennzeichnet.</w:t>
      </w:r>
    </w:p>
    <w:p w14:paraId="1DBE05C1" w14:textId="40B85BD3" w:rsidR="00911C0D" w:rsidRPr="00504B07" w:rsidRDefault="00504B07" w:rsidP="00504B07">
      <w:pPr>
        <w:pStyle w:val="ManualNumPar1"/>
      </w:pPr>
      <w:r>
        <w:t>(3)</w:t>
      </w:r>
      <w:r>
        <w:tab/>
      </w:r>
      <w:r w:rsidR="00911C0D" w:rsidRPr="00504B07">
        <w:t>Die von den berichtenden Unternehmen gemäß dieser Verordnung übermittelten Informationen werden durch folgende Angaben ergänzt:</w:t>
      </w:r>
    </w:p>
    <w:p w14:paraId="1DEF8C77" w14:textId="0D9DAC21" w:rsidR="00911C0D" w:rsidRPr="00FD66A4" w:rsidRDefault="00CF3C2F" w:rsidP="00CF3C2F">
      <w:pPr>
        <w:pStyle w:val="Point1"/>
        <w:rPr>
          <w:noProof/>
        </w:rPr>
      </w:pPr>
      <w:r>
        <w:t>a)</w:t>
      </w:r>
      <w:r w:rsidRPr="00CF3C2F">
        <w:tab/>
      </w:r>
      <w:r w:rsidR="00911C0D" w:rsidRPr="00FD66A4">
        <w:t>den Meldestichtag und die Bezugsperiode,</w:t>
      </w:r>
    </w:p>
    <w:p w14:paraId="09EC726C" w14:textId="7D20D4A3" w:rsidR="00911C0D" w:rsidRPr="00FD66A4" w:rsidRDefault="00CF3C2F" w:rsidP="00CF3C2F">
      <w:pPr>
        <w:pStyle w:val="Point1"/>
        <w:rPr>
          <w:noProof/>
        </w:rPr>
      </w:pPr>
      <w:r>
        <w:lastRenderedPageBreak/>
        <w:t>b)</w:t>
      </w:r>
      <w:r w:rsidRPr="00CF3C2F">
        <w:tab/>
      </w:r>
      <w:r w:rsidR="00911C0D" w:rsidRPr="00FD66A4">
        <w:t>die Meldewährung,</w:t>
      </w:r>
    </w:p>
    <w:p w14:paraId="4EEE4DC2" w14:textId="2EF9D2ED" w:rsidR="00911C0D" w:rsidRPr="00FD66A4" w:rsidRDefault="00CF3C2F" w:rsidP="00CF3C2F">
      <w:pPr>
        <w:pStyle w:val="Point1"/>
        <w:rPr>
          <w:noProof/>
        </w:rPr>
      </w:pPr>
      <w:r>
        <w:t>c)</w:t>
      </w:r>
      <w:r w:rsidRPr="00CF3C2F">
        <w:tab/>
      </w:r>
      <w:r w:rsidR="00911C0D" w:rsidRPr="00FD66A4">
        <w:t>den Rechnungslegungsstandard,</w:t>
      </w:r>
    </w:p>
    <w:p w14:paraId="2729F1FB" w14:textId="29A974E5" w:rsidR="00911C0D" w:rsidRPr="00FD66A4" w:rsidRDefault="00CF3C2F" w:rsidP="00CF3C2F">
      <w:pPr>
        <w:pStyle w:val="Point1"/>
        <w:rPr>
          <w:noProof/>
        </w:rPr>
      </w:pPr>
      <w:r>
        <w:t>d)</w:t>
      </w:r>
      <w:r w:rsidRPr="00CF3C2F">
        <w:tab/>
      </w:r>
      <w:r w:rsidR="00911C0D" w:rsidRPr="00FD66A4">
        <w:t>die LEI des meldenden Instituts,</w:t>
      </w:r>
    </w:p>
    <w:p w14:paraId="0F34F03F" w14:textId="576281AA" w:rsidR="00911C0D" w:rsidRPr="00FD66A4" w:rsidRDefault="00CF3C2F" w:rsidP="00CF3C2F">
      <w:pPr>
        <w:pStyle w:val="Point1"/>
        <w:rPr>
          <w:noProof/>
        </w:rPr>
      </w:pPr>
      <w:r>
        <w:t>e)</w:t>
      </w:r>
      <w:r w:rsidRPr="00CF3C2F">
        <w:tab/>
      </w:r>
      <w:r w:rsidR="00911C0D" w:rsidRPr="00FD66A4">
        <w:tab/>
        <w:t>den Konsolidierungskreis.</w:t>
      </w:r>
    </w:p>
    <w:p w14:paraId="7CF14DFD" w14:textId="77777777" w:rsidR="00911C0D" w:rsidRPr="00FD66A4" w:rsidRDefault="00911C0D" w:rsidP="00911C0D">
      <w:pPr>
        <w:pStyle w:val="Titrearticle"/>
      </w:pPr>
      <w:r w:rsidRPr="00FD66A4">
        <w:t xml:space="preserve">Artikel </w:t>
      </w:r>
      <w:r w:rsidR="00432305">
        <w:fldChar w:fldCharType="begin"/>
      </w:r>
      <w:r w:rsidR="00432305">
        <w:instrText xml:space="preserve"> SEQ Figure \* ARABIC </w:instrText>
      </w:r>
      <w:r w:rsidR="00432305">
        <w:fldChar w:fldCharType="separate"/>
      </w:r>
      <w:r w:rsidRPr="00FD66A4">
        <w:t>8</w:t>
      </w:r>
      <w:r w:rsidR="00432305">
        <w:fldChar w:fldCharType="end"/>
      </w:r>
      <w:r w:rsidRPr="00FD66A4">
        <w:t xml:space="preserve"> </w:t>
      </w:r>
      <w:r w:rsidRPr="00FD66A4">
        <w:br/>
        <w:t>Standardisierte Darstellung des Rangs in der Insolvenz</w:t>
      </w:r>
    </w:p>
    <w:p w14:paraId="5049F073" w14:textId="05CB8A38" w:rsidR="00911C0D" w:rsidRPr="00FD66A4" w:rsidRDefault="00504B07" w:rsidP="00504B07">
      <w:pPr>
        <w:pStyle w:val="ManualNumPar1"/>
        <w:rPr>
          <w:noProof/>
        </w:rPr>
      </w:pPr>
      <w:r>
        <w:t>(1)</w:t>
      </w:r>
      <w:r>
        <w:tab/>
      </w:r>
      <w:r w:rsidR="00911C0D" w:rsidRPr="00FD66A4">
        <w:t>Die Abwicklungsbehörden stellen Informationen über die Rangfolge der Posten in ihren nationalen Insolvenzverfahren in dem in Anhang IV festgelegten standardisierten Format zusammen. Sie aktualisieren diese Informationen, wenn sich Änderungen ergeben, ohne ungebührliche Verzögerung.</w:t>
      </w:r>
    </w:p>
    <w:p w14:paraId="3F9A4A43" w14:textId="2469D77D" w:rsidR="00911C0D" w:rsidRPr="00FD66A4" w:rsidRDefault="00504B07" w:rsidP="00504B07">
      <w:pPr>
        <w:pStyle w:val="ManualNumPar1"/>
        <w:rPr>
          <w:noProof/>
        </w:rPr>
      </w:pPr>
      <w:r>
        <w:t>(2)</w:t>
      </w:r>
      <w:r>
        <w:tab/>
      </w:r>
      <w:r w:rsidR="00911C0D" w:rsidRPr="00FD66A4">
        <w:t>Die Abwicklungsbehörden veröffentlichen die in Absatz 1 genannten Informationen, um sie den ihrer Aufsicht unterliegenden Instituten zugänglich zu machen.</w:t>
      </w:r>
    </w:p>
    <w:p w14:paraId="1D1FC80E" w14:textId="77777777" w:rsidR="00911C0D" w:rsidRPr="00FD66A4" w:rsidRDefault="00911C0D" w:rsidP="00911C0D">
      <w:pPr>
        <w:pStyle w:val="SectionTitle"/>
        <w:rPr>
          <w:b w:val="0"/>
          <w:i/>
        </w:rPr>
      </w:pPr>
      <w:r w:rsidRPr="00FD66A4">
        <w:rPr>
          <w:b w:val="0"/>
          <w:i/>
        </w:rPr>
        <w:t>TITEL II</w:t>
      </w:r>
      <w:r w:rsidRPr="00FD66A4">
        <w:t xml:space="preserve"> </w:t>
      </w:r>
      <w:r w:rsidRPr="00FD66A4">
        <w:br/>
      </w:r>
      <w:r w:rsidRPr="00FD66A4">
        <w:rPr>
          <w:b w:val="0"/>
          <w:i/>
        </w:rPr>
        <w:t>OFFENLEGUNG DURCH INSTITUTE</w:t>
      </w:r>
    </w:p>
    <w:p w14:paraId="674A8126" w14:textId="77777777" w:rsidR="00911C0D" w:rsidRPr="00FD66A4" w:rsidRDefault="00911C0D" w:rsidP="00911C0D">
      <w:pPr>
        <w:pStyle w:val="Titrearticle"/>
      </w:pPr>
      <w:r w:rsidRPr="00FD66A4">
        <w:t xml:space="preserve">Artikel </w:t>
      </w:r>
      <w:r w:rsidR="00432305">
        <w:fldChar w:fldCharType="begin"/>
      </w:r>
      <w:r w:rsidR="00432305">
        <w:instrText xml:space="preserve"> SEQ Figure \* ARABIC </w:instrText>
      </w:r>
      <w:r w:rsidR="00432305">
        <w:fldChar w:fldCharType="separate"/>
      </w:r>
      <w:r w:rsidRPr="00FD66A4">
        <w:t>9</w:t>
      </w:r>
      <w:r w:rsidR="00432305">
        <w:fldChar w:fldCharType="end"/>
      </w:r>
      <w:r w:rsidRPr="00FD66A4">
        <w:t xml:space="preserve"> </w:t>
      </w:r>
      <w:r w:rsidRPr="00FD66A4">
        <w:br/>
        <w:t>Häufigkeit der Offenlegung und Offenlegungstermine</w:t>
      </w:r>
    </w:p>
    <w:p w14:paraId="30497442" w14:textId="2ACDF1FB" w:rsidR="00911C0D" w:rsidRPr="00FD66A4" w:rsidRDefault="00504B07" w:rsidP="00504B07">
      <w:pPr>
        <w:pStyle w:val="ManualNumPar1"/>
        <w:rPr>
          <w:noProof/>
        </w:rPr>
      </w:pPr>
      <w:r>
        <w:t>(1)</w:t>
      </w:r>
      <w:r>
        <w:tab/>
      </w:r>
      <w:r w:rsidR="00911C0D" w:rsidRPr="00FD66A4">
        <w:t>Die Offenlegungen gemäß Artikel 10 Absatz 1 erfolgen vierteljährlich. Die Offenlegungen gemäß Artikel 10 Absatz 2 erfolgen halbjährlich.</w:t>
      </w:r>
    </w:p>
    <w:p w14:paraId="0CFDDF92" w14:textId="2A18FB78" w:rsidR="00911C0D" w:rsidRPr="00FD66A4" w:rsidRDefault="00504B07" w:rsidP="00504B07">
      <w:pPr>
        <w:pStyle w:val="ManualNumPar1"/>
        <w:rPr>
          <w:noProof/>
        </w:rPr>
      </w:pPr>
      <w:r>
        <w:t>(2)</w:t>
      </w:r>
      <w:r>
        <w:tab/>
      </w:r>
      <w:r w:rsidR="00911C0D" w:rsidRPr="00FD66A4">
        <w:t>Die Offenlegungen gemäß Artikel </w:t>
      </w:r>
      <w:r w:rsidR="00911C0D" w:rsidRPr="00FD66A4">
        <w:fldChar w:fldCharType="begin"/>
      </w:r>
      <w:r w:rsidR="00911C0D" w:rsidRPr="00FD66A4">
        <w:instrText xml:space="preserve"> REF _Ref21450145 \# 0 \h  \* MERGEFORMAT </w:instrText>
      </w:r>
      <w:r w:rsidR="00911C0D" w:rsidRPr="00FD66A4">
        <w:fldChar w:fldCharType="separate"/>
      </w:r>
      <w:r w:rsidR="00911C0D" w:rsidRPr="00FD66A4">
        <w:t>11</w:t>
      </w:r>
      <w:r w:rsidR="00911C0D" w:rsidRPr="00FD66A4">
        <w:fldChar w:fldCharType="end"/>
      </w:r>
      <w:r w:rsidR="00911C0D" w:rsidRPr="00FD66A4">
        <w:t xml:space="preserve"> Absatz 1 und Artikel </w:t>
      </w:r>
      <w:r w:rsidR="00911C0D" w:rsidRPr="00FD66A4">
        <w:fldChar w:fldCharType="begin"/>
      </w:r>
      <w:r w:rsidR="00911C0D" w:rsidRPr="00FD66A4">
        <w:instrText xml:space="preserve"> REF _Ref21087242 \# 0 \h  \* MERGEFORMAT </w:instrText>
      </w:r>
      <w:r w:rsidR="00911C0D" w:rsidRPr="00FD66A4">
        <w:fldChar w:fldCharType="separate"/>
      </w:r>
      <w:r w:rsidR="00911C0D" w:rsidRPr="00FD66A4">
        <w:t>14</w:t>
      </w:r>
      <w:r w:rsidR="00911C0D" w:rsidRPr="00FD66A4">
        <w:fldChar w:fldCharType="end"/>
      </w:r>
      <w:r w:rsidR="00911C0D" w:rsidRPr="00FD66A4">
        <w:t xml:space="preserve"> Absatz 1 erfolgen halbjährlich. Die Offenlegungen gemäß Artikel </w:t>
      </w:r>
      <w:r w:rsidR="00911C0D" w:rsidRPr="00FD66A4">
        <w:fldChar w:fldCharType="begin"/>
      </w:r>
      <w:r w:rsidR="00911C0D" w:rsidRPr="00FD66A4">
        <w:instrText xml:space="preserve"> REF _Ref21450145 \# 0 \h  \* MERGEFORMAT </w:instrText>
      </w:r>
      <w:r w:rsidR="00911C0D" w:rsidRPr="00FD66A4">
        <w:fldChar w:fldCharType="separate"/>
      </w:r>
      <w:r w:rsidR="00911C0D" w:rsidRPr="00FD66A4">
        <w:t>11</w:t>
      </w:r>
      <w:r w:rsidR="00911C0D" w:rsidRPr="00FD66A4">
        <w:fldChar w:fldCharType="end"/>
      </w:r>
      <w:r w:rsidR="00911C0D" w:rsidRPr="00FD66A4">
        <w:t xml:space="preserve"> Absatz 2 und Artikel 14 Absatz 2 erfolgen jährlich.</w:t>
      </w:r>
    </w:p>
    <w:p w14:paraId="0276A47B" w14:textId="154DB4DE" w:rsidR="00911C0D" w:rsidRPr="00FD66A4" w:rsidRDefault="00504B07" w:rsidP="00504B07">
      <w:pPr>
        <w:pStyle w:val="ManualNumPar1"/>
        <w:rPr>
          <w:noProof/>
        </w:rPr>
      </w:pPr>
      <w:r>
        <w:t>(3)</w:t>
      </w:r>
      <w:r>
        <w:tab/>
      </w:r>
      <w:r w:rsidR="00911C0D" w:rsidRPr="00FD66A4">
        <w:t>Die Offenlegungen gemäß Artikel 12 Absatz 1 erfolgen vierteljährlich. Die Offenlegungen gemäß Artikel 12 Absatz 2 erfolgen halbjährlich.</w:t>
      </w:r>
    </w:p>
    <w:p w14:paraId="1C90BE41" w14:textId="64D9D069" w:rsidR="00911C0D" w:rsidRPr="00FD66A4" w:rsidRDefault="00504B07" w:rsidP="00504B07">
      <w:pPr>
        <w:pStyle w:val="ManualNumPar1"/>
        <w:rPr>
          <w:noProof/>
        </w:rPr>
      </w:pPr>
      <w:r>
        <w:t>(4)</w:t>
      </w:r>
      <w:r>
        <w:tab/>
      </w:r>
      <w:r w:rsidR="00911C0D" w:rsidRPr="00FD66A4">
        <w:t>Die Offenlegungen gemäß Artikel 13 Absatz 1 erfolgen halbjährlich. Die Offenlegungen gemäß Artikel 13 Absatz 2 erfolgen jährlich.</w:t>
      </w:r>
    </w:p>
    <w:p w14:paraId="77DF8699" w14:textId="0FAEC3D5" w:rsidR="00911C0D" w:rsidRPr="00FD66A4" w:rsidRDefault="00504B07" w:rsidP="00504B07">
      <w:pPr>
        <w:pStyle w:val="ManualNumPar1"/>
        <w:rPr>
          <w:noProof/>
        </w:rPr>
      </w:pPr>
      <w:r>
        <w:t>(5)</w:t>
      </w:r>
      <w:r>
        <w:tab/>
      </w:r>
      <w:r w:rsidR="00911C0D" w:rsidRPr="00FD66A4">
        <w:t>Die Offenlegungen gemäß Artikel </w:t>
      </w:r>
      <w:r w:rsidR="00911C0D" w:rsidRPr="00FD66A4">
        <w:fldChar w:fldCharType="begin"/>
      </w:r>
      <w:r w:rsidR="00911C0D" w:rsidRPr="00FD66A4">
        <w:instrText xml:space="preserve"> REF _Ref21087218 \# 0 \h  \* MERGEFORMAT </w:instrText>
      </w:r>
      <w:r w:rsidR="00911C0D" w:rsidRPr="00FD66A4">
        <w:fldChar w:fldCharType="separate"/>
      </w:r>
      <w:r w:rsidR="00911C0D" w:rsidRPr="00FD66A4">
        <w:t>15</w:t>
      </w:r>
      <w:r w:rsidR="00911C0D" w:rsidRPr="00FD66A4">
        <w:fldChar w:fldCharType="end"/>
      </w:r>
      <w:r w:rsidR="00911C0D" w:rsidRPr="00FD66A4">
        <w:t xml:space="preserve"> erfolgen wie folgt:</w:t>
      </w:r>
    </w:p>
    <w:p w14:paraId="553B9B42" w14:textId="79ECF50F" w:rsidR="00911C0D" w:rsidRPr="00FD66A4" w:rsidRDefault="00CF3C2F" w:rsidP="00CF3C2F">
      <w:pPr>
        <w:pStyle w:val="Point1"/>
        <w:rPr>
          <w:noProof/>
        </w:rPr>
      </w:pPr>
      <w:r>
        <w:t>a)</w:t>
      </w:r>
      <w:r w:rsidRPr="00CF3C2F">
        <w:tab/>
      </w:r>
      <w:r w:rsidR="00911C0D" w:rsidRPr="00FD66A4">
        <w:t>halbjährlich, wenn das offenlegende Unternehmen ein großes Institut ist;</w:t>
      </w:r>
    </w:p>
    <w:p w14:paraId="6AC02098" w14:textId="2819EDE2" w:rsidR="00911C0D" w:rsidRPr="00FD66A4" w:rsidRDefault="00CF3C2F" w:rsidP="00CF3C2F">
      <w:pPr>
        <w:pStyle w:val="Point1"/>
        <w:rPr>
          <w:noProof/>
        </w:rPr>
      </w:pPr>
      <w:r>
        <w:t>b)</w:t>
      </w:r>
      <w:r w:rsidRPr="00CF3C2F">
        <w:tab/>
      </w:r>
      <w:r w:rsidR="00146633" w:rsidRPr="00FD66A4">
        <w:t xml:space="preserve">jährlich, wenn es sich bei dem offenlegenden Unternehmen weder um ein großes noch um ein kleines und nicht komplexes Institut handelt. </w:t>
      </w:r>
    </w:p>
    <w:p w14:paraId="67AF5D74" w14:textId="33F7F7A4" w:rsidR="00911C0D" w:rsidRPr="00FD66A4" w:rsidRDefault="00504B07" w:rsidP="00911C0D">
      <w:pPr>
        <w:pStyle w:val="Point0"/>
        <w:rPr>
          <w:noProof/>
        </w:rPr>
      </w:pPr>
      <w:r>
        <w:t>(6)</w:t>
      </w:r>
      <w:r w:rsidR="00911C0D" w:rsidRPr="00FD66A4">
        <w:tab/>
        <w:t>Für die Zwecke der Offenlegung müssen die offenlegenden Institute Folgendes beachten:</w:t>
      </w:r>
    </w:p>
    <w:p w14:paraId="4DA11D1B" w14:textId="6C97D04C" w:rsidR="00911C0D" w:rsidRPr="00FD66A4" w:rsidRDefault="00CF3C2F" w:rsidP="00CF3C2F">
      <w:pPr>
        <w:pStyle w:val="Point1"/>
        <w:rPr>
          <w:noProof/>
        </w:rPr>
      </w:pPr>
      <w:r>
        <w:t>a)</w:t>
      </w:r>
      <w:r w:rsidRPr="00CF3C2F">
        <w:tab/>
      </w:r>
      <w:r w:rsidR="00911C0D" w:rsidRPr="00FD66A4">
        <w:t xml:space="preserve">jährliche Offenlegungen erfolgen am Tag der Veröffentlichung der Abschlüsse durch die Institute oder so bald wie möglich danach; </w:t>
      </w:r>
    </w:p>
    <w:p w14:paraId="38E67937" w14:textId="17CA37C4" w:rsidR="00911C0D" w:rsidRPr="00FD66A4" w:rsidRDefault="00CF3C2F" w:rsidP="00CF3C2F">
      <w:pPr>
        <w:pStyle w:val="Point1"/>
        <w:rPr>
          <w:noProof/>
        </w:rPr>
      </w:pPr>
      <w:r>
        <w:t>b)</w:t>
      </w:r>
      <w:r w:rsidRPr="00CF3C2F">
        <w:tab/>
      </w:r>
      <w:r w:rsidR="00911C0D" w:rsidRPr="00FD66A4">
        <w:t xml:space="preserve">halbjährliche und vierteljährliche Offenlegungen werden am Tag der etwaigen Veröffentlichung der Finanzberichte für den entsprechenden Zeitraum durch die Institute oder so bald wie möglich danach veröffentlicht; </w:t>
      </w:r>
    </w:p>
    <w:p w14:paraId="7CC4F5BD" w14:textId="3AAF300C" w:rsidR="00911C0D" w:rsidRPr="00FD66A4" w:rsidRDefault="00CF3C2F" w:rsidP="00CF3C2F">
      <w:pPr>
        <w:pStyle w:val="Point1"/>
        <w:rPr>
          <w:noProof/>
        </w:rPr>
      </w:pPr>
      <w:r>
        <w:t>c)</w:t>
      </w:r>
      <w:r w:rsidRPr="00CF3C2F">
        <w:tab/>
      </w:r>
      <w:r w:rsidR="00911C0D" w:rsidRPr="00FD66A4">
        <w:t xml:space="preserve">etwaige zeitliche Abstände zwischen dem Tag der Veröffentlichung der nach diesem Titel erforderlichen Offenlegungen und den einschlägigen Abschlüssen müssen vertretbar sein und überschreiten keinen von den zuständigen </w:t>
      </w:r>
      <w:r w:rsidR="00911C0D" w:rsidRPr="00FD66A4">
        <w:lastRenderedPageBreak/>
        <w:t>Behörden im Einklang mit Artikel 106 der Richtlinie 2013/36/EU des Europäischen Parlaments und des Rates</w:t>
      </w:r>
      <w:r w:rsidR="00911C0D" w:rsidRPr="00FD66A4">
        <w:rPr>
          <w:rStyle w:val="FootnoteReference"/>
          <w:noProof/>
        </w:rPr>
        <w:footnoteReference w:id="6"/>
      </w:r>
      <w:r w:rsidR="00911C0D" w:rsidRPr="00FD66A4">
        <w:t xml:space="preserve"> festgesetzten zeitlichen Rahmen.</w:t>
      </w:r>
    </w:p>
    <w:p w14:paraId="2B144DCB" w14:textId="77777777" w:rsidR="00911C0D" w:rsidRPr="00FD66A4" w:rsidRDefault="00911C0D" w:rsidP="00911C0D">
      <w:pPr>
        <w:pStyle w:val="Titrearticle"/>
      </w:pPr>
      <w:bookmarkStart w:id="1" w:name="_Ref21085297"/>
      <w:r w:rsidRPr="00FD66A4">
        <w:t xml:space="preserve">Artikel </w:t>
      </w:r>
      <w:r w:rsidR="00432305">
        <w:fldChar w:fldCharType="begin"/>
      </w:r>
      <w:r w:rsidR="00432305">
        <w:instrText xml:space="preserve"> SEQ Figure \* ARABIC </w:instrText>
      </w:r>
      <w:r w:rsidR="00432305">
        <w:fldChar w:fldCharType="separate"/>
      </w:r>
      <w:r w:rsidRPr="00FD66A4">
        <w:t>10</w:t>
      </w:r>
      <w:r w:rsidR="00432305">
        <w:fldChar w:fldCharType="end"/>
      </w:r>
      <w:bookmarkEnd w:id="1"/>
      <w:r w:rsidRPr="00FD66A4">
        <w:t xml:space="preserve"> </w:t>
      </w:r>
      <w:r w:rsidRPr="00FD66A4">
        <w:br/>
        <w:t>Offenlegung der wichtigsten Parameter zu Eigenmitteln und berücksichtigungsfähigen Verbindlichkeiten und der Anforderungen an Eigenmittel und berücksichtigungsfähige Verbindlichkeiten durch Abwicklungseinheiten</w:t>
      </w:r>
    </w:p>
    <w:p w14:paraId="44F94195" w14:textId="60EE65A3" w:rsidR="00911C0D" w:rsidRPr="00FD66A4" w:rsidRDefault="00504B07" w:rsidP="00504B07">
      <w:pPr>
        <w:pStyle w:val="ManualNumPar1"/>
        <w:rPr>
          <w:noProof/>
        </w:rPr>
      </w:pPr>
      <w:r>
        <w:t>(1)</w:t>
      </w:r>
      <w:r>
        <w:tab/>
      </w:r>
      <w:r w:rsidR="00911C0D" w:rsidRPr="00FD66A4">
        <w:t xml:space="preserve">Als Abwicklungseinheiten eingestufte Unternehmen, bei denen es sich um ein G-SRI oder einen Teil eines G-SRI handelt, legen die in Artikel 447 Buchstabe h der Verordnung (EU) Nr. 575/2013 und in Artikel 45i Absatz 3 Buchstaben a und c der Richtlinie 2014/59/EU vorgeschriebenen Angaben gemäß dem Meldebogen EU KM2 in Anhang V der vorliegenden Verordnung und den einschlägigen Erläuterungen in Anhang VI der vorliegenden Verordnung offen. </w:t>
      </w:r>
    </w:p>
    <w:p w14:paraId="2955CCFE" w14:textId="5D788BE1" w:rsidR="00911C0D" w:rsidRPr="00FD66A4" w:rsidRDefault="00504B07" w:rsidP="00504B07">
      <w:pPr>
        <w:pStyle w:val="ManualNumPar1"/>
        <w:rPr>
          <w:noProof/>
        </w:rPr>
      </w:pPr>
      <w:r>
        <w:t>(2)</w:t>
      </w:r>
      <w:r>
        <w:tab/>
      </w:r>
      <w:r w:rsidR="00911C0D" w:rsidRPr="00FD66A4">
        <w:t>Als Abwicklungseinheiten eingestufte Unternehmen, bei denen es sich weder um ein G-SRI noch um einen Teil eines G-SRI handelt, legen die in Artikel 45i Absatz 3 Buchstaben a und c der Richtlinie 2014/59/EU vorgeschriebenen Angaben gemäß dem Meldebogen EU KM2 in Anhang V der vorliegenden Verordnung und den einschlägigen Erläuterungen in Anhang VI der vorliegenden Verordnung offen.</w:t>
      </w:r>
    </w:p>
    <w:p w14:paraId="5BA5FA46" w14:textId="77777777" w:rsidR="00911C0D" w:rsidRPr="00FD66A4" w:rsidRDefault="00911C0D" w:rsidP="00911C0D">
      <w:pPr>
        <w:pStyle w:val="Titrearticle"/>
      </w:pPr>
      <w:bookmarkStart w:id="2" w:name="_Ref21450145"/>
      <w:r w:rsidRPr="00FD66A4">
        <w:t xml:space="preserve">Artikel </w:t>
      </w:r>
      <w:r w:rsidR="00432305">
        <w:fldChar w:fldCharType="begin"/>
      </w:r>
      <w:r w:rsidR="00432305">
        <w:instrText xml:space="preserve"> SEQ Figure \* ARABIC </w:instrText>
      </w:r>
      <w:r w:rsidR="00432305">
        <w:fldChar w:fldCharType="separate"/>
      </w:r>
      <w:r w:rsidRPr="00FD66A4">
        <w:t>11</w:t>
      </w:r>
      <w:r w:rsidR="00432305">
        <w:fldChar w:fldCharType="end"/>
      </w:r>
      <w:bookmarkEnd w:id="2"/>
      <w:r w:rsidRPr="00FD66A4">
        <w:t xml:space="preserve"> </w:t>
      </w:r>
      <w:r w:rsidRPr="00FD66A4">
        <w:br/>
        <w:t>Offenlegung der Zusammensetzung der Eigenmittel und berücksichtigungsfähigen Verbindlichkeiten durch Abwicklungseinheiten</w:t>
      </w:r>
    </w:p>
    <w:p w14:paraId="097F2CA5" w14:textId="4CC7F533" w:rsidR="00911C0D" w:rsidRPr="00FD66A4" w:rsidRDefault="00504B07" w:rsidP="00504B07">
      <w:pPr>
        <w:pStyle w:val="ManualNumPar1"/>
        <w:rPr>
          <w:noProof/>
        </w:rPr>
      </w:pPr>
      <w:r>
        <w:t>(1)</w:t>
      </w:r>
      <w:r>
        <w:tab/>
      </w:r>
      <w:r w:rsidR="00911C0D" w:rsidRPr="00FD66A4">
        <w:t>Als Abwicklungseinheiten eingestufte Unternehmen, bei denen es sich um ein G-SRI oder einen Teil eines G-SRI handelt, machen die gemäß Artikel 437a Buchstaben a, c und d der Verordnung (EU) Nr. 575/2013 geforderten Angaben und legen die in Artikel 45i Absatz 3 Buchstabe b der Richtlinie 2014/59/EU geforderten Angaben zur Zusammensetzung der Eigenmittel und berücksichtigungsfähigen Verbindlichkeiten gemäß dem Meldebogen EU TLAC1 in Anhang V der vorliegenden Verordnung und den einschlägigen Erläuterungen in Anhang VI der vorliegenden Verordnung offen.</w:t>
      </w:r>
    </w:p>
    <w:p w14:paraId="6EE067EB" w14:textId="1A3D7AFD" w:rsidR="00911C0D" w:rsidRPr="00FD66A4" w:rsidRDefault="00504B07" w:rsidP="00504B07">
      <w:pPr>
        <w:pStyle w:val="ManualNumPar1"/>
        <w:rPr>
          <w:noProof/>
        </w:rPr>
      </w:pPr>
      <w:r>
        <w:t>(2)</w:t>
      </w:r>
      <w:r>
        <w:tab/>
      </w:r>
      <w:r w:rsidR="00911C0D" w:rsidRPr="00FD66A4">
        <w:t>Als Abwicklungseinheiten eingestufte Unternehmen, bei denen es sich weder um ein G-SRI noch um einen Teil eines G-SRI handelt, legen die gemäß Artikel 45i Absatz 3 Buchstabe b der Richtlinie 2014/59/EU erforderliche Zusammensetzung der Eigenmittel und berücksichtigungsfähigen Verbindlichkeiten gemäß dem Meldebogen EU TLAC1 in Anhang V der vorliegenden Verordnung und den einschlägigen Erläuterungen in Anhang VI der vorliegenden Verordnung offen.</w:t>
      </w:r>
    </w:p>
    <w:p w14:paraId="31FF8221" w14:textId="77777777" w:rsidR="00911C0D" w:rsidRPr="00FD66A4" w:rsidRDefault="00911C0D" w:rsidP="00911C0D">
      <w:pPr>
        <w:pStyle w:val="Titrearticle"/>
      </w:pPr>
      <w:bookmarkStart w:id="3" w:name="_Ref21087987"/>
      <w:r w:rsidRPr="00FD66A4">
        <w:t xml:space="preserve">Artikel </w:t>
      </w:r>
      <w:r w:rsidR="00432305">
        <w:fldChar w:fldCharType="begin"/>
      </w:r>
      <w:r w:rsidR="00432305">
        <w:instrText xml:space="preserve"> SEQ Figure \* ARABIC </w:instrText>
      </w:r>
      <w:r w:rsidR="00432305">
        <w:fldChar w:fldCharType="separate"/>
      </w:r>
      <w:r w:rsidRPr="00FD66A4">
        <w:t>12</w:t>
      </w:r>
      <w:r w:rsidR="00432305">
        <w:fldChar w:fldCharType="end"/>
      </w:r>
      <w:bookmarkEnd w:id="3"/>
      <w:r w:rsidRPr="00FD66A4">
        <w:t xml:space="preserve"> </w:t>
      </w:r>
      <w:r w:rsidRPr="00FD66A4">
        <w:br/>
        <w:t>Offenlegung der wichtigsten Parameter und der internen Verlustabsorptionsfähigkeit durch Unternehmen, bei denen es sich nicht um Abwicklungseinheiten handelt</w:t>
      </w:r>
    </w:p>
    <w:p w14:paraId="32300B39" w14:textId="3A84C185" w:rsidR="00911C0D" w:rsidRPr="00FD66A4" w:rsidRDefault="00504B07" w:rsidP="00504B07">
      <w:pPr>
        <w:pStyle w:val="ManualNumPar1"/>
        <w:rPr>
          <w:noProof/>
        </w:rPr>
      </w:pPr>
      <w:r>
        <w:t>(1)</w:t>
      </w:r>
      <w:r>
        <w:tab/>
      </w:r>
      <w:r w:rsidR="00911C0D" w:rsidRPr="00FD66A4">
        <w:t xml:space="preserve">Unternehmen, bei denen es sich um bedeutende Tochterunternehmen von Nicht-EU-G-SRI handelt und die nicht selbst Abwicklungseinheiten sind, machen die folgenden Angaben gemäß dem Meldebogen EU ILAC in Anhang V der </w:t>
      </w:r>
      <w:r w:rsidR="00911C0D" w:rsidRPr="00FD66A4">
        <w:lastRenderedPageBreak/>
        <w:t>vorliegenden Verordnung und den einschlägigen Erläuterungen in Anhang VI der vorliegenden Verordnung:</w:t>
      </w:r>
    </w:p>
    <w:p w14:paraId="782B5E5F" w14:textId="4D146D89" w:rsidR="00911C0D" w:rsidRPr="00FD66A4" w:rsidRDefault="00CF3C2F" w:rsidP="00CF3C2F">
      <w:pPr>
        <w:pStyle w:val="Point1"/>
        <w:rPr>
          <w:noProof/>
        </w:rPr>
      </w:pPr>
      <w:r>
        <w:t>a)</w:t>
      </w:r>
      <w:r w:rsidRPr="00CF3C2F">
        <w:tab/>
      </w:r>
      <w:r w:rsidR="00911C0D" w:rsidRPr="00FD66A4">
        <w:t>Offenlegungen, die gemäß Artikel 437a Buchstaben a, c und d der Verordnung (EU) Nr. 575/2013 erforderlich sind;</w:t>
      </w:r>
    </w:p>
    <w:p w14:paraId="32D06C75" w14:textId="5A8B5D8B" w:rsidR="00911C0D" w:rsidRPr="00FD66A4" w:rsidRDefault="00CF3C2F" w:rsidP="00CF3C2F">
      <w:pPr>
        <w:pStyle w:val="Point1"/>
        <w:rPr>
          <w:noProof/>
        </w:rPr>
      </w:pPr>
      <w:r>
        <w:t>b)</w:t>
      </w:r>
      <w:r w:rsidRPr="00CF3C2F">
        <w:tab/>
      </w:r>
      <w:r w:rsidR="00911C0D" w:rsidRPr="00FD66A4">
        <w:t>Offenlegungen, die gemäß Artikel 447 Buchstabe h der Verordnung (EU) Nr. 575/2013 erforderlich sind;</w:t>
      </w:r>
    </w:p>
    <w:p w14:paraId="00DD876B" w14:textId="589FFD7A" w:rsidR="00911C0D" w:rsidRPr="00FD66A4" w:rsidRDefault="00CF3C2F" w:rsidP="00CF3C2F">
      <w:pPr>
        <w:pStyle w:val="Point1"/>
        <w:rPr>
          <w:noProof/>
        </w:rPr>
      </w:pPr>
      <w:r>
        <w:t>c)</w:t>
      </w:r>
      <w:r w:rsidRPr="00CF3C2F">
        <w:tab/>
      </w:r>
      <w:r w:rsidR="00911C0D" w:rsidRPr="00FD66A4">
        <w:t>Offenlegungen, die gemäß Artikel 45i Absatz 3 Buchstaben a und c der Richtlinie 2014/59/EU erforderlich sind;</w:t>
      </w:r>
    </w:p>
    <w:p w14:paraId="4DA0CF37" w14:textId="0B5EEF5D" w:rsidR="00911C0D" w:rsidRPr="00FD66A4" w:rsidRDefault="00CF3C2F" w:rsidP="00CF3C2F">
      <w:pPr>
        <w:pStyle w:val="Point1"/>
        <w:rPr>
          <w:noProof/>
        </w:rPr>
      </w:pPr>
      <w:r>
        <w:t>d)</w:t>
      </w:r>
      <w:r w:rsidRPr="00CF3C2F">
        <w:tab/>
      </w:r>
      <w:r w:rsidR="00911C0D" w:rsidRPr="00FD66A4">
        <w:t>Offenlegungen bezüglich der Zusammensetzung der Eigenmittel und der berücksichtigungsfähigen Verbindlichkeiten, die gemäß Artikel 45i Absatz 3 Buchstabe b der Richtlinie 2014/59/EU erforderlich sind.</w:t>
      </w:r>
    </w:p>
    <w:p w14:paraId="2D3A456D" w14:textId="58C40219" w:rsidR="00911C0D" w:rsidRPr="00FD66A4" w:rsidRDefault="00504B07" w:rsidP="00911C0D">
      <w:pPr>
        <w:pStyle w:val="Point0"/>
        <w:rPr>
          <w:noProof/>
        </w:rPr>
      </w:pPr>
      <w:r>
        <w:t>(2)</w:t>
      </w:r>
      <w:r w:rsidR="00911C0D" w:rsidRPr="00FD66A4">
        <w:tab/>
        <w:t>Unternehmen, bei denen es sich nicht um bedeutende Tochterunternehmen von Nicht-EU-G-SRI handelt und die nicht selbst Abwicklungseinheiten sind, machen die folgenden Angaben gemäß dem Meldebogen EU ILAC in Anhang V der vorliegenden Verordnung und den einschlägigen Erläuterungen in Anhang VI der vorliegenden Verordnung:</w:t>
      </w:r>
    </w:p>
    <w:p w14:paraId="2F8640BD" w14:textId="74992F17" w:rsidR="00911C0D" w:rsidRPr="00FD66A4" w:rsidRDefault="00CF3C2F" w:rsidP="00CF3C2F">
      <w:pPr>
        <w:pStyle w:val="Point1"/>
        <w:rPr>
          <w:noProof/>
        </w:rPr>
      </w:pPr>
      <w:r>
        <w:t>a)</w:t>
      </w:r>
      <w:r w:rsidRPr="00CF3C2F">
        <w:tab/>
      </w:r>
      <w:r w:rsidR="00911C0D" w:rsidRPr="00FD66A4">
        <w:t>Offenlegungen, die gemäß Artikel 45i Absatz 3 Buchstaben a und c der Richtlinie 2014/59/EU erforderlich sind;</w:t>
      </w:r>
    </w:p>
    <w:p w14:paraId="4C6E59D7" w14:textId="156277BD" w:rsidR="00911C0D" w:rsidRPr="00FD66A4" w:rsidRDefault="00CF3C2F" w:rsidP="00CF3C2F">
      <w:pPr>
        <w:pStyle w:val="Point1"/>
        <w:rPr>
          <w:noProof/>
        </w:rPr>
      </w:pPr>
      <w:r>
        <w:t>b)</w:t>
      </w:r>
      <w:r w:rsidRPr="00CF3C2F">
        <w:tab/>
      </w:r>
      <w:r w:rsidR="00911C0D" w:rsidRPr="00FD66A4">
        <w:t>Offenlegungen bezüglich der Zusammensetzung der Eigenmittel und der berücksichtigungsfähigen Verbindlichkeiten, die gemäß Artikel 45i Absatz 3 Buchstabe b der Richtlinie 2014/59/EU erforderlich sind.</w:t>
      </w:r>
    </w:p>
    <w:p w14:paraId="40797C60" w14:textId="77777777" w:rsidR="00911C0D" w:rsidRPr="00FD66A4" w:rsidRDefault="00911C0D" w:rsidP="00911C0D">
      <w:pPr>
        <w:pStyle w:val="Titrearticle"/>
      </w:pPr>
      <w:bookmarkStart w:id="4" w:name="_Ref21088028"/>
      <w:r w:rsidRPr="00FD66A4">
        <w:t>Artikel</w:t>
      </w:r>
      <w:bookmarkEnd w:id="4"/>
      <w:r w:rsidRPr="00FD66A4">
        <w:fldChar w:fldCharType="begin"/>
      </w:r>
      <w:r w:rsidRPr="00FD66A4">
        <w:instrText xml:space="preserve"> SEQ Figure \* ARABIC </w:instrText>
      </w:r>
      <w:r w:rsidRPr="00FD66A4">
        <w:fldChar w:fldCharType="separate"/>
      </w:r>
      <w:r w:rsidRPr="00FD66A4">
        <w:t>13</w:t>
      </w:r>
      <w:r w:rsidRPr="00FD66A4">
        <w:fldChar w:fldCharType="end"/>
      </w:r>
      <w:r w:rsidRPr="00FD66A4">
        <w:br/>
        <w:t>Offenlegung der Rangfolge der Gläubiger durch Unternehmen, bei denen es sich nicht um Abwicklungseinheiten handelt</w:t>
      </w:r>
    </w:p>
    <w:p w14:paraId="0FA53E9A" w14:textId="38DEFC84" w:rsidR="00911C0D" w:rsidRPr="00FD66A4" w:rsidRDefault="00504B07" w:rsidP="00504B07">
      <w:pPr>
        <w:pStyle w:val="ManualNumPar1"/>
        <w:rPr>
          <w:noProof/>
        </w:rPr>
      </w:pPr>
      <w:r>
        <w:t>(1)</w:t>
      </w:r>
      <w:r>
        <w:tab/>
      </w:r>
      <w:r w:rsidR="00911C0D" w:rsidRPr="00FD66A4">
        <w:t xml:space="preserve">Unternehmen, bei denen es sich um bedeutende Tochterunternehmen von Nicht-EU-G-SRI handelt und die nicht selbst Abwicklungseinheiten sind, legen die in Artikel 437a Buchstaben a und b der Verordnung (EU) Nr. 575/2013 und Artikel 45i Absatz 3 Buchstabe b der Richtlinie 2014/59/EU genannten Angaben zum Fälligkeitsprofil und zur Rangfolge im regulären Insolvenzverfahren gemäß dem Meldebogen EU TLAC2a in Anhang V der vorliegenden Verordnung und den einschlägigen Erläuterungen in Anhang VI der vorliegenden Verordnung offen. </w:t>
      </w:r>
    </w:p>
    <w:p w14:paraId="515F579C" w14:textId="4BC76BC4" w:rsidR="00911C0D" w:rsidRPr="00FD66A4" w:rsidRDefault="00504B07" w:rsidP="00504B07">
      <w:pPr>
        <w:pStyle w:val="ManualNumPar1"/>
        <w:rPr>
          <w:noProof/>
        </w:rPr>
      </w:pPr>
      <w:r>
        <w:t>(2)</w:t>
      </w:r>
      <w:r>
        <w:tab/>
      </w:r>
      <w:r w:rsidR="00911C0D" w:rsidRPr="00FD66A4">
        <w:t xml:space="preserve">Unternehmen, bei denen es sich nicht um bedeutende Tochterunternehmen von Nicht-EU-G-SRI handelt, die selbst keine Abwicklungseinheiten sind, legen die in Artikel 45i Absatz 3 Buchstabe b der Richtlinie 2014/59/EU genannten Angaben zum Fälligkeitsprofil und zum Rang im regulären Insolvenzverfahren gemäß dem Meldebogen EU TLAC2b in Anhang V der vorliegenden Verordnung und den einschlägigen Erläuterungen in Anhang VI der vorliegenden Verordnung offen. </w:t>
      </w:r>
    </w:p>
    <w:p w14:paraId="51B0E851" w14:textId="32AD2F70" w:rsidR="00911C0D" w:rsidRPr="00FD66A4" w:rsidRDefault="00911C0D" w:rsidP="00B129CF">
      <w:pPr>
        <w:pStyle w:val="Text1"/>
        <w:rPr>
          <w:noProof/>
        </w:rPr>
      </w:pPr>
      <w:r w:rsidRPr="00FD66A4">
        <w:t>Die in Unterabsatz 1 genannten Unternehmen können sich dafür entscheiden, die nach Artikel 45i Absatz 3 Buchstabe b der Richtlinie 2014/59/EU erforderlichen Angaben zum Fälligkeitsprofil und zum Rang im regulären Insolvenzverfahren unter Verwendung des Meldebogens EU TLAC2a anstelle von EU TLAC2b offenzulegen.</w:t>
      </w:r>
    </w:p>
    <w:p w14:paraId="0ACD53CE" w14:textId="77777777" w:rsidR="00911C0D" w:rsidRPr="00FD66A4" w:rsidRDefault="00911C0D" w:rsidP="00911C0D">
      <w:pPr>
        <w:pStyle w:val="Titrearticle"/>
      </w:pPr>
      <w:bookmarkStart w:id="5" w:name="_Ref21087242"/>
      <w:r w:rsidRPr="00FD66A4">
        <w:lastRenderedPageBreak/>
        <w:t>Artikel</w:t>
      </w:r>
      <w:bookmarkEnd w:id="5"/>
      <w:r w:rsidRPr="00FD66A4">
        <w:t xml:space="preserve"> </w:t>
      </w:r>
      <w:r w:rsidR="00432305">
        <w:fldChar w:fldCharType="begin"/>
      </w:r>
      <w:r w:rsidR="00432305">
        <w:instrText xml:space="preserve"> SEQ Figure \* ARABIC </w:instrText>
      </w:r>
      <w:r w:rsidR="00432305">
        <w:fldChar w:fldCharType="separate"/>
      </w:r>
      <w:r w:rsidRPr="00FD66A4">
        <w:t>14</w:t>
      </w:r>
      <w:r w:rsidR="00432305">
        <w:fldChar w:fldCharType="end"/>
      </w:r>
      <w:r w:rsidRPr="00FD66A4">
        <w:br/>
        <w:t>Offenlegung der Rangfolge der Gläubiger durch Unternehmen, bei denen es sich um Abwicklungseinheiten handelt</w:t>
      </w:r>
    </w:p>
    <w:p w14:paraId="0214BA4A" w14:textId="4C9133EB" w:rsidR="00911C0D" w:rsidRPr="00FD66A4" w:rsidRDefault="00504B07" w:rsidP="00504B07">
      <w:pPr>
        <w:pStyle w:val="ManualNumPar1"/>
        <w:rPr>
          <w:noProof/>
        </w:rPr>
      </w:pPr>
      <w:r>
        <w:t>(1)</w:t>
      </w:r>
      <w:r>
        <w:tab/>
      </w:r>
      <w:r w:rsidR="00911C0D" w:rsidRPr="00FD66A4">
        <w:t xml:space="preserve">Als Abwicklungseinheiten eingestufte Unternehmen, bei denen es sich um G-SRI oder einen Teil eines G-SRI handelt, legen die Angaben zum Fälligkeitsprofil und zum Rang im regulären Insolvenzverfahren gemäß Artikel 437a Buchstaben a und b der Verordnung (EU) Nr. 575/2013 sowie Artikel 45i Absatz 3 Buchstabe b der Richtlinie 2014/59/EU gemäß dem Meldebogen EU TLAC3a in Anhang V der vorliegenden Verordnung und den einschlägigen Erläuterungen in Anhang VI der vorliegenden Verordnung offen. </w:t>
      </w:r>
    </w:p>
    <w:p w14:paraId="703B620D" w14:textId="1DF5DB4F" w:rsidR="00911C0D" w:rsidRPr="00FD66A4" w:rsidRDefault="00504B07" w:rsidP="00504B07">
      <w:pPr>
        <w:pStyle w:val="ManualNumPar1"/>
        <w:rPr>
          <w:noProof/>
        </w:rPr>
      </w:pPr>
      <w:r>
        <w:t>(2)</w:t>
      </w:r>
      <w:r>
        <w:tab/>
      </w:r>
      <w:r w:rsidR="00911C0D" w:rsidRPr="00FD66A4">
        <w:t xml:space="preserve">Als Abwicklungseinheiten eingestufte Unternehmen, bei denen es sich weder um G-SRI noch um einen Teil eines G-SRI handelt, legen die in Artikel 45i Absatz 3 Buchstabe b der Richtlinie 2014/59/EU genannten Angaben zum Fälligkeitsprofil und zum Rang im regulären Insolvenzverfahren gemäß dem Meldebogen EU TLAC3b in Anhang V der vorliegenden Verordnung und den einschlägigen Erläuterungen in Anhang VI der vorliegenden Verordnung offen. </w:t>
      </w:r>
    </w:p>
    <w:p w14:paraId="312D7D45" w14:textId="0EC96E4F" w:rsidR="00911C0D" w:rsidRPr="00FD66A4" w:rsidRDefault="00911C0D" w:rsidP="008E17B7">
      <w:pPr>
        <w:pStyle w:val="Text1"/>
        <w:rPr>
          <w:noProof/>
        </w:rPr>
      </w:pPr>
      <w:r w:rsidRPr="00FD66A4">
        <w:t>Die in Unterabsatz 1 des vorliegenden Absatzes genannten Unternehmen können sich dafür entscheiden, den Meldebogen EU TLAC3a anstelle von EU TLAC3b zu verwenden, um Informationen über das Fälligkeitsprofil und die Rangfolge in regulären Insolvenzverfahren offenzulegen, die gemäß Artikel 45i Absatz 3 Buchstabe b der Richtlinie 2014/59/EU erforderlich sind.</w:t>
      </w:r>
    </w:p>
    <w:p w14:paraId="392B83E1" w14:textId="0ED4F921" w:rsidR="00911C0D" w:rsidRPr="00FD66A4" w:rsidRDefault="00911C0D" w:rsidP="00911C0D">
      <w:pPr>
        <w:pStyle w:val="Titrearticle"/>
      </w:pPr>
      <w:bookmarkStart w:id="6" w:name="_Ref21087218"/>
      <w:r w:rsidRPr="00FD66A4">
        <w:t xml:space="preserve">Artikel </w:t>
      </w:r>
      <w:r w:rsidR="00432305">
        <w:fldChar w:fldCharType="begin"/>
      </w:r>
      <w:r w:rsidR="00432305">
        <w:instrText xml:space="preserve"> SEQ Figure \* ARABIC </w:instrText>
      </w:r>
      <w:r w:rsidR="00432305">
        <w:fldChar w:fldCharType="separate"/>
      </w:r>
      <w:r w:rsidRPr="00FD66A4">
        <w:t>15</w:t>
      </w:r>
      <w:r w:rsidR="00432305">
        <w:fldChar w:fldCharType="end"/>
      </w:r>
      <w:bookmarkEnd w:id="6"/>
      <w:r w:rsidRPr="00FD66A4">
        <w:t xml:space="preserve"> </w:t>
      </w:r>
      <w:r w:rsidRPr="00FD66A4">
        <w:br/>
        <w:t>Offenlegung der Hauptmerkmale der Eigenmittel und berücksichtigungsfähigen Instrumente</w:t>
      </w:r>
    </w:p>
    <w:p w14:paraId="556F10F9" w14:textId="77777777" w:rsidR="00911C0D" w:rsidRPr="00FD66A4" w:rsidRDefault="00911C0D" w:rsidP="00911C0D">
      <w:pPr>
        <w:keepNext/>
        <w:keepLines/>
        <w:spacing w:before="360"/>
      </w:pPr>
      <w:r w:rsidRPr="00FD66A4">
        <w:t xml:space="preserve">Als Abwicklungseinheiten eingestufte Unternehmen, bei denen es sich um G-SRI oder einen Teil eines G-SRI handelt, sowie Unternehmen, bei denen es sich um bedeutende Tochterunternehmen von Nicht-EU-G-SRI handelt und die selbst keine Abwicklungseinheiten sind, legen die in Artikel 437a Buchstabe a der Verordnung (EU) Nr. 575/2013 aufgeführten Angaben im Einklang mit dem in Artikel 434a der besagten Verordnung genannten Durchführungsrechtsakt offen. </w:t>
      </w:r>
    </w:p>
    <w:p w14:paraId="20EB102D" w14:textId="77777777" w:rsidR="00911C0D" w:rsidRPr="00FD66A4" w:rsidRDefault="00911C0D" w:rsidP="00146633">
      <w:pPr>
        <w:pStyle w:val="Titrearticle"/>
      </w:pPr>
      <w:r w:rsidRPr="00FD66A4">
        <w:t xml:space="preserve">Artikel </w:t>
      </w:r>
      <w:r w:rsidR="00432305">
        <w:fldChar w:fldCharType="begin"/>
      </w:r>
      <w:r w:rsidR="00432305">
        <w:instrText xml:space="preserve"> SEQ Figure \* ARABIC </w:instrText>
      </w:r>
      <w:r w:rsidR="00432305">
        <w:fldChar w:fldCharType="separate"/>
      </w:r>
      <w:r w:rsidRPr="00FD66A4">
        <w:t>16</w:t>
      </w:r>
      <w:r w:rsidR="00432305">
        <w:fldChar w:fldCharType="end"/>
      </w:r>
      <w:r w:rsidRPr="00FD66A4">
        <w:t xml:space="preserve"> </w:t>
      </w:r>
      <w:r w:rsidRPr="00FD66A4">
        <w:br/>
        <w:t>Allgemeine Bestimmungen zur Offenlegung</w:t>
      </w:r>
    </w:p>
    <w:p w14:paraId="74D86184" w14:textId="41FF0AC8" w:rsidR="00911C0D" w:rsidRPr="00FD66A4" w:rsidRDefault="00504B07" w:rsidP="00504B07">
      <w:pPr>
        <w:pStyle w:val="ManualNumPar1"/>
        <w:rPr>
          <w:noProof/>
        </w:rPr>
      </w:pPr>
      <w:r>
        <w:t>(1)</w:t>
      </w:r>
      <w:r>
        <w:tab/>
      </w:r>
      <w:r w:rsidR="00911C0D" w:rsidRPr="00FD66A4">
        <w:t xml:space="preserve">Falls offenlegende Unternehmen von einer oder mehreren der Angaben gemäß Artikel 432 der Verordnung (EU) Nr. 575/2013 absehen dürfen, können die entsprechenden Zeilen oder Spalten der in der vorliegenden Verordnung festgelegten Meldebögen oder Tabellen leer gelassen werden, wobei die Nummerierung der nachfolgenden Zeilen oder Spalten nicht geändert werden darf. </w:t>
      </w:r>
    </w:p>
    <w:p w14:paraId="2C21F69F" w14:textId="248CD484" w:rsidR="00911C0D" w:rsidRPr="00FD66A4" w:rsidRDefault="00504B07" w:rsidP="00504B07">
      <w:pPr>
        <w:pStyle w:val="ManualNumPar1"/>
        <w:rPr>
          <w:noProof/>
        </w:rPr>
      </w:pPr>
      <w:r>
        <w:t>(2)</w:t>
      </w:r>
      <w:r>
        <w:tab/>
      </w:r>
      <w:r w:rsidR="00911C0D" w:rsidRPr="00FD66A4">
        <w:t xml:space="preserve">Die offenlegenden Unternehmen vermerken in dem betreffenden Meldebogen oder der betreffenden Tabelle deutlich die leeren Zeilen oder Spalten und den Grund für das Entfallen der betreffenden Angaben. </w:t>
      </w:r>
    </w:p>
    <w:p w14:paraId="2DFEFA5E" w14:textId="0FC56AD1" w:rsidR="00911C0D" w:rsidRPr="00FD66A4" w:rsidRDefault="00504B07" w:rsidP="00504B07">
      <w:pPr>
        <w:pStyle w:val="ManualNumPar1"/>
        <w:rPr>
          <w:noProof/>
        </w:rPr>
      </w:pPr>
      <w:r>
        <w:t>(3)</w:t>
      </w:r>
      <w:r>
        <w:tab/>
      </w:r>
      <w:r w:rsidR="00911C0D" w:rsidRPr="00FD66A4">
        <w:t>Die qualitative Beschreibung und sonstigen erforderlichen Zusatzinformationen, die die quantitativen Angaben gemäß Artikel 431 der Verordnung (EU) Nr. 575/2013 begleiten, müssen ausreichend klar und umfassend sein, damit die Verwender der Informationen die quantitativen Angaben verstehen können, und müssen neben den Meldebögen erscheinen, die sie beschreiben.</w:t>
      </w:r>
    </w:p>
    <w:p w14:paraId="29D7C25D" w14:textId="0FD45C65" w:rsidR="00911C0D" w:rsidRPr="00FD66A4" w:rsidRDefault="00504B07" w:rsidP="00504B07">
      <w:pPr>
        <w:pStyle w:val="ManualNumPar1"/>
        <w:rPr>
          <w:noProof/>
        </w:rPr>
      </w:pPr>
      <w:r>
        <w:lastRenderedPageBreak/>
        <w:t>(4)</w:t>
      </w:r>
      <w:r>
        <w:tab/>
      </w:r>
      <w:r w:rsidR="00911C0D" w:rsidRPr="00FD66A4">
        <w:t>Die offenlegenden Unternehmen müssen hinsichtlich der Offenlegung von Zahlenwerten Folgendes beachten:</w:t>
      </w:r>
    </w:p>
    <w:p w14:paraId="554837EF" w14:textId="0E348801" w:rsidR="00911C0D" w:rsidRPr="00FD66A4" w:rsidRDefault="00CF3C2F" w:rsidP="00CF3C2F">
      <w:pPr>
        <w:pStyle w:val="Point1"/>
        <w:rPr>
          <w:noProof/>
        </w:rPr>
      </w:pPr>
      <w:r>
        <w:t>a)</w:t>
      </w:r>
      <w:r w:rsidRPr="00CF3C2F">
        <w:tab/>
      </w:r>
      <w:r w:rsidR="00911C0D" w:rsidRPr="00FD66A4">
        <w:t>quantitative monetäre Daten sind mit einer Mindestpräzision von Millionen pro Einheit anzugeben.</w:t>
      </w:r>
    </w:p>
    <w:p w14:paraId="4E96B6F9" w14:textId="3F10A2A4" w:rsidR="00911C0D" w:rsidRPr="00FD66A4" w:rsidRDefault="00CF3C2F" w:rsidP="00CF3C2F">
      <w:pPr>
        <w:pStyle w:val="Point1"/>
        <w:rPr>
          <w:noProof/>
        </w:rPr>
      </w:pPr>
      <w:r>
        <w:t>b)</w:t>
      </w:r>
      <w:r w:rsidRPr="00CF3C2F">
        <w:tab/>
      </w:r>
      <w:r w:rsidR="00911C0D" w:rsidRPr="00FD66A4">
        <w:t>quantitative Daten, die als „prozentual“ offengelegt werden, sind pro Einheit mit einer Mindestpräzision von vier Dezimalstellen anzugeben.</w:t>
      </w:r>
    </w:p>
    <w:p w14:paraId="06F63E8F" w14:textId="276CAE04" w:rsidR="00911C0D" w:rsidRPr="00FD66A4" w:rsidRDefault="00504B07" w:rsidP="00504B07">
      <w:pPr>
        <w:pStyle w:val="ManualNumPar1"/>
        <w:rPr>
          <w:noProof/>
        </w:rPr>
      </w:pPr>
      <w:r>
        <w:t>(5)</w:t>
      </w:r>
      <w:r>
        <w:tab/>
      </w:r>
      <w:r w:rsidR="00911C0D" w:rsidRPr="00FD66A4">
        <w:t>Die offenlegenden Unternehmen haben die offengelegten Informationen mit folgenden Angaben zu versehen:</w:t>
      </w:r>
    </w:p>
    <w:p w14:paraId="2FCAAE18" w14:textId="1490A8B7" w:rsidR="00911C0D" w:rsidRPr="00FD66A4" w:rsidRDefault="00CF3C2F" w:rsidP="00CF3C2F">
      <w:pPr>
        <w:pStyle w:val="Point1"/>
        <w:rPr>
          <w:noProof/>
        </w:rPr>
      </w:pPr>
      <w:r>
        <w:t>a)</w:t>
      </w:r>
      <w:r w:rsidRPr="00CF3C2F">
        <w:tab/>
      </w:r>
      <w:r w:rsidR="00911C0D" w:rsidRPr="00FD66A4">
        <w:t xml:space="preserve">dem Offenlegungsstichtag und der Bezugsperiode, </w:t>
      </w:r>
    </w:p>
    <w:p w14:paraId="0D85A6C3" w14:textId="35F51F72" w:rsidR="00911C0D" w:rsidRPr="00FD66A4" w:rsidRDefault="00CF3C2F" w:rsidP="00CF3C2F">
      <w:pPr>
        <w:pStyle w:val="Point1"/>
        <w:rPr>
          <w:noProof/>
        </w:rPr>
      </w:pPr>
      <w:r>
        <w:t>b)</w:t>
      </w:r>
      <w:r w:rsidRPr="00CF3C2F">
        <w:tab/>
      </w:r>
      <w:r w:rsidR="00911C0D" w:rsidRPr="00FD66A4">
        <w:t xml:space="preserve">der Offenlegungswährung, </w:t>
      </w:r>
    </w:p>
    <w:p w14:paraId="5B5B4AB9" w14:textId="5B6CE8EF" w:rsidR="00911C0D" w:rsidRPr="00FD66A4" w:rsidRDefault="00CF3C2F" w:rsidP="00CF3C2F">
      <w:pPr>
        <w:pStyle w:val="Point1"/>
        <w:rPr>
          <w:noProof/>
        </w:rPr>
      </w:pPr>
      <w:r>
        <w:t>c)</w:t>
      </w:r>
      <w:r w:rsidRPr="00CF3C2F">
        <w:tab/>
      </w:r>
      <w:r w:rsidR="00911C0D" w:rsidRPr="00FD66A4">
        <w:t>dem Namen und gegebenenfalls der Rechtsträgerkennung (LEI) des offenlegenden Unternehmens,</w:t>
      </w:r>
    </w:p>
    <w:p w14:paraId="584E8AC6" w14:textId="7CC61655" w:rsidR="00911C0D" w:rsidRPr="00FD66A4" w:rsidRDefault="00CF3C2F" w:rsidP="00CF3C2F">
      <w:pPr>
        <w:pStyle w:val="Point1"/>
        <w:rPr>
          <w:noProof/>
        </w:rPr>
      </w:pPr>
      <w:r>
        <w:t>d)</w:t>
      </w:r>
      <w:r w:rsidRPr="00CF3C2F">
        <w:tab/>
      </w:r>
      <w:r w:rsidR="00911C0D" w:rsidRPr="00FD66A4">
        <w:t xml:space="preserve">gegebenenfalls dem Rechnungslegungsstandard und </w:t>
      </w:r>
    </w:p>
    <w:p w14:paraId="582EB987" w14:textId="63C17772" w:rsidR="00911C0D" w:rsidRPr="00FD66A4" w:rsidRDefault="00CF3C2F" w:rsidP="00CF3C2F">
      <w:pPr>
        <w:pStyle w:val="Point1"/>
        <w:rPr>
          <w:noProof/>
        </w:rPr>
      </w:pPr>
      <w:r>
        <w:t>e)</w:t>
      </w:r>
      <w:r w:rsidRPr="00CF3C2F">
        <w:tab/>
      </w:r>
      <w:r w:rsidR="00911C0D" w:rsidRPr="00FD66A4">
        <w:t>gegebenenfalls dem Konsolidierungskreis.</w:t>
      </w:r>
    </w:p>
    <w:p w14:paraId="13904397" w14:textId="6E48D9B3" w:rsidR="00911C0D" w:rsidRPr="00FD66A4" w:rsidRDefault="00911C0D" w:rsidP="00911C0D">
      <w:pPr>
        <w:pStyle w:val="SectionTitle"/>
        <w:rPr>
          <w:b w:val="0"/>
          <w:i/>
        </w:rPr>
      </w:pPr>
      <w:r w:rsidRPr="00FD66A4">
        <w:rPr>
          <w:b w:val="0"/>
          <w:i/>
        </w:rPr>
        <w:t>TITEL III</w:t>
      </w:r>
      <w:r w:rsidRPr="00FD66A4">
        <w:t xml:space="preserve"> </w:t>
      </w:r>
      <w:r w:rsidRPr="00FD66A4">
        <w:br/>
      </w:r>
      <w:r w:rsidRPr="00FD66A4">
        <w:rPr>
          <w:b w:val="0"/>
          <w:i/>
        </w:rPr>
        <w:t>SCHLUSSBESTIMMUNGEN</w:t>
      </w:r>
    </w:p>
    <w:p w14:paraId="207DBFA4" w14:textId="6A156BA8" w:rsidR="00911C0D" w:rsidRPr="00FD66A4" w:rsidRDefault="00911C0D" w:rsidP="00146633">
      <w:pPr>
        <w:pStyle w:val="Titrearticle"/>
      </w:pPr>
      <w:r w:rsidRPr="00FD66A4">
        <w:t xml:space="preserve">Artikel </w:t>
      </w:r>
      <w:r w:rsidR="00432305">
        <w:fldChar w:fldCharType="begin"/>
      </w:r>
      <w:r w:rsidR="00432305">
        <w:instrText xml:space="preserve"> SEQ Figure \* ARABIC </w:instrText>
      </w:r>
      <w:r w:rsidR="00432305">
        <w:fldChar w:fldCharType="separate"/>
      </w:r>
      <w:r w:rsidRPr="00FD66A4">
        <w:t>17</w:t>
      </w:r>
      <w:r w:rsidR="00432305">
        <w:fldChar w:fldCharType="end"/>
      </w:r>
      <w:r w:rsidRPr="00FD66A4">
        <w:t xml:space="preserve"> </w:t>
      </w:r>
      <w:r w:rsidRPr="00FD66A4">
        <w:br/>
        <w:t>Inkrafttreten und Geltungsbereich</w:t>
      </w:r>
    </w:p>
    <w:p w14:paraId="132DAA82" w14:textId="4F13BF1D" w:rsidR="00911C0D" w:rsidRPr="00FD66A4" w:rsidRDefault="00911C0D" w:rsidP="00911C0D">
      <w:r w:rsidRPr="00FD66A4">
        <w:t xml:space="preserve">Diese Verordnung tritt am zwanzigsten Tag nach ihrer Veröffentlichung im </w:t>
      </w:r>
      <w:r w:rsidRPr="00FD66A4">
        <w:rPr>
          <w:i/>
        </w:rPr>
        <w:t>Amtsblatt der Europäischen Union</w:t>
      </w:r>
      <w:r w:rsidRPr="00FD66A4">
        <w:t xml:space="preserve"> in Kraft.</w:t>
      </w:r>
    </w:p>
    <w:p w14:paraId="59F2EBFB" w14:textId="5F28E1E6" w:rsidR="00911C0D" w:rsidRPr="00FD66A4" w:rsidRDefault="00911C0D" w:rsidP="00911C0D">
      <w:pPr>
        <w:widowControl w:val="0"/>
        <w:autoSpaceDE w:val="0"/>
        <w:autoSpaceDN w:val="0"/>
        <w:rPr>
          <w:rFonts w:eastAsia="Times New Roman"/>
        </w:rPr>
      </w:pPr>
      <w:r w:rsidRPr="00FD66A4">
        <w:t>Titel I gilt mit Wirkung vom 28. Juni 2021.</w:t>
      </w:r>
    </w:p>
    <w:p w14:paraId="2F7214D1" w14:textId="64BF67D1" w:rsidR="00F82D09" w:rsidRPr="00FD66A4" w:rsidRDefault="00911C0D" w:rsidP="00911C0D">
      <w:pPr>
        <w:widowControl w:val="0"/>
        <w:autoSpaceDE w:val="0"/>
        <w:autoSpaceDN w:val="0"/>
        <w:rPr>
          <w:rFonts w:eastAsia="Times New Roman"/>
        </w:rPr>
      </w:pPr>
      <w:r w:rsidRPr="00FD66A4">
        <w:t xml:space="preserve">Titel II gilt ab dem </w:t>
      </w:r>
      <w:r w:rsidRPr="00FD66A4">
        <w:rPr>
          <w:i/>
        </w:rPr>
        <w:t>[bitte Datum des Inkrafttretens dieser Verordnung einfügen]</w:t>
      </w:r>
      <w:r w:rsidRPr="00FD66A4">
        <w:t xml:space="preserve"> in Bezug auf die Offenlegungen gemäß Artikel 437a und Artikel 447 Buchstabe h der Verordnung (EU) Nr. 575/2013 und ab dem Geltungsbeginn der Offenlegungsanforderungen gemäß Artikel 3 Absatz 1 Unterabsatz 3 der Richtlinie (EU) 2019/879 in Bezug auf die Offenlegungen gemäß Artikel 45i Absatz 3 der Richtlinie 2014/59/EU.</w:t>
      </w:r>
    </w:p>
    <w:p w14:paraId="48405F17" w14:textId="52DE1662" w:rsidR="00911C0D" w:rsidRPr="00FD66A4" w:rsidRDefault="00911C0D" w:rsidP="00911C0D">
      <w:pPr>
        <w:pStyle w:val="Applicationdirecte"/>
        <w:keepNext/>
        <w:keepLines/>
      </w:pPr>
      <w:r w:rsidRPr="00FD66A4">
        <w:t>Diese Verordnung ist in allen ihren Teilen verbindlich und gilt unmittelbar in jedem Mitgliedstaat.</w:t>
      </w:r>
    </w:p>
    <w:p w14:paraId="688CD257" w14:textId="77777777" w:rsidR="00911C0D" w:rsidRPr="00FD66A4" w:rsidRDefault="00DD5153" w:rsidP="00DD5153">
      <w:pPr>
        <w:pStyle w:val="Fait"/>
      </w:pPr>
      <w:r w:rsidRPr="00FD66A4">
        <w:t>Brüssel, den</w:t>
      </w:r>
    </w:p>
    <w:p w14:paraId="7D6E3D67" w14:textId="77777777" w:rsidR="00911C0D" w:rsidRPr="00FD66A4" w:rsidRDefault="00911C0D" w:rsidP="00911C0D">
      <w:pPr>
        <w:pStyle w:val="Institutionquisigne"/>
      </w:pPr>
      <w:r w:rsidRPr="00FD66A4">
        <w:tab/>
        <w:t>Für die Kommission</w:t>
      </w:r>
    </w:p>
    <w:p w14:paraId="0936848B" w14:textId="77777777" w:rsidR="00911C0D" w:rsidRPr="00FD66A4" w:rsidRDefault="00911C0D" w:rsidP="00911C0D">
      <w:pPr>
        <w:pStyle w:val="Personnequisigne"/>
      </w:pPr>
      <w:r w:rsidRPr="00FD66A4">
        <w:tab/>
        <w:t xml:space="preserve">Die Präsidentin </w:t>
      </w:r>
      <w:r w:rsidRPr="00FD66A4">
        <w:br/>
      </w:r>
      <w:r w:rsidRPr="00FD66A4">
        <w:tab/>
        <w:t>Ursula VON DER LEYEN</w:t>
      </w:r>
    </w:p>
    <w:sectPr w:rsidR="00911C0D" w:rsidRPr="00FD66A4" w:rsidSect="00061026">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55EAB" w14:textId="68C743E6" w:rsidR="00911C0D" w:rsidRPr="00061026" w:rsidRDefault="00061026" w:rsidP="00061026">
    <w:pPr>
      <w:pStyle w:val="Footer"/>
      <w:rPr>
        <w:rFonts w:ascii="Arial" w:hAnsi="Arial" w:cs="Arial"/>
        <w:b/>
        <w:sz w:val="48"/>
      </w:rPr>
    </w:pPr>
    <w:r w:rsidRPr="00061026">
      <w:rPr>
        <w:rFonts w:ascii="Arial" w:hAnsi="Arial" w:cs="Arial"/>
        <w:b/>
        <w:sz w:val="48"/>
      </w:rPr>
      <w:t>DE</w:t>
    </w:r>
    <w:r w:rsidRPr="00061026">
      <w:rPr>
        <w:rFonts w:ascii="Arial" w:hAnsi="Arial" w:cs="Arial"/>
        <w:b/>
        <w:sz w:val="48"/>
      </w:rPr>
      <w:tab/>
    </w:r>
    <w:r w:rsidRPr="00061026">
      <w:rPr>
        <w:rFonts w:ascii="Arial" w:hAnsi="Arial" w:cs="Arial"/>
        <w:b/>
        <w:sz w:val="48"/>
      </w:rPr>
      <w:tab/>
    </w:r>
    <w:r w:rsidRPr="00061026">
      <w:tab/>
    </w:r>
    <w:r w:rsidRPr="00061026">
      <w:rPr>
        <w:rFonts w:ascii="Arial" w:hAnsi="Arial" w:cs="Arial"/>
        <w:b/>
        <w:sz w:val="48"/>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265E6" w14:textId="481BC85A" w:rsidR="00061026" w:rsidRPr="00061026" w:rsidRDefault="00061026" w:rsidP="00061026">
    <w:pPr>
      <w:pStyle w:val="Footer"/>
      <w:rPr>
        <w:rFonts w:ascii="Arial" w:hAnsi="Arial" w:cs="Arial"/>
        <w:b/>
        <w:sz w:val="48"/>
      </w:rPr>
    </w:pPr>
    <w:r w:rsidRPr="00061026">
      <w:rPr>
        <w:rFonts w:ascii="Arial" w:hAnsi="Arial" w:cs="Arial"/>
        <w:b/>
        <w:sz w:val="48"/>
      </w:rPr>
      <w:t>DE</w:t>
    </w:r>
    <w:r w:rsidRPr="00061026">
      <w:rPr>
        <w:rFonts w:ascii="Arial" w:hAnsi="Arial" w:cs="Arial"/>
        <w:b/>
        <w:sz w:val="48"/>
      </w:rPr>
      <w:tab/>
    </w:r>
    <w:r>
      <w:fldChar w:fldCharType="begin"/>
    </w:r>
    <w:r>
      <w:instrText xml:space="preserve"> PAGE  \* MERGEFORMAT </w:instrText>
    </w:r>
    <w:r>
      <w:fldChar w:fldCharType="separate"/>
    </w:r>
    <w:r w:rsidR="00AA25B2">
      <w:rPr>
        <w:noProof/>
      </w:rPr>
      <w:t>13</w:t>
    </w:r>
    <w:r>
      <w:fldChar w:fldCharType="end"/>
    </w:r>
    <w:r>
      <w:tab/>
    </w:r>
    <w:r w:rsidRPr="00061026">
      <w:tab/>
    </w:r>
    <w:r w:rsidRPr="00061026">
      <w:rPr>
        <w:rFonts w:ascii="Arial" w:hAnsi="Arial" w:cs="Arial"/>
        <w:b/>
        <w:sz w:val="48"/>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3E1EB" w14:textId="77777777" w:rsidR="00061026" w:rsidRPr="00061026" w:rsidRDefault="00061026" w:rsidP="000610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464C90" w:rsidRDefault="00911C0D" w:rsidP="00911C0D">
      <w:pPr>
        <w:pStyle w:val="FootnoteText"/>
      </w:pPr>
      <w:r>
        <w:rPr>
          <w:rStyle w:val="FootnoteReference"/>
        </w:rPr>
        <w:footnoteRef/>
      </w:r>
      <w:r>
        <w:tab/>
        <w:t>ABl. L 176 vom 27.6.2013, S. 1.</w:t>
      </w:r>
    </w:p>
  </w:footnote>
  <w:footnote w:id="2">
    <w:p w14:paraId="52F29A01" w14:textId="77777777" w:rsidR="00911C0D" w:rsidRDefault="00911C0D" w:rsidP="00911C0D">
      <w:pPr>
        <w:pStyle w:val="FootnoteText"/>
      </w:pPr>
      <w:r>
        <w:rPr>
          <w:rStyle w:val="FootnoteReference"/>
        </w:rPr>
        <w:footnoteRef/>
      </w:r>
      <w:r>
        <w:tab/>
        <w:t>ABl. L 173 vom 12.6.2014, S. 190.</w:t>
      </w:r>
    </w:p>
  </w:footnote>
  <w:footnote w:id="3">
    <w:p w14:paraId="400AF6FF" w14:textId="77777777" w:rsidR="00911C0D" w:rsidRPr="007A7954" w:rsidRDefault="00911C0D" w:rsidP="00911C0D">
      <w:pPr>
        <w:pStyle w:val="FootnoteText"/>
      </w:pPr>
      <w:r>
        <w:rPr>
          <w:rStyle w:val="FootnoteReference"/>
        </w:rPr>
        <w:footnoteRef/>
      </w:r>
      <w:r>
        <w:tab/>
        <w:t>Verordnung (EU) 2019/876 des Europäischen Parlaments und des Rates vom 20. Mai 2019 zur Änderung der Verordnung (EU) Nr. 575/2013 in Bezug auf die Verschuldungsquote, die strukturelle Liquiditätsquote, Anforderungen an Eigenmittel und berücksichtigungsfähige Verbindlichkeiten, das Gegenparteiausfallrisiko, das Marktrisiko, Risikopositionen gegenüber zentralen Gegenparteien, Risikopositionen gegenüber Organismen für gemeinsame Anlagen, Großkredite, Melde- und Offenlegungspflichten und der Verordnung (EU) Nr. 648/2012 (ABl. L 150 vom 7.6.2019, S. 1).</w:t>
      </w:r>
    </w:p>
  </w:footnote>
  <w:footnote w:id="4">
    <w:p w14:paraId="7FB27E48" w14:textId="77777777" w:rsidR="00911C0D" w:rsidRPr="00520ABD" w:rsidRDefault="00911C0D" w:rsidP="00911C0D">
      <w:pPr>
        <w:pStyle w:val="FootnoteText"/>
      </w:pPr>
      <w:r>
        <w:rPr>
          <w:rStyle w:val="FootnoteReference"/>
        </w:rPr>
        <w:footnoteRef/>
      </w:r>
      <w:r>
        <w:tab/>
        <w:t>Richtlinie (EU) 2019/879 des Europäischen Parlaments und des Rates vom 20. Mai 2019 zur Änderung der Richtlinie 2014/59/EU in Bezug auf die Verlustabsorptions- und Rekapitalisierungskapazität von Kreditinstituten und Wertpapierfirmen und der Richtlinie 98/26/EG (ABl. L 150 vom 7.6.2019, S. 296).</w:t>
      </w:r>
    </w:p>
  </w:footnote>
  <w:footnote w:id="5">
    <w:p w14:paraId="7DA394B3" w14:textId="02D3CC85" w:rsidR="00911C0D" w:rsidRPr="006D7393" w:rsidRDefault="00911C0D" w:rsidP="00911C0D">
      <w:pPr>
        <w:pStyle w:val="FootnoteText"/>
      </w:pPr>
      <w:r>
        <w:rPr>
          <w:rStyle w:val="FootnoteReference"/>
        </w:rPr>
        <w:footnoteRef/>
      </w:r>
      <w:r>
        <w:tab/>
        <w:t>Verordnung (EU) Nr. 1093/2010 des Europäischen Parlaments und des Rates vom 24. November 2010 zur Errichtung einer Europäischen Aufsichtsbehörde (Europäische Bankenaufsichtsbehörde), zur Änderung des Beschlusses Nr. 716/2009/EG und zur Aufhebung des Beschlusses 2009/78/EG der Kommission (ABl. L 331 vom 15.12.2010, S. 12).</w:t>
      </w:r>
    </w:p>
  </w:footnote>
  <w:footnote w:id="6">
    <w:p w14:paraId="078CA3AC" w14:textId="77777777" w:rsidR="00911C0D" w:rsidRDefault="00911C0D" w:rsidP="00911C0D">
      <w:pPr>
        <w:pStyle w:val="FootnoteText"/>
      </w:pPr>
      <w:r>
        <w:rPr>
          <w:rStyle w:val="FootnoteReference"/>
        </w:rPr>
        <w:footnoteRef/>
      </w:r>
      <w:r>
        <w:tab/>
        <w:t>Richtlinie 2013/36/EU des Europäischen Parlaments und des Rates vom 26. Juni 2013 über den Zugang zur Tätigkeit von Kreditinstituten und die Beaufsichtigung von Kreditinstituten und Wertpapierfirmen, zur Änderung der Richtlinie 2002/87/EG und zur Aufhebung der Richtlinien 2006/48/EG und 2006/49/EG (ABl. L 176 vom 27.6.2013, S.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1"/>
    <w:lvlOverride w:ilvl="0">
      <w:startOverride w:val="1"/>
    </w:lvlOverride>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displayBackgroundShape/>
  <w:attachedTemplate r:id="rId1"/>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1 11:04:01"/>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D19799A6-282E-4E72-97C4-ED063561D602"/>
    <w:docVar w:name="LW_COVERPAGE_TYPE" w:val="1"/>
    <w:docVar w:name="LW_CROSSREFERENCE" w:val="&lt;UNUSED&gt;"/>
    <w:docVar w:name="LW_DATE.ADOPT.CP" w:val="vom XXX"/>
    <w:docVar w:name="LW_DATE.ADOPT.CP_DATEFORMAT" w:val="vom %DATE%"/>
    <w:docVar w:name="LW_DATE.ADOPT.CP_ISODATE" w:val="&lt;EMPTY&gt;"/>
    <w:docVar w:name="LW_DocType" w:val="COM"/>
    <w:docVar w:name="LW_EMISSION" w:val="&lt;EMPTY&gt;"/>
    <w:docVar w:name="LW_EMISSION_ISODATE" w:val="&lt;EMPTY&gt;"/>
    <w:docVar w:name="LW_EMISSION_LOCATION" w:val="BRX"/>
    <w:docVar w:name="LW_EMISSION_PREFIX" w:val="Brüssel, den "/>
    <w:docVar w:name="LW_EMISSION_SUFFIX" w:val=" "/>
    <w:docVar w:name="LW_ID_DOCMODEL" w:val="SJ-004"/>
    <w:docVar w:name="LW_ID_DOCSIGNATURE" w:val="SJ-004"/>
    <w:docVar w:name="LW_ID_DOCSTRUCTURE" w:val="COM/AA"/>
    <w:docVar w:name="LW_ID_DOCTYPE" w:val="SJ-004"/>
    <w:docVar w:name="LW_INTERETEEE" w:val="(Text von Bedeutung für den EWR)"/>
    <w:docVar w:name="LW_INTERETEEE.CP" w:val="(Text von Bedeutung für den EWR)"/>
    <w:docVar w:name="LW_LANGUE" w:val="DE"/>
    <w:docVar w:name="LW_LANGUESFAISANTFOI.CP" w:val="&lt;UNUSED&gt;"/>
    <w:docVar w:name="LW_LEVEL_OF_SENSITIVITY" w:val="Standard treatment"/>
    <w:docVar w:name="LW_NOM.INST" w:val="EUROPÄISCHE KOMMISSIO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lt;FMT:Bold&gt;zur Festlegung technischer Durchführungsstandards für die Anwendung der Verordnung (EU) Nr. 575/2013 des Europäischen Parlaments und des Rates und der Richtlinie 2014/59/EU des Europäischen Parlaments und des Rates im Hinblick auf die aufsichtlichen Meldungen und die Offenlegung der Mindestanforderung an Eigenmittel und berücksichtigungsfähige Verbindlichkeiten&lt;/FMT&gt;_x000b_"/>
    <w:docVar w:name="LW_TITRE.OBJ.CP" w:val="&lt;FMT:Bold&gt;zur Festlegung technischer Durchführungsstandards für die Anwendung der Verordnung (EU) Nr. 575/2013 des Europäischen Parlaments und des Rates und der Richtlinie 2014/59/EU des Europäischen Parlaments und des Rates im Hinblick auf die aufsichtlichen Meldungen und die Offenlegung der Mindestanforderung an Eigenmittel und berücksichtigungsfähige Verbindlichkeiten&lt;/FMT&gt;_x000b_"/>
    <w:docVar w:name="LW_TYPE.DOC" w:val="DURCHFÜHRUNGSVERORDNUNG (EU) .../... DER KOMMISSION"/>
    <w:docVar w:name="LW_TYPE.DOC.CP" w:val="DURCHFÜHRUNGSVERORDNUNG (EU) .../... DER KOMMISSION"/>
  </w:docVars>
  <w:rsids>
    <w:rsidRoot w:val="00911C0D"/>
    <w:rsid w:val="00022330"/>
    <w:rsid w:val="00050379"/>
    <w:rsid w:val="00061026"/>
    <w:rsid w:val="00080A21"/>
    <w:rsid w:val="0008653A"/>
    <w:rsid w:val="000A7517"/>
    <w:rsid w:val="000E198E"/>
    <w:rsid w:val="000F730F"/>
    <w:rsid w:val="00114389"/>
    <w:rsid w:val="00144CAD"/>
    <w:rsid w:val="00146633"/>
    <w:rsid w:val="0017105F"/>
    <w:rsid w:val="001B26AE"/>
    <w:rsid w:val="001C2816"/>
    <w:rsid w:val="001D50FA"/>
    <w:rsid w:val="001E0321"/>
    <w:rsid w:val="001F6393"/>
    <w:rsid w:val="00213D10"/>
    <w:rsid w:val="00221C95"/>
    <w:rsid w:val="00223BDA"/>
    <w:rsid w:val="00232E98"/>
    <w:rsid w:val="00252F49"/>
    <w:rsid w:val="00273AFD"/>
    <w:rsid w:val="002A6E40"/>
    <w:rsid w:val="003424E2"/>
    <w:rsid w:val="0038586F"/>
    <w:rsid w:val="003D1FF4"/>
    <w:rsid w:val="00403FFA"/>
    <w:rsid w:val="00432305"/>
    <w:rsid w:val="004D75CF"/>
    <w:rsid w:val="00501159"/>
    <w:rsid w:val="00504B07"/>
    <w:rsid w:val="00515FD9"/>
    <w:rsid w:val="00534AD8"/>
    <w:rsid w:val="00576101"/>
    <w:rsid w:val="00595F73"/>
    <w:rsid w:val="005A470A"/>
    <w:rsid w:val="005F390A"/>
    <w:rsid w:val="0060509B"/>
    <w:rsid w:val="006142ED"/>
    <w:rsid w:val="006601FC"/>
    <w:rsid w:val="00693D6D"/>
    <w:rsid w:val="0069401E"/>
    <w:rsid w:val="006E792A"/>
    <w:rsid w:val="0070128F"/>
    <w:rsid w:val="00786D48"/>
    <w:rsid w:val="007B47A6"/>
    <w:rsid w:val="007C06F6"/>
    <w:rsid w:val="007D06B9"/>
    <w:rsid w:val="007D3252"/>
    <w:rsid w:val="00867BAC"/>
    <w:rsid w:val="008E0D6D"/>
    <w:rsid w:val="008E17B7"/>
    <w:rsid w:val="008F166D"/>
    <w:rsid w:val="00911C0D"/>
    <w:rsid w:val="00936C22"/>
    <w:rsid w:val="00947623"/>
    <w:rsid w:val="009606FE"/>
    <w:rsid w:val="00986B33"/>
    <w:rsid w:val="00987AD5"/>
    <w:rsid w:val="009B7138"/>
    <w:rsid w:val="009F1589"/>
    <w:rsid w:val="00A242DE"/>
    <w:rsid w:val="00A25281"/>
    <w:rsid w:val="00A72CC5"/>
    <w:rsid w:val="00A92F78"/>
    <w:rsid w:val="00AA25B2"/>
    <w:rsid w:val="00AA2E8A"/>
    <w:rsid w:val="00AC0214"/>
    <w:rsid w:val="00AD067C"/>
    <w:rsid w:val="00B076B3"/>
    <w:rsid w:val="00B1066F"/>
    <w:rsid w:val="00B129CF"/>
    <w:rsid w:val="00B15ABD"/>
    <w:rsid w:val="00B26F22"/>
    <w:rsid w:val="00B378A2"/>
    <w:rsid w:val="00B51552"/>
    <w:rsid w:val="00BE246D"/>
    <w:rsid w:val="00BF17AA"/>
    <w:rsid w:val="00C13087"/>
    <w:rsid w:val="00C20744"/>
    <w:rsid w:val="00C24556"/>
    <w:rsid w:val="00C86532"/>
    <w:rsid w:val="00C9260D"/>
    <w:rsid w:val="00C95437"/>
    <w:rsid w:val="00CD7950"/>
    <w:rsid w:val="00CF3C2F"/>
    <w:rsid w:val="00D05552"/>
    <w:rsid w:val="00D104BF"/>
    <w:rsid w:val="00D4070C"/>
    <w:rsid w:val="00D56ED7"/>
    <w:rsid w:val="00D653C4"/>
    <w:rsid w:val="00D80CBF"/>
    <w:rsid w:val="00DB7093"/>
    <w:rsid w:val="00DC0EF5"/>
    <w:rsid w:val="00DC7D9F"/>
    <w:rsid w:val="00DD5153"/>
    <w:rsid w:val="00E0465B"/>
    <w:rsid w:val="00E31F5B"/>
    <w:rsid w:val="00E34FF4"/>
    <w:rsid w:val="00E65C7F"/>
    <w:rsid w:val="00EA09E4"/>
    <w:rsid w:val="00ED251C"/>
    <w:rsid w:val="00EE12E2"/>
    <w:rsid w:val="00EF62B3"/>
    <w:rsid w:val="00F20062"/>
    <w:rsid w:val="00F36BEC"/>
    <w:rsid w:val="00F45263"/>
    <w:rsid w:val="00F82D09"/>
    <w:rsid w:val="00FB396C"/>
    <w:rsid w:val="00FB639E"/>
    <w:rsid w:val="00FC5586"/>
    <w:rsid w:val="00FD6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rsid w:val="009B7138"/>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1"/>
      </w:numPr>
      <w:contextualSpacing/>
    </w:pPr>
  </w:style>
  <w:style w:type="paragraph" w:styleId="ListBullet2">
    <w:name w:val="List Bullet 2"/>
    <w:basedOn w:val="Normal"/>
    <w:uiPriority w:val="99"/>
    <w:semiHidden/>
    <w:unhideWhenUsed/>
    <w:rsid w:val="001B26AE"/>
    <w:pPr>
      <w:numPr>
        <w:numId w:val="2"/>
      </w:numPr>
      <w:contextualSpacing/>
    </w:pPr>
  </w:style>
  <w:style w:type="paragraph" w:styleId="ListBullet3">
    <w:name w:val="List Bullet 3"/>
    <w:basedOn w:val="Normal"/>
    <w:uiPriority w:val="99"/>
    <w:semiHidden/>
    <w:unhideWhenUsed/>
    <w:rsid w:val="001B26AE"/>
    <w:pPr>
      <w:numPr>
        <w:numId w:val="3"/>
      </w:numPr>
      <w:contextualSpacing/>
    </w:pPr>
  </w:style>
  <w:style w:type="paragraph" w:styleId="ListBullet4">
    <w:name w:val="List Bullet 4"/>
    <w:basedOn w:val="Normal"/>
    <w:uiPriority w:val="99"/>
    <w:semiHidden/>
    <w:unhideWhenUsed/>
    <w:rsid w:val="001B26AE"/>
    <w:pPr>
      <w:numPr>
        <w:numId w:val="4"/>
      </w:numPr>
      <w:contextualSpacing/>
    </w:pPr>
  </w:style>
  <w:style w:type="paragraph" w:styleId="ListNumber">
    <w:name w:val="List Number"/>
    <w:basedOn w:val="Normal"/>
    <w:uiPriority w:val="99"/>
    <w:semiHidden/>
    <w:unhideWhenUsed/>
    <w:rsid w:val="001B26AE"/>
    <w:pPr>
      <w:numPr>
        <w:numId w:val="5"/>
      </w:numPr>
      <w:contextualSpacing/>
    </w:pPr>
  </w:style>
  <w:style w:type="paragraph" w:styleId="ListNumber2">
    <w:name w:val="List Number 2"/>
    <w:basedOn w:val="Normal"/>
    <w:uiPriority w:val="99"/>
    <w:semiHidden/>
    <w:unhideWhenUsed/>
    <w:rsid w:val="001B26AE"/>
    <w:pPr>
      <w:numPr>
        <w:numId w:val="6"/>
      </w:numPr>
      <w:contextualSpacing/>
    </w:pPr>
  </w:style>
  <w:style w:type="paragraph" w:styleId="ListNumber3">
    <w:name w:val="List Number 3"/>
    <w:basedOn w:val="Normal"/>
    <w:uiPriority w:val="99"/>
    <w:semiHidden/>
    <w:unhideWhenUsed/>
    <w:rsid w:val="001B26AE"/>
    <w:pPr>
      <w:numPr>
        <w:numId w:val="7"/>
      </w:numPr>
      <w:contextualSpacing/>
    </w:pPr>
  </w:style>
  <w:style w:type="paragraph" w:styleId="ListNumber4">
    <w:name w:val="List Number 4"/>
    <w:basedOn w:val="Normal"/>
    <w:uiPriority w:val="99"/>
    <w:semiHidden/>
    <w:unhideWhenUsed/>
    <w:rsid w:val="001B26AE"/>
    <w:pPr>
      <w:numPr>
        <w:numId w:val="8"/>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de-DE"/>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de-DE"/>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0"/>
      </w:numPr>
    </w:pPr>
  </w:style>
  <w:style w:type="paragraph" w:customStyle="1" w:styleId="Tiret1">
    <w:name w:val="Tiret 1"/>
    <w:basedOn w:val="Point1"/>
    <w:rsid w:val="009B7138"/>
    <w:pPr>
      <w:numPr>
        <w:numId w:val="11"/>
      </w:numPr>
    </w:pPr>
  </w:style>
  <w:style w:type="paragraph" w:customStyle="1" w:styleId="Tiret2">
    <w:name w:val="Tiret 2"/>
    <w:basedOn w:val="Point2"/>
    <w:rsid w:val="009B7138"/>
    <w:pPr>
      <w:numPr>
        <w:numId w:val="12"/>
      </w:numPr>
    </w:pPr>
  </w:style>
  <w:style w:type="paragraph" w:customStyle="1" w:styleId="Tiret3">
    <w:name w:val="Tiret 3"/>
    <w:basedOn w:val="Point3"/>
    <w:rsid w:val="009B7138"/>
    <w:pPr>
      <w:numPr>
        <w:numId w:val="13"/>
      </w:numPr>
    </w:pPr>
  </w:style>
  <w:style w:type="paragraph" w:customStyle="1" w:styleId="Tiret4">
    <w:name w:val="Tiret 4"/>
    <w:basedOn w:val="Point4"/>
    <w:rsid w:val="009B7138"/>
    <w:pPr>
      <w:numPr>
        <w:numId w:val="1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5"/>
      </w:numPr>
    </w:pPr>
  </w:style>
  <w:style w:type="paragraph" w:customStyle="1" w:styleId="NumPar2">
    <w:name w:val="NumPar 2"/>
    <w:basedOn w:val="Normal"/>
    <w:next w:val="Text1"/>
    <w:rsid w:val="009B7138"/>
    <w:pPr>
      <w:numPr>
        <w:ilvl w:val="1"/>
        <w:numId w:val="15"/>
      </w:numPr>
    </w:pPr>
  </w:style>
  <w:style w:type="paragraph" w:customStyle="1" w:styleId="NumPar3">
    <w:name w:val="NumPar 3"/>
    <w:basedOn w:val="Normal"/>
    <w:next w:val="Text1"/>
    <w:rsid w:val="009B7138"/>
    <w:pPr>
      <w:numPr>
        <w:ilvl w:val="2"/>
        <w:numId w:val="15"/>
      </w:numPr>
    </w:pPr>
  </w:style>
  <w:style w:type="paragraph" w:customStyle="1" w:styleId="NumPar4">
    <w:name w:val="NumPar 4"/>
    <w:basedOn w:val="Normal"/>
    <w:next w:val="Text1"/>
    <w:rsid w:val="009B7138"/>
    <w:pPr>
      <w:numPr>
        <w:ilvl w:val="3"/>
        <w:numId w:val="1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7"/>
      </w:numPr>
    </w:pPr>
  </w:style>
  <w:style w:type="paragraph" w:customStyle="1" w:styleId="Point1number">
    <w:name w:val="Point 1 (number)"/>
    <w:basedOn w:val="Normal"/>
    <w:rsid w:val="009B7138"/>
    <w:pPr>
      <w:numPr>
        <w:ilvl w:val="2"/>
        <w:numId w:val="17"/>
      </w:numPr>
    </w:pPr>
  </w:style>
  <w:style w:type="paragraph" w:customStyle="1" w:styleId="Point2number">
    <w:name w:val="Point 2 (number)"/>
    <w:basedOn w:val="Normal"/>
    <w:rsid w:val="009B7138"/>
    <w:pPr>
      <w:numPr>
        <w:ilvl w:val="4"/>
        <w:numId w:val="17"/>
      </w:numPr>
    </w:pPr>
  </w:style>
  <w:style w:type="paragraph" w:customStyle="1" w:styleId="Point3number">
    <w:name w:val="Point 3 (number)"/>
    <w:basedOn w:val="Normal"/>
    <w:rsid w:val="009B7138"/>
    <w:pPr>
      <w:numPr>
        <w:ilvl w:val="6"/>
        <w:numId w:val="17"/>
      </w:numPr>
    </w:pPr>
  </w:style>
  <w:style w:type="paragraph" w:customStyle="1" w:styleId="Point0letter">
    <w:name w:val="Point 0 (letter)"/>
    <w:basedOn w:val="Normal"/>
    <w:rsid w:val="009B7138"/>
    <w:pPr>
      <w:numPr>
        <w:ilvl w:val="1"/>
        <w:numId w:val="17"/>
      </w:numPr>
    </w:pPr>
  </w:style>
  <w:style w:type="paragraph" w:customStyle="1" w:styleId="Point1letter">
    <w:name w:val="Point 1 (letter)"/>
    <w:basedOn w:val="Normal"/>
    <w:rsid w:val="009B7138"/>
    <w:pPr>
      <w:numPr>
        <w:ilvl w:val="3"/>
        <w:numId w:val="17"/>
      </w:numPr>
    </w:pPr>
  </w:style>
  <w:style w:type="paragraph" w:customStyle="1" w:styleId="Point2letter">
    <w:name w:val="Point 2 (letter)"/>
    <w:basedOn w:val="Normal"/>
    <w:rsid w:val="009B7138"/>
    <w:pPr>
      <w:numPr>
        <w:ilvl w:val="5"/>
        <w:numId w:val="17"/>
      </w:numPr>
    </w:pPr>
  </w:style>
  <w:style w:type="paragraph" w:customStyle="1" w:styleId="Point3letter">
    <w:name w:val="Point 3 (letter)"/>
    <w:basedOn w:val="Normal"/>
    <w:rsid w:val="009B7138"/>
    <w:pPr>
      <w:numPr>
        <w:ilvl w:val="7"/>
        <w:numId w:val="17"/>
      </w:numPr>
    </w:pPr>
  </w:style>
  <w:style w:type="paragraph" w:customStyle="1" w:styleId="Point4letter">
    <w:name w:val="Point 4 (letter)"/>
    <w:basedOn w:val="Normal"/>
    <w:rsid w:val="009B7138"/>
    <w:pPr>
      <w:numPr>
        <w:ilvl w:val="8"/>
        <w:numId w:val="17"/>
      </w:numPr>
    </w:pPr>
  </w:style>
  <w:style w:type="paragraph" w:customStyle="1" w:styleId="Bullet0">
    <w:name w:val="Bullet 0"/>
    <w:basedOn w:val="Normal"/>
    <w:rsid w:val="009B7138"/>
    <w:pPr>
      <w:numPr>
        <w:numId w:val="18"/>
      </w:numPr>
    </w:pPr>
  </w:style>
  <w:style w:type="paragraph" w:customStyle="1" w:styleId="Bullet1">
    <w:name w:val="Bullet 1"/>
    <w:basedOn w:val="Normal"/>
    <w:rsid w:val="009B7138"/>
    <w:pPr>
      <w:numPr>
        <w:numId w:val="19"/>
      </w:numPr>
    </w:pPr>
  </w:style>
  <w:style w:type="paragraph" w:customStyle="1" w:styleId="Bullet2">
    <w:name w:val="Bullet 2"/>
    <w:basedOn w:val="Normal"/>
    <w:rsid w:val="009B7138"/>
    <w:pPr>
      <w:numPr>
        <w:numId w:val="20"/>
      </w:numPr>
    </w:pPr>
  </w:style>
  <w:style w:type="paragraph" w:customStyle="1" w:styleId="Bullet3">
    <w:name w:val="Bullet 3"/>
    <w:basedOn w:val="Normal"/>
    <w:rsid w:val="009B7138"/>
    <w:pPr>
      <w:numPr>
        <w:numId w:val="21"/>
      </w:numPr>
    </w:pPr>
  </w:style>
  <w:style w:type="paragraph" w:customStyle="1" w:styleId="Bullet4">
    <w:name w:val="Bullet 4"/>
    <w:basedOn w:val="Normal"/>
    <w:rsid w:val="009B7138"/>
    <w:pPr>
      <w:numPr>
        <w:numId w:val="2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14</Pages>
  <Words>4700</Words>
  <Characters>31490</Characters>
  <Application>Microsoft Office Word</Application>
  <DocSecurity>0</DocSecurity>
  <Lines>552</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2021-05-18T09:21:00Z</dcterms:created>
  <dcterms:modified xsi:type="dcterms:W3CDTF">2021-05-18T09:21:00Z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