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59185999" w:rsidR="001C2816" w:rsidRPr="009B76EF" w:rsidRDefault="00D95682" w:rsidP="00197AFE">
      <w:pPr>
        <w:pStyle w:val="Pagedecouverture"/>
      </w:pPr>
      <w:bookmarkStart w:id="0" w:name="_GoBack"/>
      <w:bookmarkEnd w:id="0"/>
      <w:r>
        <w:pict w14:anchorId="11C96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89EC3021-7507-495F-97A9-DB3A5B48EB11" style="width:451.2pt;height:409.8pt">
            <v:imagedata r:id="rId7" o:title=""/>
          </v:shape>
        </w:pict>
      </w:r>
    </w:p>
    <w:p w14:paraId="42BED65A" w14:textId="77777777" w:rsidR="00911C0D" w:rsidRPr="009B76EF" w:rsidRDefault="00911C0D">
      <w:pPr>
        <w:sectPr w:rsidR="00911C0D" w:rsidRPr="009B76EF" w:rsidSect="009B6FBE">
          <w:footerReference w:type="default" r:id="rId8"/>
          <w:pgSz w:w="11907" w:h="16839"/>
          <w:pgMar w:top="1134" w:right="1417" w:bottom="1134" w:left="1417" w:header="709" w:footer="709" w:gutter="0"/>
          <w:pgNumType w:start="0"/>
          <w:cols w:space="720"/>
          <w:docGrid w:linePitch="360"/>
        </w:sectPr>
      </w:pPr>
    </w:p>
    <w:p w14:paraId="2E321C8E" w14:textId="77777777" w:rsidR="00911C0D" w:rsidRPr="009B76EF" w:rsidRDefault="00DD5153" w:rsidP="00DD5153">
      <w:pPr>
        <w:pStyle w:val="Typedudocument"/>
      </w:pPr>
      <w:r w:rsidRPr="009B76EF">
        <w:lastRenderedPageBreak/>
        <w:t>KOMMISSIONENS GENOMFÖRANDEFÖRORDNING (EU) …/…</w:t>
      </w:r>
    </w:p>
    <w:p w14:paraId="537E2F9A" w14:textId="291192BF" w:rsidR="00911C0D" w:rsidRPr="009B76EF" w:rsidRDefault="009B76EF" w:rsidP="00DD5153">
      <w:pPr>
        <w:pStyle w:val="Datedadoption"/>
      </w:pPr>
      <w:r>
        <w:t>av den XXX</w:t>
      </w:r>
    </w:p>
    <w:p w14:paraId="2AF513BE" w14:textId="77777777" w:rsidR="00911C0D" w:rsidRPr="009B76EF" w:rsidRDefault="00DD5153" w:rsidP="00DD5153">
      <w:pPr>
        <w:pStyle w:val="Titreobjet"/>
      </w:pPr>
      <w:r w:rsidRPr="009B76EF">
        <w:t>om tekniska standarder för genomförande för tillämpningen av Europaparlamentets och rådets förordning (EU) nr 575/2013 och Europaparlamentets och rådets direktiv 2014/59/EU vad gäller tillsynsrapportering och offentliggörande avseende minimikravet för kapitalbas och kvalificerade skulder</w:t>
      </w:r>
    </w:p>
    <w:p w14:paraId="17032FFA" w14:textId="77777777" w:rsidR="00911C0D" w:rsidRPr="009B76EF" w:rsidRDefault="00DD5153" w:rsidP="00DD5153">
      <w:pPr>
        <w:pStyle w:val="IntrtEEE"/>
      </w:pPr>
      <w:r w:rsidRPr="009B76EF">
        <w:t>(Text av betydelse för EES)</w:t>
      </w:r>
    </w:p>
    <w:p w14:paraId="70543606" w14:textId="48B47F58" w:rsidR="00911C0D" w:rsidRPr="009B76EF" w:rsidRDefault="009B76EF" w:rsidP="00911C0D">
      <w:pPr>
        <w:pStyle w:val="Institutionquiagit"/>
      </w:pPr>
      <w:r>
        <w:t>EUROPEISKA KOMMISSIONEN HAR ANTAGIT DENNA FÖRORDNING</w:t>
      </w:r>
    </w:p>
    <w:p w14:paraId="69A98AD3" w14:textId="30134CBB" w:rsidR="00911C0D" w:rsidRPr="009B76EF" w:rsidRDefault="00911C0D" w:rsidP="00911C0D">
      <w:r w:rsidRPr="009B76EF">
        <w:t>med beaktande av Europaparlamentets och rådets förordning (EU) nr 575/2013 av den 26 juni 2013 om tillsynskrav för kreditinstitut och värdepappersföretag och om ändring av förordning (EU) nr 648/2012</w:t>
      </w:r>
      <w:r w:rsidRPr="009B76EF">
        <w:rPr>
          <w:rStyle w:val="FootnoteReference"/>
        </w:rPr>
        <w:footnoteReference w:id="1"/>
      </w:r>
      <w:r w:rsidRPr="009B76EF">
        <w:t>, särskilt artikel 430.7 femte stycket och artikel 434a femte stycket,</w:t>
      </w:r>
    </w:p>
    <w:p w14:paraId="283FAA3A" w14:textId="77777777" w:rsidR="00911C0D" w:rsidRPr="009B76EF" w:rsidRDefault="00911C0D" w:rsidP="00911C0D">
      <w:r w:rsidRPr="009B76EF">
        <w:t>med beaktande av Europaparlamentets och rådets direktiv 2014/59/EU av den 15 maj 2014 om inrättande av en ram för återhämtning och resolution av kreditinstitut och värdepappersföretag och om ändring av rådets direktiv 82/891/EEG och Europaparlamentets och rådets direktiv 2001/24/EG, 2002/47/EG, 2004/25/EG, 2005/56/EG, 2007/36/EG, 2011/35/EU, 2012/30/EU och 2013/36/EU, samt Europaparlamentets och rådets förordningar (EU) nr 1093/2010 och (EU) nr 648/2012</w:t>
      </w:r>
      <w:r w:rsidRPr="009B76EF">
        <w:rPr>
          <w:rStyle w:val="FootnoteReference"/>
        </w:rPr>
        <w:footnoteReference w:id="2"/>
      </w:r>
      <w:r w:rsidRPr="009B76EF">
        <w:t>, särskilt artikel 45i.5 och 45i.6, och</w:t>
      </w:r>
    </w:p>
    <w:p w14:paraId="2D724A4A" w14:textId="77777777" w:rsidR="00911C0D" w:rsidRPr="009B76EF" w:rsidRDefault="00911C0D" w:rsidP="00911C0D">
      <w:r w:rsidRPr="009B76EF">
        <w:t>av följande skäl:</w:t>
      </w:r>
    </w:p>
    <w:p w14:paraId="1498BCD9" w14:textId="55EE7DC6" w:rsidR="00911C0D" w:rsidRPr="009B76EF" w:rsidRDefault="00911C0D" w:rsidP="00B378A2">
      <w:pPr>
        <w:pStyle w:val="Considrant"/>
        <w:numPr>
          <w:ilvl w:val="0"/>
          <w:numId w:val="36"/>
        </w:numPr>
      </w:pPr>
      <w:r w:rsidRPr="009B76EF">
        <w:t>Den harmoniserade miniminivån för villkorsförteckningen för total förlustabsorberingskapacitet (</w:t>
      </w:r>
      <w:r w:rsidRPr="009B76EF">
        <w:rPr>
          <w:i/>
        </w:rPr>
        <w:t>TLAC-standarden</w:t>
      </w:r>
      <w:r w:rsidRPr="009B76EF">
        <w:t>) för globala systemviktiga institut har införts i unionslagstiftningen genom Europaparlamentets och rådets förordning (EU) 2019/876</w:t>
      </w:r>
      <w:r w:rsidRPr="009B76EF">
        <w:rPr>
          <w:rStyle w:val="FootnoteReference"/>
        </w:rPr>
        <w:footnoteReference w:id="3"/>
      </w:r>
      <w:r w:rsidRPr="009B76EF">
        <w:rPr>
          <w:sz w:val="23"/>
          <w:szCs w:val="23"/>
        </w:rPr>
        <w:t xml:space="preserve">om ändring av förordning (EU) nr 575/2013. Det institutspecifika tillägget för globala systemviktiga institut och det institutspecifika kravet för institut som inte är globala systemviktiga institut, benämnt minimikravet för kapitalbas och kvalificerade skulder (MREL), har fastställts genom riktade ändringar av direktiv 2014/59/EU </w:t>
      </w:r>
      <w:r w:rsidRPr="009B76EF">
        <w:t>som infördes genom Europaparlamentets och rådets direktiv (EU) 2019/879</w:t>
      </w:r>
      <w:r w:rsidRPr="009B76EF">
        <w:rPr>
          <w:rStyle w:val="FootnoteReference"/>
        </w:rPr>
        <w:footnoteReference w:id="4"/>
      </w:r>
      <w:r w:rsidRPr="009B76EF">
        <w:t>.</w:t>
      </w:r>
      <w:r w:rsidRPr="009B76EF">
        <w:rPr>
          <w:sz w:val="23"/>
          <w:szCs w:val="23"/>
        </w:rPr>
        <w:t xml:space="preserve"> </w:t>
      </w:r>
      <w:r w:rsidRPr="009B76EF">
        <w:t>. Krav på rapportering och offentliggörande för både TLAC-standarden och minimikravet för kapitalbas och kvalificerade skulder ingår nu i förordning (EU) nr 575/2013 respektive direktiv 2014/59/EU.</w:t>
      </w:r>
    </w:p>
    <w:p w14:paraId="42917AA4" w14:textId="77777777" w:rsidR="00911C0D" w:rsidRPr="009B76EF" w:rsidRDefault="00911C0D" w:rsidP="00911C0D">
      <w:pPr>
        <w:pStyle w:val="Considrant"/>
      </w:pPr>
      <w:r w:rsidRPr="009B76EF">
        <w:t xml:space="preserve">Eftersom TLAC-standarden och minimikravet för kapitalbas och kvalificerade skulder eftersträvar samma mål om att säkerställa att institut och enheter som är etablerade i unionen har en tillräcklig förlustabsorberings- och rekapitaliseringskapacitet bör de två </w:t>
      </w:r>
      <w:r w:rsidRPr="009B76EF">
        <w:lastRenderedPageBreak/>
        <w:t>kraven komplettera varandra inom ramen för ett gemensamt ramverk. Det är därför lämpligt att fastställa en uppsättning mallar för rapportering och offentliggörande av harmoniserad information om kravet på kapitalbas och kvalificerade skulder för globala systemviktiga institut och större dotterföretag till globala systemviktiga institut hemmahörande utanför EU (TLAC) och det institutspecifika minimikrav för kapitalbas och kvalificerade skulder som är tillämpliga på alla institut.</w:t>
      </w:r>
    </w:p>
    <w:p w14:paraId="621ACD0D" w14:textId="77777777" w:rsidR="00911C0D" w:rsidRPr="009B76EF" w:rsidRDefault="00911C0D" w:rsidP="00911C0D">
      <w:pPr>
        <w:pStyle w:val="Considrant"/>
      </w:pPr>
      <w:r w:rsidRPr="009B76EF">
        <w:t>I enlighet med artikel 434a i förordning (EU) nr 575/2013 ska de förslag till tekniska standarder för genomförande som ska utarbetas av Europeiska bankmyndigheten (EBA) för att fastställa enhetliga format för offentliggörande av information syfta till största möjliga enhetlighet i förhållande till internationella standarder, för att göra det lättare att jämföra information. Baselkommittén för banktillsyn offentliggjorde i december 2018 krav på offentliggörande av information för pelare 3, inklusive krav på offentliggörande av information inom ramen för TLAC. De format för offentliggörande av information samt instruktioner för detta som fastställs i denna förordning bör därför vara förenliga med de uppdaterade upplysningskraven från Baselkommittén för banktillsyn.</w:t>
      </w:r>
    </w:p>
    <w:p w14:paraId="39396602" w14:textId="77777777" w:rsidR="00911C0D" w:rsidRPr="009B76EF" w:rsidRDefault="00911C0D" w:rsidP="00911C0D">
      <w:pPr>
        <w:pStyle w:val="Considrant"/>
      </w:pPr>
      <w:r w:rsidRPr="009B76EF">
        <w:t xml:space="preserve">För att säkerställa att institutens efterlevnadskostnader inte ökar orimligt och att datakvaliteten upprätthålls bör rapporterings- och upplysningskraven i största möjliga utsträckning anpassas till varandra, även i fråga om frekvens. En anpassning av de tekniska standarderna för genomförande avseende rapporterings- och upplysningskraven för TLAC och minimikrav för kapitalbas och kvalificerade skulder krävs dessutom uttryckligen i artikel 45i.5 tredje stycket och artikel 45i.6 tredje stycket i direktiv 2014/59/EU. Det är därför lämpligt att i en enda förordning fastställa standarder tillämpliga på både rapportering och offentliggörande av TLAC och minimikrav för kapitalbas och kvalificerade skulder. Samtidigt bör både rapporteringens och upplysningarnas detaljnivå och frekvens anpassas på lämpligt sätt, med beaktande av kraven i förordning (EU) nr 575/2013 respektive direktiv 2014/59/EU, samt behovet av att säkerställa att instituten alltid uppfyller dessa krav. </w:t>
      </w:r>
    </w:p>
    <w:p w14:paraId="6A0B1EFC" w14:textId="77777777" w:rsidR="00911C0D" w:rsidRPr="009B76EF" w:rsidRDefault="00911C0D" w:rsidP="00911C0D">
      <w:pPr>
        <w:pStyle w:val="Considrant"/>
        <w:rPr>
          <w:noProof/>
        </w:rPr>
      </w:pPr>
      <w:r w:rsidRPr="009B76EF">
        <w:t>Enligt direktiv 2014/59/EU ska information om minimikrav för kapitalbas och kvalificerade skulder rapporteras till både behöriga myndigheter och resolutionsmyndigheter. Enligt förordning (EU) nr 575/2013 ska information om TLAC endast rapporteras till behöriga myndigheter. Enligt artikel 45d.1 i direktiv 2014/59/EU består emellertid minimikravet för kapitalbas och kvalificerade skulder för en resolutionsenhet som utgör ett globalt systemviktigt institut eller som ingår i ett globalt systemviktigt institut av TLAC-kravet och eventuella ytterligare tillägg. Det är därför lämpligt att säkerställa att resolutionsmyndigheterna får information om TLAC från globala systemviktiga institut som en del av deras rapportering med avseende på minimikravet för kapitalbas och kvalificerade skulder. Detta bör inte påverka arrangemang som ingåtts av behöriga myndigheter och resolutionsmyndigheter för att minimera dataflödena.</w:t>
      </w:r>
    </w:p>
    <w:p w14:paraId="47B09598" w14:textId="77777777" w:rsidR="00911C0D" w:rsidRPr="009B76EF" w:rsidRDefault="00911C0D" w:rsidP="00911C0D">
      <w:pPr>
        <w:pStyle w:val="Considrant"/>
      </w:pPr>
      <w:r w:rsidRPr="009B76EF">
        <w:t>Enligt artikel 45i.5 i direktiv 2014/59/EU ska EBA utarbeta förslag till tekniska standarder för genomförande för att specificera ett standardiserat sätt att tillhandahålla information om klassificering av kapitalbas och nedskrivningsbara skulder som är tillämplig i nationella insolvensförfaranden i varje medlemsstat, av jämförbarhets- och rättssäkerhetsskäl. Standardiserade uppgifter om insolvenshierarkier i varje medlemsstat, och uppdateringar av dessa, bör därför göras tillgängliga av respektive resolutionsmyndigheter för institut inom deras jurisdiktion. Denna information bör följa en standardiserad presentation av insolvenshierarkier.</w:t>
      </w:r>
    </w:p>
    <w:p w14:paraId="5C67BF36" w14:textId="77777777" w:rsidR="00911C0D" w:rsidRPr="009B76EF" w:rsidRDefault="00911C0D" w:rsidP="00911C0D">
      <w:pPr>
        <w:pStyle w:val="Considrant"/>
      </w:pPr>
      <w:r w:rsidRPr="009B76EF">
        <w:lastRenderedPageBreak/>
        <w:t>När det gäller nedskrivningsbara skulder som regleras av ett tredjelands rätt krävs enligt artikel 45i.5 i direktiv 2014/59/EU också att EBA ska utarbeta förslag till tekniska standarder för genomförande för att specificera ett standardiserat sätt att tillhandahålla information som anger tredjeländer vars lagstiftning reglerar sådana skulder och, för varje identifierat tredjeland, huruvida sådana skulder innehåller avtalsvillkor som erkänner att de enligt det direktivet kan omfattas av nedskrivnings- och konverteringsbefogenheter. På grund av behovet av att ytterligare bedöma detaljnivån för rapporteringen av dessa element kommer EBA att utarbeta och lämna in tillhörande instruktioner och mallar till kommissionen separat i god tid så att både behöriga myndigheter och resolutionsmyndigheter regelbundet kan få tillgång till denna information. Avsaknaden av dessa begränsade ytterligare element kommer varken att påverka eller försena tillämpningen av rapporteringskraven i denna förordning.</w:t>
      </w:r>
    </w:p>
    <w:p w14:paraId="131F500A" w14:textId="77777777" w:rsidR="00911C0D" w:rsidRPr="009B76EF" w:rsidRDefault="00911C0D" w:rsidP="00911C0D">
      <w:pPr>
        <w:pStyle w:val="Considrant"/>
      </w:pPr>
      <w:r w:rsidRPr="009B76EF">
        <w:t xml:space="preserve">Enheter som offentliggör information bör ta hänsyn till de relevanta riktlinjer som utfärdas av EBA när de bedömer huruvida informationen utgör väsentliga upplysningar, företagshemligheter eller konfidentiell information i enlighet med artikel 432 i förordning (EU) nr 575/2013. </w:t>
      </w:r>
    </w:p>
    <w:p w14:paraId="334E45CF" w14:textId="77777777" w:rsidR="00911C0D" w:rsidRPr="009B76EF" w:rsidRDefault="00911C0D" w:rsidP="00911C0D">
      <w:pPr>
        <w:pStyle w:val="Considrant"/>
        <w:rPr>
          <w:noProof/>
        </w:rPr>
      </w:pPr>
      <w:r w:rsidRPr="009B76EF">
        <w:t>Den skyldighet att rapportera och offentliggöra information om TLAC som fastställs i artikel 430.1 b, artikel 437a och artikel 447 h i förordning (EU) nr 575/2013 har tillämpats sedan den 27 juni 2019, i enlighet med artikel 3.3 andra stycket i förordning (EU) 2019/876. När denna förordning träder i kraft bör följaktligen globala systemviktiga institut och större dotterföretag till globala systemviktiga institut hemmahörande utanför EU omedelbart offentliggöra information om TLAC genom att använda mallarna och följa instruktionerna i denna förordning. Rapporteringen om TLAC-kravet i enlighet med denna förordning bör däremot börja tillämpas först från och med den 28 juni 2021 för att ge institut och behöriga myndigheter tillräckligt med tid för att genomföra de relevanta kraven.</w:t>
      </w:r>
    </w:p>
    <w:p w14:paraId="5CD8D630" w14:textId="554B47BE" w:rsidR="00911C0D" w:rsidRPr="009B76EF" w:rsidRDefault="00911C0D" w:rsidP="00911C0D">
      <w:pPr>
        <w:pStyle w:val="Considrant"/>
        <w:rPr>
          <w:noProof/>
        </w:rPr>
      </w:pPr>
      <w:r w:rsidRPr="009B76EF">
        <w:rPr>
          <w:color w:val="000000"/>
        </w:rPr>
        <w:t>När det gäller minimikravet för kapitalbas och kvalificerade skulder ska de rapporteringsskyldigheter som fastställs i direktiv 2014/59/EU tillämpas senast från och med den 28 december 2020. Av samma skäl som för TLAC bör dock alla institut rapportera information med avseende på minimikravet för kapitalbas och kvalificerade skulder med hjälp av mallarna och enligt instruktionerna i denna förordning från och med den 28 juni 2021. Däremot bör datumet för tillämpning av rapporteringskraven med avseende på minimikravet för kapitalbas och kvalificerade skulder sammanfalla med utgången av övergångsperioden enligt artikel 45m.1 tredje stycket i direktiv 2014/59/EU, dvs. tidigast den 1 januari 2024.</w:t>
      </w:r>
      <w:r w:rsidRPr="009B76EF">
        <w:t xml:space="preserve"> </w:t>
      </w:r>
    </w:p>
    <w:p w14:paraId="440C2F52" w14:textId="37997D46" w:rsidR="00D05552" w:rsidRPr="009B76EF" w:rsidRDefault="00EA09E4" w:rsidP="00EA09E4">
      <w:pPr>
        <w:pStyle w:val="Considrant"/>
        <w:rPr>
          <w:noProof/>
        </w:rPr>
      </w:pPr>
      <w:r w:rsidRPr="009B76EF">
        <w:t xml:space="preserve">Med tanke på att institut, behöriga myndigheter och resolutionsmyndigheter måste anpassa sina rapporteringssystem och elektroniska system till kraven i denna förordning bör överföringsdatumet för kvartalsrapportering av uppgifter som avser referensdatumet den 30 juni 2021 vara senast den 30 september 2021. </w:t>
      </w:r>
    </w:p>
    <w:p w14:paraId="059DCDED" w14:textId="77777777" w:rsidR="00911C0D" w:rsidRPr="009B76EF" w:rsidRDefault="00911C0D" w:rsidP="00911C0D">
      <w:pPr>
        <w:pStyle w:val="Considrant"/>
        <w:rPr>
          <w:noProof/>
        </w:rPr>
      </w:pPr>
      <w:r w:rsidRPr="009B76EF">
        <w:t>Denna förordning baseras på det förslag till tekniska standarder för genomförande som EBA har överlämnat till kommissionen.</w:t>
      </w:r>
    </w:p>
    <w:p w14:paraId="11F1B273" w14:textId="77777777" w:rsidR="00911C0D" w:rsidRPr="009B76EF" w:rsidRDefault="00911C0D" w:rsidP="00911C0D">
      <w:pPr>
        <w:pStyle w:val="Considrant"/>
        <w:rPr>
          <w:noProof/>
          <w:color w:val="000000"/>
        </w:rPr>
      </w:pPr>
      <w:r w:rsidRPr="009B76EF">
        <w:t xml:space="preserve">EBA har genomfört ett öppet offentligt samråd om de förslag till tekniska standarder för genomförande som denna förordning grundar sig på, analyserat de möjliga kostnaderna och fördelarna och begärt ett yttrande från den bankintressentgrupp som </w:t>
      </w:r>
      <w:r w:rsidRPr="009B76EF">
        <w:lastRenderedPageBreak/>
        <w:t>inrättats i enlighet med artikel 37 i Europaparlamentets och rådets förordning (EU) nr 1093/2010</w:t>
      </w:r>
      <w:r w:rsidRPr="009B76EF">
        <w:rPr>
          <w:rStyle w:val="FootnoteReference"/>
        </w:rPr>
        <w:footnoteReference w:id="5"/>
      </w:r>
      <w:r w:rsidRPr="009B76EF">
        <w:t>.</w:t>
      </w:r>
    </w:p>
    <w:p w14:paraId="0057A5D8" w14:textId="77777777" w:rsidR="00911C0D" w:rsidRPr="009B76EF" w:rsidRDefault="00911C0D" w:rsidP="00911C0D">
      <w:pPr>
        <w:pStyle w:val="Formuledadoption"/>
      </w:pPr>
      <w:r w:rsidRPr="009B76EF">
        <w:t>HÄRIGENOM FÖRESKRIVS FÖLJANDE.</w:t>
      </w:r>
    </w:p>
    <w:p w14:paraId="3D820E8F" w14:textId="77777777" w:rsidR="00911C0D" w:rsidRPr="009B76EF" w:rsidRDefault="00911C0D" w:rsidP="00911C0D">
      <w:pPr>
        <w:pStyle w:val="SectionTitle"/>
        <w:rPr>
          <w:b w:val="0"/>
          <w:i/>
        </w:rPr>
      </w:pPr>
      <w:r w:rsidRPr="009B76EF">
        <w:rPr>
          <w:b w:val="0"/>
          <w:i/>
        </w:rPr>
        <w:t>AVDELNING I</w:t>
      </w:r>
      <w:r w:rsidRPr="009B76EF">
        <w:t xml:space="preserve"> </w:t>
      </w:r>
      <w:r w:rsidRPr="009B76EF">
        <w:br/>
      </w:r>
      <w:r w:rsidRPr="009B76EF">
        <w:rPr>
          <w:b w:val="0"/>
          <w:i/>
        </w:rPr>
        <w:t>TILLSYNSRAPPORTERING</w:t>
      </w:r>
    </w:p>
    <w:p w14:paraId="41755B8B" w14:textId="77777777" w:rsidR="00911C0D" w:rsidRPr="009B76EF" w:rsidRDefault="00911C0D" w:rsidP="00911C0D">
      <w:pPr>
        <w:pStyle w:val="Titrearticle"/>
      </w:pPr>
      <w:r w:rsidRPr="009B76EF">
        <w:t xml:space="preserve">Artikel </w:t>
      </w:r>
      <w:r w:rsidR="00135FE9">
        <w:fldChar w:fldCharType="begin"/>
      </w:r>
      <w:r w:rsidR="00135FE9">
        <w:instrText xml:space="preserve"> SEQ Figure \* ARABIC </w:instrText>
      </w:r>
      <w:r w:rsidR="00135FE9">
        <w:fldChar w:fldCharType="separate"/>
      </w:r>
      <w:r w:rsidRPr="009B76EF">
        <w:t>1</w:t>
      </w:r>
      <w:r w:rsidR="00135FE9">
        <w:fldChar w:fldCharType="end"/>
      </w:r>
      <w:r w:rsidRPr="009B76EF">
        <w:br/>
        <w:t>Rapporteringsreferensdatum</w:t>
      </w:r>
    </w:p>
    <w:p w14:paraId="4E45B252" w14:textId="77777777" w:rsidR="00911C0D" w:rsidRPr="009B76EF" w:rsidRDefault="00911C0D" w:rsidP="00911C0D">
      <w:pPr>
        <w:keepNext/>
        <w:keepLines/>
        <w:spacing w:before="360"/>
        <w:rPr>
          <w:noProof/>
        </w:rPr>
      </w:pPr>
      <w:r w:rsidRPr="009B76EF">
        <w:t xml:space="preserve">Enheter som omfattas av rapporteringskrav för den totala förlustabsorberingskapaciteten (TLAC) och </w:t>
      </w:r>
      <w:r w:rsidRPr="009B76EF">
        <w:rPr>
          <w:sz w:val="23"/>
          <w:szCs w:val="23"/>
        </w:rPr>
        <w:t xml:space="preserve">minimikravet för kapitalbas och kvalificerade skulder </w:t>
      </w:r>
      <w:r w:rsidRPr="009B76EF">
        <w:t>(MREL) på individuell nivå eller gruppnivå (rapporterande enheter) ska lämna information till behöriga myndigheter och resolutionsmyndigheter enligt följande referensdatum för rapportering:</w:t>
      </w:r>
    </w:p>
    <w:p w14:paraId="62D6D0EC" w14:textId="77777777" w:rsidR="00911C0D" w:rsidRPr="009B76EF" w:rsidRDefault="00911C0D" w:rsidP="00911C0D">
      <w:pPr>
        <w:pStyle w:val="Point0"/>
        <w:rPr>
          <w:noProof/>
        </w:rPr>
      </w:pPr>
      <w:r w:rsidRPr="009B76EF">
        <w:t>a)</w:t>
      </w:r>
      <w:r w:rsidRPr="009B76EF">
        <w:tab/>
        <w:t>För kvartalsrapportering: 31 mars, 30 juni, 30 september samt 31 december.</w:t>
      </w:r>
    </w:p>
    <w:p w14:paraId="6619E578" w14:textId="77777777" w:rsidR="00911C0D" w:rsidRPr="009B76EF" w:rsidRDefault="00911C0D" w:rsidP="00911C0D">
      <w:pPr>
        <w:pStyle w:val="Point0"/>
        <w:rPr>
          <w:noProof/>
        </w:rPr>
      </w:pPr>
      <w:r w:rsidRPr="009B76EF">
        <w:t>b)</w:t>
      </w:r>
      <w:r w:rsidRPr="009B76EF">
        <w:tab/>
        <w:t>För halvårsrapportering: 30 juni och 31 december.</w:t>
      </w:r>
    </w:p>
    <w:p w14:paraId="0A85107A" w14:textId="77777777" w:rsidR="00911C0D" w:rsidRPr="009B76EF" w:rsidRDefault="00911C0D" w:rsidP="00911C0D">
      <w:pPr>
        <w:pStyle w:val="Point0"/>
        <w:rPr>
          <w:noProof/>
        </w:rPr>
      </w:pPr>
      <w:r w:rsidRPr="009B76EF">
        <w:t>c)</w:t>
      </w:r>
      <w:r w:rsidRPr="009B76EF">
        <w:tab/>
        <w:t>För årsrapportering: den 31 december.</w:t>
      </w:r>
    </w:p>
    <w:p w14:paraId="2DD5D0AB" w14:textId="77777777" w:rsidR="00911C0D" w:rsidRPr="009B76EF" w:rsidRDefault="00911C0D" w:rsidP="00911C0D">
      <w:pPr>
        <w:pStyle w:val="Titrearticle"/>
      </w:pPr>
      <w:r w:rsidRPr="009B76EF">
        <w:t xml:space="preserve">Artikel </w:t>
      </w:r>
      <w:r w:rsidR="00135FE9">
        <w:fldChar w:fldCharType="begin"/>
      </w:r>
      <w:r w:rsidR="00135FE9">
        <w:instrText xml:space="preserve"> SEQ Figure \* ARABIC </w:instrText>
      </w:r>
      <w:r w:rsidR="00135FE9">
        <w:fldChar w:fldCharType="separate"/>
      </w:r>
      <w:r w:rsidRPr="009B76EF">
        <w:t>2</w:t>
      </w:r>
      <w:r w:rsidR="00135FE9">
        <w:fldChar w:fldCharType="end"/>
      </w:r>
      <w:r w:rsidRPr="009B76EF">
        <w:br/>
        <w:t>Överföringsdatum</w:t>
      </w:r>
    </w:p>
    <w:p w14:paraId="7EB2FA5F" w14:textId="77777777" w:rsidR="00911C0D" w:rsidRPr="009B76EF" w:rsidRDefault="00911C0D" w:rsidP="00080A21">
      <w:pPr>
        <w:pStyle w:val="NumPar1"/>
        <w:numPr>
          <w:ilvl w:val="0"/>
          <w:numId w:val="2"/>
        </w:numPr>
        <w:rPr>
          <w:noProof/>
        </w:rPr>
      </w:pPr>
      <w:r w:rsidRPr="009B76EF">
        <w:t>Resolutionsenheterna ska överlämna information till de behöriga myndigheterna och resolutionsmyndigheterna senast vid utgången av arbetsdagen på följande överföringsdatum:</w:t>
      </w:r>
    </w:p>
    <w:p w14:paraId="333C0EF1" w14:textId="0A8DE25F" w:rsidR="00911C0D" w:rsidRPr="009B76EF" w:rsidRDefault="00911C0D" w:rsidP="00144CAD">
      <w:pPr>
        <w:pStyle w:val="Point1letter"/>
        <w:numPr>
          <w:ilvl w:val="3"/>
          <w:numId w:val="37"/>
        </w:numPr>
        <w:rPr>
          <w:noProof/>
        </w:rPr>
      </w:pPr>
      <w:r w:rsidRPr="009B76EF">
        <w:t>För kvartalsrapportering: 19 maj, 18 augusti, 18 november och 18 februari, med undantag för uppgifter som avser referensdatumet den 30 juni 2021, där överföringsdatumet ska vara senast den 30 september 2021.</w:t>
      </w:r>
    </w:p>
    <w:p w14:paraId="2215F3EB" w14:textId="77777777" w:rsidR="00911C0D" w:rsidRPr="009B76EF" w:rsidRDefault="00911C0D" w:rsidP="00146633">
      <w:pPr>
        <w:pStyle w:val="Point1letter"/>
        <w:rPr>
          <w:noProof/>
        </w:rPr>
      </w:pPr>
      <w:r w:rsidRPr="009B76EF">
        <w:t>För halvårsrapportering: 18 augusti och 18 februari.</w:t>
      </w:r>
    </w:p>
    <w:p w14:paraId="3F3B32F9" w14:textId="77777777" w:rsidR="00911C0D" w:rsidRPr="009B76EF" w:rsidRDefault="00911C0D" w:rsidP="00146633">
      <w:pPr>
        <w:pStyle w:val="Point1letter"/>
        <w:rPr>
          <w:noProof/>
        </w:rPr>
      </w:pPr>
      <w:r w:rsidRPr="009B76EF">
        <w:t>För årsrapportering: 18 februari.</w:t>
      </w:r>
    </w:p>
    <w:p w14:paraId="5D1F4190" w14:textId="77777777" w:rsidR="00911C0D" w:rsidRPr="009B76EF" w:rsidRDefault="00911C0D" w:rsidP="00911C0D">
      <w:pPr>
        <w:pStyle w:val="NumPar1"/>
        <w:rPr>
          <w:noProof/>
        </w:rPr>
      </w:pPr>
      <w:r w:rsidRPr="009B76EF">
        <w:t>Om överföringsdatumet är en allmän helgdag i medlemsstaten för den behöriga myndighet eller resolutionsmyndighet som informationen som avses i punkt 1 ska överlämnas till, eller är en lördag eller söndag, ska informationen överlämnas före stängning närmast följande arbetsdag.</w:t>
      </w:r>
    </w:p>
    <w:p w14:paraId="1323199E" w14:textId="77777777" w:rsidR="00911C0D" w:rsidRPr="009B76EF" w:rsidRDefault="00911C0D" w:rsidP="00911C0D">
      <w:pPr>
        <w:pStyle w:val="NumPar1"/>
        <w:rPr>
          <w:noProof/>
        </w:rPr>
      </w:pPr>
      <w:r w:rsidRPr="009B76EF">
        <w:t xml:space="preserve">Rapporterande enheter får lämna uppgifter som inte varit föremål för ett uttalande från en extern revisor (oreviderade siffror). Om siffror som granskats av en extern revisor som lämnar ett revisionsuttalande (reviderade siffror) avviker från de inlämnade oreviderade siffrorna ska de rapporterande enheterna lämna in de reviderade siffrorna utan onödigt dröjsmål. </w:t>
      </w:r>
    </w:p>
    <w:p w14:paraId="449A6FE1" w14:textId="77777777" w:rsidR="00911C0D" w:rsidRPr="009B76EF" w:rsidRDefault="00911C0D" w:rsidP="00911C0D">
      <w:pPr>
        <w:pStyle w:val="NumPar1"/>
        <w:rPr>
          <w:noProof/>
        </w:rPr>
      </w:pPr>
      <w:r w:rsidRPr="009B76EF">
        <w:t>Rapporterande enheter ska utan onödigt dröjsmål lämna in eventuella andra korrigeringar till behöriga myndigheter och resolutionsmyndigheter.</w:t>
      </w:r>
    </w:p>
    <w:p w14:paraId="73C2EE64" w14:textId="77777777" w:rsidR="00911C0D" w:rsidRPr="009B76EF" w:rsidRDefault="00911C0D" w:rsidP="00911C0D">
      <w:pPr>
        <w:pStyle w:val="Titrearticle"/>
      </w:pPr>
      <w:r w:rsidRPr="009B76EF">
        <w:lastRenderedPageBreak/>
        <w:t xml:space="preserve">Artikel </w:t>
      </w:r>
      <w:r w:rsidR="00135FE9">
        <w:fldChar w:fldCharType="begin"/>
      </w:r>
      <w:r w:rsidR="00135FE9">
        <w:instrText xml:space="preserve"> SEQ Figure \* ARABIC </w:instrText>
      </w:r>
      <w:r w:rsidR="00135FE9">
        <w:fldChar w:fldCharType="separate"/>
      </w:r>
      <w:r w:rsidRPr="009B76EF">
        <w:t>3</w:t>
      </w:r>
      <w:r w:rsidR="00135FE9">
        <w:fldChar w:fldCharType="end"/>
      </w:r>
      <w:r w:rsidRPr="009B76EF">
        <w:br/>
        <w:t>Format och frekvens för resolutionsenheters rapportering på individuell nivå</w:t>
      </w:r>
    </w:p>
    <w:p w14:paraId="18406280" w14:textId="77777777" w:rsidR="00911C0D" w:rsidRPr="009B76EF" w:rsidRDefault="00911C0D" w:rsidP="00080A21">
      <w:pPr>
        <w:pStyle w:val="NumPar1"/>
        <w:numPr>
          <w:ilvl w:val="0"/>
          <w:numId w:val="1"/>
        </w:numPr>
        <w:rPr>
          <w:noProof/>
        </w:rPr>
      </w:pPr>
      <w:r w:rsidRPr="009B76EF">
        <w:t>Resolutionsenheter utan dotterföretag som omfattas av kraven i artikel 45 i direktiv 2014/59/EU i enlighet med artikel 45e i det direktivet ska lämna information på individuell nivå till de behöriga myndigheterna och resolutionsmyndigheterna enligt följande:</w:t>
      </w:r>
    </w:p>
    <w:p w14:paraId="790F78D3" w14:textId="77777777" w:rsidR="00911C0D" w:rsidRPr="009B76EF" w:rsidRDefault="00911C0D" w:rsidP="00080A21">
      <w:pPr>
        <w:pStyle w:val="Point1letter"/>
        <w:numPr>
          <w:ilvl w:val="3"/>
          <w:numId w:val="7"/>
        </w:numPr>
        <w:rPr>
          <w:noProof/>
        </w:rPr>
      </w:pPr>
      <w:r w:rsidRPr="009B76EF">
        <w:t>Information om nyckeltal enligt mall 1 kolumn 0010 i bilaga I till denna förordning ska rapporteras varje kvartal i enlighet med instruktionerna i del II punkt 1 i bilaga II till denna förordning.</w:t>
      </w:r>
    </w:p>
    <w:p w14:paraId="619B3CEC" w14:textId="77777777" w:rsidR="00911C0D" w:rsidRPr="009B76EF" w:rsidRDefault="00911C0D" w:rsidP="00146633">
      <w:pPr>
        <w:pStyle w:val="Point1letter"/>
        <w:rPr>
          <w:noProof/>
        </w:rPr>
      </w:pPr>
      <w:r w:rsidRPr="009B76EF">
        <w:t>Information om sammansättning av kapitalbas och kvalificerade skulder enligt mall 2 kolumn 0010 i bilaga I till denna förordning ska rapporteras varje kvartal i enlighet med instruktionerna i del II punkt 2.1 i bilaga II till denna förordning.</w:t>
      </w:r>
    </w:p>
    <w:p w14:paraId="1B7D16C2" w14:textId="77777777" w:rsidR="00911C0D" w:rsidRPr="009B76EF" w:rsidRDefault="00911C0D" w:rsidP="00146633">
      <w:pPr>
        <w:pStyle w:val="Point1letter"/>
        <w:rPr>
          <w:noProof/>
        </w:rPr>
      </w:pPr>
      <w:r w:rsidRPr="009B76EF">
        <w:t>Information om finansieringsstrukturen för kvalificerade skulder enligt mall 4 i bilaga I till denna förordning ska rapporteras varje kvartal i enlighet med instruktionerna i del II punkt 2.3 i bilaga II till denna förordning.</w:t>
      </w:r>
    </w:p>
    <w:p w14:paraId="28DECEF8" w14:textId="77777777" w:rsidR="00911C0D" w:rsidRPr="009B76EF" w:rsidRDefault="00911C0D" w:rsidP="00146633">
      <w:pPr>
        <w:pStyle w:val="Point1letter"/>
        <w:rPr>
          <w:noProof/>
        </w:rPr>
      </w:pPr>
      <w:r w:rsidRPr="009B76EF">
        <w:t>Information om instrument som regleras av tredjelands rätt, enligt mall 7 i bilaga I till denna förordning, ska rapporteras varje kvartal i enlighet med instruktionerna i del II punkt 4 i bilaga II till denna förordning.</w:t>
      </w:r>
    </w:p>
    <w:p w14:paraId="06B6C64E" w14:textId="77777777" w:rsidR="00911C0D" w:rsidRPr="009B76EF" w:rsidRDefault="00911C0D" w:rsidP="00080A21">
      <w:pPr>
        <w:pStyle w:val="NumPar1"/>
        <w:numPr>
          <w:ilvl w:val="0"/>
          <w:numId w:val="1"/>
        </w:numPr>
        <w:rPr>
          <w:noProof/>
        </w:rPr>
      </w:pPr>
      <w:r w:rsidRPr="009B76EF">
        <w:t>Resolutionsenheter ska lämna information till behöriga myndigheter och resolutionsmyndigheter om uppdelningen av kapitalbasen och skulderna efter rangordning vid insolvens enligt specifikationerna i mall 6 i bilaga I på individuell nivå varje kvartal i enlighet med instruktionerna i del II punkt 3.2 i bilaga II.</w:t>
      </w:r>
    </w:p>
    <w:p w14:paraId="2CE25962" w14:textId="77777777" w:rsidR="00911C0D" w:rsidRPr="009B76EF" w:rsidRDefault="00911C0D" w:rsidP="00080A21">
      <w:pPr>
        <w:pStyle w:val="NumPar1"/>
        <w:numPr>
          <w:ilvl w:val="0"/>
          <w:numId w:val="1"/>
        </w:numPr>
        <w:rPr>
          <w:noProof/>
        </w:rPr>
      </w:pPr>
      <w:r w:rsidRPr="009B76EF">
        <w:t>Utöver den information som avses i punkterna 1 och 2 ska resolutionsenheter som omfattas av kravet i artikel 92a i förordning (EU) nr 575/2013 på individuell nivå i enlighet med artikel 6.1a i den förordningen lämna information på individuell nivå till resolutionsmyndigheterna och de behöriga myndigheterna enligt följande:</w:t>
      </w:r>
    </w:p>
    <w:p w14:paraId="028BBD2D" w14:textId="395BEEFF" w:rsidR="00911C0D" w:rsidRPr="009B76EF" w:rsidRDefault="00911C0D" w:rsidP="00080A21">
      <w:pPr>
        <w:pStyle w:val="Point1letter"/>
        <w:numPr>
          <w:ilvl w:val="3"/>
          <w:numId w:val="8"/>
        </w:numPr>
        <w:rPr>
          <w:noProof/>
        </w:rPr>
      </w:pPr>
      <w:r w:rsidRPr="009B76EF">
        <w:t>Information om nyckeltal enligt mall 1 kolumn 0020 i bilaga I till denna förordning ska rapporteras varje kvartal i enlighet med instruktionerna i del II punkt 1 i bilaga II till denna förordning.</w:t>
      </w:r>
    </w:p>
    <w:p w14:paraId="45E52025" w14:textId="77777777" w:rsidR="00911C0D" w:rsidRPr="009B76EF" w:rsidRDefault="00911C0D" w:rsidP="00146633">
      <w:pPr>
        <w:pStyle w:val="Point1letter"/>
        <w:rPr>
          <w:noProof/>
        </w:rPr>
      </w:pPr>
      <w:r w:rsidRPr="009B76EF">
        <w:t>Information om sammansättning av kapitalbas och kvalificerade skulder enligt mall 2 kolumnerna 0020 och 0030 i bilaga I till denna förordning ska rapporteras varje kvartal i enlighet med instruktionerna i del II punkt 2.1 i bilaga II till denna förordning.</w:t>
      </w:r>
    </w:p>
    <w:p w14:paraId="020EF926" w14:textId="77777777" w:rsidR="00911C0D" w:rsidRPr="009B76EF" w:rsidRDefault="00911C0D" w:rsidP="00911C0D">
      <w:pPr>
        <w:pStyle w:val="Titrearticle"/>
      </w:pPr>
      <w:r w:rsidRPr="009B76EF">
        <w:t xml:space="preserve">Artikel </w:t>
      </w:r>
      <w:r w:rsidR="00135FE9">
        <w:fldChar w:fldCharType="begin"/>
      </w:r>
      <w:r w:rsidR="00135FE9">
        <w:instrText xml:space="preserve"> SEQ Figure \* ARABIC </w:instrText>
      </w:r>
      <w:r w:rsidR="00135FE9">
        <w:fldChar w:fldCharType="separate"/>
      </w:r>
      <w:r w:rsidRPr="009B76EF">
        <w:t>4</w:t>
      </w:r>
      <w:r w:rsidR="00135FE9">
        <w:fldChar w:fldCharType="end"/>
      </w:r>
      <w:r w:rsidRPr="009B76EF">
        <w:br/>
        <w:t>Format och frekvens för resolutionsenheters rapportering på gruppnivå</w:t>
      </w:r>
    </w:p>
    <w:p w14:paraId="1378D8C9" w14:textId="77777777" w:rsidR="00911C0D" w:rsidRPr="009B76EF" w:rsidRDefault="00911C0D" w:rsidP="00080A21">
      <w:pPr>
        <w:pStyle w:val="NumPar1"/>
        <w:numPr>
          <w:ilvl w:val="0"/>
          <w:numId w:val="3"/>
        </w:numPr>
        <w:rPr>
          <w:noProof/>
        </w:rPr>
      </w:pPr>
      <w:r w:rsidRPr="009B76EF">
        <w:t>Resolutionsenheter som omfattas av kraven i artikel 45 i direktiv 2014/59/EU på gruppnivå i enlighet med artikel 45e i det direktivet ska lämna information på gruppnivå till de behöriga myndigheterna och resolutionsmyndigheterna enligt följande:</w:t>
      </w:r>
    </w:p>
    <w:p w14:paraId="1E21506B" w14:textId="77777777" w:rsidR="00911C0D" w:rsidRPr="009B76EF" w:rsidRDefault="00911C0D" w:rsidP="00080A21">
      <w:pPr>
        <w:pStyle w:val="Point1letter"/>
        <w:numPr>
          <w:ilvl w:val="3"/>
          <w:numId w:val="9"/>
        </w:numPr>
        <w:rPr>
          <w:noProof/>
        </w:rPr>
      </w:pPr>
      <w:r w:rsidRPr="009B76EF">
        <w:t>Information om nyckeltal enligt mall 1 kolumn 0010 i bilaga I till denna förordning ska rapporteras varje kvartal i enlighet med instruktionerna i del II punkt 1 i bilaga II till denna förordning.</w:t>
      </w:r>
    </w:p>
    <w:p w14:paraId="7F16E897" w14:textId="77777777" w:rsidR="00911C0D" w:rsidRPr="009B76EF" w:rsidRDefault="00911C0D" w:rsidP="00080A21">
      <w:pPr>
        <w:pStyle w:val="Point1letter"/>
        <w:numPr>
          <w:ilvl w:val="3"/>
          <w:numId w:val="9"/>
        </w:numPr>
        <w:rPr>
          <w:noProof/>
        </w:rPr>
      </w:pPr>
      <w:r w:rsidRPr="009B76EF">
        <w:lastRenderedPageBreak/>
        <w:t>Information om sammansättning av kapitalbas och kvalificerade skulder enligt mall 2 kolumn 0010 i bilaga I till denna förordning ska rapporteras varje kvartal i enlighet med instruktionerna i del II punkt 2.1 i bilaga II till denna förordning.</w:t>
      </w:r>
    </w:p>
    <w:p w14:paraId="2CE5F340" w14:textId="77777777" w:rsidR="00911C0D" w:rsidRPr="009B76EF" w:rsidRDefault="00911C0D" w:rsidP="00080A21">
      <w:pPr>
        <w:pStyle w:val="Point1letter"/>
        <w:numPr>
          <w:ilvl w:val="3"/>
          <w:numId w:val="9"/>
        </w:numPr>
        <w:rPr>
          <w:noProof/>
        </w:rPr>
      </w:pPr>
      <w:r w:rsidRPr="009B76EF">
        <w:t>Information om finansieringsstrukturen för kvalificerade skulder enligt mall 4 i bilaga I till denna förordning ska rapporteras varje kvartal i enlighet med instruktionerna i del II punkt 2.3 i bilaga II till denna förordning.</w:t>
      </w:r>
    </w:p>
    <w:p w14:paraId="0CB1A49C" w14:textId="77777777" w:rsidR="00911C0D" w:rsidRPr="009B76EF" w:rsidRDefault="00911C0D" w:rsidP="00080A21">
      <w:pPr>
        <w:pStyle w:val="Point1letter"/>
        <w:numPr>
          <w:ilvl w:val="3"/>
          <w:numId w:val="9"/>
        </w:numPr>
        <w:rPr>
          <w:noProof/>
        </w:rPr>
      </w:pPr>
      <w:r w:rsidRPr="009B76EF">
        <w:t>Information om instrument som regleras av tredjelands rätt, enligt mall 7 i bilaga I till denna förordning, ska rapporteras varje kvartal i enlighet med instruktionerna i del II punkt 4 i bilaga II till denna förordning.</w:t>
      </w:r>
    </w:p>
    <w:p w14:paraId="1604BDA8" w14:textId="77777777" w:rsidR="00911C0D" w:rsidRPr="009B76EF" w:rsidRDefault="00911C0D" w:rsidP="00080A21">
      <w:pPr>
        <w:pStyle w:val="NumPar1"/>
        <w:numPr>
          <w:ilvl w:val="0"/>
          <w:numId w:val="3"/>
        </w:numPr>
        <w:rPr>
          <w:noProof/>
        </w:rPr>
      </w:pPr>
      <w:r w:rsidRPr="009B76EF">
        <w:t>Utöver den information som avses i punkt 1 ska resolutionsenheter som omfattas av kravet i artikel 92a i förordning (EU) nr 575/2013 på gruppnivå i enlighet med artikel 11.3a i den förordningen lämna information på gruppnivå till de behöriga myndigheterna och resolutionsmyndigheterna enligt följande:</w:t>
      </w:r>
    </w:p>
    <w:p w14:paraId="4EEC865C" w14:textId="77777777" w:rsidR="00911C0D" w:rsidRPr="009B76EF" w:rsidRDefault="00911C0D" w:rsidP="00080A21">
      <w:pPr>
        <w:pStyle w:val="Point1letter"/>
        <w:numPr>
          <w:ilvl w:val="3"/>
          <w:numId w:val="10"/>
        </w:numPr>
        <w:rPr>
          <w:noProof/>
        </w:rPr>
      </w:pPr>
      <w:r w:rsidRPr="009B76EF">
        <w:t>Information om nyckeltal enligt mall 1 kolumn 0020 i bilaga I till denna förordning ska rapporteras varje kvartal i enlighet med instruktionerna i del II punkt 1 i bilaga II till denna förordning.</w:t>
      </w:r>
    </w:p>
    <w:p w14:paraId="62EB5754" w14:textId="77777777" w:rsidR="00911C0D" w:rsidRPr="009B76EF" w:rsidRDefault="00911C0D" w:rsidP="00146633">
      <w:pPr>
        <w:pStyle w:val="Point1letter"/>
        <w:rPr>
          <w:noProof/>
        </w:rPr>
      </w:pPr>
      <w:r w:rsidRPr="009B76EF">
        <w:t>Information om sammansättning av kapitalbas och kvalificerade skulder enligt mall 2 kolumnerna 0020 och 0030 i bilaga I till denna förordning ska rapporteras varje kvartal i enlighet med instruktionerna i del II punkt 2.1 i bilaga II till denna förordning.</w:t>
      </w:r>
    </w:p>
    <w:p w14:paraId="79821E88" w14:textId="77777777" w:rsidR="00911C0D" w:rsidRPr="009B76EF" w:rsidRDefault="00911C0D" w:rsidP="00911C0D">
      <w:pPr>
        <w:pStyle w:val="Titrearticle"/>
      </w:pPr>
      <w:r w:rsidRPr="009B76EF">
        <w:t xml:space="preserve">Artikel </w:t>
      </w:r>
      <w:r w:rsidR="00135FE9">
        <w:fldChar w:fldCharType="begin"/>
      </w:r>
      <w:r w:rsidR="00135FE9">
        <w:instrText xml:space="preserve"> SEQ Figure \* ARABIC </w:instrText>
      </w:r>
      <w:r w:rsidR="00135FE9">
        <w:fldChar w:fldCharType="separate"/>
      </w:r>
      <w:r w:rsidRPr="009B76EF">
        <w:t>5</w:t>
      </w:r>
      <w:r w:rsidR="00135FE9">
        <w:fldChar w:fldCharType="end"/>
      </w:r>
      <w:r w:rsidRPr="009B76EF">
        <w:br/>
        <w:t>Format och frekvens för rapportering på individuell nivå av enheter som själva inte är resolutionsenheter och av större dotterföretag till globala systemviktiga institut hemmahörande utanför EU</w:t>
      </w:r>
    </w:p>
    <w:p w14:paraId="0FDA52A0" w14:textId="77777777" w:rsidR="00911C0D" w:rsidRPr="009B76EF" w:rsidRDefault="00911C0D" w:rsidP="00080A21">
      <w:pPr>
        <w:pStyle w:val="NumPar1"/>
        <w:numPr>
          <w:ilvl w:val="0"/>
          <w:numId w:val="4"/>
        </w:numPr>
        <w:rPr>
          <w:noProof/>
        </w:rPr>
      </w:pPr>
      <w:r w:rsidRPr="009B76EF">
        <w:t>Enheter som själva inte utgör resolutionsenheter och som omfattas av kraven i artikel 45 i direktiv 2014/59/EU på individuell nivå i enlighet med artikel 45f i det direktivet ska lämna information på individuell nivå till de behöriga myndigheterna och resolutionsmyndigheterna enligt följande:</w:t>
      </w:r>
    </w:p>
    <w:p w14:paraId="45A08A7C" w14:textId="77777777" w:rsidR="00911C0D" w:rsidRPr="009B76EF" w:rsidRDefault="00911C0D" w:rsidP="00080A21">
      <w:pPr>
        <w:pStyle w:val="Point1letter"/>
        <w:numPr>
          <w:ilvl w:val="3"/>
          <w:numId w:val="11"/>
        </w:numPr>
        <w:rPr>
          <w:noProof/>
        </w:rPr>
      </w:pPr>
      <w:r w:rsidRPr="009B76EF">
        <w:t>Information om belopp och sammansättning av kapitalbas och kvalificerade skulder enligt mall 3 kolumn 0010 i bilaga I till denna förordning ska rapporteras varje kvartal i enlighet med instruktionerna i del II punkt 2.2 i bilaga II till denna förordning.</w:t>
      </w:r>
    </w:p>
    <w:p w14:paraId="3AED8007" w14:textId="77777777" w:rsidR="00911C0D" w:rsidRPr="009B76EF" w:rsidRDefault="00911C0D" w:rsidP="00080A21">
      <w:pPr>
        <w:pStyle w:val="Point1letter"/>
        <w:numPr>
          <w:ilvl w:val="3"/>
          <w:numId w:val="11"/>
        </w:numPr>
        <w:rPr>
          <w:noProof/>
        </w:rPr>
      </w:pPr>
      <w:r w:rsidRPr="009B76EF">
        <w:t>Information om finansieringsstrukturen för kvalificerade skulder enligt mall 4 i bilaga I till denna förordning ska rapporteras varje kvartal i enlighet med instruktionerna i del II punkt 2.3 i bilaga II till denna förordning.</w:t>
      </w:r>
    </w:p>
    <w:p w14:paraId="4455633C" w14:textId="77777777" w:rsidR="00911C0D" w:rsidRPr="009B76EF" w:rsidRDefault="00911C0D" w:rsidP="00080A21">
      <w:pPr>
        <w:pStyle w:val="Point1letter"/>
        <w:numPr>
          <w:ilvl w:val="3"/>
          <w:numId w:val="11"/>
        </w:numPr>
        <w:rPr>
          <w:noProof/>
        </w:rPr>
      </w:pPr>
      <w:r w:rsidRPr="009B76EF">
        <w:t>Information om instrument som regleras av tredjelands rätt, enligt mall 7 i bilaga I till denna förordning, ska rapporteras varje kvartal i enlighet med instruktionerna i del II punkt 4 i bilaga II till denna förordning.</w:t>
      </w:r>
    </w:p>
    <w:p w14:paraId="1ACCD4B5" w14:textId="77777777" w:rsidR="00911C0D" w:rsidRPr="009B76EF" w:rsidRDefault="00911C0D" w:rsidP="00080A21">
      <w:pPr>
        <w:pStyle w:val="NumPar1"/>
        <w:numPr>
          <w:ilvl w:val="0"/>
          <w:numId w:val="4"/>
        </w:numPr>
        <w:rPr>
          <w:noProof/>
        </w:rPr>
      </w:pPr>
      <w:r w:rsidRPr="009B76EF">
        <w:t>Enheter som själva inte utgör resolutionsenheter ska lämna information till behöriga myndigheter och resolutionsmyndigheter om uppdelningen av kapitalbasen och skulderna efter rangordning vid insolvens enligt specifikationerna i mall 5 i bilaga I på individuell nivå varje kvartal i enlighet med instruktionerna i del II punkt 3.1 i bilaga II.</w:t>
      </w:r>
    </w:p>
    <w:p w14:paraId="3F08EA69" w14:textId="77777777" w:rsidR="00911C0D" w:rsidRPr="009B76EF" w:rsidRDefault="00911C0D" w:rsidP="00080A21">
      <w:pPr>
        <w:pStyle w:val="NumPar1"/>
        <w:numPr>
          <w:ilvl w:val="0"/>
          <w:numId w:val="4"/>
        </w:numPr>
        <w:rPr>
          <w:noProof/>
        </w:rPr>
      </w:pPr>
      <w:r w:rsidRPr="009B76EF">
        <w:lastRenderedPageBreak/>
        <w:t>Utöver den information som avses i punkt 1 och 2 ska enheter som är större dotterföretag till globala systemviktiga institut hemmahörande utanför EU och som omfattas av kravet i artikel 92b i förordning (EU) nr 575/2013 på individuell nivå i enlighet med artikel 6.1a i den förordningen lämna information på individuell nivå till behöriga myndigheter och resolutionsmyndigheter om beloppet och sammansättningen av kapitalbas och kvalificerade skulder enligt mall 3 kolumn 0020 i bilaga I till denna förordning varje kvartal i enlighet med instruktionerna i del II punkt 2.2 i bilaga II till denna förordning.</w:t>
      </w:r>
    </w:p>
    <w:p w14:paraId="5415A2FF" w14:textId="77777777" w:rsidR="00911C0D" w:rsidRPr="009B76EF" w:rsidRDefault="00911C0D" w:rsidP="00911C0D">
      <w:pPr>
        <w:pStyle w:val="Titrearticle"/>
      </w:pPr>
      <w:r w:rsidRPr="009B76EF">
        <w:t xml:space="preserve">Artikel </w:t>
      </w:r>
      <w:r w:rsidR="00135FE9">
        <w:fldChar w:fldCharType="begin"/>
      </w:r>
      <w:r w:rsidR="00135FE9">
        <w:instrText xml:space="preserve"> SEQ Figure \* ARABIC </w:instrText>
      </w:r>
      <w:r w:rsidR="00135FE9">
        <w:fldChar w:fldCharType="separate"/>
      </w:r>
      <w:r w:rsidRPr="009B76EF">
        <w:t>6</w:t>
      </w:r>
      <w:r w:rsidR="00135FE9">
        <w:fldChar w:fldCharType="end"/>
      </w:r>
      <w:r w:rsidRPr="009B76EF">
        <w:br/>
        <w:t xml:space="preserve">Format och frekvens för rapportering på gruppnivå av enheter som själva inte är resolutionsenheter och av större dotterföretag till globala systemviktiga institut hemmahörande utanför EU </w:t>
      </w:r>
    </w:p>
    <w:p w14:paraId="5D1AFD35" w14:textId="77777777" w:rsidR="00911C0D" w:rsidRPr="009B76EF" w:rsidRDefault="00911C0D" w:rsidP="00080A21">
      <w:pPr>
        <w:pStyle w:val="NumPar1"/>
        <w:numPr>
          <w:ilvl w:val="0"/>
          <w:numId w:val="5"/>
        </w:numPr>
        <w:rPr>
          <w:noProof/>
        </w:rPr>
      </w:pPr>
      <w:r w:rsidRPr="009B76EF">
        <w:t>Enheter som själva inte utgör resolutionsenheter och som omfattas av kraven i artikel 45 i direktiv 2014/59/EU på gruppnivå i enlighet med artikel 45f i det direktivet ska lämna information på gruppnivå till de behöriga myndigheterna och resolutionsmyndigheterna enligt följande:</w:t>
      </w:r>
    </w:p>
    <w:p w14:paraId="6F70BBA8" w14:textId="77777777" w:rsidR="00911C0D" w:rsidRPr="009B76EF" w:rsidRDefault="00911C0D" w:rsidP="00080A21">
      <w:pPr>
        <w:pStyle w:val="Point1letter"/>
        <w:numPr>
          <w:ilvl w:val="3"/>
          <w:numId w:val="12"/>
        </w:numPr>
        <w:rPr>
          <w:noProof/>
        </w:rPr>
      </w:pPr>
      <w:r w:rsidRPr="009B76EF">
        <w:t>Information om belopp och sammansättning av kapitalbas och kvalificerade skulder enligt mall 3 kolumn 0010 i bilaga I till denna förordning ska rapporteras varje kvartal i enlighet med instruktionerna i del II punkt 2.2 i bilaga II till denna förordning.</w:t>
      </w:r>
    </w:p>
    <w:p w14:paraId="52DC2154" w14:textId="77777777" w:rsidR="00911C0D" w:rsidRPr="009B76EF" w:rsidRDefault="00911C0D" w:rsidP="00146633">
      <w:pPr>
        <w:pStyle w:val="Point1letter"/>
        <w:rPr>
          <w:noProof/>
        </w:rPr>
      </w:pPr>
      <w:r w:rsidRPr="009B76EF">
        <w:t>Information om finansieringsstrukturen för kvalificerade skulder enligt mall 4 i bilaga I till denna förordning ska rapporteras varje kvartal i enlighet med instruktionerna i del II punkt 2.3 i bilaga II till denna förordning.</w:t>
      </w:r>
    </w:p>
    <w:p w14:paraId="61F772BF" w14:textId="77777777" w:rsidR="00911C0D" w:rsidRPr="009B76EF" w:rsidRDefault="00911C0D" w:rsidP="00146633">
      <w:pPr>
        <w:pStyle w:val="Point1letter"/>
        <w:rPr>
          <w:noProof/>
        </w:rPr>
      </w:pPr>
      <w:r w:rsidRPr="009B76EF">
        <w:t>Information om instrument som regleras av tredjelands rätt, enligt mall 7 i bilaga I till denna förordning, ska rapporteras varje kvartal i enlighet med instruktionerna i del II punkt 4 i bilaga II till denna förordning.</w:t>
      </w:r>
    </w:p>
    <w:p w14:paraId="6CFA046B" w14:textId="77777777" w:rsidR="00911C0D" w:rsidRPr="009B76EF" w:rsidRDefault="00911C0D" w:rsidP="00080A21">
      <w:pPr>
        <w:pStyle w:val="NumPar1"/>
        <w:numPr>
          <w:ilvl w:val="0"/>
          <w:numId w:val="5"/>
        </w:numPr>
        <w:rPr>
          <w:noProof/>
        </w:rPr>
      </w:pPr>
      <w:r w:rsidRPr="009B76EF">
        <w:t>Utöver den information som avses i punkt 1 ska enheter som är större dotterföretag till globala systemviktiga institut hemmahörande utanför EU och som omfattas av kravet i artikel 92b i förordning (EU) nr 575/2013 på gruppnivå i enlighet med artikel 11.3a i den förordningen lämna information till behöriga myndigheter och resolutionsmyndigheter om beloppet och sammansättningen av kapitalbas och kvalificerade skulder enligt mall 3 kolumn 0020 i bilaga I till denna förordning varje kvartal i enlighet med instruktionerna i del II punkt 2.2 i bilaga II till denna förordning.</w:t>
      </w:r>
    </w:p>
    <w:p w14:paraId="4E886073" w14:textId="77777777" w:rsidR="00911C0D" w:rsidRPr="009B76EF" w:rsidRDefault="00911C0D" w:rsidP="00146633">
      <w:pPr>
        <w:pStyle w:val="Titrearticle"/>
        <w:rPr>
          <w:i w:val="0"/>
        </w:rPr>
      </w:pPr>
      <w:r w:rsidRPr="009B76EF">
        <w:t xml:space="preserve">Artikel </w:t>
      </w:r>
      <w:r w:rsidR="00135FE9">
        <w:fldChar w:fldCharType="begin"/>
      </w:r>
      <w:r w:rsidR="00135FE9">
        <w:instrText xml:space="preserve"> SEQ Figure \* ARABIC </w:instrText>
      </w:r>
      <w:r w:rsidR="00135FE9">
        <w:fldChar w:fldCharType="separate"/>
      </w:r>
      <w:r w:rsidRPr="009B76EF">
        <w:t>7</w:t>
      </w:r>
      <w:r w:rsidR="00135FE9">
        <w:fldChar w:fldCharType="end"/>
      </w:r>
      <w:r w:rsidRPr="009B76EF">
        <w:br/>
        <w:t>Format för datautbyte och information som åtföljer inlämningarna</w:t>
      </w:r>
    </w:p>
    <w:p w14:paraId="60E9050D" w14:textId="77777777" w:rsidR="00911C0D" w:rsidRPr="009B76EF" w:rsidRDefault="00911C0D" w:rsidP="00080A21">
      <w:pPr>
        <w:pStyle w:val="NumPar1"/>
        <w:numPr>
          <w:ilvl w:val="0"/>
          <w:numId w:val="6"/>
        </w:numPr>
        <w:rPr>
          <w:noProof/>
        </w:rPr>
      </w:pPr>
      <w:r w:rsidRPr="009B76EF">
        <w:t>Rapporterande enheter ska lämna information i enlighet med denna förordning i de format och framställningar för datautbyte som anges av deras behöriga myndigheter eller resolutionsmyndigheter, och i enlighet med de uppgiftspostdefinitioner som ingår i uppgiftspostmodellen och de valideringsregler som fastställs i bilaga III till denna förordning.</w:t>
      </w:r>
    </w:p>
    <w:p w14:paraId="6673A56D" w14:textId="77777777" w:rsidR="00911C0D" w:rsidRPr="009B76EF" w:rsidRDefault="00911C0D" w:rsidP="00080A21">
      <w:pPr>
        <w:pStyle w:val="NumPar1"/>
        <w:numPr>
          <w:ilvl w:val="0"/>
          <w:numId w:val="5"/>
        </w:numPr>
        <w:rPr>
          <w:noProof/>
        </w:rPr>
      </w:pPr>
      <w:r w:rsidRPr="009B76EF">
        <w:t>När de rapporterande enheterna lämnar information i enlighet med denna förordning ska de iaktta följande:</w:t>
      </w:r>
    </w:p>
    <w:p w14:paraId="7D9E4167" w14:textId="77777777" w:rsidR="00911C0D" w:rsidRPr="009B76EF" w:rsidRDefault="00911C0D" w:rsidP="00080A21">
      <w:pPr>
        <w:pStyle w:val="Point1letter"/>
        <w:numPr>
          <w:ilvl w:val="3"/>
          <w:numId w:val="13"/>
        </w:numPr>
        <w:rPr>
          <w:noProof/>
        </w:rPr>
      </w:pPr>
      <w:r w:rsidRPr="009B76EF">
        <w:lastRenderedPageBreak/>
        <w:t xml:space="preserve">Information som inte krävs eller inte är tillämplig får inte ingå i uppgiftsinlämningen. </w:t>
      </w:r>
    </w:p>
    <w:p w14:paraId="3B400175" w14:textId="77777777" w:rsidR="00911C0D" w:rsidRPr="009B76EF" w:rsidRDefault="00911C0D" w:rsidP="00146633">
      <w:pPr>
        <w:pStyle w:val="Point1letter"/>
        <w:rPr>
          <w:noProof/>
        </w:rPr>
      </w:pPr>
      <w:r w:rsidRPr="009B76EF">
        <w:t>Numeriska värden ska inges enligt följande:</w:t>
      </w:r>
    </w:p>
    <w:p w14:paraId="2184B4DB" w14:textId="77777777" w:rsidR="00911C0D" w:rsidRPr="009B76EF" w:rsidRDefault="00911C0D" w:rsidP="00146633">
      <w:pPr>
        <w:pStyle w:val="Point2"/>
      </w:pPr>
      <w:r w:rsidRPr="009B76EF">
        <w:t>i)</w:t>
      </w:r>
      <w:r w:rsidRPr="009B76EF">
        <w:tab/>
        <w:t xml:space="preserve">Datapunkter av datatypen ”monetär” ska rapporteras med en minsta noggrannhet motsvarande tusentals enheter. </w:t>
      </w:r>
    </w:p>
    <w:p w14:paraId="7B1AF6BE" w14:textId="77777777" w:rsidR="00911C0D" w:rsidRPr="009B76EF" w:rsidRDefault="00911C0D" w:rsidP="00146633">
      <w:pPr>
        <w:pStyle w:val="Point2"/>
      </w:pPr>
      <w:r w:rsidRPr="009B76EF">
        <w:t>ii)</w:t>
      </w:r>
      <w:r w:rsidRPr="009B76EF">
        <w:tab/>
        <w:t xml:space="preserve">Datapunkter av datatypen ”procentandel” ska anges per enhet med en minsta noggrannhet motsvarande fyra decimaler. </w:t>
      </w:r>
    </w:p>
    <w:p w14:paraId="5478D846" w14:textId="77777777" w:rsidR="00911C0D" w:rsidRPr="009B76EF" w:rsidRDefault="00911C0D" w:rsidP="00146633">
      <w:pPr>
        <w:pStyle w:val="Point2"/>
      </w:pPr>
      <w:r w:rsidRPr="009B76EF">
        <w:t>iii)</w:t>
      </w:r>
      <w:r w:rsidRPr="009B76EF">
        <w:tab/>
        <w:t>Datapunkter av uppgiftstypen ”heltal” ska anges utan decimaler och med en minsta noggrannhet motsvarande en enhet.</w:t>
      </w:r>
    </w:p>
    <w:p w14:paraId="3B0DDC02" w14:textId="77777777" w:rsidR="00911C0D" w:rsidRPr="009B76EF" w:rsidRDefault="00911C0D" w:rsidP="00146633">
      <w:pPr>
        <w:pStyle w:val="Point1letter"/>
        <w:rPr>
          <w:noProof/>
        </w:rPr>
      </w:pPr>
      <w:r w:rsidRPr="009B76EF">
        <w:t>Instituten ska identifieras enbart med hjälp av sin identifieringskod för juridiska personer (LEI). Juridiska personer och motparter som inte är institut ska identifieras genom sin LEI-kod om sådan finns.</w:t>
      </w:r>
    </w:p>
    <w:p w14:paraId="1DBE05C1" w14:textId="77777777" w:rsidR="00911C0D" w:rsidRPr="009B76EF" w:rsidRDefault="00911C0D" w:rsidP="00080A21">
      <w:pPr>
        <w:pStyle w:val="NumPar1"/>
        <w:numPr>
          <w:ilvl w:val="0"/>
          <w:numId w:val="5"/>
        </w:numPr>
        <w:rPr>
          <w:noProof/>
        </w:rPr>
      </w:pPr>
      <w:r w:rsidRPr="009B76EF">
        <w:t>Information som lämnas av rapporterande enheter i enlighet med denna förordning ska åtföljas av följande information:</w:t>
      </w:r>
    </w:p>
    <w:p w14:paraId="1DEF8C77" w14:textId="77777777" w:rsidR="00911C0D" w:rsidRPr="009B76EF" w:rsidRDefault="00911C0D" w:rsidP="00080A21">
      <w:pPr>
        <w:pStyle w:val="Point1letter"/>
        <w:numPr>
          <w:ilvl w:val="3"/>
          <w:numId w:val="14"/>
        </w:numPr>
        <w:rPr>
          <w:noProof/>
        </w:rPr>
      </w:pPr>
      <w:r w:rsidRPr="009B76EF">
        <w:t>Rapporteringsreferensdatum och referensperiod.</w:t>
      </w:r>
    </w:p>
    <w:p w14:paraId="09EC726C" w14:textId="77777777" w:rsidR="00911C0D" w:rsidRPr="009B76EF" w:rsidRDefault="00911C0D" w:rsidP="00146633">
      <w:pPr>
        <w:pStyle w:val="Point1letter"/>
        <w:rPr>
          <w:noProof/>
        </w:rPr>
      </w:pPr>
      <w:r w:rsidRPr="009B76EF">
        <w:t>Rapporteringsvaluta.</w:t>
      </w:r>
    </w:p>
    <w:p w14:paraId="4EEE4DC2" w14:textId="77777777" w:rsidR="00911C0D" w:rsidRPr="009B76EF" w:rsidRDefault="00911C0D" w:rsidP="00146633">
      <w:pPr>
        <w:pStyle w:val="Point1letter"/>
        <w:rPr>
          <w:noProof/>
        </w:rPr>
      </w:pPr>
      <w:r w:rsidRPr="009B76EF">
        <w:t>Redovisningsstandard.</w:t>
      </w:r>
    </w:p>
    <w:p w14:paraId="2729F1FB" w14:textId="77777777" w:rsidR="00911C0D" w:rsidRPr="009B76EF" w:rsidRDefault="00911C0D" w:rsidP="00146633">
      <w:pPr>
        <w:pStyle w:val="Point1letter"/>
        <w:rPr>
          <w:noProof/>
        </w:rPr>
      </w:pPr>
      <w:r w:rsidRPr="009B76EF">
        <w:t>Det rapporterande institutets juridiska personer.</w:t>
      </w:r>
    </w:p>
    <w:p w14:paraId="0F34F03F" w14:textId="77777777" w:rsidR="00911C0D" w:rsidRPr="009B76EF" w:rsidRDefault="00911C0D" w:rsidP="00146633">
      <w:pPr>
        <w:pStyle w:val="Point1letter"/>
        <w:rPr>
          <w:noProof/>
        </w:rPr>
      </w:pPr>
      <w:r w:rsidRPr="009B76EF">
        <w:tab/>
        <w:t>Enheter som ingår i konsolideringen.</w:t>
      </w:r>
    </w:p>
    <w:p w14:paraId="7CF14DFD" w14:textId="77777777" w:rsidR="00911C0D" w:rsidRPr="009B76EF" w:rsidRDefault="00911C0D" w:rsidP="00911C0D">
      <w:pPr>
        <w:pStyle w:val="Titrearticle"/>
      </w:pPr>
      <w:r w:rsidRPr="009B76EF">
        <w:t xml:space="preserve">Artikel </w:t>
      </w:r>
      <w:r w:rsidR="00135FE9">
        <w:fldChar w:fldCharType="begin"/>
      </w:r>
      <w:r w:rsidR="00135FE9">
        <w:instrText xml:space="preserve"> SEQ Figure \* ARABIC </w:instrText>
      </w:r>
      <w:r w:rsidR="00135FE9">
        <w:fldChar w:fldCharType="separate"/>
      </w:r>
      <w:r w:rsidRPr="009B76EF">
        <w:t>8</w:t>
      </w:r>
      <w:r w:rsidR="00135FE9">
        <w:fldChar w:fldCharType="end"/>
      </w:r>
      <w:r w:rsidRPr="009B76EF">
        <w:br/>
        <w:t>Standardiserad presentation av rangordningar vid insolvens</w:t>
      </w:r>
    </w:p>
    <w:p w14:paraId="5049F073" w14:textId="77777777" w:rsidR="00911C0D" w:rsidRPr="009B76EF" w:rsidRDefault="00911C0D" w:rsidP="00080A21">
      <w:pPr>
        <w:pStyle w:val="NumPar1"/>
        <w:numPr>
          <w:ilvl w:val="0"/>
          <w:numId w:val="23"/>
        </w:numPr>
        <w:rPr>
          <w:noProof/>
        </w:rPr>
      </w:pPr>
      <w:r w:rsidRPr="009B76EF">
        <w:t>Resolutionsmyndigheterna ska sammanställa information om rangordning av poster i sina nationella insolvensförfaranden i det standardiserade format som anges i bilaga IV. De ska uppdatera denna information när ändringar sker utan onödigt dröjsmål.</w:t>
      </w:r>
    </w:p>
    <w:p w14:paraId="3F9A4A43" w14:textId="77777777" w:rsidR="00911C0D" w:rsidRPr="009B76EF" w:rsidRDefault="00911C0D" w:rsidP="00080A21">
      <w:pPr>
        <w:pStyle w:val="NumPar1"/>
        <w:numPr>
          <w:ilvl w:val="0"/>
          <w:numId w:val="23"/>
        </w:numPr>
        <w:rPr>
          <w:noProof/>
        </w:rPr>
      </w:pPr>
      <w:r w:rsidRPr="009B76EF">
        <w:t>Resolutionsmyndigheterna ska offentliggöra den information som avses i punkt 1 för att göra den tillgänglig för institut som står under deras tillsyn.</w:t>
      </w:r>
    </w:p>
    <w:p w14:paraId="1D1FC80E" w14:textId="77777777" w:rsidR="00911C0D" w:rsidRPr="009B76EF" w:rsidRDefault="00911C0D" w:rsidP="00911C0D">
      <w:pPr>
        <w:pStyle w:val="SectionTitle"/>
        <w:rPr>
          <w:b w:val="0"/>
          <w:i/>
        </w:rPr>
      </w:pPr>
      <w:r w:rsidRPr="009B76EF">
        <w:rPr>
          <w:b w:val="0"/>
          <w:i/>
        </w:rPr>
        <w:t>AVDELNING II</w:t>
      </w:r>
      <w:r w:rsidRPr="009B76EF">
        <w:t xml:space="preserve"> </w:t>
      </w:r>
      <w:r w:rsidRPr="009B76EF">
        <w:br/>
      </w:r>
      <w:r w:rsidRPr="009B76EF">
        <w:rPr>
          <w:b w:val="0"/>
          <w:i/>
        </w:rPr>
        <w:t>INSTITUTENS OFFENTLIGGÖRANDE AV INFORMATION</w:t>
      </w:r>
    </w:p>
    <w:p w14:paraId="674A8126" w14:textId="77777777" w:rsidR="00911C0D" w:rsidRPr="009B76EF" w:rsidRDefault="00911C0D" w:rsidP="00911C0D">
      <w:pPr>
        <w:pStyle w:val="Titrearticle"/>
      </w:pPr>
      <w:r w:rsidRPr="009B76EF">
        <w:t xml:space="preserve">Artikel </w:t>
      </w:r>
      <w:r w:rsidR="00135FE9">
        <w:fldChar w:fldCharType="begin"/>
      </w:r>
      <w:r w:rsidR="00135FE9">
        <w:instrText xml:space="preserve"> SEQ Figure \* ARABIC </w:instrText>
      </w:r>
      <w:r w:rsidR="00135FE9">
        <w:fldChar w:fldCharType="separate"/>
      </w:r>
      <w:r w:rsidRPr="009B76EF">
        <w:t>9</w:t>
      </w:r>
      <w:r w:rsidR="00135FE9">
        <w:fldChar w:fldCharType="end"/>
      </w:r>
      <w:r w:rsidRPr="009B76EF">
        <w:br/>
        <w:t>Upplysningsfrekvens och datum för upplysningar</w:t>
      </w:r>
    </w:p>
    <w:p w14:paraId="30497442" w14:textId="1688CF64" w:rsidR="00911C0D" w:rsidRPr="009B76EF" w:rsidRDefault="00911C0D" w:rsidP="00080A21">
      <w:pPr>
        <w:pStyle w:val="NumPar1"/>
        <w:numPr>
          <w:ilvl w:val="0"/>
          <w:numId w:val="24"/>
        </w:numPr>
        <w:rPr>
          <w:noProof/>
        </w:rPr>
      </w:pPr>
      <w:r w:rsidRPr="009B76EF">
        <w:t>Information som avses i artikel 10.1 ska lämnas varje kvartal. Information som avses i artikel 10.2 ska lämnas varje halvår.</w:t>
      </w:r>
    </w:p>
    <w:p w14:paraId="0CFDDF92" w14:textId="77777777" w:rsidR="00911C0D" w:rsidRPr="009B76EF" w:rsidRDefault="00911C0D" w:rsidP="00146633">
      <w:pPr>
        <w:pStyle w:val="NumPar1"/>
        <w:rPr>
          <w:noProof/>
        </w:rPr>
      </w:pPr>
      <w:r w:rsidRPr="009B76EF">
        <w:t xml:space="preserve">Information som avses i artiklarna </w:t>
      </w:r>
      <w:r w:rsidRPr="009B76EF">
        <w:fldChar w:fldCharType="begin"/>
      </w:r>
      <w:r w:rsidRPr="009B76EF">
        <w:instrText xml:space="preserve"> REF _Ref21450145 \# 0 \h  \* MERGEFORMAT </w:instrText>
      </w:r>
      <w:r w:rsidRPr="009B76EF">
        <w:fldChar w:fldCharType="separate"/>
      </w:r>
      <w:r w:rsidRPr="009B76EF">
        <w:t>11</w:t>
      </w:r>
      <w:r w:rsidRPr="009B76EF">
        <w:fldChar w:fldCharType="end"/>
      </w:r>
      <w:r w:rsidRPr="009B76EF">
        <w:t xml:space="preserve">.1 och </w:t>
      </w:r>
      <w:r w:rsidRPr="009B76EF">
        <w:fldChar w:fldCharType="begin"/>
      </w:r>
      <w:r w:rsidRPr="009B76EF">
        <w:instrText xml:space="preserve"> REF _Ref21087242 \# 0 \h  \* MERGEFORMAT </w:instrText>
      </w:r>
      <w:r w:rsidRPr="009B76EF">
        <w:fldChar w:fldCharType="separate"/>
      </w:r>
      <w:r w:rsidRPr="009B76EF">
        <w:t>14</w:t>
      </w:r>
      <w:r w:rsidRPr="009B76EF">
        <w:fldChar w:fldCharType="end"/>
      </w:r>
      <w:r w:rsidRPr="009B76EF">
        <w:t xml:space="preserve">.1 ska lämnas varje halvår. Information som avses i artiklarna </w:t>
      </w:r>
      <w:r w:rsidRPr="009B76EF">
        <w:fldChar w:fldCharType="begin"/>
      </w:r>
      <w:r w:rsidRPr="009B76EF">
        <w:instrText xml:space="preserve"> REF _Ref21450145 \# 0 \h  \* MERGEFORMAT </w:instrText>
      </w:r>
      <w:r w:rsidRPr="009B76EF">
        <w:fldChar w:fldCharType="separate"/>
      </w:r>
      <w:r w:rsidRPr="009B76EF">
        <w:t>11</w:t>
      </w:r>
      <w:r w:rsidRPr="009B76EF">
        <w:fldChar w:fldCharType="end"/>
      </w:r>
      <w:r w:rsidRPr="009B76EF">
        <w:t>.2 och 14.2 ska lämnas varje år.</w:t>
      </w:r>
    </w:p>
    <w:p w14:paraId="0276A47B" w14:textId="59C6BE0E" w:rsidR="00911C0D" w:rsidRPr="009B76EF" w:rsidRDefault="00911C0D" w:rsidP="00146633">
      <w:pPr>
        <w:pStyle w:val="NumPar1"/>
        <w:rPr>
          <w:noProof/>
        </w:rPr>
      </w:pPr>
      <w:r w:rsidRPr="009B76EF">
        <w:t>Information som avses i artikel 12.1 ska lämnas varje kvartal. Information som avses i artikel 12.2 ska lämnas varje halvår.</w:t>
      </w:r>
    </w:p>
    <w:p w14:paraId="1C90BE41" w14:textId="77777777" w:rsidR="00911C0D" w:rsidRPr="009B76EF" w:rsidRDefault="00911C0D" w:rsidP="00146633">
      <w:pPr>
        <w:pStyle w:val="NumPar1"/>
        <w:rPr>
          <w:noProof/>
        </w:rPr>
      </w:pPr>
      <w:r w:rsidRPr="009B76EF">
        <w:t>Information som avses i artikel 13.1 ska lämnas varje halvår. Information som avses i artikel 13.2 ska lämnas varje år.</w:t>
      </w:r>
    </w:p>
    <w:p w14:paraId="77DF8699" w14:textId="77777777" w:rsidR="00911C0D" w:rsidRPr="009B76EF" w:rsidRDefault="00911C0D" w:rsidP="00146633">
      <w:pPr>
        <w:pStyle w:val="NumPar1"/>
        <w:rPr>
          <w:noProof/>
        </w:rPr>
      </w:pPr>
      <w:r w:rsidRPr="009B76EF">
        <w:t xml:space="preserve">Information som avses i artikel </w:t>
      </w:r>
      <w:r w:rsidRPr="009B76EF">
        <w:fldChar w:fldCharType="begin"/>
      </w:r>
      <w:r w:rsidRPr="009B76EF">
        <w:instrText xml:space="preserve"> REF _Ref21087218 \# 0 \h  \* MERGEFORMAT </w:instrText>
      </w:r>
      <w:r w:rsidRPr="009B76EF">
        <w:fldChar w:fldCharType="separate"/>
      </w:r>
      <w:r w:rsidRPr="009B76EF">
        <w:t>15</w:t>
      </w:r>
      <w:r w:rsidRPr="009B76EF">
        <w:fldChar w:fldCharType="end"/>
      </w:r>
      <w:r w:rsidRPr="009B76EF">
        <w:t xml:space="preserve"> ska lämnas enligt följande:</w:t>
      </w:r>
    </w:p>
    <w:p w14:paraId="553B9B42" w14:textId="77777777" w:rsidR="00911C0D" w:rsidRPr="009B76EF" w:rsidRDefault="00911C0D" w:rsidP="00080A21">
      <w:pPr>
        <w:pStyle w:val="Point1letter"/>
        <w:numPr>
          <w:ilvl w:val="3"/>
          <w:numId w:val="15"/>
        </w:numPr>
        <w:rPr>
          <w:noProof/>
        </w:rPr>
      </w:pPr>
      <w:r w:rsidRPr="009B76EF">
        <w:lastRenderedPageBreak/>
        <w:t>På halvårsbasis om det företag som offentliggör information är ett stort institut.</w:t>
      </w:r>
    </w:p>
    <w:p w14:paraId="6AC02098" w14:textId="77777777" w:rsidR="00911C0D" w:rsidRPr="009B76EF" w:rsidRDefault="00146633" w:rsidP="00080A21">
      <w:pPr>
        <w:pStyle w:val="Point1letter"/>
        <w:numPr>
          <w:ilvl w:val="3"/>
          <w:numId w:val="15"/>
        </w:numPr>
        <w:rPr>
          <w:noProof/>
        </w:rPr>
      </w:pPr>
      <w:r w:rsidRPr="009B76EF">
        <w:t xml:space="preserve">På årsbasis om det företag som offentliggör information varken är ett stort institut eller ett litet och icke-komplext institut. </w:t>
      </w:r>
    </w:p>
    <w:p w14:paraId="67AF5D74" w14:textId="77777777" w:rsidR="00911C0D" w:rsidRPr="009B76EF" w:rsidRDefault="00911C0D" w:rsidP="00911C0D">
      <w:pPr>
        <w:pStyle w:val="Point0"/>
        <w:rPr>
          <w:noProof/>
        </w:rPr>
      </w:pPr>
      <w:r w:rsidRPr="009B76EF">
        <w:t>6.</w:t>
      </w:r>
      <w:r w:rsidRPr="009B76EF">
        <w:tab/>
        <w:t>När det gäller offentliggörande ska enheter som offentliggör information iaktta följande:</w:t>
      </w:r>
    </w:p>
    <w:p w14:paraId="4DA11D1B" w14:textId="77777777" w:rsidR="00911C0D" w:rsidRPr="009B76EF" w:rsidRDefault="00911C0D" w:rsidP="00080A21">
      <w:pPr>
        <w:pStyle w:val="Point1letter"/>
        <w:numPr>
          <w:ilvl w:val="3"/>
          <w:numId w:val="16"/>
        </w:numPr>
        <w:rPr>
          <w:noProof/>
        </w:rPr>
      </w:pPr>
      <w:r w:rsidRPr="009B76EF">
        <w:t xml:space="preserve">Information som offentliggörs på årsbasis ska göras tillgänglig på samma dag som institutet offentliggör sina räkenskaper eller så snart som möjligt därefter. </w:t>
      </w:r>
    </w:p>
    <w:p w14:paraId="38E67937" w14:textId="77777777" w:rsidR="00911C0D" w:rsidRPr="009B76EF" w:rsidRDefault="00911C0D" w:rsidP="00080A21">
      <w:pPr>
        <w:pStyle w:val="Point1letter"/>
        <w:numPr>
          <w:ilvl w:val="3"/>
          <w:numId w:val="16"/>
        </w:numPr>
        <w:rPr>
          <w:noProof/>
        </w:rPr>
      </w:pPr>
      <w:r w:rsidRPr="009B76EF">
        <w:t xml:space="preserve">Information som offentliggörs på halvårs- eller kvartalsbasis ska där så är tillämpligt göras tillgänglig på samma dag som institutet offentliggör sina räkenskaper för samma period, eller så snart som möjligt därefter. </w:t>
      </w:r>
    </w:p>
    <w:p w14:paraId="7CC4F5BD" w14:textId="77777777" w:rsidR="00911C0D" w:rsidRPr="009B76EF" w:rsidRDefault="00911C0D" w:rsidP="00080A21">
      <w:pPr>
        <w:pStyle w:val="Point1letter"/>
        <w:numPr>
          <w:ilvl w:val="3"/>
          <w:numId w:val="16"/>
        </w:numPr>
        <w:rPr>
          <w:noProof/>
        </w:rPr>
      </w:pPr>
      <w:r w:rsidRPr="009B76EF">
        <w:t>Om informationen enligt denna del offentliggörs senare än räkenskaperna för den berörda perioden ska fördröjningen däremellan, för att kunna godtas, vara rimlig och i alla händelser inte gå utöver den tidsram som de behöriga myndigheterna fastställt enligt artikel 106 i Europaparlamentets och rådets direktiv 2013/36/EU</w:t>
      </w:r>
      <w:r w:rsidRPr="009B76EF">
        <w:rPr>
          <w:rStyle w:val="FootnoteReference"/>
          <w:noProof/>
        </w:rPr>
        <w:footnoteReference w:id="6"/>
      </w:r>
      <w:r w:rsidRPr="009B76EF">
        <w:t>.</w:t>
      </w:r>
    </w:p>
    <w:p w14:paraId="2B144DCB" w14:textId="77777777" w:rsidR="00911C0D" w:rsidRPr="009B76EF" w:rsidRDefault="00911C0D" w:rsidP="00911C0D">
      <w:pPr>
        <w:pStyle w:val="Titrearticle"/>
      </w:pPr>
      <w:bookmarkStart w:id="1" w:name="_Ref21085297"/>
      <w:r w:rsidRPr="009B76EF">
        <w:t xml:space="preserve">Artikel </w:t>
      </w:r>
      <w:r w:rsidR="00135FE9">
        <w:fldChar w:fldCharType="begin"/>
      </w:r>
      <w:r w:rsidR="00135FE9">
        <w:instrText xml:space="preserve"> SEQ Figure \* ARABIC </w:instrText>
      </w:r>
      <w:r w:rsidR="00135FE9">
        <w:fldChar w:fldCharType="separate"/>
      </w:r>
      <w:r w:rsidRPr="009B76EF">
        <w:t>10</w:t>
      </w:r>
      <w:r w:rsidR="00135FE9">
        <w:fldChar w:fldCharType="end"/>
      </w:r>
      <w:bookmarkEnd w:id="1"/>
      <w:r w:rsidRPr="009B76EF">
        <w:br/>
        <w:t>Offentliggörande av information om nyckeltal beträffande kapitalbas och kvalificerade skulder samt kraven på kapitalbas och kvalificerade skulder från resolutionsenheter</w:t>
      </w:r>
    </w:p>
    <w:p w14:paraId="44F94195" w14:textId="77777777" w:rsidR="00911C0D" w:rsidRPr="009B76EF" w:rsidRDefault="00911C0D" w:rsidP="00080A21">
      <w:pPr>
        <w:pStyle w:val="NumPar1"/>
        <w:numPr>
          <w:ilvl w:val="0"/>
          <w:numId w:val="22"/>
        </w:numPr>
        <w:rPr>
          <w:noProof/>
        </w:rPr>
      </w:pPr>
      <w:r w:rsidRPr="009B76EF">
        <w:t xml:space="preserve">Resolutionsenheter som är ett globalt systemviktigt institut eller del av ett sådant ska offentliggöra den information som anges i artikel 447 h i förordning (EU) nr 575/2013 och artikel 45i.3 a och c i direktiv 2014/59/EU, i enlighet med mallen EU KM2 i bilaga V till denna förordning och de relevanta instruktionerna i bilaga VI till denna förordning. </w:t>
      </w:r>
    </w:p>
    <w:p w14:paraId="2955CCFE" w14:textId="77777777" w:rsidR="00911C0D" w:rsidRPr="009B76EF" w:rsidRDefault="00911C0D" w:rsidP="00080A21">
      <w:pPr>
        <w:pStyle w:val="NumPar1"/>
        <w:numPr>
          <w:ilvl w:val="0"/>
          <w:numId w:val="22"/>
        </w:numPr>
        <w:rPr>
          <w:noProof/>
        </w:rPr>
      </w:pPr>
      <w:r w:rsidRPr="009B76EF">
        <w:t>Resolutionsenheter som varken är ett globalt systemviktigt institut eller del av ett sådant ska offentliggöra den information som anges i artikel 45i.3 a och c i direktiv 2014/59/EU, i enlighet med mallen EU KM2 i bilaga V till denna förordning och de relevanta instruktionerna i bilaga VI till denna förordning.</w:t>
      </w:r>
    </w:p>
    <w:p w14:paraId="5BA5FA46" w14:textId="77777777" w:rsidR="00911C0D" w:rsidRPr="009B76EF" w:rsidRDefault="00911C0D" w:rsidP="00911C0D">
      <w:pPr>
        <w:pStyle w:val="Titrearticle"/>
      </w:pPr>
      <w:bookmarkStart w:id="2" w:name="_Ref21450145"/>
      <w:r w:rsidRPr="009B76EF">
        <w:t xml:space="preserve">Artikel </w:t>
      </w:r>
      <w:r w:rsidR="00135FE9">
        <w:fldChar w:fldCharType="begin"/>
      </w:r>
      <w:r w:rsidR="00135FE9">
        <w:instrText xml:space="preserve"> SEQ Figure \* ARABIC </w:instrText>
      </w:r>
      <w:r w:rsidR="00135FE9">
        <w:fldChar w:fldCharType="separate"/>
      </w:r>
      <w:r w:rsidRPr="009B76EF">
        <w:t>11</w:t>
      </w:r>
      <w:r w:rsidR="00135FE9">
        <w:fldChar w:fldCharType="end"/>
      </w:r>
      <w:bookmarkEnd w:id="2"/>
      <w:r w:rsidRPr="009B76EF">
        <w:br/>
        <w:t>Offentliggörande av information om sammansättningen av kapitalbas och kvalificerade skulder från resolutionsenheter</w:t>
      </w:r>
    </w:p>
    <w:p w14:paraId="097F2CA5" w14:textId="77777777" w:rsidR="00911C0D" w:rsidRPr="009B76EF" w:rsidRDefault="00911C0D" w:rsidP="00080A21">
      <w:pPr>
        <w:pStyle w:val="NumPar1"/>
        <w:numPr>
          <w:ilvl w:val="0"/>
          <w:numId w:val="21"/>
        </w:numPr>
        <w:rPr>
          <w:noProof/>
        </w:rPr>
      </w:pPr>
      <w:r w:rsidRPr="009B76EF">
        <w:t>Resolutionsenheter som är ett globalt systemviktigt institut eller del av ett sådant ska offentliggöra den information som anges i artikel 437a a, c och d i förordning (EU) nr 575/2013 och den information om sammansättningen av kapitalbas och kvalificerade skulder som krävs enligt artikel 45i.3 b i direktiv 2014/59/EU, i enlighet med mallen EU TLAC1 i bilaga V till denna förordning och de relevanta instruktionerna i bilaga VI till denna förordning.</w:t>
      </w:r>
    </w:p>
    <w:p w14:paraId="6EE067EB" w14:textId="77777777" w:rsidR="00911C0D" w:rsidRPr="009B76EF" w:rsidRDefault="00911C0D" w:rsidP="00080A21">
      <w:pPr>
        <w:pStyle w:val="NumPar1"/>
        <w:numPr>
          <w:ilvl w:val="0"/>
          <w:numId w:val="21"/>
        </w:numPr>
        <w:rPr>
          <w:noProof/>
        </w:rPr>
      </w:pPr>
      <w:r w:rsidRPr="009B76EF">
        <w:t xml:space="preserve">Resolutionsenheter som varken är ett globalt systemviktigt institut eller del av ett sådant ska offentliggöra den information om sammansättningen av kapitalbas och kvalificerade skulder som anges i artikel 45i.3 b i direktiv 2014/59/EU, i enlighet </w:t>
      </w:r>
      <w:r w:rsidRPr="009B76EF">
        <w:lastRenderedPageBreak/>
        <w:t>med mallen EU TLAC1 i bilaga V till denna förordning och de relevanta instruktionerna i bilaga VI till denna förordning.</w:t>
      </w:r>
    </w:p>
    <w:p w14:paraId="31FF8221" w14:textId="77777777" w:rsidR="00911C0D" w:rsidRPr="009B76EF" w:rsidRDefault="00911C0D" w:rsidP="00911C0D">
      <w:pPr>
        <w:pStyle w:val="Titrearticle"/>
      </w:pPr>
      <w:bookmarkStart w:id="3" w:name="_Ref21087987"/>
      <w:r w:rsidRPr="009B76EF">
        <w:t xml:space="preserve">Artikel </w:t>
      </w:r>
      <w:r w:rsidR="00135FE9">
        <w:fldChar w:fldCharType="begin"/>
      </w:r>
      <w:r w:rsidR="00135FE9">
        <w:instrText xml:space="preserve"> SEQ Figure \* ARABIC </w:instrText>
      </w:r>
      <w:r w:rsidR="00135FE9">
        <w:fldChar w:fldCharType="separate"/>
      </w:r>
      <w:r w:rsidRPr="009B76EF">
        <w:t>12</w:t>
      </w:r>
      <w:r w:rsidR="00135FE9">
        <w:fldChar w:fldCharType="end"/>
      </w:r>
      <w:bookmarkEnd w:id="3"/>
      <w:r w:rsidRPr="009B76EF">
        <w:br/>
        <w:t>Offentliggörande av information om nyckeltal och intern förlusttäckningskapacitet för enheter som själva inte är resolutionsenheter</w:t>
      </w:r>
    </w:p>
    <w:p w14:paraId="32300B39" w14:textId="77777777" w:rsidR="00911C0D" w:rsidRPr="009B76EF" w:rsidRDefault="00911C0D" w:rsidP="00080A21">
      <w:pPr>
        <w:pStyle w:val="NumPar1"/>
        <w:numPr>
          <w:ilvl w:val="0"/>
          <w:numId w:val="20"/>
        </w:numPr>
        <w:rPr>
          <w:noProof/>
        </w:rPr>
      </w:pPr>
      <w:r w:rsidRPr="009B76EF">
        <w:t>Enheter som är större dotterföretag till globala systemviktiga institut hemmahörande utanför EU och som inte själva är resolutionsenheter ska offentliggöra följande information i enlighet med mallen EU ILAC i bilaga V till denna förordning och de relevanta instruktionerna i bilaga VI till denna förordning:</w:t>
      </w:r>
    </w:p>
    <w:p w14:paraId="782B5E5F" w14:textId="77777777" w:rsidR="00911C0D" w:rsidRPr="009B76EF" w:rsidRDefault="00911C0D" w:rsidP="00080A21">
      <w:pPr>
        <w:pStyle w:val="Point1letter"/>
        <w:numPr>
          <w:ilvl w:val="3"/>
          <w:numId w:val="17"/>
        </w:numPr>
        <w:rPr>
          <w:noProof/>
        </w:rPr>
      </w:pPr>
      <w:r w:rsidRPr="009B76EF">
        <w:t>Information som krävs i enlighet med artikel 437a a, c och d i förordning (EU) nr 575/2013.</w:t>
      </w:r>
    </w:p>
    <w:p w14:paraId="32D06C75" w14:textId="77777777" w:rsidR="00911C0D" w:rsidRPr="009B76EF" w:rsidRDefault="00911C0D" w:rsidP="00080A21">
      <w:pPr>
        <w:pStyle w:val="Point1letter"/>
        <w:numPr>
          <w:ilvl w:val="3"/>
          <w:numId w:val="17"/>
        </w:numPr>
        <w:rPr>
          <w:noProof/>
        </w:rPr>
      </w:pPr>
      <w:r w:rsidRPr="009B76EF">
        <w:t>Information som krävs i enlighet med artikel 447 h i förordning (EU) nr 575/2013.</w:t>
      </w:r>
    </w:p>
    <w:p w14:paraId="00DD876B" w14:textId="77777777" w:rsidR="00911C0D" w:rsidRPr="009B76EF" w:rsidRDefault="00911C0D" w:rsidP="00080A21">
      <w:pPr>
        <w:pStyle w:val="Point1letter"/>
        <w:numPr>
          <w:ilvl w:val="3"/>
          <w:numId w:val="17"/>
        </w:numPr>
        <w:rPr>
          <w:noProof/>
        </w:rPr>
      </w:pPr>
      <w:r w:rsidRPr="009B76EF">
        <w:t>Information som krävs i enlighet med artikel 45i.3 a och c i direktiv 2014/59/EU.</w:t>
      </w:r>
    </w:p>
    <w:p w14:paraId="4DA0CF37" w14:textId="22E9761B" w:rsidR="00911C0D" w:rsidRPr="009B76EF" w:rsidRDefault="00911C0D" w:rsidP="00080A21">
      <w:pPr>
        <w:pStyle w:val="Point1letter"/>
        <w:numPr>
          <w:ilvl w:val="3"/>
          <w:numId w:val="17"/>
        </w:numPr>
        <w:rPr>
          <w:noProof/>
        </w:rPr>
      </w:pPr>
      <w:r w:rsidRPr="009B76EF">
        <w:t>Information om sammansättningen av kapitalbas och kvalificerade skulder som krävs i enlighet med artikel 45i.3 b i direktiv 2014/59/EU.</w:t>
      </w:r>
    </w:p>
    <w:p w14:paraId="2D3A456D" w14:textId="77777777" w:rsidR="00911C0D" w:rsidRPr="009B76EF" w:rsidRDefault="00911C0D" w:rsidP="00911C0D">
      <w:pPr>
        <w:pStyle w:val="Point0"/>
        <w:rPr>
          <w:noProof/>
        </w:rPr>
      </w:pPr>
      <w:r w:rsidRPr="009B76EF">
        <w:t>2.</w:t>
      </w:r>
      <w:r w:rsidRPr="009B76EF">
        <w:tab/>
        <w:t>Enheter som inte är större dotterföretag till globala systemviktiga institut hemmahörande utanför EU och som inte själva är resolutionsenheter ska offentliggöra följande information i enlighet med mallen EU ILAC i bilaga V till denna förordning och de relevanta instruktionerna i bilaga VI till denna förordning:</w:t>
      </w:r>
    </w:p>
    <w:p w14:paraId="2F8640BD" w14:textId="77777777" w:rsidR="00911C0D" w:rsidRPr="009B76EF" w:rsidRDefault="00911C0D" w:rsidP="00080A21">
      <w:pPr>
        <w:pStyle w:val="Point1letter"/>
        <w:numPr>
          <w:ilvl w:val="3"/>
          <w:numId w:val="18"/>
        </w:numPr>
        <w:rPr>
          <w:noProof/>
        </w:rPr>
      </w:pPr>
      <w:r w:rsidRPr="009B76EF">
        <w:t>Information som krävs i enlighet med artikel 45i.3 a och c i direktiv 2014/59/EU.</w:t>
      </w:r>
    </w:p>
    <w:p w14:paraId="4C6E59D7" w14:textId="77777777" w:rsidR="00911C0D" w:rsidRPr="009B76EF" w:rsidRDefault="00911C0D" w:rsidP="00080A21">
      <w:pPr>
        <w:pStyle w:val="Point1letter"/>
        <w:numPr>
          <w:ilvl w:val="3"/>
          <w:numId w:val="18"/>
        </w:numPr>
        <w:rPr>
          <w:noProof/>
        </w:rPr>
      </w:pPr>
      <w:r w:rsidRPr="009B76EF">
        <w:t>Information om sammansättningen av kapitalbas och kvalificerade skulder som krävs i enlighet med artikel 45i.3 b i direktiv 2014/59/EU.</w:t>
      </w:r>
    </w:p>
    <w:p w14:paraId="40797C60" w14:textId="77777777" w:rsidR="00911C0D" w:rsidRPr="009B76EF" w:rsidRDefault="00911C0D" w:rsidP="00911C0D">
      <w:pPr>
        <w:pStyle w:val="Titrearticle"/>
      </w:pPr>
      <w:bookmarkStart w:id="4" w:name="_Ref21088028"/>
      <w:r w:rsidRPr="009B76EF">
        <w:t xml:space="preserve">Artikel </w:t>
      </w:r>
      <w:bookmarkEnd w:id="4"/>
      <w:r w:rsidRPr="009B76EF">
        <w:fldChar w:fldCharType="begin"/>
      </w:r>
      <w:r w:rsidRPr="009B76EF">
        <w:instrText xml:space="preserve"> SEQ Figure \* ARABIC </w:instrText>
      </w:r>
      <w:r w:rsidRPr="009B76EF">
        <w:fldChar w:fldCharType="separate"/>
      </w:r>
      <w:r w:rsidRPr="009B76EF">
        <w:t>13</w:t>
      </w:r>
      <w:r w:rsidRPr="009B76EF">
        <w:fldChar w:fldCharType="end"/>
      </w:r>
      <w:r w:rsidRPr="009B76EF">
        <w:br/>
        <w:t>Offentliggörande av information om rangordning av borgenärer från enheter som inte är resolutionsenheter</w:t>
      </w:r>
    </w:p>
    <w:p w14:paraId="0FA53E9A" w14:textId="16A22625" w:rsidR="00911C0D" w:rsidRPr="009B76EF" w:rsidRDefault="00911C0D" w:rsidP="00080A21">
      <w:pPr>
        <w:pStyle w:val="NumPar1"/>
        <w:numPr>
          <w:ilvl w:val="0"/>
          <w:numId w:val="19"/>
        </w:numPr>
        <w:rPr>
          <w:noProof/>
        </w:rPr>
      </w:pPr>
      <w:r w:rsidRPr="009B76EF">
        <w:t xml:space="preserve">Enheter som är större dotterföretag till globala systemviktiga institut hemmahörande utanför EU och som inte själva är resolutionsenheter ska offentliggöra den information om löptidsprofil och rangordning vid normala insolvensförfaranden som anges i artikel 437a a och b i förordning (EU) nr 575/2013 och artikel 45i.3 b i direktiv 2014/59/EU, i enlighet med mallen EU TLAC2a i bilaga V till denna förordning och de relevanta instruktionerna i bilaga VI till denna förordning. </w:t>
      </w:r>
    </w:p>
    <w:p w14:paraId="515F579C" w14:textId="77777777" w:rsidR="00911C0D" w:rsidRPr="009B76EF" w:rsidRDefault="00911C0D" w:rsidP="00080A21">
      <w:pPr>
        <w:pStyle w:val="NumPar1"/>
        <w:numPr>
          <w:ilvl w:val="0"/>
          <w:numId w:val="19"/>
        </w:numPr>
        <w:rPr>
          <w:noProof/>
        </w:rPr>
      </w:pPr>
      <w:r w:rsidRPr="009B76EF">
        <w:t xml:space="preserve">Enheter som inte är större dotterföretag till globala systemviktiga institut hemmahörande utanför EU och som inte själva är resolutionsenheter ska offentliggöra den information om löptidsprofil och rangordning vid normala insolvensförfaranden som anges i artikel 45i.3 b i direktiv 2014/59/EU, i enlighet med mallen EU TLAC2b i bilaga V till denna förordning och de relevanta instruktionerna i bilaga VI till denna förordning. </w:t>
      </w:r>
    </w:p>
    <w:p w14:paraId="51B0E851" w14:textId="32AD2F70" w:rsidR="00911C0D" w:rsidRPr="009B76EF" w:rsidRDefault="00911C0D" w:rsidP="00B129CF">
      <w:pPr>
        <w:pStyle w:val="Text1"/>
        <w:rPr>
          <w:noProof/>
        </w:rPr>
      </w:pPr>
      <w:r w:rsidRPr="009B76EF">
        <w:t xml:space="preserve">Enheter som avses i första stycket i denna punkt får välja att använda mall EU TLAC2a i stället för EU TLAC2b för att offentliggöra information om löptidsprofil </w:t>
      </w:r>
      <w:r w:rsidRPr="009B76EF">
        <w:lastRenderedPageBreak/>
        <w:t>och rangordning vid normala insolvensförfaranden som krävs i enlighet med artikel 45i.3 b i direktiv 2014/59/EU.</w:t>
      </w:r>
    </w:p>
    <w:p w14:paraId="0ACD53CE" w14:textId="77777777" w:rsidR="00911C0D" w:rsidRPr="009B76EF" w:rsidRDefault="00911C0D" w:rsidP="00911C0D">
      <w:pPr>
        <w:pStyle w:val="Titrearticle"/>
      </w:pPr>
      <w:bookmarkStart w:id="5" w:name="_Ref21087242"/>
      <w:r w:rsidRPr="009B76EF">
        <w:t>Artikel</w:t>
      </w:r>
      <w:bookmarkEnd w:id="5"/>
      <w:r w:rsidRPr="009B76EF">
        <w:t xml:space="preserve"> </w:t>
      </w:r>
      <w:r w:rsidR="00135FE9">
        <w:fldChar w:fldCharType="begin"/>
      </w:r>
      <w:r w:rsidR="00135FE9">
        <w:instrText xml:space="preserve"> SEQ Figure \* ARABIC </w:instrText>
      </w:r>
      <w:r w:rsidR="00135FE9">
        <w:fldChar w:fldCharType="separate"/>
      </w:r>
      <w:r w:rsidRPr="009B76EF">
        <w:t>14</w:t>
      </w:r>
      <w:r w:rsidR="00135FE9">
        <w:fldChar w:fldCharType="end"/>
      </w:r>
      <w:r w:rsidRPr="009B76EF">
        <w:br/>
        <w:t>Offentliggörande av information om rangordning av borgenärer från resolutionsenheter</w:t>
      </w:r>
    </w:p>
    <w:p w14:paraId="0214BA4A" w14:textId="4F8B03D6" w:rsidR="00911C0D" w:rsidRPr="009B76EF" w:rsidRDefault="00911C0D" w:rsidP="00080A21">
      <w:pPr>
        <w:pStyle w:val="NumPar1"/>
        <w:numPr>
          <w:ilvl w:val="0"/>
          <w:numId w:val="25"/>
        </w:numPr>
        <w:rPr>
          <w:noProof/>
        </w:rPr>
      </w:pPr>
      <w:r w:rsidRPr="009B76EF">
        <w:t xml:space="preserve">Resolutionsenheter som är ett globalt systemviktigt institut eller del av ett sådant ska offentliggöra den information om löptidsprofil och rangordning vid normala insolvensförfaranden som anges i artikel 437a a och b i förordning (EU) nr 575/2013 och artikel 45i.3 b i direktiv 2014/59/EU, i enlighet med mallen EU TLAC3a i bilaga V till denna förordning och de relevanta instruktionerna i bilaga VI till denna förordning. </w:t>
      </w:r>
    </w:p>
    <w:p w14:paraId="703B620D" w14:textId="18C45AB4" w:rsidR="00911C0D" w:rsidRPr="009B76EF" w:rsidRDefault="00911C0D" w:rsidP="00080A21">
      <w:pPr>
        <w:pStyle w:val="NumPar1"/>
        <w:numPr>
          <w:ilvl w:val="0"/>
          <w:numId w:val="25"/>
        </w:numPr>
        <w:rPr>
          <w:noProof/>
        </w:rPr>
      </w:pPr>
      <w:r w:rsidRPr="009B76EF">
        <w:t xml:space="preserve">Resolutionsenheter som varken är ett globalt systemviktigt institut eller del av ett sådant ska offentliggöra den information om löptidsprofil och rangordning vid normala insolvensförfaranden som anges i artikel 45i.3 b i direktiv 2014/59/EU, i enlighet med mallen EU TLAC3b i bilaga V till denna förordning och de relevanta instruktionerna i bilaga VI till denna förordning. </w:t>
      </w:r>
    </w:p>
    <w:p w14:paraId="312D7D45" w14:textId="0EC96E4F" w:rsidR="00911C0D" w:rsidRPr="009B76EF" w:rsidRDefault="00911C0D" w:rsidP="008E17B7">
      <w:pPr>
        <w:pStyle w:val="Text1"/>
        <w:rPr>
          <w:noProof/>
        </w:rPr>
      </w:pPr>
      <w:r w:rsidRPr="009B76EF">
        <w:t>Enheter som avses i första stycket i denna punkt får välja att använda mall EU TLAC3a i stället för EU TLAC3b för att offentliggöra information om löptidsprofil och rangordning vid normala insolvensförfaranden som krävs i enlighet med artikel 45i.3 b i direktiv 2014/59/EU.</w:t>
      </w:r>
    </w:p>
    <w:p w14:paraId="392B83E1" w14:textId="0ED4F921" w:rsidR="00911C0D" w:rsidRPr="009B76EF" w:rsidRDefault="00911C0D" w:rsidP="00911C0D">
      <w:pPr>
        <w:pStyle w:val="Titrearticle"/>
      </w:pPr>
      <w:bookmarkStart w:id="6" w:name="_Ref21087218"/>
      <w:r w:rsidRPr="009B76EF">
        <w:t xml:space="preserve">Artikel </w:t>
      </w:r>
      <w:r w:rsidR="00135FE9">
        <w:fldChar w:fldCharType="begin"/>
      </w:r>
      <w:r w:rsidR="00135FE9">
        <w:instrText xml:space="preserve"> SEQ Figure \* ARABIC </w:instrText>
      </w:r>
      <w:r w:rsidR="00135FE9">
        <w:fldChar w:fldCharType="separate"/>
      </w:r>
      <w:r w:rsidRPr="009B76EF">
        <w:t>15</w:t>
      </w:r>
      <w:r w:rsidR="00135FE9">
        <w:fldChar w:fldCharType="end"/>
      </w:r>
      <w:bookmarkEnd w:id="6"/>
      <w:r w:rsidRPr="009B76EF">
        <w:br/>
        <w:t>Offentliggörande av information om kapitalbasens och de kvalificerade skuldernas huvuddrag</w:t>
      </w:r>
    </w:p>
    <w:p w14:paraId="556F10F9" w14:textId="77777777" w:rsidR="00911C0D" w:rsidRPr="009B76EF" w:rsidRDefault="00911C0D" w:rsidP="00911C0D">
      <w:pPr>
        <w:keepNext/>
        <w:keepLines/>
        <w:spacing w:before="360"/>
      </w:pPr>
      <w:r w:rsidRPr="009B76EF">
        <w:t xml:space="preserve">Resolutionsenheter som är ett globalt systemviktigt institut eller del av ett sådant samt enheter som är större dotterföretag till globala systemviktiga institut hemmahörande utanför EU och som inte själva är resolutionsenheter ska offentliggöra den information som avses i artikel 437a a i förordning (EU) nr 575/2013, i enlighet med den genomförandeakt som avses i artikel 434a i samma förordning. </w:t>
      </w:r>
    </w:p>
    <w:p w14:paraId="20EB102D" w14:textId="77777777" w:rsidR="00911C0D" w:rsidRPr="009B76EF" w:rsidRDefault="00911C0D" w:rsidP="00146633">
      <w:pPr>
        <w:pStyle w:val="Titrearticle"/>
      </w:pPr>
      <w:r w:rsidRPr="009B76EF">
        <w:t xml:space="preserve">Artikel </w:t>
      </w:r>
      <w:r w:rsidR="00135FE9">
        <w:fldChar w:fldCharType="begin"/>
      </w:r>
      <w:r w:rsidR="00135FE9">
        <w:instrText xml:space="preserve"> SEQ Figure \* ARABIC </w:instrText>
      </w:r>
      <w:r w:rsidR="00135FE9">
        <w:fldChar w:fldCharType="separate"/>
      </w:r>
      <w:r w:rsidRPr="009B76EF">
        <w:t>16</w:t>
      </w:r>
      <w:r w:rsidR="00135FE9">
        <w:fldChar w:fldCharType="end"/>
      </w:r>
      <w:r w:rsidRPr="009B76EF">
        <w:br/>
        <w:t>Allmänna upplysningsregler</w:t>
      </w:r>
    </w:p>
    <w:p w14:paraId="74D86184" w14:textId="77777777" w:rsidR="00911C0D" w:rsidRPr="009B76EF" w:rsidRDefault="00911C0D" w:rsidP="00080A21">
      <w:pPr>
        <w:pStyle w:val="NumPar1"/>
        <w:numPr>
          <w:ilvl w:val="0"/>
          <w:numId w:val="26"/>
        </w:numPr>
        <w:rPr>
          <w:noProof/>
        </w:rPr>
      </w:pPr>
      <w:r w:rsidRPr="009B76EF">
        <w:t xml:space="preserve">Om företagen som offentliggör information får utelämna en eller flera upplysningar enligt vad som avses i artikel 432 i förordning (EU) nr 575/2013 får de relevanta raderna eller kolumnerna i de mallar eller tabeller som fastställs i denna förordning lämnas tomma och numreringen av efterföljande rader eller kolumner ska inte ändras. </w:t>
      </w:r>
    </w:p>
    <w:p w14:paraId="2C21F69F" w14:textId="77777777" w:rsidR="00911C0D" w:rsidRPr="009B76EF" w:rsidRDefault="00911C0D" w:rsidP="00080A21">
      <w:pPr>
        <w:pStyle w:val="NumPar1"/>
        <w:numPr>
          <w:ilvl w:val="0"/>
          <w:numId w:val="26"/>
        </w:numPr>
        <w:rPr>
          <w:noProof/>
        </w:rPr>
      </w:pPr>
      <w:r w:rsidRPr="009B76EF">
        <w:t xml:space="preserve">Företag som offentliggör information ska i relevant mall eller tabell tydligt markera de tomma raderna eller kolumnerna samt orsaken till att de relevanta upplysningarna utelämnats. </w:t>
      </w:r>
    </w:p>
    <w:p w14:paraId="2DFEFA5E" w14:textId="77777777" w:rsidR="00911C0D" w:rsidRPr="009B76EF" w:rsidRDefault="00911C0D" w:rsidP="00080A21">
      <w:pPr>
        <w:pStyle w:val="NumPar1"/>
        <w:numPr>
          <w:ilvl w:val="0"/>
          <w:numId w:val="26"/>
        </w:numPr>
        <w:rPr>
          <w:noProof/>
        </w:rPr>
      </w:pPr>
      <w:r w:rsidRPr="009B76EF">
        <w:t>Den kvalitativa och annan nödvändig kompletterande information som åtföljer den kvantitativa information som offentliggörs i enlighet med artikel 431 i förordning (EU) nr 575/2013 ska vara tillräckligt tydlig och heltäckande så att användarna av informationen kan förstå den kvantitativa information som offentliggörs och den ska placeras bredvid de mallar som den beskriver.</w:t>
      </w:r>
    </w:p>
    <w:p w14:paraId="29D7C25D" w14:textId="77777777" w:rsidR="00911C0D" w:rsidRPr="009B76EF" w:rsidRDefault="00911C0D" w:rsidP="00080A21">
      <w:pPr>
        <w:pStyle w:val="NumPar1"/>
        <w:numPr>
          <w:ilvl w:val="0"/>
          <w:numId w:val="26"/>
        </w:numPr>
        <w:rPr>
          <w:noProof/>
        </w:rPr>
      </w:pPr>
      <w:r w:rsidRPr="009B76EF">
        <w:lastRenderedPageBreak/>
        <w:t>Företag som offentliggör information ska iaktta följande när det gäller upplysningar om numeriska värden:</w:t>
      </w:r>
    </w:p>
    <w:p w14:paraId="554837EF" w14:textId="77777777" w:rsidR="00911C0D" w:rsidRPr="009B76EF" w:rsidRDefault="00911C0D" w:rsidP="00B378A2">
      <w:pPr>
        <w:pStyle w:val="Point1letter"/>
        <w:numPr>
          <w:ilvl w:val="3"/>
          <w:numId w:val="38"/>
        </w:numPr>
        <w:rPr>
          <w:noProof/>
        </w:rPr>
      </w:pPr>
      <w:r w:rsidRPr="009B76EF">
        <w:t>Kvantitativa monetära uppgifter ska offentliggöras med en minsta noggrannhet motsvarande miljontals enheter.</w:t>
      </w:r>
    </w:p>
    <w:p w14:paraId="4E96B6F9" w14:textId="77777777" w:rsidR="00911C0D" w:rsidRPr="009B76EF" w:rsidRDefault="00911C0D" w:rsidP="00B378A2">
      <w:pPr>
        <w:pStyle w:val="Point1letter"/>
        <w:numPr>
          <w:ilvl w:val="3"/>
          <w:numId w:val="38"/>
        </w:numPr>
        <w:rPr>
          <w:noProof/>
        </w:rPr>
      </w:pPr>
      <w:r w:rsidRPr="009B76EF">
        <w:t>Kvantitativa uppgifter som offentliggörs som ”procentandel” ska anges per enhet med en minsta noggrannhet motsvarande fyra decimaler.</w:t>
      </w:r>
    </w:p>
    <w:p w14:paraId="06F63E8F" w14:textId="77777777" w:rsidR="00911C0D" w:rsidRPr="009B76EF" w:rsidRDefault="00911C0D" w:rsidP="00146633">
      <w:pPr>
        <w:pStyle w:val="NumPar1"/>
        <w:rPr>
          <w:noProof/>
        </w:rPr>
      </w:pPr>
      <w:r w:rsidRPr="009B76EF">
        <w:t>Företag som offentliggör information ska bifoga följande till den information som lämnas:</w:t>
      </w:r>
    </w:p>
    <w:p w14:paraId="2FCAAE18" w14:textId="77777777" w:rsidR="00911C0D" w:rsidRPr="009B76EF" w:rsidRDefault="00911C0D" w:rsidP="00B378A2">
      <w:pPr>
        <w:pStyle w:val="Point1letter"/>
        <w:numPr>
          <w:ilvl w:val="3"/>
          <w:numId w:val="27"/>
        </w:numPr>
        <w:rPr>
          <w:noProof/>
        </w:rPr>
      </w:pPr>
      <w:r w:rsidRPr="009B76EF">
        <w:t xml:space="preserve">Referensdatum och referensperiod för offentliggörandet. </w:t>
      </w:r>
    </w:p>
    <w:p w14:paraId="0D85A6C3" w14:textId="77777777" w:rsidR="00911C0D" w:rsidRPr="009B76EF" w:rsidRDefault="00911C0D" w:rsidP="00146633">
      <w:pPr>
        <w:pStyle w:val="Point1letter"/>
        <w:rPr>
          <w:noProof/>
        </w:rPr>
      </w:pPr>
      <w:r w:rsidRPr="009B76EF">
        <w:t xml:space="preserve">Valutan som offentliggörandet avser. </w:t>
      </w:r>
    </w:p>
    <w:p w14:paraId="5B5B4AB9" w14:textId="2A3BF35F" w:rsidR="00911C0D" w:rsidRPr="009B76EF" w:rsidRDefault="00911C0D" w:rsidP="00146633">
      <w:pPr>
        <w:pStyle w:val="Point1letter"/>
        <w:rPr>
          <w:noProof/>
        </w:rPr>
      </w:pPr>
      <w:r w:rsidRPr="009B76EF">
        <w:t>Namn och, i tillämpliga fall, identifieringskod för juridiska personer för den enhet som offentliggör information.</w:t>
      </w:r>
    </w:p>
    <w:p w14:paraId="584E8AC6" w14:textId="77777777" w:rsidR="00911C0D" w:rsidRPr="009B76EF" w:rsidRDefault="00911C0D" w:rsidP="00146633">
      <w:pPr>
        <w:pStyle w:val="Point1letter"/>
        <w:rPr>
          <w:noProof/>
        </w:rPr>
      </w:pPr>
      <w:r w:rsidRPr="009B76EF">
        <w:t xml:space="preserve">Redovisningsstandard, i förekommande fall.  </w:t>
      </w:r>
    </w:p>
    <w:p w14:paraId="582EB987" w14:textId="77777777" w:rsidR="00911C0D" w:rsidRPr="009B76EF" w:rsidRDefault="00911C0D" w:rsidP="00146633">
      <w:pPr>
        <w:pStyle w:val="Point1letter"/>
        <w:rPr>
          <w:noProof/>
        </w:rPr>
      </w:pPr>
      <w:r w:rsidRPr="009B76EF">
        <w:t>Konsolideringens omfattning, i förekommande fall.</w:t>
      </w:r>
    </w:p>
    <w:p w14:paraId="13904397" w14:textId="6E48D9B3" w:rsidR="00911C0D" w:rsidRPr="009B76EF" w:rsidRDefault="00911C0D" w:rsidP="00911C0D">
      <w:pPr>
        <w:pStyle w:val="SectionTitle"/>
        <w:rPr>
          <w:b w:val="0"/>
          <w:i/>
        </w:rPr>
      </w:pPr>
      <w:r w:rsidRPr="009B76EF">
        <w:rPr>
          <w:b w:val="0"/>
          <w:i/>
        </w:rPr>
        <w:t>AVDELNING III</w:t>
      </w:r>
      <w:r w:rsidRPr="009B76EF">
        <w:t xml:space="preserve"> </w:t>
      </w:r>
      <w:r w:rsidRPr="009B76EF">
        <w:br/>
      </w:r>
      <w:r w:rsidRPr="009B76EF">
        <w:rPr>
          <w:b w:val="0"/>
          <w:i/>
        </w:rPr>
        <w:t>SLUTBESTÄMMELSER</w:t>
      </w:r>
    </w:p>
    <w:p w14:paraId="207DBFA4" w14:textId="6A156BA8" w:rsidR="00911C0D" w:rsidRPr="009B76EF" w:rsidRDefault="00911C0D" w:rsidP="00146633">
      <w:pPr>
        <w:pStyle w:val="Titrearticle"/>
      </w:pPr>
      <w:r w:rsidRPr="009B76EF">
        <w:t xml:space="preserve">Artikel </w:t>
      </w:r>
      <w:r w:rsidR="00135FE9">
        <w:fldChar w:fldCharType="begin"/>
      </w:r>
      <w:r w:rsidR="00135FE9">
        <w:instrText xml:space="preserve"> SEQ Figure \* ARABIC </w:instrText>
      </w:r>
      <w:r w:rsidR="00135FE9">
        <w:fldChar w:fldCharType="separate"/>
      </w:r>
      <w:r w:rsidRPr="009B76EF">
        <w:t>17</w:t>
      </w:r>
      <w:r w:rsidR="00135FE9">
        <w:fldChar w:fldCharType="end"/>
      </w:r>
      <w:r w:rsidRPr="009B76EF">
        <w:br/>
        <w:t>Ikraftträdande och tillämpning</w:t>
      </w:r>
    </w:p>
    <w:p w14:paraId="132DAA82" w14:textId="4F13BF1D" w:rsidR="00911C0D" w:rsidRPr="009B76EF" w:rsidRDefault="00911C0D" w:rsidP="00911C0D">
      <w:r w:rsidRPr="009B76EF">
        <w:t xml:space="preserve">Denna förordning träder i kraft den tjugonde dagen efter det att den har offentliggjorts i </w:t>
      </w:r>
      <w:r w:rsidRPr="009B76EF">
        <w:rPr>
          <w:i/>
        </w:rPr>
        <w:t>Europeiska unionens officiella tidning</w:t>
      </w:r>
      <w:r w:rsidRPr="009B76EF">
        <w:t>.</w:t>
      </w:r>
    </w:p>
    <w:p w14:paraId="59F2EBFB" w14:textId="5F28E1E6" w:rsidR="00911C0D" w:rsidRPr="009B76EF" w:rsidRDefault="00911C0D" w:rsidP="00911C0D">
      <w:pPr>
        <w:widowControl w:val="0"/>
        <w:autoSpaceDE w:val="0"/>
        <w:autoSpaceDN w:val="0"/>
        <w:rPr>
          <w:rFonts w:eastAsia="Times New Roman"/>
        </w:rPr>
      </w:pPr>
      <w:r w:rsidRPr="009B76EF">
        <w:t>Avdelning I ska tillämpas från och med den 28 juni 2021.</w:t>
      </w:r>
    </w:p>
    <w:p w14:paraId="2F7214D1" w14:textId="64BF67D1" w:rsidR="00F82D09" w:rsidRPr="009B76EF" w:rsidRDefault="00911C0D" w:rsidP="00911C0D">
      <w:pPr>
        <w:widowControl w:val="0"/>
        <w:autoSpaceDE w:val="0"/>
        <w:autoSpaceDN w:val="0"/>
        <w:rPr>
          <w:rFonts w:eastAsia="Times New Roman"/>
        </w:rPr>
      </w:pPr>
      <w:r w:rsidRPr="009B76EF">
        <w:t xml:space="preserve">Avdelning II ska tillämpas från och med den </w:t>
      </w:r>
      <w:r w:rsidRPr="009B76EF">
        <w:rPr>
          <w:i/>
        </w:rPr>
        <w:t>[infoga datumet för denna förordnings ikraftträdande]</w:t>
      </w:r>
      <w:r w:rsidRPr="009B76EF">
        <w:t xml:space="preserve"> när det gäller offentliggöranden i enlighet med artikel 437a och artikel 447 h i förordning (EU) nr 575/2013, och från och med tillämpningsdatumet för kraven på offentliggörande i enlighet med artikel 3.1 tredje stycket i direktiv (EU) 2019/879, vad gäller offentliggöranden i enlighet med artikel 45i.3 i direktiv 2014/59/EU.</w:t>
      </w:r>
    </w:p>
    <w:p w14:paraId="48405F17" w14:textId="52DE1662" w:rsidR="00911C0D" w:rsidRPr="009B76EF" w:rsidRDefault="00911C0D" w:rsidP="00911C0D">
      <w:pPr>
        <w:pStyle w:val="Applicationdirecte"/>
        <w:keepNext/>
        <w:keepLines/>
      </w:pPr>
      <w:r w:rsidRPr="009B76EF">
        <w:t>Denna förordning är till alla delar bindande och direkt tillämplig i alla medlemsstater.</w:t>
      </w:r>
    </w:p>
    <w:p w14:paraId="688CD257" w14:textId="77777777" w:rsidR="00911C0D" w:rsidRPr="009B76EF" w:rsidRDefault="00DD5153" w:rsidP="00DD5153">
      <w:pPr>
        <w:pStyle w:val="Fait"/>
      </w:pPr>
      <w:r w:rsidRPr="009B76EF">
        <w:t>Utfärdad i Bryssel den</w:t>
      </w:r>
    </w:p>
    <w:p w14:paraId="7D6E3D67" w14:textId="77777777" w:rsidR="00911C0D" w:rsidRPr="009B76EF" w:rsidRDefault="00911C0D" w:rsidP="00911C0D">
      <w:pPr>
        <w:pStyle w:val="Institutionquisigne"/>
      </w:pPr>
      <w:r w:rsidRPr="009B76EF">
        <w:tab/>
        <w:t>På kommissionens vägnar</w:t>
      </w:r>
    </w:p>
    <w:p w14:paraId="0936848B" w14:textId="77777777" w:rsidR="00911C0D" w:rsidRPr="009B76EF" w:rsidRDefault="00911C0D" w:rsidP="00911C0D">
      <w:pPr>
        <w:pStyle w:val="Personnequisigne"/>
      </w:pPr>
      <w:r w:rsidRPr="009B76EF">
        <w:tab/>
        <w:t xml:space="preserve">Ordförande </w:t>
      </w:r>
      <w:r w:rsidRPr="009B76EF">
        <w:br/>
      </w:r>
      <w:r w:rsidRPr="009B76EF">
        <w:tab/>
        <w:t>Ursula VON DER LEYEN</w:t>
      </w:r>
    </w:p>
    <w:sectPr w:rsidR="00911C0D" w:rsidRPr="009B76EF" w:rsidSect="009B6FBE">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902BC" w14:textId="50566AE0" w:rsidR="009B76EF" w:rsidRPr="009B6FBE" w:rsidRDefault="009B6FBE" w:rsidP="009B6FBE">
    <w:pPr>
      <w:pStyle w:val="Footer"/>
      <w:rPr>
        <w:rFonts w:ascii="Arial" w:hAnsi="Arial" w:cs="Arial"/>
        <w:b/>
        <w:sz w:val="48"/>
      </w:rPr>
    </w:pPr>
    <w:r w:rsidRPr="009B6FBE">
      <w:rPr>
        <w:rFonts w:ascii="Arial" w:hAnsi="Arial" w:cs="Arial"/>
        <w:b/>
        <w:sz w:val="48"/>
      </w:rPr>
      <w:t>SV</w:t>
    </w:r>
    <w:r w:rsidRPr="009B6FBE">
      <w:rPr>
        <w:rFonts w:ascii="Arial" w:hAnsi="Arial" w:cs="Arial"/>
        <w:b/>
        <w:sz w:val="48"/>
      </w:rPr>
      <w:tab/>
    </w:r>
    <w:r w:rsidRPr="009B6FBE">
      <w:rPr>
        <w:rFonts w:ascii="Arial" w:hAnsi="Arial" w:cs="Arial"/>
        <w:b/>
        <w:sz w:val="48"/>
      </w:rPr>
      <w:tab/>
    </w:r>
    <w:r w:rsidRPr="009B6FBE">
      <w:tab/>
    </w:r>
    <w:r w:rsidRPr="009B6FBE">
      <w:rPr>
        <w:rFonts w:ascii="Arial" w:hAnsi="Arial" w:cs="Arial"/>
        <w:b/>
        <w:sz w:val="48"/>
      </w:rPr>
      <w:t>SV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A9F3B" w14:textId="09909898" w:rsidR="009B6FBE" w:rsidRPr="009B6FBE" w:rsidRDefault="009B6FBE" w:rsidP="009B6FBE">
    <w:pPr>
      <w:pStyle w:val="Footer"/>
      <w:rPr>
        <w:rFonts w:ascii="Arial" w:hAnsi="Arial" w:cs="Arial"/>
        <w:b/>
        <w:sz w:val="48"/>
      </w:rPr>
    </w:pPr>
    <w:r w:rsidRPr="009B6FBE">
      <w:rPr>
        <w:rFonts w:ascii="Arial" w:hAnsi="Arial" w:cs="Arial"/>
        <w:b/>
        <w:sz w:val="48"/>
      </w:rPr>
      <w:t>SV</w:t>
    </w:r>
    <w:r w:rsidRPr="009B6FBE">
      <w:rPr>
        <w:rFonts w:ascii="Arial" w:hAnsi="Arial" w:cs="Arial"/>
        <w:b/>
        <w:sz w:val="48"/>
      </w:rPr>
      <w:tab/>
    </w:r>
    <w:r>
      <w:fldChar w:fldCharType="begin"/>
    </w:r>
    <w:r>
      <w:instrText xml:space="preserve"> PAGE  \* MERGEFORMAT </w:instrText>
    </w:r>
    <w:r>
      <w:fldChar w:fldCharType="separate"/>
    </w:r>
    <w:r w:rsidR="00D95682">
      <w:rPr>
        <w:noProof/>
      </w:rPr>
      <w:t>12</w:t>
    </w:r>
    <w:r>
      <w:fldChar w:fldCharType="end"/>
    </w:r>
    <w:r>
      <w:tab/>
    </w:r>
    <w:r w:rsidRPr="009B6FBE">
      <w:tab/>
    </w:r>
    <w:r w:rsidRPr="009B6FBE">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4C892" w14:textId="77777777" w:rsidR="009B6FBE" w:rsidRPr="009B6FBE" w:rsidRDefault="009B6FBE" w:rsidP="009B6F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9B76EF" w:rsidRDefault="00911C0D" w:rsidP="00911C0D">
      <w:pPr>
        <w:pStyle w:val="FootnoteText"/>
        <w:rPr>
          <w:lang w:val="fr-BE"/>
        </w:rPr>
      </w:pPr>
      <w:r>
        <w:rPr>
          <w:rStyle w:val="FootnoteReference"/>
        </w:rPr>
        <w:footnoteRef/>
      </w:r>
      <w:r w:rsidRPr="009B76EF">
        <w:rPr>
          <w:lang w:val="fr-BE"/>
        </w:rPr>
        <w:tab/>
        <w:t>EUT L 176, 27.6.2013, s. 1.</w:t>
      </w:r>
    </w:p>
  </w:footnote>
  <w:footnote w:id="2">
    <w:p w14:paraId="52F29A01" w14:textId="77777777" w:rsidR="00911C0D" w:rsidRPr="009B76EF" w:rsidRDefault="00911C0D" w:rsidP="00911C0D">
      <w:pPr>
        <w:pStyle w:val="FootnoteText"/>
        <w:rPr>
          <w:lang w:val="fr-BE"/>
        </w:rPr>
      </w:pPr>
      <w:r>
        <w:rPr>
          <w:rStyle w:val="FootnoteReference"/>
        </w:rPr>
        <w:footnoteRef/>
      </w:r>
      <w:r w:rsidRPr="009B76EF">
        <w:rPr>
          <w:lang w:val="fr-BE"/>
        </w:rPr>
        <w:tab/>
        <w:t>EUT L 173, 12.6.2014, s. 190.</w:t>
      </w:r>
    </w:p>
  </w:footnote>
  <w:footnote w:id="3">
    <w:p w14:paraId="400AF6FF" w14:textId="77777777" w:rsidR="00911C0D" w:rsidRPr="009B76EF" w:rsidRDefault="00911C0D" w:rsidP="00911C0D">
      <w:pPr>
        <w:pStyle w:val="FootnoteText"/>
      </w:pPr>
      <w:r>
        <w:rPr>
          <w:rStyle w:val="FootnoteReference"/>
        </w:rPr>
        <w:footnoteRef/>
      </w:r>
      <w:r w:rsidRPr="009B76EF">
        <w:tab/>
        <w:t>Europaparlamentets och rådets förordning (EU) 2019/876 av den 20 maj 2019 om ändring av förordning (EU) nr 575/2013 vad gäller bruttosoliditetsgrad, stabil nettofinansieringskvot, krav för kapitalbas och kvalificerade skulder, motpartsrisk, marknadsrisk, exponeringar mot centrala motparter, exponeringar mot företag för kollektiva investeringar, stora exponeringar, rapporteringskrav och krav på offentliggörande av information, samt av förordning (EU) nr 648/2012 (EUT L 150, 7.6.2019, s. 1).</w:t>
      </w:r>
    </w:p>
  </w:footnote>
  <w:footnote w:id="4">
    <w:p w14:paraId="7FB27E48" w14:textId="77777777" w:rsidR="00911C0D" w:rsidRPr="009B76EF" w:rsidRDefault="00911C0D" w:rsidP="00911C0D">
      <w:pPr>
        <w:pStyle w:val="FootnoteText"/>
      </w:pPr>
      <w:r>
        <w:rPr>
          <w:rStyle w:val="FootnoteReference"/>
        </w:rPr>
        <w:footnoteRef/>
      </w:r>
      <w:r w:rsidRPr="009B76EF">
        <w:tab/>
        <w:t>Europaparlamentets och rådets direktiv (EU) 2019/879 av den 20 maj 2019 om ändring av direktiv 2014/59/EU vad gäller kreditinstituts och värdepappersföretags förlustabsorberings- och rekapitaliseringskapacitet och om direktiv 98/26/EG (EUT L 150, 7.6.2019, s. 296).</w:t>
      </w:r>
    </w:p>
  </w:footnote>
  <w:footnote w:id="5">
    <w:p w14:paraId="7DA394B3" w14:textId="02D3CC85" w:rsidR="00911C0D" w:rsidRPr="009B76EF" w:rsidRDefault="00911C0D" w:rsidP="00911C0D">
      <w:pPr>
        <w:pStyle w:val="FootnoteText"/>
      </w:pPr>
      <w:r>
        <w:rPr>
          <w:rStyle w:val="FootnoteReference"/>
        </w:rPr>
        <w:footnoteRef/>
      </w:r>
      <w:r w:rsidRPr="009B76EF">
        <w:tab/>
        <w:t>Europaparlamentets och rådets förordning (EU) nr 1093/2010 av den 24 november 2010 om inrättande av en europeisk tillsynsmyndighet (Europeiska bankmyndigheten), om ändring av beslut nr 716/2009/EG och om upphävande av kommissionens beslut 2009/78/EG (EUT L 331, 15.12.2010, s. 12).</w:t>
      </w:r>
    </w:p>
  </w:footnote>
  <w:footnote w:id="6">
    <w:p w14:paraId="078CA3AC" w14:textId="77777777" w:rsidR="00911C0D" w:rsidRPr="009B76EF" w:rsidRDefault="00911C0D" w:rsidP="00911C0D">
      <w:pPr>
        <w:pStyle w:val="FootnoteText"/>
      </w:pPr>
      <w:r>
        <w:rPr>
          <w:rStyle w:val="FootnoteReference"/>
        </w:rPr>
        <w:footnoteRef/>
      </w:r>
      <w:r w:rsidRPr="009B76EF">
        <w:tab/>
        <w:t>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5"/>
  </w:num>
  <w:num w:numId="30">
    <w:abstractNumId w:val="4"/>
  </w:num>
  <w:num w:numId="31">
    <w:abstractNumId w:val="3"/>
  </w:num>
  <w:num w:numId="32">
    <w:abstractNumId w:val="6"/>
  </w:num>
  <w:num w:numId="33">
    <w:abstractNumId w:val="2"/>
  </w:num>
  <w:num w:numId="34">
    <w:abstractNumId w:val="1"/>
  </w:num>
  <w:num w:numId="35">
    <w:abstractNumId w:val="0"/>
  </w:num>
  <w:num w:numId="36">
    <w:abstractNumId w:val="21"/>
    <w:lvlOverride w:ilvl="0">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2"/>
  </w:num>
  <w:num w:numId="41">
    <w:abstractNumId w:val="20"/>
  </w:num>
  <w:num w:numId="42">
    <w:abstractNumId w:val="11"/>
  </w:num>
  <w:num w:numId="43">
    <w:abstractNumId w:val="13"/>
  </w:num>
  <w:num w:numId="44">
    <w:abstractNumId w:val="9"/>
  </w:num>
  <w:num w:numId="45">
    <w:abstractNumId w:val="19"/>
  </w:num>
  <w:num w:numId="46">
    <w:abstractNumId w:val="8"/>
  </w:num>
  <w:num w:numId="47">
    <w:abstractNumId w:val="14"/>
  </w:num>
  <w:num w:numId="48">
    <w:abstractNumId w:val="16"/>
  </w:num>
  <w:num w:numId="49">
    <w:abstractNumId w:val="17"/>
  </w:num>
  <w:num w:numId="50">
    <w:abstractNumId w:val="10"/>
  </w:num>
  <w:num w:numId="51">
    <w:abstractNumId w:val="15"/>
  </w:num>
  <w:num w:numId="5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1 10:57:4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89EC3021-7507-495F-97A9-DB3A5B48EB11"/>
    <w:docVar w:name="LW_COVERPAGE_TYPE" w:val="1"/>
    <w:docVar w:name="LW_CROSSREFERENCE" w:val="&lt;UNUSED&gt;"/>
    <w:docVar w:name="LW_DATE.ADOPT.CP" w:val="av den XXX"/>
    <w:docVar w:name="LW_DATE.ADOPT.CP_DATEFORMAT" w:val="av den %DATE%"/>
    <w:docVar w:name="LW_DATE.ADOPT.CP_ISODATE" w:val="&lt;EMPTY&gt;"/>
    <w:docVar w:name="LW_DocType" w:val="COM"/>
    <w:docVar w:name="LW_EMISSION" w:val="&lt;EMPTY&gt;"/>
    <w:docVar w:name="LW_EMISSION_ISODATE" w:val="&lt;EMPTY&gt;"/>
    <w:docVar w:name="LW_EMISSION_LOCATION" w:val="BRX"/>
    <w:docVar w:name="LW_EMISSION_PREFIX" w:val="Bryssel den "/>
    <w:docVar w:name="LW_EMISSION_SUFFIX" w:val=" "/>
    <w:docVar w:name="LW_ID_DOCMODEL" w:val="SJ-004"/>
    <w:docVar w:name="LW_ID_DOCSIGNATURE" w:val="SJ-004"/>
    <w:docVar w:name="LW_ID_DOCSTRUCTURE" w:val="COM/AA"/>
    <w:docVar w:name="LW_ID_DOCTYPE" w:val="SJ-004"/>
    <w:docVar w:name="LW_INTERETEEE" w:val="(Text av betydelse för EES)"/>
    <w:docVar w:name="LW_INTERETEEE.CP" w:val="(Text av betydelse för EES)"/>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lt;FMT:Bold&gt;om tekniska standarder för genomförande för tillämpningen av Europaparlamentets och rådets förordning (EU) nr 575/2013 och Europaparlamentets och rådets direktiv 2014/59/EU vad gäller tillsynsrapportering och offentliggörande avseende minimikravet för kapitalbas och kvalificerade skulder&lt;/FMT&gt;"/>
    <w:docVar w:name="LW_TITRE.OBJ.CP" w:val="&lt;FMT:Bold&gt;om tekniska standarder för genomförande för tillämpningen av Europaparlamentets och rådets förordning (EU) nr 575/2013 och Europaparlamentets och rådets direktiv 2014/59/EU vad gäller tillsynsrapportering och offentliggörande avseende minimikravet för kapitalbas och kvalificerade skulder&lt;/FMT&gt;"/>
    <w:docVar w:name="LW_TYPE.DOC" w:val="KOMMISSIONENS GENOMFÖRANDEFÖRORDNING (EU) \u8230?/\u8230?"/>
    <w:docVar w:name="LW_TYPE.DOC.CP" w:val="KOMMISSIONENS GENOMFÖRANDEFÖRORDNING (EU) \u8230?/\u8230?"/>
  </w:docVars>
  <w:rsids>
    <w:rsidRoot w:val="00911C0D"/>
    <w:rsid w:val="00022330"/>
    <w:rsid w:val="00050379"/>
    <w:rsid w:val="00080A21"/>
    <w:rsid w:val="000A7517"/>
    <w:rsid w:val="000E198E"/>
    <w:rsid w:val="000F730F"/>
    <w:rsid w:val="00114389"/>
    <w:rsid w:val="00135FE9"/>
    <w:rsid w:val="00144CAD"/>
    <w:rsid w:val="00146633"/>
    <w:rsid w:val="0017105F"/>
    <w:rsid w:val="00197AFE"/>
    <w:rsid w:val="001B26AE"/>
    <w:rsid w:val="001C2816"/>
    <w:rsid w:val="001D50FA"/>
    <w:rsid w:val="001E0321"/>
    <w:rsid w:val="001F6393"/>
    <w:rsid w:val="00213D10"/>
    <w:rsid w:val="00221C95"/>
    <w:rsid w:val="00223BDA"/>
    <w:rsid w:val="00232E98"/>
    <w:rsid w:val="00252F49"/>
    <w:rsid w:val="00273AFD"/>
    <w:rsid w:val="002A6E40"/>
    <w:rsid w:val="0038586F"/>
    <w:rsid w:val="003D1FF4"/>
    <w:rsid w:val="00403FFA"/>
    <w:rsid w:val="004D75CF"/>
    <w:rsid w:val="00501159"/>
    <w:rsid w:val="00515FD9"/>
    <w:rsid w:val="00534AD8"/>
    <w:rsid w:val="00576101"/>
    <w:rsid w:val="00595F73"/>
    <w:rsid w:val="005A470A"/>
    <w:rsid w:val="005F390A"/>
    <w:rsid w:val="0060509B"/>
    <w:rsid w:val="006142ED"/>
    <w:rsid w:val="006601FC"/>
    <w:rsid w:val="00693D6D"/>
    <w:rsid w:val="0069401E"/>
    <w:rsid w:val="006E792A"/>
    <w:rsid w:val="0070128F"/>
    <w:rsid w:val="00722C41"/>
    <w:rsid w:val="00786D48"/>
    <w:rsid w:val="007B47A6"/>
    <w:rsid w:val="007C06F6"/>
    <w:rsid w:val="007D06B9"/>
    <w:rsid w:val="007D3252"/>
    <w:rsid w:val="00867BAC"/>
    <w:rsid w:val="008E0D6D"/>
    <w:rsid w:val="008E17B7"/>
    <w:rsid w:val="008F166D"/>
    <w:rsid w:val="00911C0D"/>
    <w:rsid w:val="00936C22"/>
    <w:rsid w:val="00947623"/>
    <w:rsid w:val="009606FE"/>
    <w:rsid w:val="00986B33"/>
    <w:rsid w:val="00987AD5"/>
    <w:rsid w:val="009B6FBE"/>
    <w:rsid w:val="009B7138"/>
    <w:rsid w:val="009B73E5"/>
    <w:rsid w:val="009B76EF"/>
    <w:rsid w:val="009F1589"/>
    <w:rsid w:val="00A242DE"/>
    <w:rsid w:val="00A25281"/>
    <w:rsid w:val="00A72CC5"/>
    <w:rsid w:val="00A92F78"/>
    <w:rsid w:val="00AA2E8A"/>
    <w:rsid w:val="00AC0214"/>
    <w:rsid w:val="00AD067C"/>
    <w:rsid w:val="00B076B3"/>
    <w:rsid w:val="00B1066F"/>
    <w:rsid w:val="00B129CF"/>
    <w:rsid w:val="00B15ABD"/>
    <w:rsid w:val="00B26F22"/>
    <w:rsid w:val="00B378A2"/>
    <w:rsid w:val="00B51552"/>
    <w:rsid w:val="00BE246D"/>
    <w:rsid w:val="00BF17AA"/>
    <w:rsid w:val="00C13087"/>
    <w:rsid w:val="00C20744"/>
    <w:rsid w:val="00C24556"/>
    <w:rsid w:val="00C86532"/>
    <w:rsid w:val="00C9260D"/>
    <w:rsid w:val="00C95437"/>
    <w:rsid w:val="00CD7950"/>
    <w:rsid w:val="00D05552"/>
    <w:rsid w:val="00D05DDA"/>
    <w:rsid w:val="00D104BF"/>
    <w:rsid w:val="00D4070C"/>
    <w:rsid w:val="00D56ED7"/>
    <w:rsid w:val="00D653C4"/>
    <w:rsid w:val="00D80CBF"/>
    <w:rsid w:val="00D95682"/>
    <w:rsid w:val="00DB7093"/>
    <w:rsid w:val="00DC0EF5"/>
    <w:rsid w:val="00DC7D9F"/>
    <w:rsid w:val="00DD5153"/>
    <w:rsid w:val="00E0465B"/>
    <w:rsid w:val="00E31F5B"/>
    <w:rsid w:val="00E34FF4"/>
    <w:rsid w:val="00E65C7F"/>
    <w:rsid w:val="00EA09E4"/>
    <w:rsid w:val="00EE12E2"/>
    <w:rsid w:val="00EF62B3"/>
    <w:rsid w:val="00F20062"/>
    <w:rsid w:val="00F45263"/>
    <w:rsid w:val="00F82D09"/>
    <w:rsid w:val="00FB396C"/>
    <w:rsid w:val="00FB639E"/>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rsid w:val="009B7138"/>
    <w:pPr>
      <w:keepNext/>
      <w:numPr>
        <w:numId w:val="4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4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4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4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28"/>
      </w:numPr>
      <w:contextualSpacing/>
    </w:pPr>
  </w:style>
  <w:style w:type="paragraph" w:styleId="ListBullet2">
    <w:name w:val="List Bullet 2"/>
    <w:basedOn w:val="Normal"/>
    <w:uiPriority w:val="99"/>
    <w:semiHidden/>
    <w:unhideWhenUsed/>
    <w:rsid w:val="001B26AE"/>
    <w:pPr>
      <w:numPr>
        <w:numId w:val="29"/>
      </w:numPr>
      <w:contextualSpacing/>
    </w:pPr>
  </w:style>
  <w:style w:type="paragraph" w:styleId="ListBullet3">
    <w:name w:val="List Bullet 3"/>
    <w:basedOn w:val="Normal"/>
    <w:uiPriority w:val="99"/>
    <w:semiHidden/>
    <w:unhideWhenUsed/>
    <w:rsid w:val="001B26AE"/>
    <w:pPr>
      <w:numPr>
        <w:numId w:val="30"/>
      </w:numPr>
      <w:contextualSpacing/>
    </w:pPr>
  </w:style>
  <w:style w:type="paragraph" w:styleId="ListBullet4">
    <w:name w:val="List Bullet 4"/>
    <w:basedOn w:val="Normal"/>
    <w:uiPriority w:val="99"/>
    <w:semiHidden/>
    <w:unhideWhenUsed/>
    <w:rsid w:val="001B26AE"/>
    <w:pPr>
      <w:numPr>
        <w:numId w:val="31"/>
      </w:numPr>
      <w:contextualSpacing/>
    </w:pPr>
  </w:style>
  <w:style w:type="paragraph" w:styleId="ListNumber">
    <w:name w:val="List Number"/>
    <w:basedOn w:val="Normal"/>
    <w:uiPriority w:val="99"/>
    <w:semiHidden/>
    <w:unhideWhenUsed/>
    <w:rsid w:val="001B26AE"/>
    <w:pPr>
      <w:numPr>
        <w:numId w:val="32"/>
      </w:numPr>
      <w:contextualSpacing/>
    </w:pPr>
  </w:style>
  <w:style w:type="paragraph" w:styleId="ListNumber2">
    <w:name w:val="List Number 2"/>
    <w:basedOn w:val="Normal"/>
    <w:uiPriority w:val="99"/>
    <w:semiHidden/>
    <w:unhideWhenUsed/>
    <w:rsid w:val="001B26AE"/>
    <w:pPr>
      <w:numPr>
        <w:numId w:val="33"/>
      </w:numPr>
      <w:contextualSpacing/>
    </w:pPr>
  </w:style>
  <w:style w:type="paragraph" w:styleId="ListNumber3">
    <w:name w:val="List Number 3"/>
    <w:basedOn w:val="Normal"/>
    <w:uiPriority w:val="99"/>
    <w:semiHidden/>
    <w:unhideWhenUsed/>
    <w:rsid w:val="001B26AE"/>
    <w:pPr>
      <w:numPr>
        <w:numId w:val="34"/>
      </w:numPr>
      <w:contextualSpacing/>
    </w:pPr>
  </w:style>
  <w:style w:type="paragraph" w:styleId="ListNumber4">
    <w:name w:val="List Number 4"/>
    <w:basedOn w:val="Normal"/>
    <w:uiPriority w:val="99"/>
    <w:semiHidden/>
    <w:unhideWhenUsed/>
    <w:rsid w:val="001B26AE"/>
    <w:pPr>
      <w:numPr>
        <w:numId w:val="35"/>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sv-SE"/>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sv-SE"/>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sv-SE"/>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9"/>
      </w:numPr>
    </w:pPr>
  </w:style>
  <w:style w:type="paragraph" w:customStyle="1" w:styleId="Tiret1">
    <w:name w:val="Tiret 1"/>
    <w:basedOn w:val="Point1"/>
    <w:rsid w:val="009B7138"/>
    <w:pPr>
      <w:numPr>
        <w:numId w:val="40"/>
      </w:numPr>
    </w:pPr>
  </w:style>
  <w:style w:type="paragraph" w:customStyle="1" w:styleId="Tiret2">
    <w:name w:val="Tiret 2"/>
    <w:basedOn w:val="Point2"/>
    <w:rsid w:val="009B7138"/>
    <w:pPr>
      <w:numPr>
        <w:numId w:val="41"/>
      </w:numPr>
    </w:pPr>
  </w:style>
  <w:style w:type="paragraph" w:customStyle="1" w:styleId="Tiret3">
    <w:name w:val="Tiret 3"/>
    <w:basedOn w:val="Point3"/>
    <w:rsid w:val="009B7138"/>
    <w:pPr>
      <w:numPr>
        <w:numId w:val="42"/>
      </w:numPr>
    </w:pPr>
  </w:style>
  <w:style w:type="paragraph" w:customStyle="1" w:styleId="Tiret4">
    <w:name w:val="Tiret 4"/>
    <w:basedOn w:val="Point4"/>
    <w:rsid w:val="009B7138"/>
    <w:pPr>
      <w:numPr>
        <w:numId w:val="4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44"/>
      </w:numPr>
    </w:pPr>
  </w:style>
  <w:style w:type="paragraph" w:customStyle="1" w:styleId="NumPar2">
    <w:name w:val="NumPar 2"/>
    <w:basedOn w:val="Normal"/>
    <w:next w:val="Text1"/>
    <w:rsid w:val="009B7138"/>
    <w:pPr>
      <w:numPr>
        <w:ilvl w:val="1"/>
        <w:numId w:val="44"/>
      </w:numPr>
    </w:pPr>
  </w:style>
  <w:style w:type="paragraph" w:customStyle="1" w:styleId="NumPar3">
    <w:name w:val="NumPar 3"/>
    <w:basedOn w:val="Normal"/>
    <w:next w:val="Text1"/>
    <w:rsid w:val="009B7138"/>
    <w:pPr>
      <w:numPr>
        <w:ilvl w:val="2"/>
        <w:numId w:val="44"/>
      </w:numPr>
    </w:pPr>
  </w:style>
  <w:style w:type="paragraph" w:customStyle="1" w:styleId="NumPar4">
    <w:name w:val="NumPar 4"/>
    <w:basedOn w:val="Normal"/>
    <w:next w:val="Text1"/>
    <w:rsid w:val="009B7138"/>
    <w:pPr>
      <w:numPr>
        <w:ilvl w:val="3"/>
        <w:numId w:val="4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46"/>
      </w:numPr>
    </w:pPr>
  </w:style>
  <w:style w:type="paragraph" w:customStyle="1" w:styleId="Point1number">
    <w:name w:val="Point 1 (number)"/>
    <w:basedOn w:val="Normal"/>
    <w:rsid w:val="009B7138"/>
    <w:pPr>
      <w:numPr>
        <w:ilvl w:val="2"/>
        <w:numId w:val="46"/>
      </w:numPr>
    </w:pPr>
  </w:style>
  <w:style w:type="paragraph" w:customStyle="1" w:styleId="Point2number">
    <w:name w:val="Point 2 (number)"/>
    <w:basedOn w:val="Normal"/>
    <w:rsid w:val="009B7138"/>
    <w:pPr>
      <w:numPr>
        <w:ilvl w:val="4"/>
        <w:numId w:val="46"/>
      </w:numPr>
    </w:pPr>
  </w:style>
  <w:style w:type="paragraph" w:customStyle="1" w:styleId="Point3number">
    <w:name w:val="Point 3 (number)"/>
    <w:basedOn w:val="Normal"/>
    <w:rsid w:val="009B7138"/>
    <w:pPr>
      <w:numPr>
        <w:ilvl w:val="6"/>
        <w:numId w:val="46"/>
      </w:numPr>
    </w:pPr>
  </w:style>
  <w:style w:type="paragraph" w:customStyle="1" w:styleId="Point0letter">
    <w:name w:val="Point 0 (letter)"/>
    <w:basedOn w:val="Normal"/>
    <w:rsid w:val="009B7138"/>
    <w:pPr>
      <w:numPr>
        <w:ilvl w:val="1"/>
        <w:numId w:val="46"/>
      </w:numPr>
    </w:pPr>
  </w:style>
  <w:style w:type="paragraph" w:customStyle="1" w:styleId="Point1letter">
    <w:name w:val="Point 1 (letter)"/>
    <w:basedOn w:val="Normal"/>
    <w:rsid w:val="009B7138"/>
    <w:pPr>
      <w:numPr>
        <w:ilvl w:val="3"/>
        <w:numId w:val="46"/>
      </w:numPr>
    </w:pPr>
  </w:style>
  <w:style w:type="paragraph" w:customStyle="1" w:styleId="Point2letter">
    <w:name w:val="Point 2 (letter)"/>
    <w:basedOn w:val="Normal"/>
    <w:rsid w:val="009B7138"/>
    <w:pPr>
      <w:numPr>
        <w:ilvl w:val="5"/>
        <w:numId w:val="46"/>
      </w:numPr>
    </w:pPr>
  </w:style>
  <w:style w:type="paragraph" w:customStyle="1" w:styleId="Point3letter">
    <w:name w:val="Point 3 (letter)"/>
    <w:basedOn w:val="Normal"/>
    <w:rsid w:val="009B7138"/>
    <w:pPr>
      <w:numPr>
        <w:ilvl w:val="7"/>
        <w:numId w:val="46"/>
      </w:numPr>
    </w:pPr>
  </w:style>
  <w:style w:type="paragraph" w:customStyle="1" w:styleId="Point4letter">
    <w:name w:val="Point 4 (letter)"/>
    <w:basedOn w:val="Normal"/>
    <w:rsid w:val="009B7138"/>
    <w:pPr>
      <w:numPr>
        <w:ilvl w:val="8"/>
        <w:numId w:val="46"/>
      </w:numPr>
    </w:pPr>
  </w:style>
  <w:style w:type="paragraph" w:customStyle="1" w:styleId="Bullet0">
    <w:name w:val="Bullet 0"/>
    <w:basedOn w:val="Normal"/>
    <w:rsid w:val="009B7138"/>
    <w:pPr>
      <w:numPr>
        <w:numId w:val="47"/>
      </w:numPr>
    </w:pPr>
  </w:style>
  <w:style w:type="paragraph" w:customStyle="1" w:styleId="Bullet1">
    <w:name w:val="Bullet 1"/>
    <w:basedOn w:val="Normal"/>
    <w:rsid w:val="009B7138"/>
    <w:pPr>
      <w:numPr>
        <w:numId w:val="48"/>
      </w:numPr>
    </w:pPr>
  </w:style>
  <w:style w:type="paragraph" w:customStyle="1" w:styleId="Bullet2">
    <w:name w:val="Bullet 2"/>
    <w:basedOn w:val="Normal"/>
    <w:rsid w:val="009B7138"/>
    <w:pPr>
      <w:numPr>
        <w:numId w:val="49"/>
      </w:numPr>
    </w:pPr>
  </w:style>
  <w:style w:type="paragraph" w:customStyle="1" w:styleId="Bullet3">
    <w:name w:val="Bullet 3"/>
    <w:basedOn w:val="Normal"/>
    <w:rsid w:val="009B7138"/>
    <w:pPr>
      <w:numPr>
        <w:numId w:val="50"/>
      </w:numPr>
    </w:pPr>
  </w:style>
  <w:style w:type="paragraph" w:customStyle="1" w:styleId="Bullet4">
    <w:name w:val="Bullet 4"/>
    <w:basedOn w:val="Normal"/>
    <w:rsid w:val="009B7138"/>
    <w:pPr>
      <w:numPr>
        <w:numId w:val="5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5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13</Pages>
  <Words>4660</Words>
  <Characters>28103</Characters>
  <Application>Microsoft Office Word</Application>
  <DocSecurity>0</DocSecurity>
  <Lines>493</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2021-05-18T14:23:00Z</dcterms:created>
  <dcterms:modified xsi:type="dcterms:W3CDTF">2021-05-18T14:23:00Z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