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Pr>
          <w:rFonts w:ascii="Times New Roman" w:hAnsi="Times New Roman"/>
          <w:b/>
          <w:sz w:val="24"/>
        </w:rPr>
        <w:t>BG</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Pr>
          <w:rFonts w:ascii="Times New Roman" w:hAnsi="Times New Roman"/>
          <w:b/>
          <w:sz w:val="24"/>
          <w:u w:val="single"/>
        </w:rPr>
        <w:t>ПРИЛОЖЕНИЕ II</w:t>
      </w:r>
    </w:p>
    <w:p w14:paraId="72B7353D" w14:textId="015A3DEE" w:rsidR="002D5E59" w:rsidRPr="001562B3" w:rsidRDefault="002648B0" w:rsidP="00C271AC">
      <w:pPr>
        <w:jc w:val="center"/>
        <w:rPr>
          <w:rFonts w:ascii="Times New Roman" w:hAnsi="Times New Roman"/>
          <w:b/>
          <w:sz w:val="24"/>
        </w:rPr>
      </w:pPr>
      <w:r>
        <w:rPr>
          <w:rFonts w:ascii="Times New Roman" w:hAnsi="Times New Roman"/>
          <w:b/>
          <w:sz w:val="24"/>
        </w:rPr>
        <w:t>ДОКЛАДВАНЕ ОТНОСНО МИНИМАЛНОТО ИЗИСКВАНЕ ЗА СОБСТВЕНИ СРЕДСТВА И ПРИЕМЛИВИ ЗАДЪЛЖЕНИЯ - УКАЗАНИЯ</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rPr>
      </w:pPr>
      <w:r>
        <w:rPr>
          <w:rFonts w:ascii="Times New Roman" w:hAnsi="Times New Roman"/>
        </w:rPr>
        <w:t>ЧАСТ I:</w:t>
      </w:r>
      <w:bookmarkEnd w:id="3"/>
      <w:r>
        <w:rPr>
          <w:rFonts w:ascii="Times New Roman" w:hAnsi="Times New Roman"/>
        </w:rPr>
        <w:t xml:space="preserve"> ОБЩИ УКАЗАНИЯ</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t>Структура и установени практики</w:t>
      </w:r>
      <w:bookmarkEnd w:id="7"/>
      <w:bookmarkEnd w:id="8"/>
      <w:bookmarkEnd w:id="9"/>
    </w:p>
    <w:p w14:paraId="2C1B34C2" w14:textId="170A170D" w:rsidR="002648B0" w:rsidRPr="001562B3" w:rsidRDefault="002648B0" w:rsidP="003C53E9">
      <w:pPr>
        <w:pStyle w:val="Numberedtilelevel1"/>
        <w:numPr>
          <w:ilvl w:val="1"/>
          <w:numId w:val="28"/>
        </w:numPr>
      </w:pPr>
      <w:bookmarkStart w:id="10" w:name="_Toc360188319"/>
      <w:bookmarkStart w:id="11" w:name="_Toc473560867"/>
      <w:bookmarkStart w:id="12" w:name="_Toc16868626"/>
      <w:bookmarkStart w:id="13" w:name="_Toc45558474"/>
      <w:bookmarkStart w:id="14" w:name="_Toc264038399"/>
      <w:bookmarkStart w:id="15" w:name="_Toc294018834"/>
      <w:r>
        <w:t>Структура</w:t>
      </w:r>
      <w:bookmarkEnd w:id="10"/>
      <w:bookmarkEnd w:id="11"/>
      <w:bookmarkEnd w:id="12"/>
      <w:bookmarkEnd w:id="13"/>
    </w:p>
    <w:p w14:paraId="2AC3B1BF" w14:textId="310ACCAB" w:rsidR="002648B0" w:rsidRPr="001562B3" w:rsidRDefault="00102048" w:rsidP="00E05895">
      <w:pPr>
        <w:pStyle w:val="InstructionsText2"/>
      </w:pPr>
      <w:r>
        <w:t>Настоящата рамка за докладване относно МИПЗ и ОКПЗ се състои от четири групи образци:</w:t>
      </w:r>
    </w:p>
    <w:p w14:paraId="3086B9DD" w14:textId="5E78D7ED" w:rsidR="002648B0" w:rsidRPr="001562B3" w:rsidRDefault="00142215" w:rsidP="003C53E9">
      <w:pPr>
        <w:pStyle w:val="InstructionsText2"/>
        <w:numPr>
          <w:ilvl w:val="1"/>
          <w:numId w:val="32"/>
        </w:numPr>
      </w:pPr>
      <w:r>
        <w:t>стойности: основни показатели на МИПЗ и ОКПЗ;</w:t>
      </w:r>
    </w:p>
    <w:p w14:paraId="3B952615" w14:textId="5D008287" w:rsidR="00436204" w:rsidRPr="001562B3" w:rsidRDefault="00142215" w:rsidP="003C53E9">
      <w:pPr>
        <w:pStyle w:val="InstructionsText2"/>
        <w:numPr>
          <w:ilvl w:val="1"/>
          <w:numId w:val="32"/>
        </w:numPr>
      </w:pPr>
      <w:r>
        <w:t>състав и падеж;</w:t>
      </w:r>
    </w:p>
    <w:p w14:paraId="63E2C274" w14:textId="67BC4149" w:rsidR="002648B0" w:rsidRPr="001562B3" w:rsidRDefault="00102048" w:rsidP="003C53E9">
      <w:pPr>
        <w:pStyle w:val="InstructionsText2"/>
        <w:numPr>
          <w:ilvl w:val="1"/>
          <w:numId w:val="32"/>
        </w:numPr>
      </w:pPr>
      <w:r>
        <w:t>йерархия на кредиторите;</w:t>
      </w:r>
    </w:p>
    <w:p w14:paraId="0D4AB948" w14:textId="42C1A351" w:rsidR="002648B0" w:rsidRPr="001562B3" w:rsidRDefault="00142215" w:rsidP="003C53E9">
      <w:pPr>
        <w:pStyle w:val="InstructionsText2"/>
        <w:numPr>
          <w:ilvl w:val="1"/>
          <w:numId w:val="32"/>
        </w:numPr>
      </w:pPr>
      <w:r>
        <w:t>специфична за договора информация.</w:t>
      </w:r>
    </w:p>
    <w:p w14:paraId="0F36F124" w14:textId="59ECD771" w:rsidR="002648B0" w:rsidRPr="001562B3" w:rsidRDefault="002648B0">
      <w:pPr>
        <w:pStyle w:val="InstructionsText2"/>
      </w:pPr>
      <w:r>
        <w:t>За всеки образец са представени препратки към нормативни актове. В тази част от регламента е включена допълнителна подробна информация относно по-общи аспекти на докладването на всеки набор от образци и указания относно конкретни позиции.</w:t>
      </w:r>
    </w:p>
    <w:p w14:paraId="720FE1D9" w14:textId="3CD80A7E" w:rsidR="002648B0" w:rsidRPr="001562B3" w:rsidRDefault="002648B0" w:rsidP="003C53E9">
      <w:pPr>
        <w:pStyle w:val="Numberedtilelevel1"/>
        <w:numPr>
          <w:ilvl w:val="1"/>
          <w:numId w:val="28"/>
        </w:numPr>
      </w:pPr>
      <w:bookmarkStart w:id="16" w:name="_Toc360188320"/>
      <w:bookmarkStart w:id="17" w:name="_Toc473560868"/>
      <w:bookmarkStart w:id="18" w:name="_Toc16868627"/>
      <w:bookmarkStart w:id="19" w:name="_Toc45558475"/>
      <w:r>
        <w:t>Установени практики при номерирането</w:t>
      </w:r>
      <w:bookmarkEnd w:id="16"/>
      <w:bookmarkEnd w:id="17"/>
      <w:bookmarkEnd w:id="18"/>
      <w:bookmarkEnd w:id="19"/>
    </w:p>
    <w:p w14:paraId="66584242" w14:textId="63AA7C63" w:rsidR="002648B0" w:rsidRPr="001562B3" w:rsidRDefault="002648B0" w:rsidP="00E05895">
      <w:pPr>
        <w:pStyle w:val="InstructionsText2"/>
      </w:pPr>
      <w:r>
        <w:t>Когато се правят препратки към колоните, редовете и клетките от образците, в документа е следвано обозначаването, представено в букви а) — г). Тези цифрови кодове се използват широко в правилата за утвърждаване, определени в съответствие с приложение III.</w:t>
      </w:r>
    </w:p>
    <w:p w14:paraId="62F2C4B4" w14:textId="37DCE2FC" w:rsidR="005643EA" w:rsidRPr="001562B3" w:rsidRDefault="00142215" w:rsidP="003C53E9">
      <w:pPr>
        <w:pStyle w:val="InstructionsText2"/>
        <w:numPr>
          <w:ilvl w:val="1"/>
          <w:numId w:val="33"/>
        </w:numPr>
      </w:pPr>
      <w:r>
        <w:t>Съблюдават се следните общи означения: {Образец;Ред;Колона};</w:t>
      </w:r>
    </w:p>
    <w:p w14:paraId="7FB9131E" w14:textId="0B707586" w:rsidR="007D41F2" w:rsidRPr="001562B3" w:rsidRDefault="00142215" w:rsidP="003C53E9">
      <w:pPr>
        <w:pStyle w:val="InstructionsText2"/>
        <w:numPr>
          <w:ilvl w:val="1"/>
          <w:numId w:val="33"/>
        </w:numPr>
      </w:pPr>
      <w:r>
        <w:t>при препратки в рамките на образеца не се посочва самият образец: {Ред;Колона};</w:t>
      </w:r>
    </w:p>
    <w:p w14:paraId="07D8D5F5" w14:textId="74593C91" w:rsidR="007D41F2" w:rsidRPr="001562B3" w:rsidRDefault="00142215" w:rsidP="003C53E9">
      <w:pPr>
        <w:pStyle w:val="InstructionsText2"/>
        <w:numPr>
          <w:ilvl w:val="1"/>
          <w:numId w:val="33"/>
        </w:numPr>
      </w:pPr>
      <w:r>
        <w:t>при образците, които имат само една колона, се правят препратки само към редовете: {Образец;Ред};</w:t>
      </w:r>
    </w:p>
    <w:p w14:paraId="690EFD8E" w14:textId="1E756AEF" w:rsidR="002648B0" w:rsidRPr="001562B3" w:rsidRDefault="00BD4614" w:rsidP="003C53E9">
      <w:pPr>
        <w:pStyle w:val="InstructionsText2"/>
        <w:numPr>
          <w:ilvl w:val="1"/>
          <w:numId w:val="33"/>
        </w:numPr>
      </w:pPr>
      <w:r>
        <w:t>знакът „звездичка“ се използва, за да се покаже, че препратката обхваща посочените преди това редове или колони.</w:t>
      </w:r>
    </w:p>
    <w:p w14:paraId="7F222ACA" w14:textId="049AEB36" w:rsidR="002648B0" w:rsidRPr="001562B3" w:rsidRDefault="002648B0" w:rsidP="003C53E9">
      <w:pPr>
        <w:pStyle w:val="Numberedtilelevel1"/>
        <w:numPr>
          <w:ilvl w:val="1"/>
          <w:numId w:val="28"/>
        </w:numPr>
      </w:pPr>
      <w:bookmarkStart w:id="20" w:name="_Toc360188321"/>
      <w:bookmarkStart w:id="21" w:name="_Toc473560869"/>
      <w:bookmarkStart w:id="22" w:name="_Toc16868628"/>
      <w:bookmarkStart w:id="23" w:name="_Toc45558476"/>
      <w:r>
        <w:t>Установени практики при използване на знаци</w:t>
      </w:r>
      <w:bookmarkEnd w:id="14"/>
      <w:bookmarkEnd w:id="15"/>
      <w:bookmarkEnd w:id="20"/>
      <w:bookmarkEnd w:id="21"/>
      <w:bookmarkEnd w:id="22"/>
      <w:bookmarkEnd w:id="23"/>
    </w:p>
    <w:p w14:paraId="5CD09166" w14:textId="3D59906B" w:rsidR="002648B0" w:rsidRPr="001562B3" w:rsidRDefault="002648B0" w:rsidP="00E05895">
      <w:pPr>
        <w:pStyle w:val="InstructionsText2"/>
      </w:pPr>
      <w:r>
        <w:t xml:space="preserve">Всяка стойност, с която се увеличават собствените средства и приемливите задължения, рисково претеглените размери на експозициите, мярката </w:t>
      </w:r>
      <w:r>
        <w:lastRenderedPageBreak/>
        <w:t>за експозицията с оглед на отношението на ливъридж или изискванията, се докладва като положително число. И обратно, всяка стойност, с която се намаляват собствените средства и приемливите задължения, рисково претеглените размери на експозициите, мярката за експозицията с оглед на отношението на ливъридж или изискванията, се докладва като отрицателно число. При наличие на отрицателен знак (-) пред обозначението на дадена позиция не се очаква докладване на положително число по нея.</w:t>
      </w:r>
    </w:p>
    <w:p w14:paraId="4866E65F" w14:textId="06153E8B" w:rsidR="00304CA5" w:rsidRPr="001562B3" w:rsidRDefault="001F2830" w:rsidP="003C53E9">
      <w:pPr>
        <w:pStyle w:val="Numberedtilelevel1"/>
        <w:numPr>
          <w:ilvl w:val="1"/>
          <w:numId w:val="28"/>
        </w:numPr>
      </w:pPr>
      <w:bookmarkStart w:id="24" w:name="_Toc16868629"/>
      <w:bookmarkStart w:id="25" w:name="_Toc45558477"/>
      <w:r>
        <w:t>Съкращения</w:t>
      </w:r>
      <w:bookmarkEnd w:id="24"/>
      <w:bookmarkEnd w:id="25"/>
    </w:p>
    <w:p w14:paraId="246BFF93" w14:textId="300638DB" w:rsidR="007D41F2" w:rsidRPr="001562B3" w:rsidRDefault="007D41F2" w:rsidP="00E05895">
      <w:pPr>
        <w:pStyle w:val="InstructionsText2"/>
      </w:pPr>
      <w:r>
        <w:t>За целите на приложенията към настоящия регламент се използват следните съкращения:</w:t>
      </w:r>
    </w:p>
    <w:p w14:paraId="570D1886" w14:textId="160507E7" w:rsidR="007A0406" w:rsidRPr="001562B3" w:rsidRDefault="006876BA" w:rsidP="003C53E9">
      <w:pPr>
        <w:pStyle w:val="InstructionsText2"/>
        <w:numPr>
          <w:ilvl w:val="1"/>
          <w:numId w:val="34"/>
        </w:numPr>
      </w:pPr>
      <w:r>
        <w:t xml:space="preserve"> „МИПЗ“ е минималното изискване за собствени средства и приемливи задължения съгласно член 45 от Директива 2014/59/ЕС</w:t>
      </w:r>
      <w:r>
        <w:rPr>
          <w:rStyle w:val="FootnoteReference"/>
        </w:rPr>
        <w:footnoteReference w:id="2"/>
      </w:r>
      <w:r>
        <w:t>;</w:t>
      </w:r>
    </w:p>
    <w:p w14:paraId="57536738" w14:textId="2A7AE090" w:rsidR="007A0406" w:rsidRPr="001562B3" w:rsidRDefault="007A0406" w:rsidP="003C53E9">
      <w:pPr>
        <w:pStyle w:val="InstructionsText2"/>
        <w:numPr>
          <w:ilvl w:val="1"/>
          <w:numId w:val="34"/>
        </w:numPr>
      </w:pPr>
      <w:r>
        <w:t>„ОКПЗ“ са изискванията за собствени средства и приемливи задължения за глобални системно значими институции (Г-СЗИ) съгласно член 92а от Регламент (ЕС) № 575/2013</w:t>
      </w:r>
      <w:r>
        <w:rPr>
          <w:rStyle w:val="FootnoteReference"/>
        </w:rPr>
        <w:footnoteReference w:id="3"/>
      </w:r>
      <w:r>
        <w:t>;</w:t>
      </w:r>
    </w:p>
    <w:p w14:paraId="2F8292A9" w14:textId="510A8DF1" w:rsidR="005C73C9" w:rsidRPr="001562B3" w:rsidRDefault="005C73C9" w:rsidP="003C53E9">
      <w:pPr>
        <w:pStyle w:val="InstructionsText2"/>
        <w:numPr>
          <w:ilvl w:val="1"/>
          <w:numId w:val="34"/>
        </w:numPr>
      </w:pPr>
      <w:r>
        <w:t>„вътрешен ОКПЗ“ е изискването за собствени средства и приемливи задължения за Г-СЗИ извън ЕС съгласно член 92б от Регламент (ЕС) № 575/2013;</w:t>
      </w:r>
    </w:p>
    <w:p w14:paraId="20FFA708" w14:textId="3A916788" w:rsidR="008E638A" w:rsidRPr="001562B3" w:rsidRDefault="008E638A" w:rsidP="003C53E9">
      <w:pPr>
        <w:pStyle w:val="InstructionsText2"/>
        <w:numPr>
          <w:ilvl w:val="1"/>
          <w:numId w:val="34"/>
        </w:numPr>
      </w:pPr>
      <w:r>
        <w:t>„вътрешно МИПЗ“ е МИПЗ, прилагано за субекти, които сами по себе си не са субекти за преструктуриране съгласно член 45е от Директива 2014/59/ЕС.</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rPr>
      </w:pPr>
      <w:bookmarkStart w:id="27" w:name="_Toc360188322"/>
      <w:bookmarkStart w:id="28" w:name="_Toc473560870"/>
      <w:bookmarkStart w:id="29" w:name="_Toc45558478"/>
      <w:r>
        <w:rPr>
          <w:rFonts w:ascii="Times New Roman" w:hAnsi="Times New Roman"/>
        </w:rPr>
        <w:lastRenderedPageBreak/>
        <w:t>ЧАСТ II: УКАЗАНИЯ ОТНОСНО ОБРАЗЦИТЕ</w:t>
      </w:r>
      <w:bookmarkEnd w:id="27"/>
      <w:bookmarkEnd w:id="28"/>
      <w:bookmarkEnd w:id="29"/>
    </w:p>
    <w:p w14:paraId="011193F3" w14:textId="255CE50E" w:rsidR="002648B0" w:rsidRPr="001562B3" w:rsidRDefault="00F753F4" w:rsidP="003C53E9">
      <w:pPr>
        <w:pStyle w:val="Numberedtilelevel1"/>
        <w:numPr>
          <w:ilvl w:val="0"/>
          <w:numId w:val="29"/>
        </w:numPr>
      </w:pPr>
      <w:bookmarkStart w:id="30" w:name="_Toc45558479"/>
      <w:r>
        <w:t>Стойности: M 01.00 — Основни показатели за МИПЗ и ОКПЗ (KM2)</w:t>
      </w:r>
      <w:bookmarkEnd w:id="30"/>
    </w:p>
    <w:p w14:paraId="33F01D1B" w14:textId="77777777" w:rsidR="00443BEC" w:rsidRPr="001562B3" w:rsidRDefault="00443BEC" w:rsidP="003C53E9">
      <w:pPr>
        <w:pStyle w:val="Numberedtilelevel1"/>
        <w:numPr>
          <w:ilvl w:val="1"/>
          <w:numId w:val="28"/>
        </w:numPr>
      </w:pPr>
      <w:bookmarkStart w:id="31" w:name="_Toc45558480"/>
      <w:r>
        <w:t>Общи бележки</w:t>
      </w:r>
      <w:bookmarkEnd w:id="31"/>
    </w:p>
    <w:p w14:paraId="6B3CD7BF" w14:textId="06246238" w:rsidR="00902E77" w:rsidRPr="001562B3" w:rsidRDefault="002701C8" w:rsidP="00E05895">
      <w:pPr>
        <w:pStyle w:val="InstructionsText2"/>
      </w:pPr>
      <w:r>
        <w:t>Колоната, отнасяща се до минималното изискване за собствени средства и приемливи задължения (МИПЗ), се попълва от субектите, за които това изискване се прилага в съответствие с член 45д от Директива 2014/59/ЕС. Само субектите, които са задължени да спазват изискването по член 92а от Регламент (ЕС) № 575/2013, докладват позициите, отнасящи се до изискването за собствени средства и приемливи задължения за Г-СЗИ (ОКПЗ).</w:t>
      </w:r>
    </w:p>
    <w:p w14:paraId="507A7131" w14:textId="77167883" w:rsidR="00443BEC" w:rsidRPr="001562B3" w:rsidRDefault="00443BEC" w:rsidP="003C53E9">
      <w:pPr>
        <w:pStyle w:val="Numberedtilelevel1"/>
        <w:numPr>
          <w:ilvl w:val="1"/>
          <w:numId w:val="28"/>
        </w:numPr>
      </w:pPr>
      <w:bookmarkStart w:id="32" w:name="_Toc45558481"/>
      <w:r>
        <w:t>Указания за специфични позиции</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t>Колони</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t>Препратки към правни норми и указания</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Минимално изискване за собствени средства и приемливи задължения (МИПЗ)</w:t>
            </w:r>
          </w:p>
          <w:p w14:paraId="2AD8D05B" w14:textId="3CD8A827" w:rsidR="00B24942" w:rsidRPr="001562B3" w:rsidRDefault="00B24942">
            <w:pPr>
              <w:pStyle w:val="InstructionsText"/>
            </w:pPr>
            <w:r>
              <w:rPr>
                <w:rStyle w:val="InstructionsTabelleberschrift"/>
                <w:rFonts w:ascii="Times New Roman" w:hAnsi="Times New Roman"/>
                <w:b w:val="0"/>
                <w:sz w:val="24"/>
                <w:u w:val="none"/>
              </w:rPr>
              <w:t>Членове 45 и 45д</w:t>
            </w:r>
            <w:r>
              <w:t xml:space="preserve"> от Директива 2014/59/ЕС.</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Изискване за собствени средства и приемливи задължения за Г-СЗИ (ОКПЗ)</w:t>
            </w:r>
          </w:p>
          <w:p w14:paraId="3CB88656" w14:textId="5EB7C7A4" w:rsidR="00B24942" w:rsidRPr="001562B3" w:rsidRDefault="00B2494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92a</w:t>
            </w:r>
            <w:r>
              <w:t xml:space="preserve"> от Регламент (ЕС) № 575/2013.</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Ред</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правни норми и указания</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Обща рискова експозиция и мярка за общата експозиция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Обща рискова експозиция (ОРЕ)</w:t>
            </w:r>
          </w:p>
          <w:p w14:paraId="2DCC2520" w14:textId="36987F91" w:rsidR="00EB663A"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Член 45, параграф 2, буква а) от Директива 2014/59/ЕС, член 92, параграф 3 от Регламент (ЕС) № 575/2013.</w:t>
            </w:r>
          </w:p>
          <w:p w14:paraId="59BD35A0" w14:textId="6FD46776" w:rsidR="00482729"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В този ред се докладва общата рискова експозиция, която е основа за спазването на изискванията на член 45 от Директива 2014/59/ЕС или член 92а от Регламент (ЕС) № 575/2013, според случая.</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Мярка за общата експозиция (МОЕ)</w:t>
            </w:r>
          </w:p>
          <w:p w14:paraId="1A7F5C6F" w14:textId="0FEF4F72" w:rsidR="00482729" w:rsidRPr="001562B3" w:rsidRDefault="00740250" w:rsidP="00740250">
            <w:pPr>
              <w:rPr>
                <w:rStyle w:val="FormatvorlageInstructionsTabelleText"/>
                <w:rFonts w:ascii="Times New Roman" w:hAnsi="Times New Roman"/>
                <w:sz w:val="24"/>
              </w:rPr>
            </w:pPr>
            <w:r>
              <w:rPr>
                <w:rStyle w:val="FormatvorlageInstructionsTabelleText"/>
                <w:rFonts w:ascii="Times New Roman" w:hAnsi="Times New Roman"/>
                <w:sz w:val="24"/>
              </w:rPr>
              <w:t>Член 45, параграф 2, буква б) от Директива 2014/59/ЕС, член 429, параграф 4 и член 429а от Регламент (ЕС) № 575/2013.</w:t>
            </w:r>
          </w:p>
          <w:p w14:paraId="27EFEFE0" w14:textId="3256C09C" w:rsidR="00EB663A" w:rsidRPr="001562B3"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В този ред се докладва мярката за общата експозиция, която е основа за спазването на изискванията на член 45 от Директива 2014/59/ЕС или член 92а от Регламент (ЕС) № 575/2013, според случая.</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w:t>
            </w:r>
          </w:p>
          <w:p w14:paraId="23602173" w14:textId="13A6C1A6" w:rsidR="00014A29" w:rsidRPr="001562B3"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5BB19EC3" w14:textId="6EEA08CA" w:rsidR="00833ACC" w:rsidRPr="001562B3"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Размерът на собствените средства и приемливите задължения, отчитани като част от МИПЗ, се докладва като сбора на:</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собствените средства съгласно определението в член 4, параграф 1, точка 118 и член 72 от Регламент (ЕО) № 575/2013;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приемливите задължения съгласно определението в член 2, параграф 1, точка 71а от Директива 2014/59/ЕС.</w:t>
            </w:r>
          </w:p>
          <w:p w14:paraId="08E53EB1" w14:textId="75A237C1" w:rsidR="00014A29" w:rsidRPr="001562B3"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Инструментите, уредени от правото на трета държава, се включват в този ред само ако отговарят на изискванията на член 55 от Директива 2014/59/ЕС.</w:t>
            </w:r>
          </w:p>
          <w:p w14:paraId="3802483D" w14:textId="72951D63" w:rsidR="00014A29" w:rsidRPr="001562B3"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172C64BD" w14:textId="5B59747A" w:rsidR="00C74C49" w:rsidRPr="001562B3"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Размерът на собствените средства и приемливите задължения, отчитани като част от изискването за собствени средства и приемливи задължения за Г-СЗИ (ОКПЗ), е посочената в член 72л от Регламент (ЕС) № 575/2013 стойност, която се състои от:</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собствените средства съгласно определението в член 4, параграф 1, точка 118 и член 72 от Регламент (ЕО) № 575/2013;</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приемливите задължения в съответствие с член 72к от Регламент (ЕС) № 575/2013.</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собствени средства и подчинени задължения</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Размерът на собствените средства и подчинените приемливи задължения, отчитани като част от МИПЗ, се докладва като сбора на:</w:t>
            </w:r>
          </w:p>
          <w:p w14:paraId="1E69B0AB" w14:textId="5FCA8702" w:rsidR="00CC7A43" w:rsidRPr="001562B3" w:rsidRDefault="00CC7A43" w:rsidP="003C53E9">
            <w:pPr>
              <w:pStyle w:val="ListParagraph"/>
              <w:numPr>
                <w:ilvl w:val="0"/>
                <w:numId w:val="31"/>
              </w:numPr>
              <w:rPr>
                <w:rStyle w:val="InstructionsTabelleberschrift"/>
                <w:rFonts w:ascii="Times New Roman" w:hAnsi="Times New Roman"/>
                <w:b w:val="0"/>
                <w:sz w:val="24"/>
                <w:u w:val="none"/>
              </w:rPr>
            </w:pPr>
            <w:r>
              <w:rPr>
                <w:rFonts w:ascii="Times New Roman" w:hAnsi="Times New Roman"/>
                <w:sz w:val="24"/>
              </w:rPr>
              <w:t>собствените средства съгласно определението в член 4, параграф 1, точка 118 и член 72 от Регламент (ЕО) № 575/2013;</w:t>
            </w:r>
          </w:p>
          <w:p w14:paraId="2CA01563" w14:textId="14FD37EF" w:rsidR="00DE3106" w:rsidRPr="001562B3" w:rsidRDefault="00031DC6" w:rsidP="003C53E9">
            <w:pPr>
              <w:pStyle w:val="ListParagraph"/>
              <w:numPr>
                <w:ilvl w:val="0"/>
                <w:numId w:val="31"/>
              </w:numPr>
              <w:rPr>
                <w:rStyle w:val="FormatvorlageInstructionsTabelleText"/>
                <w:rFonts w:ascii="Times New Roman" w:hAnsi="Times New Roman"/>
                <w:sz w:val="24"/>
              </w:rPr>
            </w:pPr>
            <w:r>
              <w:rPr>
                <w:rFonts w:ascii="Times New Roman" w:hAnsi="Times New Roman"/>
                <w:sz w:val="24"/>
              </w:rPr>
              <w:t>приемливите задължения, включени в стойността на собствените средства и приемливите задължения в съответствие с член 45б от Директива 2014/59/ЕС, които са подчинени приемливи инструменти съгласно определението в член 2, параграф 1, точка 71б от посочената директива;</w:t>
            </w:r>
          </w:p>
          <w:p w14:paraId="013BC1DB" w14:textId="4C025BAC" w:rsidR="007B2300" w:rsidRPr="001562B3" w:rsidRDefault="00DE3106" w:rsidP="003C53E9">
            <w:pPr>
              <w:pStyle w:val="ListParagraph"/>
              <w:numPr>
                <w:ilvl w:val="0"/>
                <w:numId w:val="31"/>
              </w:numPr>
              <w:rPr>
                <w:rStyle w:val="FormatvorlageInstructionsTabelleText"/>
                <w:rFonts w:ascii="Times New Roman" w:hAnsi="Times New Roman"/>
                <w:sz w:val="24"/>
                <w:u w:val="single"/>
              </w:rPr>
            </w:pPr>
            <w:r>
              <w:rPr>
                <w:rFonts w:ascii="Times New Roman" w:hAnsi="Times New Roman"/>
                <w:sz w:val="24"/>
              </w:rPr>
              <w:t>пасивите, включени в стойността на собствените средства и приемливите задължения в съответствие с член 45б, параграф 3 от Директива 2014/59/ЕС.</w:t>
            </w:r>
          </w:p>
          <w:p w14:paraId="023D5208" w14:textId="1183B459" w:rsidR="00CC7A43" w:rsidRPr="001562B3" w:rsidRDefault="0036191E" w:rsidP="00E55589">
            <w:pPr>
              <w:rPr>
                <w:rStyle w:val="InstructionsTabelleberschrift"/>
                <w:rFonts w:ascii="Times New Roman" w:hAnsi="Times New Roman"/>
                <w:b w:val="0"/>
                <w:sz w:val="24"/>
                <w:u w:val="none"/>
              </w:rPr>
            </w:pPr>
            <w:r>
              <w:rPr>
                <w:rStyle w:val="FormatvorlageInstructionsTabelleText"/>
                <w:rFonts w:ascii="Times New Roman" w:hAnsi="Times New Roman"/>
                <w:sz w:val="24"/>
              </w:rPr>
              <w:t>Инструментите, уредени от правото на трета държава, се включват в този ред само ако отговарят на изискванията на член 55 от Директива 2014/59/ЕС.</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уредени от правото на трета държава</w:t>
            </w:r>
          </w:p>
          <w:p w14:paraId="1FA67352" w14:textId="511A7DCE" w:rsidR="000D5110" w:rsidRPr="001562B3" w:rsidRDefault="000D511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Размерът на собствените средства и приемливите задължения, които са уредени от правото на трета държава съгласно посоченото в член 55 от Директива 2014/59/ЕС.</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съдържащи клауза за обезценяване и преобразуване съгласно посоченото в член 55 от Директива 2014/59/ЕС</w:t>
            </w:r>
          </w:p>
          <w:p w14:paraId="5A286E7E" w14:textId="06727C74" w:rsidR="000D5110" w:rsidRPr="001562B3" w:rsidRDefault="000D5110">
            <w:pPr>
              <w:pStyle w:val="InstructionsText"/>
              <w:rPr>
                <w:rStyle w:val="InstructionsTabelleberschrift"/>
                <w:rFonts w:ascii="Times New Roman" w:hAnsi="Times New Roman"/>
                <w:sz w:val="24"/>
              </w:rPr>
            </w:pPr>
            <w:r>
              <w:lastRenderedPageBreak/>
              <w:t>Размерът на собствените средства и приемливите задължения, които се уредени от правото на трета държава и съдържат клауза за обезценяване и преобразуване съгласно посоченото в член 55 от Директива 2014/59/ЕС.</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 — 0290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задължения с възможност за споделяне на загуби</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t>Субектите, чийто размер на собствените средства и приемливите задължения към датата на докладване на такава информация е най-малко 150 % от изискването, определено в член 45, параграф 1 от Директива 2014/59/ЕС, се освобождават от задължението за докладване на информацията в редове 0250—0290.</w:t>
            </w:r>
            <w:r>
              <w:rPr>
                <w:rStyle w:val="InstructionsTabelleberschrift"/>
                <w:rFonts w:ascii="Times New Roman" w:hAnsi="Times New Roman"/>
                <w:b w:val="0"/>
                <w:sz w:val="24"/>
                <w:u w:val="none"/>
              </w:rPr>
              <w:t xml:space="preserve"> Тези субекти могат да предоставят на доброволен принцип тази информация в настоящия образец.</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задължения с възможност за споделяне на загуби</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t>Размерът на задълженията с възможност за споделяне на загуби съгласно определението в член 2, параграф 1, точка 71 от Директива 2014/59/ЕС, които не са включени в собствените средства и приемливите задължения съгласно член 45б от посочената директива.</w:t>
            </w:r>
          </w:p>
          <w:p w14:paraId="1FE8D9D5" w14:textId="37E5610F" w:rsidR="000B5B4D" w:rsidRPr="001562B3" w:rsidRDefault="000B5B4D">
            <w:pPr>
              <w:pStyle w:val="InstructionsText"/>
              <w:rPr>
                <w:rStyle w:val="InstructionsTabelleberschrift"/>
                <w:rFonts w:ascii="Times New Roman" w:hAnsi="Times New Roman"/>
                <w:b w:val="0"/>
                <w:sz w:val="24"/>
                <w:u w:val="none"/>
              </w:rPr>
            </w:pPr>
            <w:r>
              <w:t>Тази стойност съответства на разликата между задълженията, които не са изключени от споделянето на загуби, докладвани в {r0300, c0090} от образец Z 02.00, предвиден в приложение I към Регламент за изпълнение (ЕС) 2018/1624 на Комисията</w:t>
            </w:r>
            <w:r>
              <w:rPr>
                <w:rStyle w:val="FootnoteReference"/>
                <w:bCs/>
              </w:rPr>
              <w:footnoteReference w:id="4"/>
            </w:r>
            <w:r>
              <w:t>, и докладваните в {r0200} от настоящия образец приемливи задължения.</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уредени от правото на трета държава</w:t>
            </w:r>
          </w:p>
          <w:p w14:paraId="083AFDCB" w14:textId="463FBABB" w:rsidR="000B5B4D" w:rsidRPr="001562B3" w:rsidRDefault="000B5B4D">
            <w:pPr>
              <w:pStyle w:val="InstructionsText"/>
              <w:rPr>
                <w:rStyle w:val="InstructionsTabelleberschrift"/>
                <w:rFonts w:ascii="Times New Roman" w:hAnsi="Times New Roman"/>
                <w:b w:val="0"/>
                <w:sz w:val="24"/>
                <w:u w:val="none"/>
              </w:rPr>
            </w:pPr>
            <w:r>
              <w:t>Размерът на другите задължения с възможност за споделяне на загуби, които се уредени от правото на трета държава съгласно посоченото в член 55 от Директива 2014/59/ЕС.</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съдържащи клауза за обезценяване и преобразуване съгласно посоченото в член 55 от Директива 2014/59/ЕС</w:t>
            </w:r>
          </w:p>
          <w:p w14:paraId="0FA24129" w14:textId="7C351D54" w:rsidR="000B5B4D" w:rsidRPr="001562B3" w:rsidRDefault="002A4F1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Размерът на другите задължения с възможност за споделяне на загуби, които са уредени от правото на трета държава и съдържат клауза за обезценяване и преобразуване съгласно посоченото в член 55 от Директива 2014/59/ЕС.</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Разбивка на другите задължения с възможност за споделяне на загуби по остатъчен срок до падежа</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t>С остатъчен срок до падежа &lt;1 година</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t>С остатъчен срок до падежа &gt;= 1 година и &lt; 2 години</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t>С остатъчен срок до падежа &gt;=2 години</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Коефициенти и изключения по отношение на подчинеността</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 като процент от ОРЕ</w:t>
            </w:r>
          </w:p>
          <w:p w14:paraId="26CF9D91" w14:textId="5756A504" w:rsidR="00A0358A" w:rsidRPr="001562B3" w:rsidRDefault="00A0358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За целите на настоящия ред размерът на докладваните в ред 0200 собствени средства и приемливи задължения се изразява като процент от общата рискова експозиция, изчислена в съответствие с член 92, параграф 3 от Регламент (ЕС) № 575/2013.</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собствени средства и подчинени задължения</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t>За целите на настоящия ред размерът на докладваните в ред 0210 собствени средства и подчинени приемливи задължения се изразява като процент от общата рискова експозиция, изчислена в съответствие с член 92, параграф 3 от Регламент (ЕС) № 575/2013.</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 като процент от MOE</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t>За целите на настоящия ред размерът на докладваните в ред 0200 собствени средства и приемливи задължения се изразява като процент от мярката за общата експозиция, изчислена в съответствие с член 429, параграф 4 и член 429а от Регламент (ЕС) № 575/2013.</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собствени средства и подчинени задължения</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t>За целите на настоящия ред размерът на докладваните в ред 0210 собствени средства и подчинени приемливи задължения се изразява като процент от мярката за общата експозиция, изчислена в съответствие с член 429, параграф 4 и член 429а от Регламент (ЕС) № 575/2013.</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Прилагат ли се предвидените в член 72б, параграф 4 от Регламент (ЕС) № 575/2013 изключения по отношение на подчинеността? (изключение — 5 %)</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Този ред се попълва само от субектите, за които се прилага изискването за собствени средства и приемливи задължения за Г-СЗИ (ОКПЗ).</w:t>
            </w:r>
          </w:p>
          <w:p w14:paraId="049A2EF8" w14:textId="27BA3427" w:rsidR="004C2312" w:rsidRPr="001562B3"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Когато органът за преструктуриране разрешава пасивите да се считат за инструменти на приемливите задължения в съответствие с член 72б, параграф 4 от Регламент (ЕС) № 575/2013, докладващият субект попълва „да“ в колона 0020.</w:t>
            </w:r>
          </w:p>
          <w:p w14:paraId="2A0884E3" w14:textId="22D96245" w:rsidR="004C2312" w:rsidRPr="001562B3"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Когато органът за преструктуриране не разрешава пасивите да се считат за инструменти на приемливите задължения в съответствие с член 72б, параграф 4 от Регламент (ЕС) № 575/2013, докладващият субект попълва „не“ в колона 0020.</w:t>
            </w:r>
          </w:p>
          <w:p w14:paraId="23DEB310" w14:textId="089BA898" w:rsidR="004C2312" w:rsidRPr="001562B3"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Тъй като предвидените в член 72б, параграф 3 и 4 от Регламент (ЕС) № 575/2013 изключения са взаимно изключващи се, този ред не се попълва, ако докладващият субект е попълнил {r0350}.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Съвкупен размер на разрешените инструменти на неподчинените приемливи задължения, когато се прилага предвидената в член 72б, параграф 3 от Регламент (ЕС) № 575/2013 преценка по отношение на подчинеността (изключение — най-много 3,5 %)</w:t>
            </w:r>
          </w:p>
          <w:p w14:paraId="1FC3A371" w14:textId="5AFA5120" w:rsidR="002B6980" w:rsidRPr="001562B3"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Съвкупният размер на неподчинените задължения, за които органът за преструктуриране е разрешил да се считат за инструменти на приемливите задължения за целите на изискването за собствени средства и приемливи задължения за Г-СЗИ (ОКПЗ) в съответствие с член 72б, параграф 3 от Регламент (ЕС) № 575/2013 или които се считат за такива по силата на член 494, параграф 3 от посочения регламент.</w:t>
            </w:r>
          </w:p>
          <w:p w14:paraId="46632850" w14:textId="6D5EA3BA" w:rsidR="0027718F" w:rsidRPr="001562B3" w:rsidRDefault="0027718F" w:rsidP="008C0FD4">
            <w:pPr>
              <w:rPr>
                <w:rStyle w:val="FormatvorlageInstructionsTabelleText"/>
                <w:rFonts w:ascii="Times New Roman" w:hAnsi="Times New Roman"/>
                <w:sz w:val="24"/>
              </w:rPr>
            </w:pPr>
            <w:r>
              <w:rPr>
                <w:rStyle w:val="FormatvorlageInstructionsTabelleText"/>
                <w:rFonts w:ascii="Times New Roman" w:hAnsi="Times New Roman"/>
                <w:sz w:val="24"/>
              </w:rPr>
              <w:t>До 31 декември 2021 г. в този ред се докладва стойността след прилагане на член 494, параграф 2 от Регламент (ЕС) № 575/2013 (таван от 2,5 %).</w:t>
            </w:r>
          </w:p>
          <w:p w14:paraId="5A2D4755" w14:textId="6058CE93" w:rsidR="002B6980" w:rsidRPr="001562B3"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Тъй като предвидените в член 72б, параграфи 3 и 4 от Регламент (ЕС) № 575/2013 изключения са взаимно изключващи се, този ред не се попълва, ако докладващият субект е посочил „да“ в {r0340,c0020}.</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Дял от общите неподчинени задължения, включен в собствените средства и приемливите задължения</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Този ред се попълва само от субектите, за които се прилага изискването за собствени средства и приемливи задължения за Г-СЗИ (ОКПЗ).</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се прилага предвиденото в член 72б, параграф 3 от Регламент (ЕС) № 575/2013 ограничено изключение по отношение на подчинеността, субектите докладват:</w:t>
            </w:r>
          </w:p>
          <w:p w14:paraId="4BA05B73" w14:textId="527E2F2D" w:rsidR="004C2312" w:rsidRPr="001562B3" w:rsidRDefault="004C2312" w:rsidP="003C53E9">
            <w:pPr>
              <w:pStyle w:val="ListParagraph"/>
              <w:numPr>
                <w:ilvl w:val="0"/>
                <w:numId w:val="23"/>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размера на емитираните задължения с ранг, равностоен на изключените задължения, както е посочено в член 72а, параграф 2 от Регламент (ЕС) № 575/2013, който е включен в докладваната в ред 0200 стойност (след прилагане на тавана),</w:t>
            </w:r>
          </w:p>
          <w:p w14:paraId="61E137DF" w14:textId="5AC9E81D" w:rsidR="004C2312" w:rsidRPr="001562B3" w:rsidRDefault="004C2312" w:rsidP="003C53E9">
            <w:pPr>
              <w:pStyle w:val="ListParagraph"/>
              <w:numPr>
                <w:ilvl w:val="0"/>
                <w:numId w:val="23"/>
              </w:numPr>
              <w:rPr>
                <w:rStyle w:val="InstructionsTabelleberschrift"/>
                <w:rFonts w:ascii="Times New Roman" w:hAnsi="Times New Roman"/>
                <w:b w:val="0"/>
                <w:sz w:val="24"/>
              </w:rPr>
            </w:pPr>
            <w:r>
              <w:rPr>
                <w:rStyle w:val="InstructionsTabelleberschrift"/>
                <w:rFonts w:ascii="Times New Roman" w:hAnsi="Times New Roman"/>
                <w:b w:val="0"/>
                <w:sz w:val="24"/>
                <w:u w:val="none"/>
              </w:rPr>
              <w:t>разделен на размера на емитираните задължения с ранг, равностоен на изключените задължения, както е посочено в член 72а, параграф 2 от Регламент (ЕС) № 575/2013, който е щял да бъде признат в ред 0200, ако не бе приложен таван.</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t>Състав и падеж</w:t>
      </w:r>
      <w:bookmarkEnd w:id="33"/>
    </w:p>
    <w:p w14:paraId="3F7E1AB0" w14:textId="3A544002" w:rsidR="0015093D" w:rsidRPr="001562B3" w:rsidRDefault="00F72178" w:rsidP="003C53E9">
      <w:pPr>
        <w:pStyle w:val="Numberedtilelevel1"/>
        <w:numPr>
          <w:ilvl w:val="1"/>
          <w:numId w:val="28"/>
        </w:numPr>
      </w:pPr>
      <w:bookmarkStart w:id="37" w:name="_Toc45558483"/>
      <w:bookmarkEnd w:id="0"/>
      <w:bookmarkEnd w:id="1"/>
      <w:bookmarkEnd w:id="34"/>
      <w:bookmarkEnd w:id="35"/>
      <w:bookmarkEnd w:id="36"/>
      <w:r>
        <w:t>M 02.00 — Капацитет и състав на МИПЗ и ОКПЗ (групи и субекти за преструктуриране) (TLAC1)</w:t>
      </w:r>
      <w:bookmarkEnd w:id="37"/>
    </w:p>
    <w:p w14:paraId="2DC79833" w14:textId="1965E9D9" w:rsidR="00F72178" w:rsidRPr="001562B3" w:rsidRDefault="00F72178" w:rsidP="003C53E9">
      <w:pPr>
        <w:pStyle w:val="Numberedtilelevel1"/>
        <w:numPr>
          <w:ilvl w:val="2"/>
          <w:numId w:val="28"/>
        </w:numPr>
      </w:pPr>
      <w:bookmarkStart w:id="38" w:name="_Toc16865801"/>
      <w:bookmarkStart w:id="39" w:name="_Toc16868635"/>
      <w:bookmarkStart w:id="40" w:name="_Toc20316748"/>
      <w:bookmarkStart w:id="41" w:name="_Toc45558484"/>
      <w:bookmarkEnd w:id="38"/>
      <w:r>
        <w:t>Общи бележки</w:t>
      </w:r>
      <w:bookmarkEnd w:id="39"/>
      <w:bookmarkEnd w:id="40"/>
      <w:bookmarkEnd w:id="41"/>
    </w:p>
    <w:p w14:paraId="7532242D" w14:textId="4019739D" w:rsidR="002701C8" w:rsidRPr="001562B3" w:rsidRDefault="002701C8" w:rsidP="001562B3">
      <w:pPr>
        <w:pStyle w:val="InstructionsText2"/>
      </w:pPr>
      <w:r>
        <w:t>В образец M 02.00 — Капацитет и състав на МИПЗ и ОКПЗ (групи и субекти за преструктуриране) (TLAC1) се посочва допълнителна информация относно състава на собствените средства и приемливите задължения.</w:t>
      </w:r>
    </w:p>
    <w:p w14:paraId="2B751F8F" w14:textId="549BCD0B" w:rsidR="00095D0D" w:rsidRPr="001562B3" w:rsidRDefault="00095D0D">
      <w:pPr>
        <w:pStyle w:val="InstructionsText2"/>
      </w:pPr>
      <w:r>
        <w:t>Колоната, отнасяща се до минималното изискване за собствени средства и приемливи задължения (МИПЗ), се попълва от субектите, за които това изискване се прилага в съответствие с член 45д от Директива 2014/59/ЕС. Само субектите, които са задължени да спазват предвиденото в член 92а от Регламент (ЕС) № 575/2013 изискване, докладват позициите, отнасящи се до изискването за собствени средства и приемливи задължения за Г-СЗИ (ОКПЗ).</w:t>
      </w:r>
    </w:p>
    <w:p w14:paraId="5AAB8790" w14:textId="4559A873" w:rsidR="00F72178" w:rsidRPr="001562B3" w:rsidRDefault="00F72178" w:rsidP="003C53E9">
      <w:pPr>
        <w:pStyle w:val="Numberedtilelevel1"/>
        <w:numPr>
          <w:ilvl w:val="2"/>
          <w:numId w:val="28"/>
        </w:numPr>
      </w:pPr>
      <w:bookmarkStart w:id="42" w:name="_Toc18593301"/>
      <w:bookmarkStart w:id="43" w:name="_Toc16868636"/>
      <w:bookmarkStart w:id="44" w:name="_Toc20316749"/>
      <w:bookmarkStart w:id="45" w:name="_Toc45558485"/>
      <w:bookmarkEnd w:id="42"/>
      <w:r>
        <w:lastRenderedPageBreak/>
        <w:t>Указания за специфични позиции</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Колона</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правни норми и указания</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Минимално изискване за собствени средства и приемливи задължения (МИПЗ)</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Членове 45 и 45д от Директива 2014/59/ЕС.</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Изискване за собствени средства и приемливи задължения за Г-СЗИ (ОКПЗ)</w:t>
            </w:r>
          </w:p>
          <w:p w14:paraId="28749035" w14:textId="00E359CB" w:rsidR="00913681" w:rsidRPr="001562B3" w:rsidRDefault="009136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92a</w:t>
            </w:r>
            <w:r>
              <w:t xml:space="preserve"> от Регламент (ЕС) № 575/2013.</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Поясняваща позиция: приемливи стойности за целите на МИПЗ, но не и за ОКПЗ</w:t>
            </w:r>
          </w:p>
          <w:p w14:paraId="45D0BB3D" w14:textId="173F3B31" w:rsidR="00913681" w:rsidRPr="001562B3" w:rsidRDefault="00913681">
            <w:pPr>
              <w:pStyle w:val="InstructionsText"/>
              <w:rPr>
                <w:noProof/>
              </w:rPr>
            </w:pPr>
            <w:r>
              <w:rPr>
                <w:rStyle w:val="FormatvorlageInstructionsTabelleText"/>
                <w:rFonts w:ascii="Times New Roman" w:hAnsi="Times New Roman"/>
                <w:sz w:val="24"/>
              </w:rPr>
              <w:t>Тази колона се попълва само от субектите, за които се прилага изискването за собствени средства и приемливи задължения за Г-СЗИ (ОКПЗ).</w:t>
            </w:r>
            <w:r>
              <w:t xml:space="preserve"> </w:t>
            </w:r>
          </w:p>
          <w:p w14:paraId="47297FC0" w14:textId="3CE2FA32" w:rsidR="00913681" w:rsidRPr="001562B3" w:rsidRDefault="00913681">
            <w:pPr>
              <w:pStyle w:val="InstructionsText"/>
              <w:rPr>
                <w:rStyle w:val="InstructionsTabelleberschrift"/>
                <w:rFonts w:ascii="Times New Roman" w:hAnsi="Times New Roman"/>
                <w:sz w:val="24"/>
              </w:rPr>
            </w:pPr>
            <w:r>
              <w:t>В тази колона се посочва разликата между стойностите на собствените средства и приемливите задължения, необходими за изпълнение на изискването по член 45 от Директива 2014/59/ЕС в съответствие с член 45д от посочената директива, и стойността на собствените средства и приемливите задължения, необходими за изпълнение на изискването по член 92а от Регламент (ЕС) № 575/2013.</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Ред</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правни норми и указания</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СОБСТВЕНИ СРЕДСТВА И ПРИЕМЛИВИ ЗАДЪЛЖЕНИЯ</w:t>
            </w:r>
          </w:p>
          <w:p w14:paraId="158DD0F6" w14:textId="42467472" w:rsidR="00BE3EAB" w:rsidRPr="001562B3" w:rsidRDefault="000A3889">
            <w:pPr>
              <w:pStyle w:val="InstructionsText"/>
              <w:rPr>
                <w:rStyle w:val="FormatvorlageInstructionsTabelleText"/>
                <w:rFonts w:ascii="Times New Roman" w:hAnsi="Times New Roman"/>
                <w:sz w:val="24"/>
              </w:rPr>
            </w:pPr>
            <w:r>
              <w:t>Собствените средства и приемливите задължения за целите на член 45д от Директива 2014/59/ЕС и член 92а от Регламент (ЕС) № 575/2013.</w:t>
            </w:r>
          </w:p>
          <w:p w14:paraId="47315A58" w14:textId="3A637A51" w:rsidR="00014A29" w:rsidRPr="001562B3" w:rsidRDefault="00014A2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3E6FE74F" w14:textId="77777777"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Размерът на собствените средства и приемливите задължения, отчитани като част от МИПЗ, се докладва като сбора на:</w:t>
            </w:r>
          </w:p>
          <w:p w14:paraId="66099F0F" w14:textId="7D8E0B7E" w:rsidR="00BE3EAB" w:rsidRPr="001562B3" w:rsidRDefault="00BE3EAB" w:rsidP="003C53E9">
            <w:pPr>
              <w:pStyle w:val="ListParagraph"/>
              <w:numPr>
                <w:ilvl w:val="0"/>
                <w:numId w:val="27"/>
              </w:numPr>
              <w:rPr>
                <w:rStyle w:val="FormatvorlageInstructionsTabelleText"/>
                <w:rFonts w:ascii="Times New Roman" w:hAnsi="Times New Roman"/>
                <w:sz w:val="24"/>
              </w:rPr>
            </w:pPr>
            <w:r>
              <w:rPr>
                <w:rStyle w:val="FormatvorlageInstructionsTabelleText"/>
                <w:rFonts w:ascii="Times New Roman" w:hAnsi="Times New Roman"/>
                <w:sz w:val="24"/>
              </w:rPr>
              <w:t xml:space="preserve">собствените средства съгласно определението в член 4, параграф 1, точка 118 и член 72 от Регламент (ЕО) № 575/2013; </w:t>
            </w:r>
          </w:p>
          <w:p w14:paraId="1A27E8BB" w14:textId="568E02B1" w:rsidR="00BE3EAB" w:rsidRPr="001562B3" w:rsidRDefault="00BE3EAB" w:rsidP="003C53E9">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приемливите задължения съгласно определението в член 2, параграф 1, точка 71а от Директива 2014/59/ЕС.</w:t>
            </w:r>
          </w:p>
          <w:p w14:paraId="0A028721" w14:textId="1AD9116B" w:rsidR="00014A29" w:rsidRPr="001562B3" w:rsidRDefault="00014A29" w:rsidP="00BE3EAB">
            <w:pPr>
              <w:rPr>
                <w:rStyle w:val="FormatvorlageInstructionsTabelleText"/>
                <w:rFonts w:ascii="Times New Roman" w:hAnsi="Times New Roman"/>
                <w:sz w:val="24"/>
              </w:rPr>
            </w:pPr>
            <w:r>
              <w:rPr>
                <w:rStyle w:val="FormatvorlageInstructionsTabelleText"/>
                <w:rFonts w:ascii="Times New Roman" w:hAnsi="Times New Roman"/>
                <w:sz w:val="24"/>
              </w:rPr>
              <w:t>Инструментите, уредени от правото на трета държава, се включват в този ред само ако отговарят на предвидените в член 55 от Директива 2014/59/ЕС изисквания.</w:t>
            </w:r>
          </w:p>
          <w:p w14:paraId="21D33D83" w14:textId="26A4BEC2" w:rsidR="00014A29" w:rsidRPr="001562B3"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0817FF17" w14:textId="147DF078" w:rsidR="00BE3EAB" w:rsidRPr="001562B3"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Размерът на собствените средства и приемливите задължения, отчитани като част от изискването за собствени средства и приемливи задължения за Г-СЗИ (ОКПЗ), е посочената в член 72л от Регламент (ЕС) № 575/2013 стойност, която се състои от:</w:t>
            </w:r>
          </w:p>
          <w:p w14:paraId="23B4F5AB" w14:textId="549D159A" w:rsidR="00D83C2E" w:rsidRPr="001562B3" w:rsidRDefault="00BE3EAB" w:rsidP="003C53E9">
            <w:pPr>
              <w:pStyle w:val="ListParagraph"/>
              <w:numPr>
                <w:ilvl w:val="0"/>
                <w:numId w:val="26"/>
              </w:numPr>
              <w:rPr>
                <w:rStyle w:val="FormatvorlageInstructionsTabelleText"/>
                <w:rFonts w:ascii="Times New Roman" w:hAnsi="Times New Roman"/>
                <w:sz w:val="24"/>
                <w:u w:val="single"/>
              </w:rPr>
            </w:pPr>
            <w:r>
              <w:rPr>
                <w:rStyle w:val="FormatvorlageInstructionsTabelleText"/>
                <w:rFonts w:ascii="Times New Roman" w:hAnsi="Times New Roman"/>
                <w:sz w:val="24"/>
              </w:rPr>
              <w:t>собствените средства съгласно определението в член 4, параграф 1, точка 118 и член 72 от Регламент (ЕО) № 575/2013;</w:t>
            </w:r>
          </w:p>
          <w:p w14:paraId="6DCF60B1" w14:textId="29528B6A" w:rsidR="00307CFC" w:rsidRPr="001562B3" w:rsidRDefault="00BE3EAB" w:rsidP="003C53E9">
            <w:pPr>
              <w:pStyle w:val="ListParagraph"/>
              <w:numPr>
                <w:ilvl w:val="0"/>
                <w:numId w:val="26"/>
              </w:numPr>
              <w:rPr>
                <w:rStyle w:val="InstructionsTabelleberschrift"/>
                <w:rFonts w:ascii="Times New Roman" w:hAnsi="Times New Roman"/>
                <w:b w:val="0"/>
                <w:sz w:val="24"/>
              </w:rPr>
            </w:pPr>
            <w:r>
              <w:rPr>
                <w:rStyle w:val="FormatvorlageInstructionsTabelleText"/>
                <w:rFonts w:ascii="Times New Roman" w:hAnsi="Times New Roman"/>
                <w:sz w:val="24"/>
              </w:rPr>
              <w:t>приемливите задължения в съответствие с член 72к от Регламент (ЕС) № 575/2013.</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собствени средства</w:t>
            </w:r>
          </w:p>
          <w:p w14:paraId="090BDA8C" w14:textId="5EBB2C82" w:rsidR="00F72178" w:rsidRPr="001562B3" w:rsidRDefault="0074025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118 и член 72 от Регламент (ЕО) № 575/2013.</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t>По отношение на МИПЗ, инструментите, уредени от правото на трета държава, се включват в този ред и в редове 0040 и 0050 само ако отговарят на предвидените в член 55 от Директива 2014/59/ЕС изисквания.</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Базов собствен капитал от първи ред</w:t>
            </w:r>
          </w:p>
          <w:p w14:paraId="2EE09494" w14:textId="7F87E430" w:rsidR="00F72178" w:rsidRPr="001562B3" w:rsidRDefault="00F7217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50 от Регламент (ЕС) № 575/2013.</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 допълнителен капитал от първи ред</w:t>
            </w:r>
          </w:p>
          <w:p w14:paraId="44A6CA99" w14:textId="1B49FE4D" w:rsidR="00A63011" w:rsidRPr="001562B3" w:rsidRDefault="00A6301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61 от Регламент (ЕС) № 575/2013.</w:t>
            </w:r>
            <w: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 капитал от втори ред</w:t>
            </w:r>
          </w:p>
          <w:p w14:paraId="63F618CB" w14:textId="00AD8301" w:rsidR="00A63011" w:rsidRPr="001562B3" w:rsidRDefault="006C308D"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71 от Регламент (ЕС) № 575/2013.</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w:t>
            </w:r>
          </w:p>
          <w:p w14:paraId="76BC8267" w14:textId="51AF0C24"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4A43196B" w14:textId="47B41485" w:rsidR="0016365A"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Приемливите задължения съгласно определението в член 2, параграф 1, точка 71а от Директива 2014/59/ЕС; инструментите, уредени от правото на трета държава, се включват в този ред само ако отговарят на предвидените в член 55 от посочената директива изисквания.</w:t>
            </w:r>
          </w:p>
          <w:p w14:paraId="1997E756" w14:textId="7BE311EA"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00267CAB" w14:textId="6284073F" w:rsidR="00A63011" w:rsidRPr="001562B3" w:rsidRDefault="00685080">
            <w:pPr>
              <w:pStyle w:val="InstructionsText"/>
              <w:rPr>
                <w:b/>
                <w:szCs w:val="22"/>
              </w:rPr>
            </w:pPr>
            <w:r>
              <w:rPr>
                <w:rStyle w:val="FormatvorlageInstructionsTabelleText"/>
                <w:rFonts w:ascii="Times New Roman" w:hAnsi="Times New Roman"/>
                <w:sz w:val="24"/>
              </w:rPr>
              <w:t>Приемливи задължения в съответствие с член 72к от Регламент (ЕС) № 575/2013.</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Елементи на приемливите задължения преди корекции </w:t>
            </w:r>
          </w:p>
          <w:p w14:paraId="383F53A3" w14:textId="77777777"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09BA6C55" w14:textId="143BF075" w:rsidR="008E420D" w:rsidRPr="001562B3" w:rsidRDefault="006850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Приемливите задължения съгласно определението в член 2, параграф 1, точка 71а от Директива 2014/59/ЕС; инструментите, уредени от правото на трета държава, се включват в този ред само ако отговарят на предвидените в член 55 от посочената директива изисквания.</w:t>
            </w:r>
          </w:p>
          <w:p w14:paraId="69F02168" w14:textId="455490F6" w:rsidR="00685080" w:rsidRPr="001562B3" w:rsidRDefault="00685080">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03CAF6E8" w14:textId="028BB5D1" w:rsidR="00A63011" w:rsidRPr="001562B3" w:rsidRDefault="00685080">
            <w:pPr>
              <w:pStyle w:val="InstructionsText"/>
              <w:rPr>
                <w:b/>
                <w:szCs w:val="22"/>
              </w:rPr>
            </w:pPr>
            <w:r>
              <w:rPr>
                <w:rStyle w:val="FormatvorlageInstructionsTabelleText"/>
                <w:rFonts w:ascii="Times New Roman" w:hAnsi="Times New Roman"/>
                <w:sz w:val="24"/>
              </w:rPr>
              <w:t xml:space="preserve">Приемливите задължения, които отговарят на всички изисквания, предвидени в членове 72а—72г от Регламент (ЕС) № 575/2013.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приемливи задължения, считани за структурно подчинени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МИПЗ</w:t>
            </w:r>
          </w:p>
          <w:p w14:paraId="6F55458A" w14:textId="04AC4CB9" w:rsidR="00EF1BBD" w:rsidRPr="001562B3" w:rsidRDefault="00EF1BBD">
            <w:pPr>
              <w:pStyle w:val="InstructionsText"/>
              <w:rPr>
                <w:rStyle w:val="InstructionsTabelleberschrift"/>
                <w:rFonts w:ascii="Times New Roman" w:hAnsi="Times New Roman"/>
                <w:sz w:val="24"/>
                <w:u w:val="none"/>
              </w:rPr>
            </w:pPr>
            <w:r>
              <w:t>Задължения, които отговарят на условията, предвидени в член 45б от Директива 2014/59/ЕС, тъй като са емитирани от субект за преструктуриране — холдинг, и тъй като няма изключени задължения съгласно посоченото в член 72а, параграф 2 от Регламент (ЕС) № 575/2013 с ранг, равностоен или по-нисък от този на инструментите на приемливите задължения.</w:t>
            </w:r>
          </w:p>
          <w:p w14:paraId="1A629DBA" w14:textId="0DE8803D" w:rsidR="00014A29" w:rsidRPr="001562B3" w:rsidRDefault="00014A2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Инструментите, уредени от правото на трета държава, се включват в този ред само ако отговарят на предвидените в член 55 от Директива 2014/59/ЕС изисквания.</w:t>
            </w:r>
          </w:p>
          <w:p w14:paraId="57F8A551" w14:textId="371D79D0" w:rsidR="00EF1BBD" w:rsidRPr="001562B3" w:rsidRDefault="00EF1BBD">
            <w:pPr>
              <w:pStyle w:val="InstructionsText"/>
              <w:rPr>
                <w:rStyle w:val="InstructionsTabelleberschrift"/>
                <w:rFonts w:ascii="Times New Roman" w:hAnsi="Times New Roman"/>
                <w:sz w:val="24"/>
                <w:u w:val="none"/>
              </w:rPr>
            </w:pPr>
            <w:r>
              <w:rPr>
                <w:rStyle w:val="FormatvorlageInstructionsTabelleText"/>
                <w:rFonts w:ascii="Times New Roman" w:hAnsi="Times New Roman"/>
                <w:sz w:val="24"/>
              </w:rPr>
              <w:t>Този ред включва също приемливите задължения, които се допускат вследствие на унаследяване в съответствие с член 494б, параграф 3 от Регламент (ЕС) № 575/2013.</w:t>
            </w:r>
          </w:p>
          <w:p w14:paraId="4F393620" w14:textId="77777777" w:rsidR="00EF1BBD" w:rsidRPr="001562B3" w:rsidRDefault="00EF1BB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ОКПЗ</w:t>
            </w:r>
          </w:p>
          <w:p w14:paraId="60DE397F" w14:textId="6AEF8E6E" w:rsidR="00EF1BBD" w:rsidRPr="001562B3" w:rsidRDefault="00EF1BB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Задължения, които:</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 отговарят на изискванията, предвидени в членове 72а—72г от Регламент (ЕС) № 575/2013, и по-специално на посоченото в член 72б, параграф 2, буква г), подточка iii) от посочения регламент изискване, но не и на изискванията, предвидени в буква г), подточка i) или ii) от същия параграф, или</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t>б) отговарят на изискванията, предвидени в членове 72а—72г от Регламент (ЕС) № 575/2013, с изключение на член 72б, параграф 2, буква г) от посочения регламент, и за които органите за преструктуриране са разрешили да се считат за инструменти на приемливите задължения в съответствие с член 72б, параграф 4 от посочения регламент.</w:t>
            </w:r>
            <w:r>
              <w:rPr>
                <w:rStyle w:val="FormatvorlageInstructionsTabelleText"/>
                <w:rFonts w:ascii="Times New Roman" w:hAnsi="Times New Roman"/>
                <w:sz w:val="24"/>
              </w:rPr>
              <w:t xml:space="preserve"> </w:t>
            </w:r>
          </w:p>
          <w:p w14:paraId="57A8D9F5" w14:textId="4722474A" w:rsidR="00EF1BBD" w:rsidRPr="001562B3" w:rsidRDefault="00EF1BBD" w:rsidP="00E0589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Този ред включва също приемливите задължения, които се допускат вследствие на унаследяване в съответствие с член 494б, параграф 3 от Регламент (ЕС) № 575/2013.</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Pr>
                <w:rStyle w:val="FormatvorlageInstructionsTabelleText"/>
                <w:rFonts w:ascii="Times New Roman" w:hAnsi="Times New Roman"/>
                <w:sz w:val="24"/>
              </w:rPr>
              <w:t>0090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задълженията, подчинени на изключени задължения</w:t>
            </w:r>
          </w:p>
          <w:p w14:paraId="7423CFA6" w14:textId="5A9BD8DB" w:rsidR="00C80C5A" w:rsidRPr="001562B3" w:rsidRDefault="00D83C2E">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МИПЗ</w:t>
            </w:r>
            <w:r>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t>Приемливите задължения, включени в стойността на собствените средства и приемливите задължения в съответствие с член 45б от Директива 2014/59/ЕС, които са подчинени приемливи инструменти съгласно определението в член 2, параграф 1, точка 71б от посочената директива, както и задълженията, включени в стойността на собствените средства и приемливите задължения в съответствие с член 45б, параграф 3 от посочената директива.</w:t>
            </w:r>
            <w:r>
              <w:rPr>
                <w:rStyle w:val="FormatvorlageInstructionsTabelleText"/>
                <w:rFonts w:ascii="Times New Roman" w:hAnsi="Times New Roman"/>
                <w:sz w:val="24"/>
              </w:rPr>
              <w:t xml:space="preserve"> Инструментите, уредени от правото на трета държава, се включват в този ред само ако отговарят на предвидените в член 55 от посочената директива изисквания.</w:t>
            </w:r>
          </w:p>
          <w:p w14:paraId="5C3837FC" w14:textId="25D3B279" w:rsidR="00C80C5A" w:rsidRPr="001562B3" w:rsidRDefault="00D83C2E">
            <w:pPr>
              <w:pStyle w:val="InstructionsText"/>
            </w:pPr>
            <w:r>
              <w:rPr>
                <w:rStyle w:val="FormatvorlageInstructionsTabelleText"/>
                <w:rFonts w:ascii="Times New Roman" w:hAnsi="Times New Roman"/>
                <w:i/>
                <w:sz w:val="24"/>
              </w:rPr>
              <w:t>ОКПЗ</w:t>
            </w:r>
          </w:p>
          <w:p w14:paraId="7F653EB4" w14:textId="37EFA823" w:rsidR="00D83C2E" w:rsidRPr="001562B3" w:rsidRDefault="00C80C5A">
            <w:pPr>
              <w:pStyle w:val="InstructionsText"/>
            </w:pPr>
            <w:r>
              <w:t>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на приемливите задължения в съответствие с член 72б, параграф 3 или 4 от посочения регламент.</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Pr>
                <w:rStyle w:val="InstructionsTabelleberschrift"/>
                <w:rFonts w:ascii="Times New Roman" w:hAnsi="Times New Roman"/>
                <w:sz w:val="24"/>
              </w:rPr>
              <w:t>Инструменти на приемливите задължения, емитирани пряко от субекта за преструктуриране (неунаследени)</w:t>
            </w:r>
          </w:p>
          <w:p w14:paraId="4DBAA034" w14:textId="489D258B" w:rsidR="00C80C5A" w:rsidRPr="001562B3" w:rsidRDefault="00D83C2E">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МИПЗ</w:t>
            </w:r>
          </w:p>
          <w:p w14:paraId="7ECE538F" w14:textId="64FEFE49" w:rsidR="00A63011" w:rsidRPr="001562B3" w:rsidRDefault="00C80C5A">
            <w:pPr>
              <w:pStyle w:val="InstructionsText"/>
              <w:rPr>
                <w:rStyle w:val="FormatvorlageInstructionsTabelleText"/>
                <w:rFonts w:ascii="Times New Roman" w:hAnsi="Times New Roman"/>
                <w:sz w:val="24"/>
              </w:rPr>
            </w:pPr>
            <w:r>
              <w:t>Приемливите задължения, включени в стойността на собствените средства и приемливите задължения в съответствие с член 45б от Директива 2014/59/ЕС, които са подчинени приемливи инструменти съгласно определението в член 2, параграф 1, точка 71б от посочената директива и са емитирани пряко от субекта за преструктуриране.</w:t>
            </w:r>
            <w:r>
              <w:rPr>
                <w:rStyle w:val="FormatvorlageInstructionsTabelleText"/>
                <w:rFonts w:ascii="Times New Roman" w:hAnsi="Times New Roman"/>
                <w:sz w:val="24"/>
              </w:rPr>
              <w:t xml:space="preserve"> Инструментите, уредени от правото на трета държава, се включват в този ред само ако отговарят на предвидените в член 55 от посочената директива изисквания.</w:t>
            </w:r>
          </w:p>
          <w:p w14:paraId="055ECE85" w14:textId="77777777" w:rsidR="00C80C5A" w:rsidRPr="001562B3" w:rsidRDefault="00D83C2E">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ОКПЗ</w:t>
            </w:r>
          </w:p>
          <w:p w14:paraId="51F95D97" w14:textId="511FB3F1" w:rsidR="00D83C2E" w:rsidRPr="001562B3" w:rsidRDefault="00C80C5A">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на приемливите задължения в съответствие с член 72б, параграф 3 или 4 от посочения регламент), и които са емитирани пряко от субекта за преструктуриране.</w:t>
            </w:r>
          </w:p>
          <w:p w14:paraId="609C4389" w14:textId="6640F802" w:rsidR="00A63011" w:rsidRPr="001562B3" w:rsidRDefault="003C1F98">
            <w:pPr>
              <w:pStyle w:val="InstructionsText"/>
            </w:pPr>
            <w:r>
              <w:rPr>
                <w:rStyle w:val="FormatvorlageInstructionsTabelleText"/>
                <w:rFonts w:ascii="Times New Roman" w:hAnsi="Times New Roman"/>
                <w:sz w:val="24"/>
              </w:rPr>
              <w:t>В този ред не се включва нито амортизираната част от инструментите на капитала от втори ред, когато остатъчният срок до падежа е по-голям от една година (член 72а, параграф 1, буква б) от Регламент (ЕС) № 575/2013), нито приемливите задължения, унаследени съгласно член 494б от посочения регламент.</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Инструменти на приемливите задължения, емитирани от други субекти от групата за преструктуриране (неунаследени)</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t>Приемливите задължения, включени в стойността на собствените средства и приемливите задължения в съответствие с член 45б от Директива 2014/59/ЕС, които са емитирани от дъщерни предприятия и са включени в МИПЗ в съответствие с член 45б, параграф 3 от посочената директива.</w:t>
            </w:r>
            <w:r>
              <w:rPr>
                <w:rStyle w:val="FormatvorlageInstructionsTabelleText"/>
                <w:rFonts w:ascii="Times New Roman" w:hAnsi="Times New Roman"/>
                <w:sz w:val="24"/>
              </w:rPr>
              <w:t xml:space="preserve"> Инструментите, уредени от правото на трета държава, се включват в този ред само ако отговарят на предвидените в член 55 от посочената директива изисквания.</w:t>
            </w:r>
          </w:p>
          <w:p w14:paraId="5240CE7F" w14:textId="4DC3E44A" w:rsidR="00CD51BC" w:rsidRPr="001562B3" w:rsidRDefault="00CD58AA">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ОКПЗ</w:t>
            </w:r>
          </w:p>
          <w:p w14:paraId="371D0855" w14:textId="1FBDC847" w:rsidR="00B775C4" w:rsidRPr="001562B3" w:rsidRDefault="00CD51B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на приемливите задължения в съответствие с член 72б, параграф 3 или 4 от посочения регламент), и които са емитирани от дъщерни предприятия и отговарят на изискванията за включване в инструментите на консолидираните приемливи задължения на предприятието в съответствие с член 88а от посочения регламент.</w:t>
            </w:r>
          </w:p>
          <w:p w14:paraId="669A214A" w14:textId="5F8C09F6" w:rsidR="003C1F98" w:rsidRPr="001562B3" w:rsidRDefault="003C1F98">
            <w:pPr>
              <w:pStyle w:val="InstructionsText"/>
            </w:pPr>
            <w:r>
              <w:rPr>
                <w:rStyle w:val="FormatvorlageInstructionsTabelleText"/>
                <w:rFonts w:ascii="Times New Roman" w:hAnsi="Times New Roman"/>
                <w:sz w:val="24"/>
              </w:rPr>
              <w:t>В този ред не се включва нито амортизираната част от инструментите на капитала от втори ред, когато остатъчният срок до падежа е по-голям от една година (член 72а, параграф 1, буква б) от Регламент (ЕС) № 575/2013), нито приемливите задължения, унаследени съгласно член 494б от посочения регламент.</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Pr>
                <w:rStyle w:val="FormatvorlageInstructionsTabelleText"/>
                <w:rFonts w:ascii="Times New Roman" w:hAnsi="Times New Roman"/>
                <w:sz w:val="24"/>
              </w:rPr>
              <w:t>0120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Елементи на приемливите задължения, емитирани преди 27 юни 2019 г. </w:t>
            </w:r>
          </w:p>
          <w:p w14:paraId="45E921ED" w14:textId="5B5AA12F" w:rsidR="00CD51BC" w:rsidRPr="001562B3" w:rsidRDefault="003A0717">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МИПЗ</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t>Приемливи задължения, които отговарят на следните условия:</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 емитирани са преди 27 юни 2019 г.;</w:t>
            </w:r>
          </w:p>
          <w:p w14:paraId="784DD851" w14:textId="67F38D2D" w:rsidR="00CD51BC" w:rsidRPr="001562B3" w:rsidRDefault="00C904F7">
            <w:pPr>
              <w:pStyle w:val="InstructionsText"/>
              <w:rPr>
                <w:rStyle w:val="FormatvorlageInstructionsTabelleText"/>
                <w:rFonts w:ascii="Times New Roman" w:hAnsi="Times New Roman"/>
                <w:sz w:val="24"/>
              </w:rPr>
            </w:pPr>
            <w:r>
              <w:t>б) те са подчинени приемливи инструменти съгласно определението в член 2, параграф 1, точка 71б от Директива 2014/59/ЕС;</w:t>
            </w:r>
            <w:r>
              <w:rPr>
                <w:rStyle w:val="FormatvorlageInstructionsTabelleText"/>
                <w:rFonts w:ascii="Times New Roman" w:hAnsi="Times New Roman"/>
                <w:sz w:val="24"/>
              </w:rPr>
              <w:t xml:space="preserve"> </w:t>
            </w:r>
          </w:p>
          <w:p w14:paraId="1A9E4169" w14:textId="4C0E47C2" w:rsidR="003A0717" w:rsidRPr="001562B3" w:rsidRDefault="00C904F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включени са в собствените средства и приемливите задължения в съответствие с член 494б, параграф 3 от Регламент (ЕС) № 575/2013;</w:t>
            </w:r>
          </w:p>
          <w:p w14:paraId="729FD97D" w14:textId="403F2FFA" w:rsidR="00612E23" w:rsidRPr="001562B3" w:rsidRDefault="00B511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г) ако са инструменти, уредени от правото на трета държава, те отговарят на предвидените в член 55 от Директива 2014/59/ЕС изисквания.</w:t>
            </w:r>
          </w:p>
          <w:p w14:paraId="101AB6AC" w14:textId="4E538F15" w:rsidR="00CD51BC" w:rsidRPr="001562B3" w:rsidRDefault="00CD51BC">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2C4CA631" w14:textId="53206BFA" w:rsidR="003A0717" w:rsidRPr="001562B3" w:rsidRDefault="0090294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 задължения, които отговарят на следните условия:</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а) емитирани са преди 27 юни 2019 г.;</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б) отговарят на изискванията на член 72б, параграф 2, буква г) от Регламент (ЕС) № 575/2013;</w:t>
            </w:r>
          </w:p>
          <w:p w14:paraId="48932F31" w14:textId="5A08CEC9" w:rsidR="003C1F98" w:rsidRPr="001562B3" w:rsidRDefault="00A01D02">
            <w:pPr>
              <w:pStyle w:val="InstructionsText"/>
              <w:rPr>
                <w:rStyle w:val="InstructionsTabelleberschrift"/>
                <w:rFonts w:ascii="Times New Roman" w:hAnsi="Times New Roman"/>
                <w:sz w:val="24"/>
              </w:rPr>
            </w:pPr>
            <w:r>
              <w:t>в) те се считат за приемливи задължения вследствие на унаследяване в съответствие с член 494б, параграф 3 от Регламент (ЕС) № 575/2013.</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Pr>
                <w:rStyle w:val="FormatvorlageInstructionsTabelleText"/>
                <w:rFonts w:ascii="Times New Roman" w:hAnsi="Times New Roman"/>
                <w:sz w:val="24"/>
              </w:rPr>
              <w:t>0130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Инструменти на капитала от втори ред с остатъчен срок до падежа от най-малко една година, доколкото не се считат за елементи на капитала от втори ред</w:t>
            </w:r>
          </w:p>
          <w:p w14:paraId="7E53D3C8" w14:textId="1EF1CBF0" w:rsidR="003C1F98" w:rsidRPr="001562B3" w:rsidRDefault="00BF4FD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72а, параграф 1, буква б) от Регламент (ЕС) № 575/2013.</w:t>
            </w:r>
          </w:p>
          <w:p w14:paraId="34EB2C71" w14:textId="7CD241DE" w:rsidR="003C1F98" w:rsidRPr="001562B3" w:rsidRDefault="003C1F9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този ред се включва амортизираната част от инструментите на капитала от втори ред, когато остатъчният срок до падежа е по-голям от една година. В този ред се докладва само сумата, която не е призната в собствените средства, но отговаря на всички критерии за приемливост, предвидени в член 72б от Регламент (ЕС) № 575/2013.</w:t>
            </w:r>
          </w:p>
          <w:p w14:paraId="4D7DD40A" w14:textId="14F7E4FF" w:rsidR="00612E23" w:rsidRPr="001562B3" w:rsidRDefault="00DD50D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По отношение на МИПЗ, инструментите, уредени от правото на трета държава, се включват в този ред само ако отговарят на предвидените в член 55 от Директива 2014/59/ЕС изисквания.</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задълженията, които не са подчинени на изключени задължения</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МИПЗ</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Задълженията, които отговарят на условията, предвидени в член 45б от Директива 2014/59/ЕС, и които не са изцяло подчинени на вземания, произтичащи от изключени задължения, посочени в член 72а, параграф 2 от Регламент (ЕС) № 575/2013. </w:t>
            </w:r>
            <w:r>
              <w:rPr>
                <w:rStyle w:val="FormatvorlageInstructionsTabelleText"/>
                <w:rFonts w:ascii="Times New Roman" w:hAnsi="Times New Roman"/>
                <w:sz w:val="24"/>
              </w:rPr>
              <w:t>Инструментите, уредени от правото на трета държава, се включват в този ред само ако отговарят на предвидените в член 55 от Директива 2014/59/ЕС изисквания.</w:t>
            </w:r>
          </w:p>
          <w:p w14:paraId="0B2AC759" w14:textId="604E0A4C" w:rsidR="00982A9F" w:rsidRPr="001562B3" w:rsidRDefault="001E1CA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ОКПЗ</w:t>
            </w:r>
          </w:p>
          <w:p w14:paraId="4E8D9E69" w14:textId="6B8B8639" w:rsidR="00305E50" w:rsidRPr="001562B3" w:rsidRDefault="00982A9F">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Приемливите задължения, които отговарят на изискванията, предвидени в членове 72а—72г от Регламент (ЕС) № 575/2013, с изключение на член 72б, параграф 2, буква г) от посочения регламент, и които са признати като приемливи задължения в съответствие с член 72б, параграф 3 или 4 от посочения регламент. </w:t>
            </w:r>
            <w:r>
              <w:t>Когато се прилага член 72б, параграф 3 от Регламент (ЕС) № 575/2013, се докладва стойността след прилагането на определения в същия член таван.</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 които не са подчинени на изключени задължения (неунаследени преди тавана)</w:t>
            </w:r>
          </w:p>
          <w:p w14:paraId="394955FE" w14:textId="77777777" w:rsidR="00982A9F" w:rsidRPr="001562B3" w:rsidRDefault="00604AF7">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МИПЗ</w:t>
            </w:r>
          </w:p>
          <w:p w14:paraId="1AA7EA4A" w14:textId="271A55EF" w:rsidR="00604AF7" w:rsidRPr="001562B3" w:rsidRDefault="003A071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Задълженията, които отговарят на условията, предвидени в член 45б, параграфи 1—3 от Директива 2014/59/ЕС, и които не са изцяло подчинени на вземания, произтичащи от изключени задължения, посочени в член 72а, параграф 2 от Регламент (ЕС) №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Инструментите, уредени от правото на трета държава, се включват в този ред само ако отговарят на изискванията на член 55 от Директива 2014/59/ЕС.</w:t>
            </w:r>
          </w:p>
          <w:p w14:paraId="388C46BA" w14:textId="3360303E" w:rsidR="00982A9F" w:rsidRPr="001562B3" w:rsidRDefault="00604AF7">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ОКПЗ</w:t>
            </w:r>
          </w:p>
          <w:p w14:paraId="0B4467BB" w14:textId="28FBA14B" w:rsidR="00D37718" w:rsidRPr="001562B3" w:rsidRDefault="00982A9F">
            <w:pPr>
              <w:pStyle w:val="InstructionsText"/>
              <w:rPr>
                <w:rStyle w:val="FormatvorlageInstructionsTabelleText"/>
                <w:rFonts w:ascii="Times New Roman" w:hAnsi="Times New Roman"/>
                <w:sz w:val="24"/>
              </w:rPr>
            </w:pPr>
            <w:r>
              <w:t>Приемливите задължения, които отговарят на изискванията, предвидени в членове 72а—72г от Регламент (ЕС) № 575/2013, с изключение на член 72б, параграф 2, буква г) от посочения регламент, и за които може да бъде разрешено да се считат за инструменти на приемливите задължения в съответствие с член 72б, параграф 3 от посочения регламент или за които е разрешено да се считат за инструменти на приемливите задължения в съответствие с член 72б, параграф 4 от посочения регламент.</w:t>
            </w:r>
          </w:p>
          <w:p w14:paraId="0909459E" w14:textId="187AE3BC" w:rsidR="00EA28E5" w:rsidRPr="001562B3" w:rsidRDefault="00855A4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Когато се прилага член 72б, параграф 3 или член 494, параграф 2 от Регламент (ЕС) № 575/2013, в този ред се докладва пълният размер, без да се прилага таванът от съответно 3,5 % и 2,5 %.</w:t>
            </w:r>
          </w:p>
          <w:p w14:paraId="10DEA222" w14:textId="0F79DC02" w:rsidR="00A63011" w:rsidRPr="001562B3" w:rsidRDefault="00EA28E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Този ред не включва стойностите, които могат да бъдат признати на преходна основа в съответствие с член 494б, параграф 3 от Регламент (ЕС) № 575/2013.</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задълженията, които не са подчинени на изключени задължения и са емитирани преди 27 юни 2019 г. (преди тавана)</w:t>
            </w:r>
          </w:p>
          <w:p w14:paraId="2510BB3A" w14:textId="1AF410B0" w:rsidR="00982A9F" w:rsidRPr="001562B3" w:rsidRDefault="00C11CA5">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МИПЗ</w:t>
            </w:r>
          </w:p>
          <w:p w14:paraId="18163CEC" w14:textId="2030FFF7" w:rsidR="001C6D0D" w:rsidRPr="001562B3" w:rsidRDefault="00982A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 задължения, които отговарят на следните условия:</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 емитирани са преди 27 юни 2019 г.;</w:t>
            </w:r>
          </w:p>
          <w:p w14:paraId="07403C05" w14:textId="77777777" w:rsidR="009B0942"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б) отговарят на условията, предвидени в член 45б, параграфи 1—3 от Директива 2014/59/ЕС, и не са изцяло подчинени на вземания, произтичащи от изключени задължения, посочени в член 72а, параграф 2 от Регламент (ЕС) № 575/2013;</w:t>
            </w:r>
          </w:p>
          <w:p w14:paraId="71564EA2" w14:textId="74C6BCA7" w:rsidR="001C6D0D"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те се считат за приемливи задължения вследствие на унаследяване в съответствие с член 494б, параграф 3 от Регламент (ЕС) № 575/2013.</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Инструментите, уредени от правото на трета държава, се включват в този ред само ако отговарят на изискванията на член 55 от Директива 2014/59/ЕС.</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4F8A7696" w14:textId="38C1B326" w:rsidR="000A5224" w:rsidRPr="001562B3" w:rsidRDefault="002055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 задължения, които отговарят на следните условия:</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 емитирани са преди 27 юни 2019 г.;</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б) отговарят на изискванията, предвидени в членове 72а—72г от Регламент (ЕС) № 575/2013, с изключение на член 72б, параграф 2, буква г) от посочения регламент, и за които може да бъде разрешено да се считат за инструменти на приемливите задължения в съответствие с член 72б, параграф 3 от посочения регламент или за които е разрешено да се считат за инструменти на приемливите задължения в съответствие с член 72б, параграф 4 от посочения регламент;</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те се считат за приемливи задължения вследствие на унаследяване в съответствие с член 494б, параграф 3 от Регламент (ЕС) № 575/2013.</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Когато се прилага член 72б, параграф 3 или член 494, параграф 2 от Регламент (ЕС) № 575/2013, в този ред се докладва пълният размер, без да се прилага таванът от съответно 3,5 % и 2,5 %.</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стойности след прилагане на тавана по член 72б, параграф 3 от Регламент (ЕС) № 575/2013 (неунаследени)</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ОКПЗ</w:t>
            </w:r>
          </w:p>
          <w:p w14:paraId="6B93C9D6" w14:textId="55B86D85" w:rsidR="00EA28E5"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Приемливите задължения, които отговарят на изискванията, предвидени в членове 72а—72г от Регламент (ЕС) № 575/2013, с изключение на член 72б, параграф 2, буква г) от посочения регламент, след прилагането на член 72б, параграфи 3—5 от посочения регламент, с изключение на задълженията, признати вследствие на унаследяването, определено в член 494б, параграф 3 от посочения регламент.</w:t>
            </w:r>
          </w:p>
          <w:p w14:paraId="305A441C" w14:textId="01F58D68" w:rsidR="00E45961" w:rsidRPr="001562B3" w:rsidRDefault="00D301E1">
            <w:pPr>
              <w:pStyle w:val="InstructionsText"/>
              <w:rPr>
                <w:rStyle w:val="InstructionsTabelleberschrift"/>
                <w:rFonts w:ascii="Times New Roman" w:hAnsi="Times New Roman"/>
                <w:b w:val="0"/>
                <w:sz w:val="24"/>
              </w:rPr>
            </w:pPr>
            <w:r>
              <w:t>Когато се прилага член 72б, параграф 3 от Регламент (ЕС) № 575/2013 и до 31 декември 2021 г., в този ред се докладва стойността след прилагане на член 494, параграф 2 от посочения регламент (таван от 2,5 %).</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Приемливи стойности след прилагане на тавана по член 72б, параграф 3 от Регламент (ЕС) № 575/2013, състоящи се от емитирани преди 27 юни 2019 г. елементи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ОКПЗ</w:t>
            </w:r>
          </w:p>
          <w:p w14:paraId="406D6DBE" w14:textId="7F7CC175" w:rsidR="000B1772"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Приемливи задължения, които отговарят на следните условия:</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 емитирани са преди 27 юни 2019 г.;</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б) отговарят на изискванията, предвидени в членове 72а—72г от Регламент (ЕС) № 575/2013, с изключение на член 72б, параграф 2, буква г) от посочения регламент, след прилагането на член 72б, параграфи 3—5 от посочения регламент;</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t>в) те се считат за приемливи задължения вследствие на унаследяване в съответствие с член 494б, параграф 3 от Регламент (ЕС) № 575/2013.</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t>Когато се прилага член 72б, параграф 3 от Регламент (ЕС) № 575/2013 и до 31 декември 2021 г., в този ред се докладва стойността след прилагане на член 494, параграф 2 от посочения регламент (таван от 2,5 %).</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Приспадания</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Експозиции между групите за преструктуриране с множество входни точки </w:t>
            </w:r>
          </w:p>
          <w:p w14:paraId="750816D8" w14:textId="45220EA8" w:rsidR="0052529D"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ОКПЗ</w:t>
            </w:r>
          </w:p>
          <w:p w14:paraId="460C4152" w14:textId="0BFBF95F" w:rsidR="00A63011" w:rsidRPr="001562B3" w:rsidRDefault="0052529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 този ред се посочват приспаданията на експозициите между групите за преструктуриране на Г-СЗИ с множество входни точки, съответстващи на преките, непреките или синтетичните позиции в инструменти на собствените средства или на приемливите задължения на едно или повече дъщерни предприятия, които не принадлежат към групата за преструктуриране на субекта за преструктуриране, в съответствие с член 72д, параграф 4 от Регламент (ЕС) № 575/2013.</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Pr>
                <w:rStyle w:val="FormatvorlageInstructionsTabelleText"/>
                <w:rFonts w:ascii="Times New Roman" w:hAnsi="Times New Roman"/>
                <w:sz w:val="24"/>
              </w:rPr>
              <w:t>0210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Инвестиции в други инструменти на приемливите задължения</w:t>
            </w:r>
          </w:p>
          <w:p w14:paraId="6D6E0AE5" w14:textId="7C627841" w:rsidR="00FC063F" w:rsidRPr="001562B3" w:rsidRDefault="00FC063F">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ОКПЗ</w:t>
            </w:r>
          </w:p>
          <w:p w14:paraId="1A0BF801" w14:textId="27D6A9F7" w:rsidR="00A63011" w:rsidRPr="001562B3" w:rsidRDefault="00E645F5">
            <w:pPr>
              <w:pStyle w:val="InstructionsText"/>
              <w:rPr>
                <w:rStyle w:val="InstructionsTabelleberschrift"/>
                <w:rFonts w:ascii="Times New Roman" w:hAnsi="Times New Roman"/>
                <w:sz w:val="24"/>
              </w:rPr>
            </w:pPr>
            <w:r>
              <w:t>Субектите докладват приспадането на инвестиции в други инструменти на приемливите задължения съгласно посоченото в член 72д, параграф 1—3 и членове 72е — 72й от Регламент (ЕС) № 575/2013, като сумата, която трябва да се приспадне от елементите на приемливите задължения, се определя в съответствие с втора част, дял I, глава 5а, раздел 2 от посочения регламент.</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Превишение на сумата, която се приспада от приемливите задължения, над приемливите задължения</w:t>
            </w:r>
          </w:p>
          <w:p w14:paraId="7BA038D3" w14:textId="2EA39D26" w:rsidR="00913681" w:rsidRPr="001562B3" w:rsidRDefault="00EA28E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Приемливите задължения не могат да бъдат отрицателни, но е възможно приспаданията от приемливите задължения да са по-големи от приемливите задължения. </w:t>
            </w:r>
            <w:r>
              <w:t>В този случай приемливите задължения трябва да бъдат равни на нула, а превишението на приспаданията трябва да се приспадне от капитала от втори ред в съответствие с член 66, буква д ) от Регламент (ЕС) № 575/2013.</w:t>
            </w:r>
          </w:p>
          <w:p w14:paraId="3E09EF9B" w14:textId="2F11A2BE" w:rsidR="00A63011" w:rsidRPr="001562B3" w:rsidRDefault="0091368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Чрез тази позиция приемливите задължения, докладвани в ред 0060, никога не са по-малки от нула.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Поясняващи позиции</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БСК1 (%), наличен след изпълнение на изискванията от субекта </w:t>
            </w:r>
          </w:p>
          <w:p w14:paraId="536CE450" w14:textId="55D07D6A" w:rsidR="004B26E4" w:rsidRPr="001562B3" w:rsidRDefault="004B26E4">
            <w:pPr>
              <w:pStyle w:val="InstructionsText"/>
              <w:rPr>
                <w:rStyle w:val="FormatvorlageInstructionsTabelleText"/>
                <w:rFonts w:ascii="Times New Roman" w:hAnsi="Times New Roman"/>
                <w:sz w:val="24"/>
              </w:rPr>
            </w:pPr>
            <w:r>
              <w:t>Стойността на БСК1, по-голяма или равна на нула, налична след като е изпълнено всяко от изискванията, посочени в член 141а, параграф 1, букви а), б) и в) от Директива 2013/36/ЕС</w:t>
            </w:r>
            <w:r>
              <w:rPr>
                <w:rStyle w:val="FootnoteReference"/>
              </w:rPr>
              <w:footnoteReference w:id="5"/>
            </w:r>
            <w:r>
              <w:t>, и по-високата от следните стойности:</w:t>
            </w:r>
          </w:p>
          <w:p w14:paraId="1016D212" w14:textId="38F6EBF7" w:rsidR="004B26E4" w:rsidRPr="001562B3" w:rsidRDefault="004B26E4">
            <w:pPr>
              <w:pStyle w:val="InstructionsText"/>
              <w:rPr>
                <w:rStyle w:val="FormatvorlageInstructionsTabelleText"/>
                <w:rFonts w:ascii="Times New Roman" w:hAnsi="Times New Roman"/>
                <w:sz w:val="24"/>
              </w:rPr>
            </w:pPr>
            <w:r>
              <w:t>а) когато е приложимо, предвиденото в член 92а от Регламент (ЕС) № 575/2013 изискване за собствени средства и приемливи задължения за Г-СЗИ (изискване за ОКПЗ), изчислено в съответствие с параграф 1, буква а) от посочения член;</w:t>
            </w:r>
            <w:r>
              <w:rPr>
                <w:rStyle w:val="FormatvorlageInstructionsTabelleText"/>
                <w:rFonts w:ascii="Times New Roman" w:hAnsi="Times New Roman"/>
                <w:sz w:val="24"/>
              </w:rPr>
              <w:t xml:space="preserve"> </w:t>
            </w:r>
          </w:p>
          <w:p w14:paraId="78E1074D" w14:textId="3DEFB8C3" w:rsidR="004B26E4" w:rsidRPr="001562B3" w:rsidRDefault="004B26E4">
            <w:pPr>
              <w:pStyle w:val="InstructionsText"/>
              <w:rPr>
                <w:rStyle w:val="FormatvorlageInstructionsTabelleText"/>
                <w:rFonts w:ascii="Times New Roman" w:hAnsi="Times New Roman"/>
                <w:sz w:val="24"/>
              </w:rPr>
            </w:pPr>
            <w:r>
              <w:t>б) минималното изискване за собствени средства и приемливи задължения съгласно член 45 от Директива 2014/59/ЕС, изчислено в съответствие с член 45, параграф 2, буква а) от посочената директива.</w:t>
            </w:r>
          </w:p>
          <w:p w14:paraId="4922B454" w14:textId="09574DDE" w:rsidR="004B26E4" w:rsidRPr="001562B3" w:rsidRDefault="004B26E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Наличният БСК1 се изразява като процент от общата рискова експозиция, докладвана в ред 0100 на образец M 01.00.</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 колоните за МИПЗ и ОКПЗ се докладва еднаква стойност.</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 оповестяването са отчетени въздействието на преходните разпоредби върху собствените средства и приемливите задължения, общата рискова експозиция и самите изисквания. Не се вземат предвид нито насоките относно допълнителните собствени средства, посочени в член 104б от Директива 2013/36/ЕС, нито комбинираното изискване за буфер по член 128, първа алинея, точка 6 от посочената директива.</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Комбинирано изискване за буфер (%)</w:t>
            </w:r>
          </w:p>
          <w:p w14:paraId="287F6D1A" w14:textId="1CE645DE" w:rsidR="004B26E4" w:rsidRPr="001562B3" w:rsidRDefault="004B26E4">
            <w:pPr>
              <w:pStyle w:val="InstructionsText"/>
              <w:rPr>
                <w:rStyle w:val="FormatvorlageInstructionsTabelleText"/>
                <w:rFonts w:ascii="Times New Roman" w:hAnsi="Times New Roman"/>
                <w:sz w:val="24"/>
              </w:rPr>
            </w:pPr>
            <w:r>
              <w:t xml:space="preserve">Член 128, първа алинея, точка 6 от Директива 2013/36/ЕС. </w:t>
            </w:r>
          </w:p>
          <w:p w14:paraId="7D299A16" w14:textId="40FF678D" w:rsidR="004B26E4" w:rsidRPr="001562B3" w:rsidRDefault="004B26E4">
            <w:pPr>
              <w:pStyle w:val="InstructionsText"/>
              <w:rPr>
                <w:rStyle w:val="InstructionsTabelleberschrift"/>
                <w:rFonts w:ascii="Times New Roman" w:hAnsi="Times New Roman"/>
                <w:sz w:val="24"/>
              </w:rPr>
            </w:pPr>
            <w:r>
              <w:t>Комбинираното изискване за буфер се изразява като процент от общата рискова експозиция.</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предпазен капиталов буфер </w:t>
            </w:r>
          </w:p>
          <w:p w14:paraId="4EFA0A18" w14:textId="5AE605AD" w:rsidR="004B26E4" w:rsidRPr="001562B3" w:rsidRDefault="004B26E4" w:rsidP="008E501F">
            <w:pPr>
              <w:pStyle w:val="InstructionsText"/>
              <w:rPr>
                <w:rStyle w:val="InstructionsTabelleberschrift"/>
                <w:rFonts w:ascii="Times New Roman" w:hAnsi="Times New Roman"/>
                <w:sz w:val="24"/>
              </w:rPr>
            </w:pPr>
            <w:r>
              <w:t>Размерът на специфичния за институцията комбиниран буфер (изразен като процент от общата рискова експозиция), свързан с изискването за предпазен капиталов буфер.</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антицикличен буфер </w:t>
            </w:r>
          </w:p>
          <w:p w14:paraId="66111F18" w14:textId="6AC08DF1" w:rsidR="004B26E4" w:rsidRPr="001562B3" w:rsidRDefault="004B26E4" w:rsidP="008E501F">
            <w:pPr>
              <w:pStyle w:val="InstructionsText"/>
              <w:rPr>
                <w:rStyle w:val="InstructionsTabelleberschrift"/>
                <w:rFonts w:ascii="Times New Roman" w:hAnsi="Times New Roman"/>
                <w:sz w:val="24"/>
              </w:rPr>
            </w:pPr>
            <w:r>
              <w:t>Размерът на специфичния за институцията комбиниран буфер (изразен като процент от общата рискова експозиция), свързан с изискването за антицикличен буфер.</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буфер за системния риск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t>Размерът на специфичния за институцията комбиниран буфер (изразен като процент от общата рискова експозиция), свързан с изискването за буфер за системния риск.</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буфер за глобална системно значима институция (Г-СЗИ) или друга системно значима институция (Д-СЗИ)</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t>Размерът на специфичния за институцията комбиниран буфер (изразен като процент от общата рискова експозиция), свързан с изискването за буфер за Г-СЗИ или за Д-СЗИ.</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Инвестиции в подчинени приемливи задължения на други институции</w:t>
            </w:r>
          </w:p>
          <w:p w14:paraId="5F3C8CAD" w14:textId="51CDE3CF" w:rsidR="004B26E4" w:rsidRPr="001562B3" w:rsidRDefault="004B26E4">
            <w:pPr>
              <w:pStyle w:val="InstructionsText"/>
            </w:pPr>
            <w:r>
              <w:t>Докладваните в този ред и редове 0470—0490 позиции се определят съгласно принципите, изложени в член 72з от РКИ (нетни дълги позиции, подход на подробен преглед).</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Инвестиции в подчинени приемливи задължения на Г-СЗИ</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Размерът на позициите в инструменти на приемливите задължения съгласно посоченото в член 72б, параграф 2 от Регламент (ЕС) № 575/2013 (с изключение на инструментите по член 72б, параграф 3—5 от посочения регламент), които са емитирани от Г-СЗИ.</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Инвестиции в подчинени приемливи задължения на Д-СЗИ</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t>Размерът на позициите в инструменти на приемливите задължения съгласно посоченото в член 72б, параграф 2 от Регламент (ЕС) № 575/2013, които са емитирани от Д-СЗИ.</w:t>
            </w:r>
          </w:p>
          <w:p w14:paraId="38FA530C" w14:textId="678EB475"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Инвестициите в подчинени приемливи задължения на Д-СЗИ, които същевременно са Г-СЗИ, не се докладват в този ред, а единствено в ред 0470.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Инвестиции в подчинени приемливи задължения на други институции</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t>Размерът на позициите в инструменти на приемливите задължения съгласно посоченото в член 72б, параграф 2 от Регламент (ЕС) № 575/2013, емитирани от институции, които не са Г-СЗИ или Д-СЗИ.</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Изключени задължения</w:t>
            </w:r>
          </w:p>
          <w:p w14:paraId="0B9817CF" w14:textId="5B950FA2" w:rsidR="004B26E4" w:rsidRPr="001562B3" w:rsidRDefault="004B26E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Член 72a, параграф 2</w:t>
            </w:r>
            <w:r>
              <w:t xml:space="preserve"> от Регламент (ЕС) № 575/2013.</w:t>
            </w:r>
          </w:p>
        </w:tc>
      </w:tr>
    </w:tbl>
    <w:p w14:paraId="56EB0CAA" w14:textId="633BECAD" w:rsidR="00A63011" w:rsidRPr="001562B3" w:rsidRDefault="00A63011"/>
    <w:p w14:paraId="155D68FA" w14:textId="13C73186" w:rsidR="00482729" w:rsidRPr="001562B3" w:rsidRDefault="00482729" w:rsidP="003C53E9">
      <w:pPr>
        <w:pStyle w:val="Numberedtilelevel1"/>
        <w:numPr>
          <w:ilvl w:val="1"/>
          <w:numId w:val="28"/>
        </w:numPr>
      </w:pPr>
      <w:bookmarkStart w:id="46" w:name="_Toc45558486"/>
      <w:r>
        <w:t>M 03.00 — Вътрешно МИПЗ и вътрешен ОКПЗ (ILAC)</w:t>
      </w:r>
      <w:bookmarkEnd w:id="46"/>
    </w:p>
    <w:p w14:paraId="3B90FFA9" w14:textId="51811D4F" w:rsidR="00482729" w:rsidRPr="001562B3" w:rsidRDefault="00482729" w:rsidP="003C53E9">
      <w:pPr>
        <w:pStyle w:val="Numberedtilelevel1"/>
        <w:numPr>
          <w:ilvl w:val="2"/>
          <w:numId w:val="28"/>
        </w:numPr>
      </w:pPr>
      <w:bookmarkStart w:id="47" w:name="_Toc16868638"/>
      <w:bookmarkStart w:id="48" w:name="_Toc20316751"/>
      <w:bookmarkStart w:id="49" w:name="_Toc45558487"/>
      <w:r>
        <w:t>Общи бележки</w:t>
      </w:r>
      <w:bookmarkEnd w:id="47"/>
      <w:bookmarkEnd w:id="48"/>
      <w:bookmarkEnd w:id="49"/>
    </w:p>
    <w:p w14:paraId="1C147C02" w14:textId="6DCE8FA1" w:rsidR="00B94302" w:rsidRPr="001562B3" w:rsidRDefault="000466F4" w:rsidP="00E05895">
      <w:pPr>
        <w:pStyle w:val="InstructionsText2"/>
      </w:pPr>
      <w:r>
        <w:t xml:space="preserve">В образец M 03.00 се представят собствените средства и приемливите задължения за целите на: </w:t>
      </w:r>
    </w:p>
    <w:p w14:paraId="12678ACA" w14:textId="1FD31B39" w:rsidR="00B94302" w:rsidRPr="001562B3" w:rsidRDefault="00B11263" w:rsidP="001562B3">
      <w:pPr>
        <w:pStyle w:val="InstructionsText2"/>
        <w:numPr>
          <w:ilvl w:val="0"/>
          <w:numId w:val="0"/>
        </w:numPr>
        <w:ind w:left="1080"/>
      </w:pPr>
      <w:r>
        <w:t xml:space="preserve">а) изискването за собствени средства и приемливи задължения на субектите, които сами по себе си не са субекти за преструктуриране съгласно член 45е от Директива 2014/59/ЕС (вътрешно МИПЗ); и </w:t>
      </w:r>
    </w:p>
    <w:p w14:paraId="39FE2B42" w14:textId="1AB38771" w:rsidR="000466F4" w:rsidRPr="001562B3" w:rsidRDefault="00B11263" w:rsidP="001562B3">
      <w:pPr>
        <w:pStyle w:val="InstructionsText2"/>
        <w:numPr>
          <w:ilvl w:val="0"/>
          <w:numId w:val="0"/>
        </w:numPr>
        <w:ind w:left="1080"/>
      </w:pPr>
      <w:r>
        <w:t>б) изискването за собствени средства и приемливи задължения за Г-СЗИ извън ЕС, приложимо за значимите дъщерни предприятия на Г-СЗИ от трети държави съгласно член 92б от Регламент (ЕС) № 575/2013 (вътрешен ОКПЗ).</w:t>
      </w:r>
    </w:p>
    <w:p w14:paraId="30A80998" w14:textId="686EE1CB" w:rsidR="00095D0D" w:rsidRPr="001562B3" w:rsidRDefault="00095D0D" w:rsidP="00E05895">
      <w:pPr>
        <w:pStyle w:val="InstructionsText2"/>
      </w:pPr>
      <w:r>
        <w:t>Колоната, отнасяща се до вътрешното МИПЗ, се попълва от субектите, за които минималното изискване за собствени средства и приемливи задължения се прилага в съответствие с членове 45 и 45е от Директива 2014/59/ЕС. Само субектите, които са задължени да спазват изискването по член 92б от Регламент (ЕС) № 575/2013, докладват позициите, отнасящи се до изискването за собствени средства и приемливи задължения за Г-СЗИ (ОКПЗ).</w:t>
      </w:r>
    </w:p>
    <w:p w14:paraId="36894AC7" w14:textId="49DE3AD7" w:rsidR="00482729" w:rsidRPr="001562B3" w:rsidRDefault="00482729" w:rsidP="003C53E9">
      <w:pPr>
        <w:pStyle w:val="Numberedtilelevel1"/>
        <w:numPr>
          <w:ilvl w:val="2"/>
          <w:numId w:val="28"/>
        </w:numPr>
      </w:pPr>
      <w:bookmarkStart w:id="50" w:name="_Toc45558488"/>
      <w:bookmarkStart w:id="51" w:name="_Toc18593305"/>
      <w:bookmarkStart w:id="52" w:name="_Toc16868639"/>
      <w:bookmarkStart w:id="53" w:name="_Toc20316752"/>
      <w:bookmarkStart w:id="54" w:name="_Toc45558489"/>
      <w:bookmarkEnd w:id="50"/>
      <w:bookmarkEnd w:id="51"/>
      <w:r>
        <w:t>Указания за специфични позиции</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Pr>
                <w:rStyle w:val="FormatvorlageInstructionsTabelleText"/>
                <w:rFonts w:ascii="Times New Roman" w:hAnsi="Times New Roman"/>
                <w:sz w:val="24"/>
              </w:rPr>
              <w:t>Колони</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t>Препратки към правни норми и указания</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Вътрешно МИПЗ</w:t>
            </w:r>
          </w:p>
          <w:p w14:paraId="201A3B71" w14:textId="00D90FED" w:rsidR="001B51A1" w:rsidRPr="001562B3" w:rsidRDefault="001B51A1">
            <w:pPr>
              <w:pStyle w:val="InstructionsText"/>
            </w:pPr>
            <w:r>
              <w:t>Членове 45 и 45е от Директива 2014/59/ЕС.</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Вътрешен ОКПЗ</w:t>
            </w:r>
          </w:p>
          <w:p w14:paraId="4CED47A8" w14:textId="3FFFF330" w:rsidR="001B51A1" w:rsidRPr="001562B3" w:rsidRDefault="001B51A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92б от Регламент (ЕС) № 575/2013.</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Ред</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Препратки към правни норми и указания</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Ниво на прилагане</w:t>
            </w:r>
          </w:p>
          <w:p w14:paraId="7FECF1A5" w14:textId="60A40903" w:rsidR="00482729" w:rsidRPr="001562B3"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Ако за субектът се прилага вътрешно МИПЗ и, когато е приложимо, вътрешен ОКПЗ на индивидуална основа, той посочва „индивидуално“.</w:t>
            </w:r>
          </w:p>
          <w:p w14:paraId="3FFF56BB" w14:textId="1F40B525"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Ако за субектът се прилага вътрешно МИПЗ и, когато е приложимо, вътрешен ОКПЗ на консолидирана основа, той посочва „консолидирано“.</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Обща рискова експозиция и мярка за общата експозиция</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Обща рискова експозиция (ОРЕ)</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t>Член 45, параграф 2, буква а) от Директива 2014/59/ЕС, член 92, параграф 3 от Регламент (ЕС) № 575/2013.</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t>В този ред се докладва общата рискова експозиция, която е основа за спазването на изискванията на член 45 от Директива 2014/59/ЕС или съответно член 92б от Регламент (ЕС) № 575/2013, според случая.</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Мярка за общата експозиция (МОЕ)</w:t>
            </w:r>
          </w:p>
          <w:p w14:paraId="2E2DFC02" w14:textId="21E9C26A" w:rsidR="00482729" w:rsidRPr="001562B3" w:rsidRDefault="00EB663A">
            <w:pPr>
              <w:pStyle w:val="InstructionsText"/>
              <w:rPr>
                <w:rStyle w:val="FormatvorlageInstructionsTabelleText"/>
                <w:rFonts w:ascii="Times New Roman" w:hAnsi="Times New Roman"/>
                <w:sz w:val="24"/>
              </w:rPr>
            </w:pPr>
            <w:r>
              <w:t>Член 45, параграф 2, буква б) от Директива 2014/59/ЕС, член 429, параграф 4 и член 429а от Регламент (ЕС) № 575/2013.</w:t>
            </w:r>
          </w:p>
          <w:p w14:paraId="21A2EF83" w14:textId="41F9EF08" w:rsidR="00EB663A" w:rsidRPr="001562B3" w:rsidRDefault="00EB663A">
            <w:pPr>
              <w:pStyle w:val="InstructionsText"/>
              <w:rPr>
                <w:rStyle w:val="FormatvorlageInstructionsTabelleText"/>
                <w:rFonts w:ascii="Times New Roman" w:hAnsi="Times New Roman"/>
                <w:sz w:val="24"/>
              </w:rPr>
            </w:pPr>
            <w:r>
              <w:t>В този ред се докладва мярката за общата експозиция, която е основа за спазването на изискванията на член 45 от Директива 2014/59/ЕС или съответно член 92б от Регламент (ЕС) № 575/2013, според случая.</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собствени средства и приемливи задължения</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собствени средства и приемливи задължения</w:t>
            </w:r>
          </w:p>
          <w:p w14:paraId="534DA971" w14:textId="4929E71C"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Вътрешно МИПЗ</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t>Сборът на приемливите собствени средства, приемливите задължения и гаранциите, за които е разрешено да се отчитат като част от вътрешното МИПЗ в съответствие с член 45е, параграф 2 от Директива 2014/59/ЕС, като се вземе предвид също, когато е приложимо, член 89, параграф 2, четвърта алинея от посочената директива.</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t>Инструментите, уредени от правото на трета държава, се включват в този ред само ако отговарят на изискванията на член 55 от Директива 2014/59/ЕС.</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t>В този ред се докладва стойността, получена след приспаданията или еквивалентите подходи, изисквани в съответствие с установения в делегирания регламент метод, посочен в член 45е, параграф 6 от Директива 2014/59/ЕС.</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Вътрешен ОКПЗ</w:t>
            </w:r>
          </w:p>
          <w:p w14:paraId="2F92FA88" w14:textId="33C07F6B" w:rsidR="007056F7" w:rsidRPr="001562B3" w:rsidRDefault="003E7AB6">
            <w:pPr>
              <w:pStyle w:val="InstructionsText"/>
              <w:rPr>
                <w:rStyle w:val="InstructionsTabelleberschrift"/>
                <w:rFonts w:ascii="Times New Roman" w:hAnsi="Times New Roman"/>
                <w:b w:val="0"/>
                <w:sz w:val="24"/>
              </w:rPr>
            </w:pPr>
            <w:r>
              <w:t xml:space="preserve">Приемливите собствени средства и приемливите задължения, </w:t>
            </w:r>
            <w:r>
              <w:rPr>
                <w:rStyle w:val="InstructionsTabelleberschrift"/>
                <w:rFonts w:ascii="Times New Roman" w:hAnsi="Times New Roman"/>
                <w:b w:val="0"/>
                <w:sz w:val="24"/>
                <w:u w:val="none"/>
              </w:rPr>
              <w:t>за които е разрешено</w:t>
            </w:r>
            <w:r>
              <w:t xml:space="preserve"> да се отчитат като част от вътрешния ОКПЗ в съответствие с член 92б, параграфи 2 и 3 от Регламент (ЕС) № 575/2013.</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собствени средства</w:t>
            </w:r>
          </w:p>
          <w:p w14:paraId="5A61F12E" w14:textId="3EC25C34"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Сборът на базовия собствен капитал от първи ред, приемливия допълнителен капитал от първи ред и приемливия капитал от втори ред.</w:t>
            </w:r>
          </w:p>
          <w:p w14:paraId="455E6C31" w14:textId="58FE2CF3" w:rsidR="00184B3F" w:rsidRPr="001562B3" w:rsidRDefault="00DD50DC">
            <w:pPr>
              <w:pStyle w:val="InstructionsText"/>
              <w:rPr>
                <w:rStyle w:val="FormatvorlageInstructionsTabelleText"/>
                <w:rFonts w:ascii="Times New Roman" w:hAnsi="Times New Roman"/>
                <w:sz w:val="24"/>
              </w:rPr>
            </w:pPr>
            <w:r>
              <w:t>По отношение на вътрешно МИПЗ в този ред и в редове 0230 и 0240 се включват инструментите, посочени в член 89, параграф 2, четвърта алинея от Директива 2014/59/ЕС, когато се прилага посоченият параграф.</w:t>
            </w:r>
            <w:r>
              <w:rPr>
                <w:rStyle w:val="FormatvorlageInstructionsTabelleText"/>
                <w:rFonts w:ascii="Times New Roman" w:hAnsi="Times New Roman"/>
                <w:sz w:val="24"/>
              </w:rPr>
              <w:t xml:space="preserve"> Инструментите, уредени от правото на трета държава, се включват в този ред и в редове 0230 и 0240 само ако отговарят на предвидените в член 55 от посочената директива изисквания.</w:t>
            </w:r>
            <w:r>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Базов собствен капитал от първи ред (БСК1)</w:t>
            </w:r>
          </w:p>
          <w:p w14:paraId="391FC0ED" w14:textId="2504BD1E" w:rsidR="005F18D0" w:rsidRPr="001562B3" w:rsidRDefault="005F18D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50 от Регламент (ЕС) № 575/2013.</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 допълнителен капитал от първи ред</w:t>
            </w:r>
          </w:p>
          <w:p w14:paraId="3CB2E0B8" w14:textId="4021DC45"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Член 61 от Регламент (ЕС) № 575/2013.</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Вътрешно МИПЗ</w:t>
            </w:r>
          </w:p>
          <w:p w14:paraId="3563B5D5" w14:textId="6E0C0C32"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Инструментите се вземат под внимание само когато отговарят на критериите, посочени в член 45е, параграф 2, буква б), подточка ii) от Директива 2014/59/ЕС. </w:t>
            </w:r>
          </w:p>
          <w:p w14:paraId="4F571476" w14:textId="60A65E40"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Вътрешен ОКПЗ</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Инструментите се вземат под внимание само когато отговарят на критериите, посочени в член 92б, параграф 2 от Регламент (ЕС) № 575/2013.</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 капитал от втори ред</w:t>
            </w:r>
          </w:p>
          <w:p w14:paraId="612D408D" w14:textId="42DD45B8" w:rsidR="005F18D0" w:rsidRPr="001562B3"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Член 71 от Регламент (ЕС) № 575/2013.</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Вътрешно МИПЗ</w:t>
            </w:r>
          </w:p>
          <w:p w14:paraId="2012463A" w14:textId="3DC8809B" w:rsidR="005F18D0" w:rsidRPr="001562B3"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Инструментите се вземат под внимание само когато отговарят на критериите, посочени в член 45е, параграф 2, буква б), подточка ii) от Директива 2014/59/ЕС.</w:t>
            </w:r>
          </w:p>
          <w:p w14:paraId="15C285E6" w14:textId="7A34A784"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Вътрешен ОКПЗ</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t>Инструментите се вземат под внимание само когато отговарят на критериите, посочени в член 92б, параграф 2 от Регламент (ЕС) № 575/2013.</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Приемливи задължения и гаранции</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Приемливи задължения (без гаранции)</w:t>
            </w:r>
          </w:p>
          <w:p w14:paraId="7FFDA680" w14:textId="5DD968F5" w:rsidR="003E7AB6" w:rsidRPr="001562B3" w:rsidRDefault="003E7AB6">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Вътрешно МИПЗ</w:t>
            </w:r>
          </w:p>
          <w:p w14:paraId="5366075E" w14:textId="1A9F841A" w:rsidR="00184B3F" w:rsidRPr="001562B3" w:rsidRDefault="003E7AB6" w:rsidP="00437CF3">
            <w:pPr>
              <w:rPr>
                <w:rStyle w:val="InstructionsTabelleberschrift"/>
                <w:rFonts w:ascii="Times New Roman" w:hAnsi="Times New Roman"/>
                <w:b w:val="0"/>
                <w:sz w:val="24"/>
                <w:u w:val="none"/>
              </w:rPr>
            </w:pPr>
            <w:r>
              <w:rPr>
                <w:rFonts w:ascii="Times New Roman" w:hAnsi="Times New Roman"/>
                <w:sz w:val="24"/>
              </w:rPr>
              <w:t>Приемливите задължения, които отговарят на условията, посочени в член 45е, параграф 2, буква а) от Директива 2014/59/ЕС, като се вземе предвид също, когато е приложимо, член 89, параграф 2, четвърта алинея от посочената директива.</w:t>
            </w:r>
          </w:p>
          <w:p w14:paraId="57209D45" w14:textId="749BA98A" w:rsidR="005F18D0" w:rsidRPr="001562B3" w:rsidRDefault="00184B3F" w:rsidP="00437CF3">
            <w:pPr>
              <w:rPr>
                <w:rStyle w:val="FormatvorlageInstructionsTabelleText"/>
                <w:rFonts w:ascii="Times New Roman" w:hAnsi="Times New Roman"/>
                <w:sz w:val="24"/>
              </w:rPr>
            </w:pPr>
            <w:r>
              <w:rPr>
                <w:rStyle w:val="InstructionsTabelleberschrift"/>
                <w:rFonts w:ascii="Times New Roman" w:hAnsi="Times New Roman"/>
                <w:b w:val="0"/>
                <w:sz w:val="24"/>
                <w:u w:val="none"/>
              </w:rPr>
              <w:t>Инструментите, уредени от правото на трета държава, се включват в този ред само ако отговарят на изискванията на член 55 от Директива 2014/59/ЕС.</w:t>
            </w:r>
          </w:p>
          <w:p w14:paraId="7FC16AEF" w14:textId="6593B239" w:rsidR="003E7AB6" w:rsidRPr="001562B3"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Вътрешен ОКПЗ</w:t>
            </w:r>
          </w:p>
          <w:p w14:paraId="193E429A" w14:textId="45B309AB" w:rsidR="005F18D0"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приемливите задължения се изчислява в съответствие с член 72к от Регламент (ЕС) № 575/2013, когато тези задължения отговарят на условията, посочени в член 92б, параграф 3 от посочения регламент.</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Гаранции, предоставени от субекта за преструктуриране и разрешени от органа за преструктуриране</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t>Когато органът за преструктуриране на дъщерното предприятие разреши на докладващия субект да изпълни изискването за вътрешно МИПЗ с гаранции, се докладва стойността на гаранциите, предоставени от субекта за преструктуриране и отговарящи на всички условия, посочени в член 45е, параграф 5 от Директива 2014/59/ЕС.</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Поясняваща позиция: обезпечена част от гаранцията</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t>Докладваната в ред 0270 част от гаранцията, обезпечена чрез споразумение за финансово обезпечение съгласно посоченото в член 45е, параграф 5, буква в) от Директива 2014/59/ЕС.</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 Приспадания или еквиваленти подходи</w:t>
            </w:r>
          </w:p>
          <w:p w14:paraId="5DF1D2B8" w14:textId="2EF2AACA" w:rsidR="00585408" w:rsidRPr="001562B3" w:rsidRDefault="00585408" w:rsidP="008E501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Приспаданията или еквивалентите подходи, изисквани в съответствие с установения в делегирания регламент метод, посочен в член 45е, параграф 6 от Директива 2014/59/ЕС. Този ред се попълва само след като делегираният регламент започне да се прилага.</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Коефициенти на приемливите собствени средства и приемливите задължения</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 като процент от ОРЕ</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t>Стойността на приемливите собствени средства, приемливите задължения и разрешените гаранции на докладващия субект, отчитани съответно към вътрешното МИПЗ и вътрешния ОКПЗ, изразена като процент от общата рискова експозиция, изчислена в съответствие с член 92, параграф 3 от Регламент (ЕС) № 575/2013.</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разрешени гаранции</w:t>
            </w:r>
          </w:p>
          <w:p w14:paraId="6E0BA424" w14:textId="75A3DA62" w:rsidR="00CC432E" w:rsidRPr="001562B3" w:rsidRDefault="00CC432E">
            <w:pPr>
              <w:pStyle w:val="InstructionsText"/>
              <w:rPr>
                <w:rStyle w:val="InstructionsTabelleberschrift"/>
                <w:rFonts w:ascii="Times New Roman" w:hAnsi="Times New Roman"/>
                <w:sz w:val="24"/>
              </w:rPr>
            </w:pPr>
            <w:r>
              <w:t>Стойността на приемливите собствени средства, приемливите задължения и разрешените гаранции на докладващия субект, които представляват гаранции, предоставени от субекта за преструктуриране и които са признати от органа за преструктуриране в съответствие с член 45е, параграф 5 от Директива 2014/59/ЕС, отчитани като част от вътрешното МИПЗ, изразена като процент от общата рискова експозиция, изчислена в съответствие с член 92, параграф 3 от Регламент (ЕС) № 575/2013.</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Собствени средства и приемливи задължения като процент от MOE</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Стойността на приемливите собствени средства и приемливите задължения на докладващия субект, отчитани като част съответно от вътрешното МИПЗ и вътрешния ОКПЗ, изразена като процент от мярката за общата експозиция, изчислена в съответствие с член 429, параграф 4 и член 429а от Регламент (ЕС) № 575/2013.</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разрешени гаранции</w:t>
            </w:r>
          </w:p>
          <w:p w14:paraId="5D4BEBD4" w14:textId="29134CEE" w:rsidR="00CC432E" w:rsidRPr="001562B3" w:rsidRDefault="00CC432E">
            <w:pPr>
              <w:pStyle w:val="InstructionsText"/>
              <w:rPr>
                <w:rStyle w:val="FormatvorlageInstructionsTabelleText"/>
                <w:rFonts w:ascii="Times New Roman" w:hAnsi="Times New Roman"/>
                <w:sz w:val="24"/>
              </w:rPr>
            </w:pPr>
            <w:r>
              <w:t>Стойността на приемливите собствени средства и приемливите задължения на докладващия субект, които представляват гаранции, предоставени от субекта за преструктуриране, и които са признати от органа за преструктуриране в съответствие с член 45е, параграф 5 от Директива 2014/59/ЕС, отчитани като част от вътрешното МИПЗ, изразена като процент от мярката за общата експозиция, изчислена в съответствие с член 429, параграф 4 и член 429а от Регламент (ЕС) № 575/2013.</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БСК1 (%), наличен след изпълнение на изискванията от субекта</w:t>
            </w:r>
          </w:p>
          <w:p w14:paraId="58C29D7C" w14:textId="367516F6" w:rsidR="008561CE" w:rsidRPr="001562B3" w:rsidRDefault="008561CE">
            <w:pPr>
              <w:pStyle w:val="InstructionsText"/>
              <w:rPr>
                <w:rStyle w:val="FormatvorlageInstructionsTabelleText"/>
                <w:rFonts w:ascii="Times New Roman" w:hAnsi="Times New Roman"/>
                <w:sz w:val="24"/>
              </w:rPr>
            </w:pPr>
            <w:r>
              <w:t>Стойността на БСК1, по-голяма или равна на нула, налична след като е изпълнено всяко от изискванията, посочени в член 141а, параграф 1, букви а), б) и в) от Директива 2013/36/ЕС, и по-високата от следните стойности:</w:t>
            </w:r>
          </w:p>
          <w:p w14:paraId="57381FCD" w14:textId="5BC7F484" w:rsidR="008561CE" w:rsidRPr="001562B3" w:rsidRDefault="008561CE">
            <w:pPr>
              <w:pStyle w:val="InstructionsText"/>
              <w:rPr>
                <w:rStyle w:val="FormatvorlageInstructionsTabelleText"/>
                <w:rFonts w:ascii="Times New Roman" w:hAnsi="Times New Roman"/>
                <w:sz w:val="24"/>
              </w:rPr>
            </w:pPr>
            <w:r>
              <w:t>а) когато е приложимо, изискването за вътрешния ОКПЗ съгласно член 92б от Регламент (ЕС) № 575/2013, изчислено в съответствие с член 92б, параграф 1 от посочения регламент като 90 % от изискването по член 92а, параграф 1, буква а) от посочения регламент;</w:t>
            </w:r>
          </w:p>
          <w:p w14:paraId="1F28DC82" w14:textId="71992F1A" w:rsidR="008561CE" w:rsidRPr="001562B3" w:rsidRDefault="008561CE">
            <w:pPr>
              <w:pStyle w:val="InstructionsText"/>
              <w:rPr>
                <w:rStyle w:val="FormatvorlageInstructionsTabelleText"/>
                <w:rFonts w:ascii="Times New Roman" w:hAnsi="Times New Roman"/>
                <w:sz w:val="24"/>
              </w:rPr>
            </w:pPr>
            <w:r>
              <w:t>б) изискването за вътрешно МИПЗ съгласно член 45е от Директива 2014/59/ЕС, изчислено в съответствие с член 45, параграф 2, буква а) от посочената директива.</w:t>
            </w:r>
          </w:p>
          <w:p w14:paraId="39B4A403" w14:textId="7A71894C" w:rsidR="00B012C5" w:rsidRPr="001562B3" w:rsidRDefault="00B012C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Наличният БСК1 се изразява като процент от общата рискова експозиция, докладвана в ред 0100.</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В колоните за вътрешното МИПЗ и вътрешния ОКПЗ се докладва еднаква стойност. </w:t>
            </w:r>
          </w:p>
          <w:p w14:paraId="5B370C0A" w14:textId="4CE9627F" w:rsidR="00CC432E" w:rsidRPr="001562B3" w:rsidRDefault="008561C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При оповестяването са отчетени въздействието на преходните разпоредби върху собствените средства и приемливите задължения, общата рискова експозиция и самите изисквания. </w:t>
            </w:r>
            <w:r>
              <w:t>Не се вземат предвид нито насоките относно допълнителните собствени средства, посочени в член 104б от Директива 2013/36/ЕС, нито комбинираното изискване за буфер по член 128, първа алинея, точка 6 от посочената директива.</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 — 0550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Поясняващи позиции</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Комбинирано изискване за буфер (%)</w:t>
            </w:r>
          </w:p>
          <w:p w14:paraId="6C2996F7" w14:textId="30747C80" w:rsidR="00437CF3" w:rsidRPr="001562B3" w:rsidRDefault="005C3D80">
            <w:pPr>
              <w:pStyle w:val="InstructionsText"/>
              <w:rPr>
                <w:rStyle w:val="FormatvorlageInstructionsTabelleText"/>
                <w:rFonts w:ascii="Times New Roman" w:hAnsi="Times New Roman"/>
                <w:sz w:val="24"/>
              </w:rPr>
            </w:pPr>
            <w:r>
              <w:t xml:space="preserve">Член 128, първа алинея, точка 6 от Директива 2013/36/ЕС.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Комбинираното изискване за буфер се изразява като процент от общата рискова експозиция.</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предпазен капиталов буфер </w:t>
            </w:r>
          </w:p>
          <w:p w14:paraId="2EF1B114" w14:textId="1AE53AED" w:rsidR="008C1E88" w:rsidRPr="001562B3" w:rsidRDefault="008C1E88" w:rsidP="008E501F">
            <w:pPr>
              <w:pStyle w:val="InstructionsText"/>
              <w:rPr>
                <w:rStyle w:val="InstructionsTabelleberschrift"/>
                <w:rFonts w:ascii="Times New Roman" w:hAnsi="Times New Roman"/>
                <w:sz w:val="24"/>
              </w:rPr>
            </w:pPr>
            <w:r>
              <w:t>Размерът на специфичния за институцията комбиниран буфер (изразен като процент от общата рискова експозиция), свързан с изискването за предпазен капиталов буфер.</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антицикличен буфер </w:t>
            </w:r>
          </w:p>
          <w:p w14:paraId="4E424522" w14:textId="1A5077C0" w:rsidR="008C1E88" w:rsidRPr="001562B3" w:rsidRDefault="008C1E88" w:rsidP="008E501F">
            <w:pPr>
              <w:pStyle w:val="InstructionsText"/>
              <w:rPr>
                <w:rStyle w:val="InstructionsTabelleberschrift"/>
                <w:rFonts w:ascii="Times New Roman" w:hAnsi="Times New Roman"/>
                <w:sz w:val="24"/>
              </w:rPr>
            </w:pPr>
            <w:r>
              <w:t>Размерът на специфичния за институцията комбиниран буфер (изразен като процент от общата рискова експозиция), свързан с изискването за антицикличен буфер.</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изискване за буфер за системния риск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t>Размерът на специфичния за институцията комбиниран буфер (изразен като процент от общата рискова експозиция), свързан с изискването за буфер за системния риск.</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буфер за глобална системно значима институция (Г-СЗИ) или друга системно значима институция (Д-СЗИ)</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t>Размерът на специфичния за институцията комбиниран буфер (изразен като процент от общата рискова експозиция), свързан с изискването за буфер за Г-СЗИ или за Д-СЗИ.</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задължения с възможност за споделяне на загуби</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t>Субектите, чийто размер на собствените средства и приемливите задължения към датата на докладване на настоящата информация е най-малко 150 % от изискването, определено в член 45, параграф 1 от Директива 2014/59/ЕС, се освобождават от задължението за докладване на информацията в редове 0550—0600.</w:t>
            </w:r>
            <w:r>
              <w:rPr>
                <w:rStyle w:val="InstructionsTabelleberschrift"/>
                <w:rFonts w:ascii="Times New Roman" w:hAnsi="Times New Roman"/>
                <w:b w:val="0"/>
                <w:sz w:val="24"/>
                <w:u w:val="none"/>
              </w:rPr>
              <w:t xml:space="preserve"> Тези субекти могат да предоставят на доброволен принцип тази информация в настоящия образец.</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задължения с възможност за споделяне на загуби</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rPr>
            </w:pPr>
            <w:r>
              <w:t>Размерът на задълженията с възможност за споделяне на загуби съгласно определението в член 2, параграф 1, точка 71 от Директива 2014/59/ЕС, които не са приемливи с оглед на изискванията по членове 45 и 45е от посочената директива.</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уредени от правото на трета държава</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rPr>
            </w:pPr>
            <w:r>
              <w:t>Размерът на другите задължения с възможност за споделяне на загуби, които се уредени от правото на трета държава съгласно посоченото в член 55 от Директива 2014/59/ЕС.</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съдържащи клауза за обезценяване и преобразуване съгласно посоченото в член 55 от Директива 2014/59/ЕС</w:t>
            </w:r>
          </w:p>
          <w:p w14:paraId="59B7F63C"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Размерът на другите задължения с възможност за споделяне на загуби, които са уредени от правото на трета държава и съдържат клауза за обезценяване и преобразуване съгласно посоченото в член 55 от Директива 2014/59/ЕС.</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Разбивка на другите задължения с възможност за споделяне на загуби по остатъчен срок до падежа</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t>С остатъчен срок до падежа &lt;1 година</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t>С остатъчен срок до падежа &gt;= 1 година и &lt; 2 години</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t>С остатъчен срок до падежа &gt;=2 години</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Изключени задължения</w:t>
            </w:r>
          </w:p>
          <w:p w14:paraId="70A8E546" w14:textId="429FC290" w:rsidR="00DC4984" w:rsidRPr="001562B3" w:rsidRDefault="00DC498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Член 72a, параграф 2</w:t>
            </w:r>
            <w:r>
              <w:t xml:space="preserve"> от Регламент (ЕС) № 575/2013.</w:t>
            </w:r>
          </w:p>
        </w:tc>
      </w:tr>
    </w:tbl>
    <w:p w14:paraId="18144D67" w14:textId="61C583E0" w:rsidR="00762AE8" w:rsidRPr="001562B3" w:rsidRDefault="00762AE8" w:rsidP="003C53E9">
      <w:pPr>
        <w:pStyle w:val="Numberedtilelevel1"/>
        <w:numPr>
          <w:ilvl w:val="1"/>
          <w:numId w:val="28"/>
        </w:numPr>
      </w:pPr>
      <w:bookmarkStart w:id="55" w:name="_Toc45558490"/>
      <w:r>
        <w:t>M 04.00 — Структура на финансиране на приемливите задължения (LIAB-MREL)</w:t>
      </w:r>
      <w:bookmarkEnd w:id="55"/>
    </w:p>
    <w:p w14:paraId="7A39E67B" w14:textId="35F32692" w:rsidR="00762AE8" w:rsidRPr="001562B3" w:rsidRDefault="00762AE8" w:rsidP="003C53E9">
      <w:pPr>
        <w:pStyle w:val="Numberedtilelevel1"/>
        <w:numPr>
          <w:ilvl w:val="2"/>
          <w:numId w:val="28"/>
        </w:numPr>
      </w:pPr>
      <w:bookmarkStart w:id="56" w:name="_Toc16868641"/>
      <w:bookmarkStart w:id="57" w:name="_Toc20316754"/>
      <w:bookmarkStart w:id="58" w:name="_Toc45558491"/>
      <w:r>
        <w:t>Общи бележки</w:t>
      </w:r>
      <w:bookmarkEnd w:id="56"/>
      <w:bookmarkEnd w:id="57"/>
      <w:bookmarkEnd w:id="58"/>
    </w:p>
    <w:p w14:paraId="3591A4DC" w14:textId="13176F8B" w:rsidR="00AD2DA9" w:rsidRPr="001562B3" w:rsidRDefault="00762AE8" w:rsidP="00E05895">
      <w:pPr>
        <w:pStyle w:val="InstructionsText2"/>
      </w:pPr>
      <w:r>
        <w:t>В този образец се изисква информация относно структурата на финансиране на приемливите задължения на субектите, за които се прилага МИПЗ. Приемливите задължения се представят с разбивка по вид задължение и срок до падежа.</w:t>
      </w:r>
    </w:p>
    <w:p w14:paraId="051EEF6E" w14:textId="11A35C94" w:rsidR="00E645F5" w:rsidRPr="001562B3" w:rsidRDefault="00E645F5" w:rsidP="008E501F">
      <w:pPr>
        <w:pStyle w:val="InstructionsText2"/>
      </w:pPr>
      <w:r>
        <w:t>В настоящия образец субектите докладват само задълженията, които са приемливи за изпълнение на минималното изискване за собствени средства и приемливи задължения, определено в Директива 2014/59/ЕС (МИПЗ/вътрешно МИПЗ).</w:t>
      </w:r>
    </w:p>
    <w:p w14:paraId="5A88828B" w14:textId="585AB3E9" w:rsidR="00095D0D" w:rsidRPr="001562B3" w:rsidRDefault="00AD2DA9" w:rsidP="001562B3">
      <w:pPr>
        <w:pStyle w:val="InstructionsText2"/>
      </w:pPr>
      <w:r>
        <w:t>Когато докладващият субект е субект за преструктуриране, се докладват приемливите задължения съгласно определението в член 2, параграф 1, точка 71а от Директива 2014/59/ЕС. По отношение на приемливи задължения, уредени от правото на трета държава, се включват само задълженията, които отговарят на изискванията на член 55 от посочената директива.</w:t>
      </w:r>
    </w:p>
    <w:p w14:paraId="1A4BEB0E" w14:textId="6FAE6C21" w:rsidR="00762AE8" w:rsidRPr="001562B3" w:rsidRDefault="00AD2DA9">
      <w:pPr>
        <w:pStyle w:val="InstructionsText2"/>
      </w:pPr>
      <w:r>
        <w:t>Когато докладващият субект не е субект за преструктуриране, той докладва в настоящия образец приемливите задължения, посочени в член 45е, параграф 2, буква а) от Директива 2014/59/ЕС, като взема предвид също, когато е приложимо, член 89, параграф 2, четвърта алинея от посочената директива. Инструментите, уредени от правото на трета държава, се включват в този ред само ако отговарят на предвидените в член 55 от посочената директива изисквания.</w:t>
      </w:r>
    </w:p>
    <w:p w14:paraId="2C1B2000" w14:textId="1D037CCB" w:rsidR="00762AE8" w:rsidRPr="001562B3" w:rsidRDefault="00762AE8">
      <w:pPr>
        <w:pStyle w:val="InstructionsText2"/>
      </w:pPr>
      <w:r>
        <w:t xml:space="preserve">Разбивката по вид задължение се извършва чрез същия набор от видове задължения, използван при докладването за целите на планиране на преструктурирането в съответствие с Регламент (ЕС) 2018/1624. За определянето на различните видове задължения са използвани позовавания на този регламент. </w:t>
      </w:r>
    </w:p>
    <w:p w14:paraId="27A75DAB" w14:textId="209C08EF" w:rsidR="00762AE8" w:rsidRPr="001562B3" w:rsidRDefault="00762AE8">
      <w:pPr>
        <w:pStyle w:val="InstructionsText2"/>
      </w:pPr>
      <w:r>
        <w:t>Когато в този образец се изисква разбивка според падежа, остатъчният срок до падежа представлява времето до договорения падеж или, в съответствие с условията на член 72в, параграф 2 или 3 от Регламент (ЕС) № 575/2013, най-ранната възможна дата, на която опцията може да бъде упражнена. При междинни плащания по главницата тя се разделя и разпределя в съответните падежни групи. Когато е приложимо, падежът се разглежда отделно за сумата на главницата и за начислената лихва.</w:t>
      </w:r>
    </w:p>
    <w:p w14:paraId="1BC1C890" w14:textId="6590F2DA" w:rsidR="00762AE8" w:rsidRPr="001562B3" w:rsidRDefault="00762AE8" w:rsidP="003C53E9">
      <w:pPr>
        <w:pStyle w:val="Numberedtilelevel1"/>
        <w:numPr>
          <w:ilvl w:val="2"/>
          <w:numId w:val="28"/>
        </w:numPr>
      </w:pPr>
      <w:bookmarkStart w:id="59" w:name="_Toc18593309"/>
      <w:bookmarkStart w:id="60" w:name="_Toc16868642"/>
      <w:bookmarkStart w:id="61" w:name="_Toc20316755"/>
      <w:bookmarkStart w:id="62" w:name="_Toc45558492"/>
      <w:bookmarkEnd w:id="59"/>
      <w:r>
        <w:t>Указания за специфични позиции</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rPr>
            </w:pPr>
            <w:r>
              <w:rPr>
                <w:rStyle w:val="InstructionsTabelleText"/>
                <w:rFonts w:ascii="Times New Roman" w:hAnsi="Times New Roman"/>
                <w:sz w:val="24"/>
              </w:rPr>
              <w:t>Ред</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правни норми и указания</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ПРИЕМЛИВИ ЗАДЪЛЖЕНИЯ</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Депозити, които не са гарантирани и не са привилегировани &gt;= 1 година</w:t>
            </w:r>
          </w:p>
          <w:p w14:paraId="49C46A25" w14:textId="27DC5572" w:rsidR="00762AE8" w:rsidRPr="001562B3" w:rsidRDefault="00762AE8">
            <w:pPr>
              <w:pStyle w:val="InstructionsText"/>
              <w:rPr>
                <w:rStyle w:val="FormatvorlageInstructionsTabelleText"/>
                <w:rFonts w:ascii="Times New Roman" w:hAnsi="Times New Roman"/>
                <w:b/>
                <w:sz w:val="24"/>
              </w:rPr>
            </w:pPr>
            <w:r>
              <w:t>Депозитите, които не са гарантирани и не са привилегировани, съгласно определението за целите на ред 0320 от образец Z 02.00 на приложение I към Регламент (ЕС) 2018/1624, които са приемливи за целите на член 45 от Директива 2014/59/ЕС.</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1 година и &lt; 2 години</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2 години</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емитирани от дъщерни предприятия</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Pr>
                <w:rStyle w:val="InstructionsTabelleberschrift"/>
                <w:rFonts w:ascii="Times New Roman" w:hAnsi="Times New Roman"/>
                <w:sz w:val="24"/>
              </w:rPr>
              <w:t xml:space="preserve">Негарантирани обезпечени задължения &gt;= 1 година </w:t>
            </w:r>
          </w:p>
          <w:p w14:paraId="6EA6B4DB" w14:textId="76DC938F" w:rsidR="00762AE8" w:rsidRPr="001562B3" w:rsidRDefault="00762AE8">
            <w:pPr>
              <w:pStyle w:val="InstructionsText"/>
              <w:rPr>
                <w:rStyle w:val="FormatvorlageInstructionsTabelleText"/>
                <w:rFonts w:ascii="Times New Roman" w:hAnsi="Times New Roman"/>
                <w:b/>
                <w:sz w:val="24"/>
              </w:rPr>
            </w:pPr>
            <w:r>
              <w:t>Негарантираните обезпечени задължения съгласно определението за целите на ред 0340 от образец Z 02.00 на приложение I към Регламент (ЕС) 2018/1624, които са приемливи за целите на член 45 от Директива 2014/59/ЕС.</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1 година и &lt; 2 години</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2 години</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емитирани от дъщерни предприятия</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Структурирани облигации &gt;= 1 година</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t>Структурираните облигации съгласно определението за целите на ред 0350 от образец Z 02.00 на приложение I към Регламент (ЕС) 2018/1624, които са приемливи за целите на член 45 от Директива 2014/59/ЕС.</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1 година и &lt; 2 години</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с остатъчен срок до падежа &gt;= 2 години</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емитирани от дъщерни предприятия</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Първостепенни необезпечени задължения &gt;= 1 година</w:t>
            </w:r>
          </w:p>
          <w:p w14:paraId="0E73B3A6" w14:textId="6BB8E9AC" w:rsidR="00762AE8" w:rsidRPr="001562B3" w:rsidRDefault="00762AE8" w:rsidP="008E501F">
            <w:pPr>
              <w:pStyle w:val="InstructionsText"/>
              <w:rPr>
                <w:rStyle w:val="FormatvorlageInstructionsTabelleText"/>
                <w:rFonts w:ascii="Times New Roman" w:hAnsi="Times New Roman"/>
                <w:b/>
                <w:sz w:val="24"/>
              </w:rPr>
            </w:pPr>
            <w:r>
              <w:t>Първостепенните необезпечени задължения съгласно определението за целите на ред 0360 от образец Z 02.00 на приложение I към Регламент (ЕС) 2018/1624, които са приемливи за целите на член 45 от Директива 2014/59/ЕС.</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1 година и &lt; 2 години</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2 години</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емитирани от дъщерни предприятия</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Първостепенни непривилегировани задължения &gt;= 1 година</w:t>
            </w:r>
          </w:p>
          <w:p w14:paraId="2BB67D1C" w14:textId="1C8DAA81" w:rsidR="00762AE8" w:rsidRPr="001562B3" w:rsidRDefault="00762AE8">
            <w:pPr>
              <w:pStyle w:val="InstructionsText"/>
              <w:rPr>
                <w:rStyle w:val="FormatvorlageInstructionsTabelleText"/>
                <w:rFonts w:ascii="Times New Roman" w:hAnsi="Times New Roman"/>
                <w:b/>
                <w:sz w:val="24"/>
              </w:rPr>
            </w:pPr>
            <w:r>
              <w:t>Първостепенните непривилегировани задължения съгласно определението за целите на ред 0365 от образец Z 02.00 на приложение I към Регламент (ЕС) 2018/1624, които са приемливи за целите на член 45 от Директива 2014/59/ЕС.</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1 година и &lt; 2 години</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в т.ч.: с остатъчен срок до падежа &gt;= 2 години</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емитирани от дъщерни предприятия</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Подчинени задължения (които не са признати за собствени средства) &gt;= 1 година</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t>Подчинените задължения съгласно определението за целите на ред 0370 от образец Z 02.00 на приложение I към Регламент (ЕС) 2018/1624, които са приемливи за целите на член 45 от Директива 2014/59/ЕС.</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с остатъчен срок до падежа &gt;= 1 година и &lt; 2 години</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с остатъчен срок до падежа &gt;= 2 години</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в т.ч.: емитирани от дъщерни предприятия</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приемливи за целите на МИПЗ задължения &gt;= 1 година</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t>Всеки друг инструмент, който е приемлив за целите на член 45 от Директива 2014/59/ЕС.</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с остатъчен срок до падежа &gt;= 1 година и &lt; 2 години</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с остатъчен срок до падежа &gt;= 2 години</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 т.ч.: емитирани от дъщерни предприятия</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t>Йерархия на кредиторите</w:t>
      </w:r>
      <w:bookmarkEnd w:id="63"/>
    </w:p>
    <w:p w14:paraId="2625F207" w14:textId="7E2342CE" w:rsidR="00C91ACB" w:rsidRPr="001562B3" w:rsidRDefault="00C91ACB" w:rsidP="00E05895">
      <w:pPr>
        <w:pStyle w:val="InstructionsText2"/>
      </w:pPr>
      <w:r>
        <w:t>В образци M 05.00 и M 06.00 е представен рангът на приемливите задължения в йерархията на кредиторите. Информацията и в двата образеца винаги се докладва на индивидуално равнище.</w:t>
      </w:r>
    </w:p>
    <w:p w14:paraId="18C2B303" w14:textId="229D9162" w:rsidR="00C91ACB" w:rsidRPr="001562B3" w:rsidRDefault="00C91ACB" w:rsidP="008E501F">
      <w:pPr>
        <w:pStyle w:val="InstructionsText2"/>
      </w:pPr>
      <w:r>
        <w:t>По отношение на субектите, които сами по себе си не са субекти за преструктуриране, стойността, която може да бъде отнесена към всеки ранг, се разбива допълнително на суми, дължими на субекта за преструктуриране, и, когато е приложимо, на други суми, които не са дължими на субекта за преструктуриране.</w:t>
      </w:r>
    </w:p>
    <w:p w14:paraId="21EE5EAE" w14:textId="77777777" w:rsidR="00C91ACB" w:rsidRPr="001562B3" w:rsidRDefault="00C91ACB" w:rsidP="001562B3">
      <w:pPr>
        <w:pStyle w:val="InstructionsText2"/>
      </w:pPr>
      <w:r>
        <w:t>Йерархията е представена от по-ниския към по-високия ранг. Добавя се необходимият брой редове, докато не бъдат докладвани приемливият инструмент с най-висок ранг и всички задължения с равностоен ранг.</w:t>
      </w:r>
    </w:p>
    <w:p w14:paraId="50B30E08" w14:textId="0B887B5F" w:rsidR="00C91ACB" w:rsidRPr="001562B3" w:rsidRDefault="00C91ACB" w:rsidP="003C53E9">
      <w:pPr>
        <w:pStyle w:val="Numberedtilelevel1"/>
        <w:numPr>
          <w:ilvl w:val="1"/>
          <w:numId w:val="28"/>
        </w:numPr>
      </w:pPr>
      <w:bookmarkStart w:id="64" w:name="_Toc45558494"/>
      <w:r>
        <w:t>M 05.00 — Йерархия на кредиторите (субект, който не е субект за преструктуриране)</w:t>
      </w:r>
      <w:bookmarkEnd w:id="64"/>
    </w:p>
    <w:p w14:paraId="002E2273" w14:textId="2F56247E" w:rsidR="00C91ACB" w:rsidRPr="001562B3" w:rsidRDefault="00C91ACB" w:rsidP="003C53E9">
      <w:pPr>
        <w:pStyle w:val="Numberedtilelevel1"/>
        <w:numPr>
          <w:ilvl w:val="2"/>
          <w:numId w:val="28"/>
        </w:numPr>
      </w:pPr>
      <w:bookmarkStart w:id="65" w:name="_Toc16868645"/>
      <w:bookmarkStart w:id="66" w:name="_Toc20316758"/>
      <w:bookmarkStart w:id="67" w:name="_Toc45558495"/>
      <w:r>
        <w:t>Общи бележки</w:t>
      </w:r>
      <w:bookmarkEnd w:id="65"/>
      <w:bookmarkEnd w:id="66"/>
      <w:bookmarkEnd w:id="67"/>
    </w:p>
    <w:p w14:paraId="4B50C36D" w14:textId="0EF2ACE6" w:rsidR="00BD1023" w:rsidRPr="001562B3" w:rsidRDefault="00BD1023" w:rsidP="00E05895">
      <w:pPr>
        <w:pStyle w:val="InstructionsText2"/>
      </w:pPr>
      <w:r>
        <w:t xml:space="preserve">Субектите, които трябва да спазват изискването по член 92б от Регламент (ЕС) № 575/2013, докладват в този образец собствените средства и приемливите задължения за целите на вътрешното МИПЗ, както и другите задължения с възможност за споделяне на загуби. Задълженията, изключени от споделянето на загуби, се посочват доколкото техният ранг е равностоен или по-нисък спрямо този на инструмент, включен в размера на приемливите задължения за целите на вътрешното МИПЗ. </w:t>
      </w:r>
    </w:p>
    <w:p w14:paraId="3C363ACA" w14:textId="1C49A603" w:rsidR="00F942C9" w:rsidRPr="001562B3" w:rsidRDefault="00F942C9" w:rsidP="00453B42">
      <w:pPr>
        <w:pStyle w:val="InstructionsText2"/>
      </w:pPr>
      <w:r>
        <w:t>Субектите, които не трябва да спазват изискването по член 92б от Регламент (ЕС) № 575/2013, но в съответствие с член 45е от Директива 2014/59/ЕС трябва да спазват изискването по член 45 от посочената директива, докладват в този образец собствените средства и приемливите задължения за целите на вътрешното МИПЗ, както и другите задължения с възможност за споделяне на загуби. Чрез дерогация субектите могат да изберат да докладват собствените средства и задълженията в посочения в параграф 20 по-горе обхват.</w:t>
      </w:r>
    </w:p>
    <w:p w14:paraId="2D11E02F" w14:textId="5E3D7215" w:rsidR="00453B42" w:rsidRPr="001562B3" w:rsidRDefault="00FC1379" w:rsidP="00453B42">
      <w:pPr>
        <w:pStyle w:val="InstructionsText2"/>
      </w:pPr>
      <w:r>
        <w:t>Субектите, чийто размер на собствените средства и приемливите задължения към датата на докладване на настоящата информация е най-малко 150 % от изискването, посочено в член 45, параграф 1 от Директива 2014/59/ЕС, се освобождават от задължението за докладване на информация относно другите задължения с възможност за споделяне на загуби. Тези субекти могат да предоставят на доброволен принцип тази информация в този образец.</w:t>
      </w:r>
    </w:p>
    <w:p w14:paraId="04EC4B94" w14:textId="2CAEDC93" w:rsidR="00C91ACB" w:rsidRPr="001562B3" w:rsidRDefault="00C91ACB" w:rsidP="008E501F">
      <w:pPr>
        <w:pStyle w:val="InstructionsText2"/>
      </w:pPr>
      <w:r>
        <w:t>Комбинацията от колони 0010 и 0020 е идентификатор на реда, който е уникален за всички редове в образеца.</w:t>
      </w:r>
    </w:p>
    <w:p w14:paraId="781C3046" w14:textId="4E30708E" w:rsidR="00C91ACB" w:rsidRPr="001562B3" w:rsidRDefault="00C91ACB" w:rsidP="003C53E9">
      <w:pPr>
        <w:pStyle w:val="Numberedtilelevel1"/>
        <w:numPr>
          <w:ilvl w:val="2"/>
          <w:numId w:val="28"/>
        </w:numPr>
      </w:pPr>
      <w:bookmarkStart w:id="68" w:name="_Toc16868646"/>
      <w:bookmarkStart w:id="69" w:name="_Toc20316759"/>
      <w:bookmarkStart w:id="70" w:name="_Toc45558496"/>
      <w:r>
        <w:t>Указания за специфични позиции</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t>Колони</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t>Препратки към правни норми и указания</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Ранг при несъстоятелност </w:t>
            </w:r>
          </w:p>
          <w:p w14:paraId="257C9336"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Посочва се рангът при несъстоятелност в йерархията на кредиторите на докладващия субект, като се започва с най-ниския ранг.</w:t>
            </w:r>
          </w:p>
          <w:p w14:paraId="37284C2B" w14:textId="5590BC0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Рангът при несъстоятелност е един от включените в публикуваната от органа за преструктуриране на тази юрисдикция йерархия при несъстоятелност.</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Вид кредитор </w:t>
            </w:r>
          </w:p>
          <w:p w14:paraId="65F1A0B3"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Видът на кредитора е един от следните:</w:t>
            </w:r>
          </w:p>
          <w:p w14:paraId="01AEE8AB" w14:textId="77777777" w:rsidR="00C91ACB" w:rsidRPr="001562B3" w:rsidRDefault="00C91ACB" w:rsidP="003C53E9">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„субект за преструктуриране“</w:t>
            </w:r>
            <w:r>
              <w:t xml:space="preserve"> </w:t>
            </w:r>
            <w:r>
              <w:br/>
            </w:r>
            <w:r>
              <w:rPr>
                <w:rStyle w:val="FormatvorlageInstructionsTabelleText"/>
                <w:rFonts w:ascii="Times New Roman" w:hAnsi="Times New Roman"/>
                <w:sz w:val="24"/>
              </w:rPr>
              <w:t>Този запис се използва за докладване на сумите, притежавани пряко от субекта за преструктуриране или, когато е приложимо, непряко чрез субекти по веригата на собственост.</w:t>
            </w:r>
          </w:p>
          <w:p w14:paraId="2E20A258" w14:textId="77777777" w:rsidR="00C91ACB" w:rsidRPr="001562B3" w:rsidRDefault="00C91ACB" w:rsidP="003C53E9">
            <w:pPr>
              <w:pStyle w:val="InstructionsText"/>
              <w:numPr>
                <w:ilvl w:val="0"/>
                <w:numId w:val="24"/>
              </w:numPr>
              <w:rPr>
                <w:rStyle w:val="InstructionsTabelleberschrift"/>
                <w:rFonts w:ascii="Times New Roman" w:hAnsi="Times New Roman"/>
                <w:sz w:val="24"/>
              </w:rPr>
            </w:pPr>
            <w:r>
              <w:rPr>
                <w:rStyle w:val="FormatvorlageInstructionsTabelleText"/>
                <w:rFonts w:ascii="Times New Roman" w:hAnsi="Times New Roman"/>
                <w:sz w:val="24"/>
              </w:rPr>
              <w:t>„субекти, различни от субекта за преструктуриране“</w:t>
            </w:r>
            <w:r>
              <w:t xml:space="preserve"> </w:t>
            </w:r>
            <w:r>
              <w:br/>
            </w:r>
            <w:r>
              <w:rPr>
                <w:rStyle w:val="FormatvorlageInstructionsTabelleText"/>
                <w:rFonts w:ascii="Times New Roman" w:hAnsi="Times New Roman"/>
                <w:sz w:val="24"/>
              </w:rPr>
              <w:t>Този запис се използва за докладване на сумите, притежавани от други кредитори, когато е приложимо.</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Описание на ранга при несъстоятелност</w:t>
            </w:r>
          </w:p>
          <w:p w14:paraId="122A9954" w14:textId="50727B02" w:rsidR="00C91ACB" w:rsidRPr="001562B3" w:rsidRDefault="00C91ACB" w:rsidP="002B7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Описанието, включено в йерархията при несъстоятелност, публикувана от органа за преструктуриране на тази юрисдикция, когато е наличен стандартизиран списък, включващ такова описание. В противен случай рангът при несъстоятелност се описва от самата институция, като се посочва най-малко основният вид инструмент в съответния ранг при несъстоятелност.</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Задължения и собствени средства</w:t>
            </w:r>
          </w:p>
          <w:p w14:paraId="03660D92" w14:textId="490D18A6" w:rsidR="00CA73FF"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 се стойността на собствените средства, приемливите задължения и, когато е приложимо, на другите задължения с възможност за споделяне на загуби, отнесени към посочения в колона 0010 ранг при несъстоятелност.</w:t>
            </w:r>
          </w:p>
          <w:p w14:paraId="3EAF0BAC" w14:textId="7A1FF05A" w:rsidR="00C91ACB" w:rsidRPr="001562B3" w:rsidRDefault="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Когато е приложимо, в тази колона се включват и задълженията, изключени от споделянето на загуби, доколкото техният ранг е равностоен или по-нисък спрямо този на собствените средства и приемливите задължения. </w:t>
            </w:r>
          </w:p>
          <w:p w14:paraId="7816F63A" w14:textId="7A03C7B0" w:rsidR="00586927" w:rsidRPr="001562B3" w:rsidRDefault="00586927" w:rsidP="00596FA9">
            <w:pPr>
              <w:pStyle w:val="InstructionsText"/>
              <w:rPr>
                <w:rStyle w:val="FormatvorlageInstructionsTabelleText"/>
                <w:rFonts w:ascii="Times New Roman" w:hAnsi="Times New Roman"/>
                <w:sz w:val="24"/>
              </w:rPr>
            </w:pPr>
            <w:r>
              <w:t>По отношение на субектите, посочени в първото изречение на параграф 21, тази колона не се попълва, освен когато тези субекти са решили да прилагат дерогацията от последното изречение на параграф 21.</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36C7A2F0" w:rsidR="00C91ACB" w:rsidRPr="001562B3" w:rsidRDefault="004337A6"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w:t>
            </w:r>
            <w:r w:rsidR="00C91ACB">
              <w:rPr>
                <w:rStyle w:val="InstructionsTabelleberschrift"/>
                <w:rFonts w:ascii="Times New Roman" w:hAnsi="Times New Roman"/>
                <w:sz w:val="24"/>
              </w:rPr>
              <w:t xml:space="preserve"> т.ч. изключени задължения</w:t>
            </w:r>
          </w:p>
          <w:p w14:paraId="6FB0E40C" w14:textId="2483A9A5" w:rsidR="00C91ACB" w:rsidRPr="001562B3" w:rsidRDefault="00C91ACB">
            <w:pPr>
              <w:pStyle w:val="InstructionsText"/>
              <w:rPr>
                <w:rStyle w:val="FormatvorlageInstructionsTabelleText"/>
                <w:rFonts w:ascii="Times New Roman" w:hAnsi="Times New Roman"/>
                <w:sz w:val="24"/>
              </w:rPr>
            </w:pPr>
            <w:r>
              <w:t>Стойността на задълженията, изключени съгласно член 72а, параграф 2 от Регламент (ЕС) № 575/2013 или член 44, параграф 2 от Директива 2014/59/ЕС.</w:t>
            </w:r>
            <w:r>
              <w:rPr>
                <w:rStyle w:val="FormatvorlageInstructionsTabelleText"/>
                <w:rFonts w:ascii="Times New Roman" w:hAnsi="Times New Roman"/>
                <w:sz w:val="24"/>
              </w:rPr>
              <w:t xml:space="preserve"> Когато органът за преструктуриране реши да изключи задължения съгласно член 44, параграф 3 от посочената директива, изключените задължения се докладват и в този ред.</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t>По отношение на субектите, посочени в първото изречение на параграф 21, тази колона не се попълва, освен когато тези субекти са решили да прилагат дерогацията от последното изречение на параграф 21.</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Задължения и собствени средства минус изключени задължения</w:t>
            </w:r>
          </w:p>
          <w:p w14:paraId="5A6ACD32" w14:textId="36549632" w:rsidR="00C91ACB" w:rsidRPr="001562B3" w:rsidRDefault="00C91ACB" w:rsidP="00CA73F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Докладваната в колона 0040 стойност на задълженията и собствените средства се намалява с докладваната в колона 0050 стойност на изключените задължения.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собствени средства и приемливи задължения за целите на вътрешното МИПЗ</w:t>
            </w:r>
          </w:p>
          <w:p w14:paraId="61B28CDA" w14:textId="2F99546E" w:rsidR="00C91ACB" w:rsidRPr="001562B3" w:rsidRDefault="00C91ACB">
            <w:pPr>
              <w:pStyle w:val="InstructionsText"/>
              <w:rPr>
                <w:rStyle w:val="FormatvorlageInstructionsTabelleText"/>
                <w:rFonts w:ascii="Times New Roman" w:hAnsi="Times New Roman"/>
                <w:sz w:val="24"/>
              </w:rPr>
            </w:pPr>
            <w:r>
              <w:t>Докладва се стойността на собствените средства и приемливите задължения, които се отчитат като част от вътрешното МИПЗ в съответствие с член 45е, параграф 2 от Директива 2014/59/ЕС.</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в т.ч.: с остатъчен срок до падежа от</w:t>
            </w:r>
          </w:p>
          <w:p w14:paraId="747045F9" w14:textId="55F8A8A2"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в колона 0070 стойност на собствените средства и приемливите задължения, които се отчитат като част от вътрешното МИПЗ, се представя с разбивка според остатъчния срок до падежа на различните инструменти и позиции. Безсрочните инструменти и позиции не се включват в тази разбивка, а се докладват отделно в колона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година &lt; 2 години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години &lt; 5 години</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години &lt; 10 години</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години</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645443CA" w:rsidR="00C91ACB" w:rsidRPr="001562B3" w:rsidRDefault="00BF034F"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в</w:t>
            </w:r>
            <w:r w:rsidR="00C91ACB">
              <w:rPr>
                <w:rStyle w:val="InstructionsTabelleberschrift"/>
                <w:rFonts w:ascii="Times New Roman" w:hAnsi="Times New Roman"/>
                <w:sz w:val="24"/>
              </w:rPr>
              <w:t xml:space="preserve"> т.ч.: безсрочни ценни книжа</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3C53E9">
      <w:pPr>
        <w:pStyle w:val="Numberedtilelevel1"/>
        <w:numPr>
          <w:ilvl w:val="1"/>
          <w:numId w:val="28"/>
        </w:numPr>
      </w:pPr>
      <w:bookmarkStart w:id="71" w:name="_Toc45558497"/>
      <w:r>
        <w:t>M 06.00 — Йерархия на кредиторите (субект за преструктуриране) (RANK)</w:t>
      </w:r>
      <w:bookmarkEnd w:id="71"/>
    </w:p>
    <w:p w14:paraId="2F916741" w14:textId="5CF2CFE6" w:rsidR="00C91ACB" w:rsidRPr="001562B3" w:rsidRDefault="00C91ACB" w:rsidP="003C53E9">
      <w:pPr>
        <w:pStyle w:val="Numberedtilelevel1"/>
        <w:numPr>
          <w:ilvl w:val="2"/>
          <w:numId w:val="28"/>
        </w:numPr>
      </w:pPr>
      <w:bookmarkStart w:id="72" w:name="_Toc16868648"/>
      <w:bookmarkStart w:id="73" w:name="_Toc20316761"/>
      <w:bookmarkStart w:id="74" w:name="_Toc45558498"/>
      <w:r>
        <w:t>Общи бележки</w:t>
      </w:r>
      <w:bookmarkEnd w:id="72"/>
      <w:bookmarkEnd w:id="73"/>
      <w:bookmarkEnd w:id="74"/>
    </w:p>
    <w:p w14:paraId="5A6C0462" w14:textId="07F8BB0B" w:rsidR="00586927" w:rsidRPr="001562B3" w:rsidRDefault="00586927" w:rsidP="001562B3">
      <w:pPr>
        <w:pStyle w:val="InstructionsText2"/>
      </w:pPr>
      <w:r>
        <w:t xml:space="preserve">Субектите, които трябва да спазват изискването по член 92а от Регламент (ЕС) № 575/2013, докладват в този образец собствените средства, приемливите задължения за целите на МИПЗ и другите задължения с възможност за споделяне на загуби. Задълженията, изключени от споделянето на загуби, се посочват доколкото техният ранг е равностоен или по-нисък спрямо този на инструмент, включен в размера на приемливите задължения за целите на МИПЗ. </w:t>
      </w:r>
    </w:p>
    <w:p w14:paraId="7CF10E5F" w14:textId="7E58F128" w:rsidR="00586927" w:rsidRPr="001562B3" w:rsidRDefault="00586927">
      <w:pPr>
        <w:pStyle w:val="InstructionsText2"/>
      </w:pPr>
      <w:r>
        <w:t>Субектите, които не трябва да спазват изискването по член 92а от Регламент (ЕС) № 575/2013, но в съответствие с член 45д от Директива 2014/59/ЕС трябва да спазват изискването по член 45 от посочената директива, докладват в този образец собствените средства и приемливите задължения за целите на МИПЗ, както и другите задължения с възможност за споделяне на загуби. Тези субекти могат да изберат да докладват собствените средства и задълженията в посочения в параграф 24 по-горе обхват.</w:t>
      </w:r>
    </w:p>
    <w:p w14:paraId="56113AA6" w14:textId="12DF980B" w:rsidR="00453B42" w:rsidRPr="001562B3" w:rsidRDefault="00FC1379" w:rsidP="00453B42">
      <w:pPr>
        <w:pStyle w:val="InstructionsText2"/>
      </w:pPr>
      <w:r>
        <w:t>Субектите, чийто размер на собствените средства и приемливите задължения към датата на докладване на настоящата информация е най-малко 150 % от изискването, посочено в член 45, параграф 1 от Директива 2014/59/ЕС, се освобождават от задължението за докладване на информация относно другите задължения с възможност за споделяне на загуби. Тези субекти могат да предоставят на доброволен принцип тази информация в този образец.</w:t>
      </w:r>
    </w:p>
    <w:p w14:paraId="57AFD0C9" w14:textId="6925597E" w:rsidR="00C91ACB" w:rsidRPr="001562B3" w:rsidRDefault="00C91ACB" w:rsidP="003C53E9">
      <w:pPr>
        <w:pStyle w:val="Numberedtilelevel1"/>
        <w:numPr>
          <w:ilvl w:val="2"/>
          <w:numId w:val="28"/>
        </w:numPr>
      </w:pPr>
      <w:bookmarkStart w:id="75" w:name="_Toc45558499"/>
      <w:bookmarkStart w:id="76" w:name="_Toc16868649"/>
      <w:bookmarkStart w:id="77" w:name="_Toc20316762"/>
      <w:bookmarkStart w:id="78" w:name="_Toc45558500"/>
      <w:bookmarkEnd w:id="75"/>
      <w:r>
        <w:t>Указания за специфични позиции</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t>Колони</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t>Препратки към правни норми и указания</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Ранг при несъстоятелност</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Виж указанията относно колона 0010 от образец M 05.00.</w:t>
            </w:r>
          </w:p>
          <w:p w14:paraId="4BDEE699" w14:textId="2E13107A" w:rsidR="002D5E59" w:rsidRPr="001562B3" w:rsidRDefault="002D5E59" w:rsidP="00C271AC">
            <w:r>
              <w:rPr>
                <w:rStyle w:val="FormatvorlageInstructionsTabelleText"/>
                <w:rFonts w:ascii="Times New Roman" w:hAnsi="Times New Roman"/>
                <w:sz w:val="24"/>
              </w:rPr>
              <w:t>Тази колона представлява идентификатор на реда, който трябва да е уникален за всички редове от образеца.</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Описание на ранга при несъстоятелност</w:t>
            </w:r>
          </w:p>
          <w:p w14:paraId="307D484C" w14:textId="77777777"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Виж указанията относно колона 0030 от образец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Задължения и собствени средства </w:t>
            </w:r>
          </w:p>
          <w:p w14:paraId="1EB9D7FE" w14:textId="2BE7FDA6" w:rsidR="00C91ACB" w:rsidRPr="001562B3" w:rsidRDefault="00C91A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 се стойността на собствените средства, приемливите задължения и, когато е приложимо, на другите задължения с възможност за споделяне на загуби, отнесени към посочения в колона 0010 ранг при несъстоятелност.</w:t>
            </w:r>
          </w:p>
          <w:p w14:paraId="0FCAB71E" w14:textId="124EF6C2" w:rsidR="00C91ACB" w:rsidRPr="001562B3" w:rsidRDefault="0036208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Когато е приложимо, в тази колона се включват и задълженията, изключени от споделянето на загуби, доколкото техният ранг е равностоен или по-нисък спрямо този на приемливите задължения.</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t>По отношение на субектите, посочени в първото изречение на параграф 25, тази колона не се попълва, освен когато тези субекти са решили да прилагат дерогацията от последното изречение на параграф 25.</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6C3560BD" w:rsidR="00C91ACB" w:rsidRPr="001562B3" w:rsidRDefault="00F2380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w:t>
            </w:r>
            <w:r w:rsidR="00C91ACB">
              <w:rPr>
                <w:rStyle w:val="InstructionsTabelleberschrift"/>
                <w:rFonts w:ascii="Times New Roman" w:hAnsi="Times New Roman"/>
                <w:sz w:val="24"/>
              </w:rPr>
              <w:t xml:space="preserve"> т.ч. изключени задължения</w:t>
            </w:r>
          </w:p>
          <w:p w14:paraId="26F592C4" w14:textId="0CB68218" w:rsidR="00586927" w:rsidRPr="001562B3" w:rsidRDefault="00586927">
            <w:pPr>
              <w:pStyle w:val="InstructionsText"/>
              <w:rPr>
                <w:rStyle w:val="FormatvorlageInstructionsTabelleText"/>
                <w:rFonts w:ascii="Times New Roman" w:hAnsi="Times New Roman"/>
                <w:sz w:val="24"/>
              </w:rPr>
            </w:pPr>
            <w:r>
              <w:t>Стойността на задълженията, изключени съгласно член 72а, параграф 2 от Регламент (ЕС) № 575/2013 или член 44, параграф 2 от Директива 2014/59/ЕС.</w:t>
            </w:r>
          </w:p>
          <w:p w14:paraId="2F6500DE" w14:textId="0953A585" w:rsidR="00586927" w:rsidRPr="001562B3" w:rsidRDefault="00586927" w:rsidP="004738AB">
            <w:pPr>
              <w:pStyle w:val="InstructionsText"/>
              <w:rPr>
                <w:rStyle w:val="FormatvorlageInstructionsTabelleText"/>
                <w:rFonts w:ascii="Times New Roman" w:hAnsi="Times New Roman"/>
                <w:sz w:val="24"/>
              </w:rPr>
            </w:pPr>
            <w:r>
              <w:t>По отношение на субектите, посочени в първото изречение на параграф 25, тази колона не се попълва, освен когато тези субекти са решили да прилагат дерогацията от второто изречение на параграф 25.</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Задължения и собствени средства минус изключени задължения</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в колона 0030 стойност на задълженията и собствените средства се намалява с докладваната в колона 0040 стойност на изключените задължения.</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собствени средства и задължения, потенциално приемливи за изпълнение на МИПЗ</w:t>
            </w:r>
          </w:p>
          <w:p w14:paraId="6B93C8A8" w14:textId="20AF1719" w:rsidR="00C91ACB" w:rsidRPr="001562B3"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Стойността на собствените средства и задълженията, приемливи за изпълнение на изискванията на член 45 от Директива 2014/59/ЕС в съответствие с член 45д от посочената директива.</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в т.ч.: с остатъчен срок до падежа от</w:t>
            </w:r>
          </w:p>
          <w:p w14:paraId="4B3D0A8C" w14:textId="7C6C7FB7" w:rsidR="00C91ACB" w:rsidRPr="001562B3" w:rsidDel="001B3CDA" w:rsidRDefault="00C91AC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Докладваната в колона 0060 стойност на собствените средства и задълженията, приемливи за изпълнение на изискванията на член 45 от Директива 2014/59/ЕС в съответствие с член 45д от посочената директива, се представя с разбивка според остатъчния срок до падежа на различните инструменти и позиции. Безсрочните инструменти и позиции не се включват в тази разбивка, а се докладват отделно в колона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година &lt; 2 години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2 години &lt; 5 години</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5 години &lt; 10 години</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 10 години</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090CC0FF" w:rsidR="00C91ACB" w:rsidRPr="001562B3" w:rsidRDefault="00BF034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w:t>
            </w:r>
            <w:r w:rsidR="00C91ACB">
              <w:rPr>
                <w:rStyle w:val="InstructionsTabelleberschrift"/>
                <w:rFonts w:ascii="Times New Roman" w:hAnsi="Times New Roman"/>
                <w:sz w:val="24"/>
              </w:rPr>
              <w:t xml:space="preserve"> т.ч.: безсрочни ценни книжа</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t>M 07.00 — Инструменти, уредени от правото на трета държава (MTCI)</w:t>
      </w:r>
      <w:bookmarkEnd w:id="81"/>
    </w:p>
    <w:p w14:paraId="09459534" w14:textId="30C1202C" w:rsidR="00043DC2" w:rsidRPr="001562B3" w:rsidRDefault="00043DC2" w:rsidP="003C53E9">
      <w:pPr>
        <w:pStyle w:val="Numberedtilelevel1"/>
        <w:numPr>
          <w:ilvl w:val="1"/>
          <w:numId w:val="28"/>
        </w:numPr>
      </w:pPr>
      <w:bookmarkStart w:id="82" w:name="_Toc16868653"/>
      <w:bookmarkStart w:id="83" w:name="_Toc45558502"/>
      <w:r>
        <w:t>Общи бележки</w:t>
      </w:r>
      <w:bookmarkEnd w:id="82"/>
      <w:bookmarkEnd w:id="83"/>
    </w:p>
    <w:p w14:paraId="38DE6937" w14:textId="1FE5439B" w:rsidR="00ED05AC" w:rsidRPr="001562B3" w:rsidRDefault="00962059" w:rsidP="001562B3">
      <w:pPr>
        <w:pStyle w:val="InstructionsText2"/>
      </w:pPr>
      <w:r>
        <w:t>В образец М 07.00 се прави разбивка по договори на инструментите, които отговарят на изискванията за собствени средства и приемливи задължения за целите на МИПЗ. В образеца се докладват само инструментите, които са уредени от правото на трета държава.</w:t>
      </w:r>
    </w:p>
    <w:p w14:paraId="058C983F" w14:textId="395F6621" w:rsidR="00810663" w:rsidRPr="001562B3" w:rsidRDefault="003677E2">
      <w:pPr>
        <w:pStyle w:val="InstructionsText2"/>
      </w:pPr>
      <w:r>
        <w:t>По отношение на приемливите задължения, които не са подчинени на изключени задължения, субектите докладват само ценни книжа, които са заменяеми, прехвърляеми финансови инструменти, без заеми и депозити.</w:t>
      </w:r>
    </w:p>
    <w:p w14:paraId="7F675B40" w14:textId="6125AF03" w:rsidR="00FC1379" w:rsidRPr="001562B3" w:rsidRDefault="00B40AC1" w:rsidP="00FC1379">
      <w:pPr>
        <w:pStyle w:val="InstructionsText2"/>
      </w:pPr>
      <w:r>
        <w:t xml:space="preserve">Инструментите, които отговарят частично на изискванията за два различни класа собствени средства или приемливи задължения, се докладват два пъти, като се посочват стойностите, разпределени за различните класове капитал поотделно. </w:t>
      </w:r>
    </w:p>
    <w:p w14:paraId="4D79951A" w14:textId="26C7050A" w:rsidR="00043DC2" w:rsidRPr="001562B3" w:rsidRDefault="00ED05AC">
      <w:pPr>
        <w:pStyle w:val="InstructionsText2"/>
      </w:pPr>
      <w:r>
        <w:t>Комбинацията от колони 0020 (Код на емитиращия субект), 0040 (Идентификационен код на договора) и 0070 (Вид собствени средства или приемливи задължения) представлява идентификатор на реда, който трябва да бъде уникален за всеки ред, докладван в образеца.</w:t>
      </w:r>
    </w:p>
    <w:p w14:paraId="4C59DC8A" w14:textId="30DAA347" w:rsidR="00043DC2" w:rsidRPr="001562B3" w:rsidRDefault="00043DC2" w:rsidP="003C53E9">
      <w:pPr>
        <w:pStyle w:val="Numberedtilelevel1"/>
        <w:numPr>
          <w:ilvl w:val="1"/>
          <w:numId w:val="28"/>
        </w:numPr>
      </w:pPr>
      <w:bookmarkStart w:id="84" w:name="_Toc16868654"/>
      <w:bookmarkStart w:id="85" w:name="_Toc45558503"/>
      <w:r>
        <w:t>Указания за специфични позиции</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t>Колони</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t>Препратки към правни норми и указания</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Емитиращ субект</w:t>
            </w:r>
          </w:p>
          <w:p w14:paraId="05F6543E" w14:textId="28A11EDA" w:rsidR="00043DC2" w:rsidRPr="001562B3" w:rsidRDefault="00DA4A88">
            <w:pPr>
              <w:pStyle w:val="InstructionsText"/>
            </w:pPr>
            <w:r>
              <w:rPr>
                <w:rStyle w:val="FormatvorlageInstructionsTabelleText"/>
                <w:rFonts w:ascii="Times New Roman" w:hAnsi="Times New Roman"/>
                <w:sz w:val="24"/>
              </w:rPr>
              <w:t>Когато докладваната информация се отнася за група за преструктуриране, се посочва субектът от групата, емитирал съответния инструмент. Когато докладваната информация се отнася за отделен субект за преструктуриране, емитиращият субект е самият докладващ субект.</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Наименование</w:t>
            </w:r>
          </w:p>
          <w:p w14:paraId="2FB63179" w14:textId="5B49BA2B" w:rsidR="00ED05AC" w:rsidRPr="001562B3" w:rsidRDefault="00ED05AC" w:rsidP="008E501F">
            <w:pPr>
              <w:pStyle w:val="InstructionsText"/>
              <w:rPr>
                <w:b/>
              </w:rPr>
            </w:pPr>
            <w:r>
              <w:rPr>
                <w:rStyle w:val="FormatvorlageInstructionsTabelleText"/>
                <w:rFonts w:ascii="Times New Roman" w:hAnsi="Times New Roman"/>
                <w:sz w:val="24"/>
              </w:rPr>
              <w:t>Наименование на субекта, емитирал инструмента на собствените средства или на приемливите задължения.</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Код на субекта, емитирал инструмента на собствените средства или на приемливите задължения.</w:t>
            </w:r>
          </w:p>
          <w:p w14:paraId="5C534D19" w14:textId="03170FCB" w:rsidR="00ED05AC" w:rsidRPr="001562B3" w:rsidRDefault="0047023B">
            <w:pPr>
              <w:pStyle w:val="InstructionsText"/>
            </w:pPr>
            <w:r>
              <w:t>Като част от идентификатора на реда кодът трябва да бъде уникален за всеки докладван субект. За институциите това е ИКПС. За останалите субекти кодът е ИКПС или, ако няма такъв, национален код. Кодът е уникален и се използва последователно във всички образци и във времето. Кодът се попълва винаги.</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Вид на кода</w:t>
            </w:r>
          </w:p>
          <w:p w14:paraId="435D7AD5" w14:textId="3FA7BE57" w:rsidR="00ED05AC" w:rsidRPr="001562B3" w:rsidRDefault="0047023B">
            <w:pPr>
              <w:pStyle w:val="InstructionsText"/>
            </w:pPr>
            <w:r>
              <w:t>Институциите посочват вида код, докладван в колона 0020, като „ИКПС“ или „код, различен от ИКПС“. Видът на кода се посочва винаги.</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Идентификатор на договора</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 се идентификаторът на договора на инструмента, като например при частна емисия ценни книжа се посочва CUSIP, ISIN или Bloomberg.</w:t>
            </w:r>
          </w:p>
          <w:p w14:paraId="00632D1C" w14:textId="24ADD3E6" w:rsidR="00ED05AC" w:rsidRPr="001562B3" w:rsidRDefault="00ED05AC">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Тази позиция е част от идентификатора на реда.</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Приложима правна уредба (трета държава)</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Посочва се третата държава (държави извън ЕИП), чието право урежда договора или части от договора.</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Договорно признаване на правомощията за обезценяване и преобразуване</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t>Посочва се дали договорът съдържа договорните клаузи, посочени в член 55, параграф 1 от Директива 2014/59/ЕС, член 52, параграф 1, букви п) и р) и член 63, букви н) и о) от Регламент (ЕС) № 575/2013.</w:t>
            </w:r>
            <w:r>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Регулаторно третиране</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Вид собствени средства или приемливи задължения</w:t>
            </w:r>
          </w:p>
          <w:p w14:paraId="779CE017" w14:textId="78E30545" w:rsidR="00D90C26"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Видът собствени средства или приемливи задължения, на чиито изисквания инструментът отговаря към референтната дата. Вземат се предвид преходните разпоредби относно приемливостта на инструментите. Инструментите, които отговарят на изискванията за няколко класове капитал, се докладват веднъж за всеки приложим клас.</w:t>
            </w:r>
          </w:p>
          <w:p w14:paraId="4891BE29" w14:textId="77777777" w:rsidR="00C55DCC" w:rsidRPr="001562B3" w:rsidRDefault="00D90C2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Видът на собствените средства или приемливите задължения е един от следните:</w:t>
            </w:r>
          </w:p>
          <w:p w14:paraId="1630B549" w14:textId="45078CC0" w:rsidR="00D90C26" w:rsidRPr="001562B3" w:rsidRDefault="00D90C26" w:rsidP="003C53E9">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БСК1</w:t>
            </w:r>
          </w:p>
          <w:p w14:paraId="65A77421" w14:textId="4DAF7FA2" w:rsidR="00D90C26" w:rsidRPr="001562B3" w:rsidRDefault="00D90C26" w:rsidP="003C53E9">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Допълнителен капитал от първи ред</w:t>
            </w:r>
          </w:p>
          <w:p w14:paraId="641F022F" w14:textId="60C05A8B" w:rsidR="00D90C26" w:rsidRPr="001562B3" w:rsidRDefault="00D90C26" w:rsidP="003C53E9">
            <w:pPr>
              <w:pStyle w:val="InstructionsText"/>
              <w:numPr>
                <w:ilvl w:val="0"/>
                <w:numId w:val="24"/>
              </w:numPr>
              <w:rPr>
                <w:rStyle w:val="FormatvorlageInstructionsTabelleText"/>
                <w:rFonts w:ascii="Times New Roman" w:hAnsi="Times New Roman"/>
                <w:sz w:val="24"/>
              </w:rPr>
            </w:pPr>
            <w:r>
              <w:rPr>
                <w:rStyle w:val="FormatvorlageInstructionsTabelleText"/>
                <w:rFonts w:ascii="Times New Roman" w:hAnsi="Times New Roman"/>
                <w:sz w:val="24"/>
              </w:rPr>
              <w:t>Капитал от втори ред</w:t>
            </w:r>
          </w:p>
          <w:p w14:paraId="362D821A" w14:textId="06BF6F83" w:rsidR="00E97A21" w:rsidRPr="001562B3" w:rsidRDefault="00D90C26" w:rsidP="003C53E9">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Приемливи задължения</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Вид инструмент</w:t>
            </w:r>
          </w:p>
          <w:p w14:paraId="4DDA8CAD" w14:textId="77777777" w:rsidR="00BA7DE2" w:rsidRPr="001562B3" w:rsidRDefault="000B786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Видът на инструмента, който трябва да бъде определен, зависи от приложимата правна уредба, съгласно която е емитиран.</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t>По отношение на инструменти на БСК1, видът на инструмента се избира от списъка на инструментите на БСК1, публикуван от ЕБО съгласно член 26, параграф 3 от Регламент (ЕС) № 575/2013.</w:t>
            </w:r>
            <w:r>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По отношение на собствени средства, различни от БСК1, и приемливи задължения, видът на инструмента се избира от списък на съответните инструменти, публикуван от ЕБО, компетентните органи или органите за преструктуриране, когато съществува такъв списък. Когато няма налични списъци, докладващият субект посочва вида на самите инструменти.</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Сума</w:t>
            </w:r>
          </w:p>
          <w:p w14:paraId="157078AA" w14:textId="77810698" w:rsidR="00E97A21" w:rsidRPr="001562B3" w:rsidRDefault="00C55DCC">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Сумата, призната в собствените средства или приемливите задължения, се докладва съобразно нивото, за което се отнася докладът, в случай че инструментите са включени на няколко нива. Това е съответната сума към референтната дата, като се взема предвид ефектът от преходните разпоредби.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Ранг при обичайно производство по несъстоятелност</w:t>
            </w:r>
          </w:p>
          <w:p w14:paraId="00049CE6" w14:textId="77777777" w:rsidR="0015243E"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Посочва се рангът на инструмента при обичайно производство по несъстоятелност. </w:t>
            </w:r>
          </w:p>
          <w:p w14:paraId="41FD6A13" w14:textId="77777777" w:rsidR="00722C11" w:rsidRPr="001562B3" w:rsidRDefault="0015243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Той се състои от двубуквения код по ISO на държавата, чието право урежда ранга на договора (колона 0100), т.е. правната уредба на държава членка, и от номера на съответния ранг при несъстоятелност (колона 0110).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Съответният ранг при несъстоятелност се определя въз основа на списък на йерархията при несъстоятелност, публикуван от органите за преструктуриране или други органи, когато съществува такъв стандартизиран списък.</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Падеж</w:t>
            </w:r>
          </w:p>
          <w:p w14:paraId="5BC18DE0" w14:textId="111D094F" w:rsidR="00C814BF" w:rsidRPr="001562B3" w:rsidRDefault="00C814BF"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Падежът на инструмента се докладва в следния формат: дд/мм/гггг. За безсрочните инструменти полето не се попълва.</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(Първа) дата на обратно изкупуване</w:t>
            </w:r>
          </w:p>
          <w:p w14:paraId="6C93237B" w14:textId="044F8666" w:rsidR="00F65BB7"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Когато емитентът има опция за обратно изкупуване, се докладва първата дата, на която може да бъде упражнена тази опция.</w:t>
            </w:r>
          </w:p>
          <w:p w14:paraId="1F0D3195" w14:textId="0EC677E5" w:rsidR="00F65BB7" w:rsidRPr="001562B3" w:rsidRDefault="00F65BB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Ако първата дата на обратно изкупуване е настъпила преди референтната дата, се докладва тази дата, ако опцията все още може да бъде упражнена. Ако опцията вече не може да бъде упражнена, се докладва следващата дата, на която тя може бъде упражнена.</w:t>
            </w:r>
          </w:p>
          <w:p w14:paraId="180F0F72" w14:textId="0990A68B" w:rsidR="00C814BF" w:rsidRPr="001562B3" w:rsidRDefault="0090259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 опции за обратно изкупуване с неопределена дата на упражняване или опции за обратно изкупуване, задействани от определени събития, се докладва консервативно определената вероятна дата на обратно изкупуване.</w:t>
            </w:r>
          </w:p>
          <w:p w14:paraId="171C2174" w14:textId="43DB211C" w:rsidR="00C23169" w:rsidRPr="001562B3" w:rsidRDefault="00FC7E0D" w:rsidP="00C23169">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За целите на тази колона не се вземат предвид регулаторните или данъчните опции за обратно изкупуване.</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Pr>
                <w:rStyle w:val="InstructionsTabelleberschrift"/>
                <w:rFonts w:ascii="Times New Roman" w:hAnsi="Times New Roman"/>
                <w:sz w:val="24"/>
              </w:rPr>
              <w:t>Регулаторна опция за обратно изкупуване (ДА/НЕ)</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t>Посочва се дали емитентът притежава опция за обратно изкупуване, която може да бъде упражнена при настъпването на регулаторно събитие, засягащо приемливостта на договора за целите на МИПЗ.</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A65228" w:rsidRDefault="00A65228" w:rsidP="00D946DB">
      <w:pPr>
        <w:spacing w:before="0" w:after="0"/>
      </w:pPr>
      <w:r>
        <w:separator/>
      </w:r>
    </w:p>
  </w:endnote>
  <w:endnote w:type="continuationSeparator" w:id="0">
    <w:p w14:paraId="7FBF89A6" w14:textId="77777777" w:rsidR="00A65228" w:rsidRDefault="00A65228" w:rsidP="00D946DB">
      <w:pPr>
        <w:spacing w:before="0" w:after="0"/>
      </w:pPr>
      <w:r>
        <w:continuationSeparator/>
      </w:r>
    </w:p>
  </w:endnote>
  <w:endnote w:type="continuationNotice" w:id="1">
    <w:p w14:paraId="00F85D04" w14:textId="77777777" w:rsidR="00A65228" w:rsidRDefault="00A652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710BF9F8" w:rsidR="00A65228" w:rsidRDefault="00A65228" w:rsidP="00684E72">
        <w:pPr>
          <w:pStyle w:val="Footer"/>
          <w:jc w:val="center"/>
        </w:pPr>
        <w:r>
          <w:fldChar w:fldCharType="begin"/>
        </w:r>
        <w:r>
          <w:instrText xml:space="preserve"> PAGE   \* MERGEFORMAT </w:instrText>
        </w:r>
        <w:r>
          <w:fldChar w:fldCharType="separate"/>
        </w:r>
        <w:r w:rsidR="00694F0E">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A65228" w:rsidRDefault="00A65228">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7A2770F" w14:textId="77777777" w:rsidR="00A65228" w:rsidRDefault="00A6522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722A0EB4" w:rsidR="00A65228" w:rsidRPr="00ED1956" w:rsidRDefault="00A65228">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694F0E">
      <w:rPr>
        <w:rFonts w:ascii="Times New Roman" w:hAnsi="Times New Roman"/>
        <w:noProof/>
        <w:sz w:val="20"/>
        <w:szCs w:val="20"/>
      </w:rPr>
      <w:t>7</w:t>
    </w:r>
    <w:r>
      <w:rPr>
        <w:rFonts w:ascii="Times New Roman" w:hAnsi="Times New Roman"/>
        <w:sz w:val="20"/>
        <w:szCs w:val="20"/>
      </w:rPr>
      <w:fldChar w:fldCharType="end"/>
    </w:r>
  </w:p>
  <w:p w14:paraId="1DE3368F" w14:textId="77777777" w:rsidR="00A65228" w:rsidRPr="00A772B4" w:rsidRDefault="00A65228"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A65228" w:rsidRDefault="00A65228" w:rsidP="00D946DB">
      <w:pPr>
        <w:spacing w:before="0" w:after="0"/>
      </w:pPr>
      <w:r>
        <w:separator/>
      </w:r>
    </w:p>
  </w:footnote>
  <w:footnote w:type="continuationSeparator" w:id="0">
    <w:p w14:paraId="052B163D" w14:textId="77777777" w:rsidR="00A65228" w:rsidRDefault="00A65228" w:rsidP="00D946DB">
      <w:pPr>
        <w:spacing w:before="0" w:after="0"/>
      </w:pPr>
      <w:r>
        <w:continuationSeparator/>
      </w:r>
    </w:p>
  </w:footnote>
  <w:footnote w:type="continuationNotice" w:id="1">
    <w:p w14:paraId="76C32EE3" w14:textId="77777777" w:rsidR="00A65228" w:rsidRDefault="00A65228">
      <w:pPr>
        <w:spacing w:before="0" w:after="0"/>
      </w:pPr>
    </w:p>
  </w:footnote>
  <w:footnote w:id="2">
    <w:p w14:paraId="72185E6E" w14:textId="77777777" w:rsidR="00A65228" w:rsidRPr="00B33C46" w:rsidRDefault="00A65228" w:rsidP="006876BA">
      <w:pPr>
        <w:pStyle w:val="FootnoteText"/>
      </w:pPr>
      <w:r>
        <w:rPr>
          <w:rStyle w:val="FootnoteReference"/>
        </w:rPr>
        <w:footnoteRef/>
      </w:r>
      <w:r>
        <w:t xml:space="preserve"> Директива 2014/59/ЕС на Европейския парламент и на Съвета от 15 май 2014 г. за създаване на рамка за възстановяване и преструктуриране на кредитни институции и инвестиционни посредници и за изменение на Директива 82/891/ЕИО на Съвета и директиви 2001/24/ЕО, 2002/47/ЕО, 2004/25/ЕО, 2005/56/ЕО, 2007/36/ЕО, 2011/35/ЕС, 2012/30/ЕС и 2013/36/ЕС и на регламенти (ЕС) № 1093/2010 и (ЕС) № 648/2012 на Европейския парламент и на Съвета (ОВ L 173, 12.6.2014 г., стр. 190).</w:t>
      </w:r>
    </w:p>
  </w:footnote>
  <w:footnote w:id="3">
    <w:p w14:paraId="1E07EC4E" w14:textId="77777777" w:rsidR="00A65228" w:rsidRPr="00B33C46" w:rsidRDefault="00A65228" w:rsidP="006876BA">
      <w:pPr>
        <w:pStyle w:val="FootnoteText"/>
      </w:pPr>
      <w:r>
        <w:rPr>
          <w:rStyle w:val="FootnoteReference"/>
        </w:rPr>
        <w:footnoteRef/>
      </w:r>
      <w:r>
        <w:t xml:space="preserve"> 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(ОВ L 176, 27.6.2013 г., стр. 1).</w:t>
      </w:r>
    </w:p>
  </w:footnote>
  <w:footnote w:id="4">
    <w:p w14:paraId="1AE3BE26" w14:textId="5BB9534A" w:rsidR="00A65228" w:rsidRPr="001562B3" w:rsidRDefault="00A65228" w:rsidP="009D5DA0">
      <w:pPr>
        <w:pStyle w:val="FootnoteText"/>
      </w:pPr>
      <w:r>
        <w:rPr>
          <w:rStyle w:val="FootnoteReference"/>
        </w:rPr>
        <w:footnoteRef/>
      </w:r>
      <w:r>
        <w:t xml:space="preserve"> </w:t>
      </w:r>
      <w:r>
        <w:tab/>
        <w:t>Регламент за изпълнение (ЕС) 2018/1624 на Комисията от 23 октомври 2018 година за определяне на технически стандарти за изпълнение по отношение на процедурите, стандартните формуляри и образците за предоставянето на информация за целите на плановете за преструктуриране на кредитни институции и инвестиционни посредници в съответствие с Директива 2014/59/ЕС на Европейския парламент и на Съвета и за отмяна на Регламент за изпълнение (ЕС) 2016/1066 на Комисията (ОВ L 277, 7.11.2018 г., стр. 1).</w:t>
      </w:r>
    </w:p>
  </w:footnote>
  <w:footnote w:id="5">
    <w:p w14:paraId="692FB9C1" w14:textId="77777777" w:rsidR="00A65228" w:rsidRPr="00B33C46" w:rsidRDefault="00A65228" w:rsidP="006876BA">
      <w:pPr>
        <w:pStyle w:val="FootnoteText"/>
      </w:pPr>
      <w:r>
        <w:rPr>
          <w:rStyle w:val="FootnoteReference"/>
        </w:rPr>
        <w:footnoteRef/>
      </w:r>
      <w:r>
        <w:t xml:space="preserve"> 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(ОВ L 176, 27.6.2013 г., стр. 338).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A65228" w:rsidRDefault="00A65228" w:rsidP="00684E72">
    <w:pPr>
      <w:pStyle w:val="Header"/>
      <w:jc w:val="center"/>
    </w:pPr>
    <w:r>
      <w:t>BG</w:t>
    </w:r>
  </w:p>
  <w:p w14:paraId="04590A15" w14:textId="7108A704" w:rsidR="00A65228" w:rsidRPr="00684E72" w:rsidRDefault="00A65228" w:rsidP="00684E72">
    <w:pPr>
      <w:pStyle w:val="Header"/>
      <w:jc w:val="center"/>
    </w:pPr>
    <w:r>
      <w:t>Приложение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A65228" w:rsidRDefault="00A65228">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53148F68"/>
    <w:lvl w:ilvl="0" w:tplc="52202D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B9769E"/>
    <w:multiLevelType w:val="hybridMultilevel"/>
    <w:tmpl w:val="CAA6F3E6"/>
    <w:lvl w:ilvl="0" w:tplc="236EA62C">
      <w:start w:val="1"/>
      <w:numFmt w:val="decimal"/>
      <w:lvlText w:val="%1."/>
      <w:lvlJc w:val="left"/>
      <w:pPr>
        <w:ind w:left="1353" w:hanging="360"/>
      </w:pPr>
      <w:rPr>
        <w:rFonts w:cs="Times New Roman"/>
      </w:rPr>
    </w:lvl>
    <w:lvl w:ilvl="1" w:tplc="77C68118">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645D18"/>
    <w:multiLevelType w:val="hybridMultilevel"/>
    <w:tmpl w:val="D76E3EEE"/>
    <w:lvl w:ilvl="0" w:tplc="52202D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A77F6C"/>
    <w:multiLevelType w:val="hybridMultilevel"/>
    <w:tmpl w:val="8E221F2A"/>
    <w:lvl w:ilvl="0" w:tplc="52202D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C4380FCC"/>
    <w:lvl w:ilvl="0" w:tplc="236EA62C">
      <w:start w:val="1"/>
      <w:numFmt w:val="decimal"/>
      <w:pStyle w:val="InstructionsText2"/>
      <w:lvlText w:val="%1."/>
      <w:lvlJc w:val="left"/>
      <w:pPr>
        <w:ind w:left="1353" w:hanging="360"/>
      </w:pPr>
      <w:rPr>
        <w:rFonts w:cs="Times New Roman"/>
      </w:rPr>
    </w:lvl>
    <w:lvl w:ilvl="1" w:tplc="6EB6C4C8">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5470265"/>
    <w:multiLevelType w:val="hybridMultilevel"/>
    <w:tmpl w:val="1C902F72"/>
    <w:lvl w:ilvl="0" w:tplc="236EA62C">
      <w:start w:val="1"/>
      <w:numFmt w:val="decimal"/>
      <w:lvlText w:val="%1."/>
      <w:lvlJc w:val="left"/>
      <w:pPr>
        <w:ind w:left="1353" w:hanging="360"/>
      </w:pPr>
      <w:rPr>
        <w:rFonts w:cs="Times New Roman"/>
      </w:rPr>
    </w:lvl>
    <w:lvl w:ilvl="1" w:tplc="77C68118">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46BF5198"/>
    <w:multiLevelType w:val="hybridMultilevel"/>
    <w:tmpl w:val="4D9E0DF0"/>
    <w:lvl w:ilvl="0" w:tplc="52202D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72E2B25"/>
    <w:multiLevelType w:val="hybridMultilevel"/>
    <w:tmpl w:val="B114E890"/>
    <w:lvl w:ilvl="0" w:tplc="236EA62C">
      <w:start w:val="1"/>
      <w:numFmt w:val="decimal"/>
      <w:lvlText w:val="%1."/>
      <w:lvlJc w:val="left"/>
      <w:pPr>
        <w:ind w:left="1353" w:hanging="360"/>
      </w:pPr>
      <w:rPr>
        <w:rFonts w:cs="Times New Roman"/>
      </w:rPr>
    </w:lvl>
    <w:lvl w:ilvl="1" w:tplc="77C68118">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67BB4607"/>
    <w:multiLevelType w:val="hybridMultilevel"/>
    <w:tmpl w:val="0AF8289C"/>
    <w:lvl w:ilvl="0" w:tplc="52202D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9"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F734B1"/>
    <w:multiLevelType w:val="hybridMultilevel"/>
    <w:tmpl w:val="94FAA400"/>
    <w:lvl w:ilvl="0" w:tplc="52202D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1"/>
  </w:num>
  <w:num w:numId="3">
    <w:abstractNumId w:val="31"/>
  </w:num>
  <w:num w:numId="4">
    <w:abstractNumId w:val="16"/>
  </w:num>
  <w:num w:numId="5">
    <w:abstractNumId w:val="27"/>
  </w:num>
  <w:num w:numId="6">
    <w:abstractNumId w:val="13"/>
  </w:num>
  <w:num w:numId="7">
    <w:abstractNumId w:val="30"/>
  </w:num>
  <w:num w:numId="8">
    <w:abstractNumId w:val="6"/>
  </w:num>
  <w:num w:numId="9">
    <w:abstractNumId w:val="23"/>
  </w:num>
  <w:num w:numId="10">
    <w:abstractNumId w:val="12"/>
  </w:num>
  <w:num w:numId="11">
    <w:abstractNumId w:val="18"/>
  </w:num>
  <w:num w:numId="12">
    <w:abstractNumId w:val="9"/>
  </w:num>
  <w:num w:numId="13">
    <w:abstractNumId w:val="24"/>
  </w:num>
  <w:num w:numId="14">
    <w:abstractNumId w:val="20"/>
  </w:num>
  <w:num w:numId="15">
    <w:abstractNumId w:val="11"/>
  </w:num>
  <w:num w:numId="16">
    <w:abstractNumId w:val="17"/>
  </w:num>
  <w:num w:numId="17">
    <w:abstractNumId w:val="10"/>
  </w:num>
  <w:num w:numId="18">
    <w:abstractNumId w:val="28"/>
  </w:num>
  <w:num w:numId="19">
    <w:abstractNumId w:val="3"/>
  </w:num>
  <w:num w:numId="20">
    <w:abstractNumId w:val="32"/>
  </w:num>
  <w:num w:numId="21">
    <w:abstractNumId w:val="29"/>
  </w:num>
  <w:num w:numId="22">
    <w:abstractNumId w:val="8"/>
  </w:num>
  <w:num w:numId="23">
    <w:abstractNumId w:val="5"/>
  </w:num>
  <w:num w:numId="24">
    <w:abstractNumId w:val="22"/>
  </w:num>
  <w:num w:numId="25">
    <w:abstractNumId w:val="7"/>
  </w:num>
  <w:num w:numId="26">
    <w:abstractNumId w:val="15"/>
  </w:num>
  <w:num w:numId="27">
    <w:abstractNumId w:val="1"/>
  </w:num>
  <w:num w:numId="28">
    <w:abstractNumId w:val="4"/>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6"/>
  </w:num>
  <w:num w:numId="32">
    <w:abstractNumId w:val="14"/>
  </w:num>
  <w:num w:numId="33">
    <w:abstractNumId w:val="2"/>
  </w:num>
  <w:num w:numId="34">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91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21C"/>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53E9"/>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37A6"/>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4F0E"/>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228"/>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034F"/>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660"/>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586D"/>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3802"/>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9137"/>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28"/>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0"/>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E6126E-227E-409B-874F-7FAA3C4F5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10179</Words>
  <Characters>56701</Characters>
  <Application>Microsoft Office Word</Application>
  <DocSecurity>0</DocSecurity>
  <Lines>1453</Lines>
  <Paragraphs>835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66045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2021-05-18T09:52:00Z</dcterms:created>
  <dcterms:modified xsi:type="dcterms:W3CDTF">2021-05-18T09:52:00Z</dcterms:modified>
</cp:coreProperties>
</file>