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331A9A86" w:rsidR="001C2816" w:rsidRPr="00284A32" w:rsidRDefault="00693FBA" w:rsidP="007B44BE">
      <w:pPr>
        <w:pStyle w:val="Pagedecouverture"/>
      </w:pPr>
      <w:bookmarkStart w:id="0" w:name="_GoBack"/>
      <w:bookmarkEnd w:id="0"/>
      <w:r>
        <w:pict w14:anchorId="2E45E4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6879491-4253-4CDB-AB71-1CB4C2EAC4BA" style="width:451.2pt;height:422.4pt">
            <v:imagedata r:id="rId7" o:title=""/>
          </v:shape>
        </w:pict>
      </w:r>
    </w:p>
    <w:p w14:paraId="42BED65A" w14:textId="77777777" w:rsidR="00911C0D" w:rsidRPr="00284A32" w:rsidRDefault="00911C0D">
      <w:pPr>
        <w:sectPr w:rsidR="00911C0D" w:rsidRPr="00284A32" w:rsidSect="0097682D">
          <w:footerReference w:type="default" r:id="rId8"/>
          <w:pgSz w:w="11907" w:h="16839"/>
          <w:pgMar w:top="1134" w:right="1417" w:bottom="1134" w:left="1417" w:header="709" w:footer="709" w:gutter="0"/>
          <w:pgNumType w:start="0"/>
          <w:cols w:space="720"/>
          <w:docGrid w:linePitch="360"/>
        </w:sectPr>
      </w:pPr>
    </w:p>
    <w:p w14:paraId="2E321C8E" w14:textId="77777777" w:rsidR="00911C0D" w:rsidRPr="00284A32" w:rsidRDefault="00DD5153" w:rsidP="00DD5153">
      <w:pPr>
        <w:pStyle w:val="Typedudocument"/>
      </w:pPr>
      <w:r w:rsidRPr="00284A32">
        <w:lastRenderedPageBreak/>
        <w:t>РЕГЛАМЕНТ ЗА ИЗПЪЛНЕНИЕ (ЕС) .../… НА КОМИСИЯТА</w:t>
      </w:r>
    </w:p>
    <w:p w14:paraId="537E2F9A" w14:textId="79AF914C" w:rsidR="00911C0D" w:rsidRPr="00284A32" w:rsidRDefault="00284A32" w:rsidP="00DD5153">
      <w:pPr>
        <w:pStyle w:val="Datedadoption"/>
      </w:pPr>
      <w:r>
        <w:t>от XXX година</w:t>
      </w:r>
    </w:p>
    <w:p w14:paraId="2AF513BE" w14:textId="77777777" w:rsidR="00911C0D" w:rsidRPr="00284A32" w:rsidRDefault="00DD5153" w:rsidP="00DD5153">
      <w:pPr>
        <w:pStyle w:val="Titreobjet"/>
      </w:pPr>
      <w:r w:rsidRPr="00284A32">
        <w:t>за определяне на техническите стандарти за изпълнение за прилагането на Регламент (ЕС) № 575/2013 на Европейския парламент и на Съвета и Директива 2014/59/ЕС на Европейския парламент и на Съвета по отношение на предоставянето на информация на надзорните органи и публичното оповестяване на минималното изискване за собствени средства и приемливи задължения</w:t>
      </w:r>
    </w:p>
    <w:p w14:paraId="17032FFA" w14:textId="77777777" w:rsidR="00911C0D" w:rsidRPr="00284A32" w:rsidRDefault="00DD5153" w:rsidP="00DD5153">
      <w:pPr>
        <w:pStyle w:val="IntrtEEE"/>
      </w:pPr>
      <w:r w:rsidRPr="00284A32">
        <w:t>(текст от значение за ЕИП)</w:t>
      </w:r>
    </w:p>
    <w:p w14:paraId="70543606" w14:textId="77777777" w:rsidR="00911C0D" w:rsidRPr="00284A32" w:rsidRDefault="00911C0D" w:rsidP="00911C0D">
      <w:pPr>
        <w:pStyle w:val="Institutionquiagit"/>
      </w:pPr>
      <w:r w:rsidRPr="00284A32">
        <w:t>ЕВРОПЕЙСКАТА КОМИСИЯ,</w:t>
      </w:r>
    </w:p>
    <w:p w14:paraId="69A98AD3" w14:textId="30134CBB" w:rsidR="00911C0D" w:rsidRPr="00284A32" w:rsidRDefault="00911C0D" w:rsidP="00911C0D">
      <w:r w:rsidRPr="00284A32">
        <w:t>като взе предвид 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w:t>
      </w:r>
      <w:r w:rsidRPr="00284A32">
        <w:rPr>
          <w:rStyle w:val="FootnoteReference"/>
        </w:rPr>
        <w:footnoteReference w:id="1"/>
      </w:r>
      <w:r w:rsidRPr="00284A32">
        <w:t>, и по-специално член 430, параграф 7, пета алинея и член 434а, пета алинея от него,</w:t>
      </w:r>
    </w:p>
    <w:p w14:paraId="283FAA3A" w14:textId="77777777" w:rsidR="00911C0D" w:rsidRPr="00284A32" w:rsidRDefault="00911C0D" w:rsidP="00911C0D">
      <w:r w:rsidRPr="00284A32">
        <w:t>като взе предвид Директива 2014/59/ЕС на Европейския парламент и на Съвета от 15 май 2014 г. за създаване на рамка за възстановяване и преструктуриране на кредитни институции и инвестиционни посредници и за изменение на Директива 82/891/ЕИО на Съвета и директиви 2001/24/ЕО, 2002/47/ЕО, 2004/25/ЕО, 2005/56/ЕО, 2007/36/ЕО, 2011/35/ЕС, 2012/30/ЕС и 2013/36/ЕС и на регламенти (ЕС) № 1093/2010 и (ЕС) № 648/2012 на Европейския парламент и на Съвета</w:t>
      </w:r>
      <w:r w:rsidRPr="00284A32">
        <w:rPr>
          <w:rStyle w:val="FootnoteReference"/>
        </w:rPr>
        <w:footnoteReference w:id="2"/>
      </w:r>
      <w:r w:rsidRPr="00284A32">
        <w:t>, и по-специално член 45и, параграфи 5 и 6 от нея,</w:t>
      </w:r>
    </w:p>
    <w:p w14:paraId="2D724A4A" w14:textId="77777777" w:rsidR="00911C0D" w:rsidRPr="00284A32" w:rsidRDefault="00911C0D" w:rsidP="00911C0D">
      <w:r w:rsidRPr="00284A32">
        <w:t>като има предвид, че:</w:t>
      </w:r>
    </w:p>
    <w:p w14:paraId="1498BCD9" w14:textId="55EE7DC6" w:rsidR="00911C0D" w:rsidRPr="00284A32" w:rsidRDefault="00911C0D" w:rsidP="00C12C7B">
      <w:pPr>
        <w:pStyle w:val="Considrant"/>
        <w:numPr>
          <w:ilvl w:val="0"/>
          <w:numId w:val="23"/>
        </w:numPr>
      </w:pPr>
      <w:r w:rsidRPr="00284A32">
        <w:t>С Регламент (ЕС) 2019/876 на Европейския парламент и на Съвета</w:t>
      </w:r>
      <w:r w:rsidRPr="00284A32">
        <w:rPr>
          <w:rStyle w:val="FootnoteReference"/>
        </w:rPr>
        <w:footnoteReference w:id="3"/>
      </w:r>
      <w:r w:rsidRPr="00284A32">
        <w:t xml:space="preserve"> за изменение на Регламент (ЕС) № 575/2013 в законодателството на Съюза беше въведено хармонизираното минимално равнище съгласно Договореностите относно общия капацитет за поемане на загуби (ОКПЗ) („стандарт за ОКПЗ“) за глобалните системно значими институции (Г-СЗИ) („изискването за ОКПЗ“).</w:t>
      </w:r>
      <w:r w:rsidRPr="00284A32">
        <w:rPr>
          <w:sz w:val="23"/>
          <w:szCs w:val="23"/>
        </w:rPr>
        <w:t xml:space="preserve"> </w:t>
      </w:r>
      <w:r w:rsidRPr="00284A32">
        <w:t>Специфичната за институцията добавка за Г-СЗИ и специфичното изискване за институциите, които не са Г-СЗИ, наричани минимално изискване за собствени средства и приемливи задължения (МИПЗ), бяха утвърдени чрез целенасочени изменения на Директива 2014/59/ЕС, въведени с Директива (ЕС) 2019/879 на Европейския парламент и на Съвета</w:t>
      </w:r>
      <w:r w:rsidRPr="00284A32">
        <w:rPr>
          <w:rStyle w:val="FootnoteReference"/>
        </w:rPr>
        <w:footnoteReference w:id="4"/>
      </w:r>
      <w:r w:rsidRPr="00284A32">
        <w:t xml:space="preserve">. Изискванията за докладване и — </w:t>
      </w:r>
      <w:r w:rsidRPr="00284A32">
        <w:lastRenderedPageBreak/>
        <w:t>оповестяване както за стандарта за ОКПЗ, така и за МИПЗ — вече са включени съответно в Регламент (ЕС) № 575/2013 и Директива 2014/59/ЕС.</w:t>
      </w:r>
    </w:p>
    <w:p w14:paraId="42917AA4" w14:textId="77777777" w:rsidR="00911C0D" w:rsidRPr="00284A32" w:rsidRDefault="00911C0D" w:rsidP="00911C0D">
      <w:pPr>
        <w:pStyle w:val="Considrant"/>
      </w:pPr>
      <w:r w:rsidRPr="00284A32">
        <w:t>Тъй като стандартът за ОКПЗ и МИПЗ преследват една и съща цел — да се гарантира достатъчен капацитет на институциите и субектите, установени в Съюза, за поемане на загуби и за рекапитализация — двете изисквания следва да бъдат взаимно допълващи се елементи на една обща рамка. Поради това е целесъобразно да се установи набор от приложими за всички институции образци за докладване и публично оповестяване на хармонизирана информация относно изискването за собствени средства и приемливи задължения за Г-СЗИ и значимите дъщерни предприятия на Г-СЗИ извън ЕС (ОКПЗ) и специфичното за институцията МИПЗ.</w:t>
      </w:r>
    </w:p>
    <w:p w14:paraId="621ACD0D" w14:textId="77777777" w:rsidR="00911C0D" w:rsidRPr="00284A32" w:rsidRDefault="00911C0D" w:rsidP="00911C0D">
      <w:pPr>
        <w:pStyle w:val="Considrant"/>
      </w:pPr>
      <w:r w:rsidRPr="00284A32">
        <w:t>Съгласно член 434а от Регламент (ЕС) № 575/2013 с проектите на технически стандарти за изпълнение, разработени от Европейския банков орган (ЕБО) за установяване на единни формати за оповестяване, трябва да се цели поддържане на съгласуваност на форматите за оповестяване с международните стандарти за оповестяване, за да се улесни съпоставимостта на информацията. През декември 2018 г. Базелският комитет по банков надзор (БКБН) публикува актуализирани изисквания за оповестяване по стълб 3, включително изискванията за оповестяване на ОКПЗ. Поради това форматите за оповестяване и свързаните с тях инструкции, определени в настоящия регламент, следва да бъдат съгласувани с актуализираните изисквания на БКБН за оповестяване.</w:t>
      </w:r>
    </w:p>
    <w:p w14:paraId="39396602" w14:textId="77777777" w:rsidR="00911C0D" w:rsidRPr="00284A32" w:rsidRDefault="00911C0D" w:rsidP="00911C0D">
      <w:pPr>
        <w:pStyle w:val="Considrant"/>
      </w:pPr>
      <w:r w:rsidRPr="00284A32">
        <w:t xml:space="preserve">За да се гарантира, че разходите на институциите за привеждане в съответствие няма да се увеличават неоснователно и че качеството на данните ще бъде запазено, задълженията за докладване и оповестяване следва да бъдат взаимно съгласувани по същество във възможно най-голяма степен, включително по отношение на тяхната честота. Освен това съгласуването на техническите стандарти за изпълнение относно задълженията за докладване и оповестяване на ОКПЗ и МИПЗ се изисква изрично от член 45и, параграф 5, трета алинея и член 45и, параграф 6, трета алинея от Директива 2014/59/ЕС. Поради това е целесъобразно да се установят с един регламент стандарти, приложими както за докладването, така и за оповестяването на ОКПЗ и МИПЗ. Същевременно следва да бъдат адаптирани по целесъобразност детайлността и честотата както на докладването, така и на оповестяванията, като се вземат предвид изискванията, установени съответно в Регламент (ЕС) № 575/2013 и Директива 2014/59/ЕС, както и необходимостта да се гарантира, че институциите спазват по всяко време тези изисквания. </w:t>
      </w:r>
    </w:p>
    <w:p w14:paraId="6A0B1EFC" w14:textId="77777777" w:rsidR="00911C0D" w:rsidRPr="00284A32" w:rsidRDefault="00911C0D" w:rsidP="00911C0D">
      <w:pPr>
        <w:pStyle w:val="Considrant"/>
        <w:rPr>
          <w:noProof/>
        </w:rPr>
      </w:pPr>
      <w:r w:rsidRPr="00284A32">
        <w:t xml:space="preserve">Директива 2014/59/ЕС изисква информацията относно МИПЗ да се докладва както на компетентните органи, така и на органите за преструктуриране. Регламент (ЕС) № 575/2013 изисква информацията относно ОКПЗ да се докладва само на компетентните органи. Съгласно член 45г, параграф 1 от Директива 2014/59/ЕС обаче МИПЗ на субект за преструктуриране, който е Г-СЗИ или част от Г-СЗИ, се състои от изискването за ОКПЗ и евентуални допълнителни изисквания. Поради това е целесъобразно да се гарантира, че в рамките на докладването на МИПЗ органите за преструктуриране получават от Г-СЗИ информация относно ОКПЗ. Това не следва да засяга споразуменията, </w:t>
      </w:r>
      <w:r w:rsidRPr="00284A32">
        <w:lastRenderedPageBreak/>
        <w:t>сключени от компетентните органи и органите за преструктуриране с цел намаляване на потоците от данни.</w:t>
      </w:r>
    </w:p>
    <w:p w14:paraId="47B09598" w14:textId="77777777" w:rsidR="00911C0D" w:rsidRPr="00284A32" w:rsidRDefault="00911C0D" w:rsidP="00911C0D">
      <w:pPr>
        <w:pStyle w:val="Considrant"/>
      </w:pPr>
      <w:r w:rsidRPr="00284A32">
        <w:t>От съображения за съпоставимост и правна сигурност с член 45и, параграф 5 от Директива 2014/59/ЕС се изисква ЕБО да разработи проекти на технически стандарти за изпълнение, с които се определя стандартизиран начин за предоставяне на информация относно йерархията на собствените средства и задълженията с възможност за споделяне на загуби, приложим при национално производство по несъстоятелност във всяка държава членка. Поради това съответните органи за преструктуриране следва да предоставят на институциите под тяхна юрисдикция стандартизирана информация относно йерархията при несъстоятелността във всяка държава членка и своевременно да актуализират тази информация. Информацията следва да представлява стандартизирано представяне на йерархията при несъстоятелност.</w:t>
      </w:r>
    </w:p>
    <w:p w14:paraId="5C67BF36" w14:textId="77777777" w:rsidR="00911C0D" w:rsidRPr="00284A32" w:rsidRDefault="00911C0D" w:rsidP="00911C0D">
      <w:pPr>
        <w:pStyle w:val="Considrant"/>
      </w:pPr>
      <w:r w:rsidRPr="00284A32">
        <w:t>Що се отнася до уредените от законодателството на трета държава задължения с възможност за споделяне на загуби, с член 45и, параграф 5 от Директива 2014/59/ЕС се изисква също така в проектите на технически стандарти за изпълнение, разработени от ЕБО, да бъде определен стандартизиран начин за предоставяне на информация, посочващ третите държави, чието законодателство урежда такива задължения, и дали — за всяка посочена трета държава, тези задължения съдържат договорната клауза, с която се признава, че те могат да бъдат предмет на правомощия за обезценяване и преобразуване съгласно посочената директива. Поради необходимостта от допълнителна оценка на степента на подробност на докладването на тези елементи съответните инструкции и образци ще бъдат поотделно разработени и представени своевременно от ЕБО на Комисията, за да могат както компетентните органи, така и органите за преструктуриране да получават редовен достъп до тази информация. Липсата на тези ограничени допълнителни елементи няма да засегне, нито ще забави прилагането на предвидените в настоящия регламент изисквания за докладване.</w:t>
      </w:r>
    </w:p>
    <w:p w14:paraId="131F500A" w14:textId="77777777" w:rsidR="00911C0D" w:rsidRPr="00284A32" w:rsidRDefault="00911C0D" w:rsidP="00911C0D">
      <w:pPr>
        <w:pStyle w:val="Considrant"/>
      </w:pPr>
      <w:r w:rsidRPr="00284A32">
        <w:t xml:space="preserve">Когато оценяват дали информацията е съществена, представлява търговска тайна или е поверителна в съответствие с член 432 от Регламент (ЕС) № 575/2013, оповестяващите информацията субекти следва да вземат предвид съответните насоки, издадени от ЕБО. </w:t>
      </w:r>
    </w:p>
    <w:p w14:paraId="334E45CF" w14:textId="77777777" w:rsidR="00911C0D" w:rsidRPr="00284A32" w:rsidRDefault="00911C0D" w:rsidP="00911C0D">
      <w:pPr>
        <w:pStyle w:val="Considrant"/>
        <w:rPr>
          <w:noProof/>
        </w:rPr>
      </w:pPr>
      <w:r w:rsidRPr="00284A32">
        <w:t>В съответствие с член 3, параграф 3, втора алинея от Регламент (ЕС) 2019/876 задължението за докладване и оповестяване на информация относно ОКПЗ, предвидено в член 430, параграф 1, буква б), член 437а и член 447, буква з) от Регламент (ЕС) № 575/2013, се прилага от 27 юни 2019 г. Следователно след влизането в сила на настоящия регламент Г-СЗИ и значимите дъщерни предприятия на Г-СЗИ извън ЕС следва незабавно да оповестяват информация за ОКПЗ, като използват образците и следват предвидените в настоящия регламент указания. За разлика от това докладването относно изискването за ОКПЗ съгласно настоящия регламент следва да започне да се прилага едва от 28 юни 2021 г., за да се предостави достатъчно време на институциите и компетентните органи да изпълнят съответните изисквания.</w:t>
      </w:r>
    </w:p>
    <w:p w14:paraId="5CD8D630" w14:textId="554B47BE" w:rsidR="00911C0D" w:rsidRPr="00284A32" w:rsidRDefault="00911C0D" w:rsidP="00911C0D">
      <w:pPr>
        <w:pStyle w:val="Considrant"/>
        <w:rPr>
          <w:noProof/>
        </w:rPr>
      </w:pPr>
      <w:r w:rsidRPr="00284A32">
        <w:rPr>
          <w:color w:val="000000"/>
        </w:rPr>
        <w:t xml:space="preserve">По отношение на МИПЗ задълженията за докладване, посочени в Директива 2014/59/ЕС, трябва да се прилагат най-късно от 28 декември 2020 г. По същите причини както за ОКПЗ обаче всички институции следва от 28 юни 2021 г. да предоставят информация за МИПЗ, като използват образците и </w:t>
      </w:r>
      <w:r w:rsidRPr="00284A32">
        <w:rPr>
          <w:color w:val="000000"/>
        </w:rPr>
        <w:lastRenderedPageBreak/>
        <w:t>следват предвидените в настоящия регламент указания. За разлика от това датата на прилагане на задълженията за оповестяване на МИПЗ следва да съвпада с края на преходния период съгласно член 45м, параграф 1, трета алинея от Директива 2014/59/ЕС, т.е. най-рано на 1 януари 2024 г.</w:t>
      </w:r>
      <w:r w:rsidRPr="00284A32">
        <w:t xml:space="preserve"> </w:t>
      </w:r>
    </w:p>
    <w:p w14:paraId="440C2F52" w14:textId="37997D46" w:rsidR="00D05552" w:rsidRPr="00284A32" w:rsidRDefault="00EA09E4" w:rsidP="00EA09E4">
      <w:pPr>
        <w:pStyle w:val="Considrant"/>
        <w:rPr>
          <w:noProof/>
        </w:rPr>
      </w:pPr>
      <w:r w:rsidRPr="00284A32">
        <w:t xml:space="preserve">Като се има предвид необходимостта институциите, компетентните органи и органите за преструктуриране да адаптират своите системи за докладване и електронни системи към изискванията, предвидени в настоящия регламент, при тримесечното докладване датата на подаване на данни, отнасящи се до референтната дата 30 юни 2021 г., следва да бъде най-късно 30 септември 2021 г. </w:t>
      </w:r>
    </w:p>
    <w:p w14:paraId="059DCDED" w14:textId="77777777" w:rsidR="00911C0D" w:rsidRPr="00284A32" w:rsidRDefault="00911C0D" w:rsidP="00911C0D">
      <w:pPr>
        <w:pStyle w:val="Considrant"/>
        <w:rPr>
          <w:noProof/>
        </w:rPr>
      </w:pPr>
      <w:r w:rsidRPr="00284A32">
        <w:t>Настоящият регламент е изготвен въз основа на проектите на технически стандарти за изпълнение, представени на Комисията от ЕБО.</w:t>
      </w:r>
    </w:p>
    <w:p w14:paraId="11F1B273" w14:textId="77777777" w:rsidR="00911C0D" w:rsidRPr="00284A32" w:rsidRDefault="00911C0D" w:rsidP="00911C0D">
      <w:pPr>
        <w:pStyle w:val="Considrant"/>
        <w:rPr>
          <w:noProof/>
          <w:color w:val="000000"/>
        </w:rPr>
      </w:pPr>
      <w:r w:rsidRPr="00284A32">
        <w:t>ЕБО проведе открити обществени консултации по проектите на технически стандарти за изпълнение, въз основа на които е изготвен настоящият регламент, анализира свързаните с тях потенциални разходи и ползи и поиска становище от Групата на участниците в банковия сектор, създадена съгласно член 37 от Регламент (ЕС) № 1093/2010 на Европейския парламент и на Съвета</w:t>
      </w:r>
      <w:r w:rsidRPr="00284A32">
        <w:rPr>
          <w:rStyle w:val="FootnoteReference"/>
        </w:rPr>
        <w:footnoteReference w:id="5"/>
      </w:r>
      <w:r w:rsidRPr="00284A32">
        <w:t>,</w:t>
      </w:r>
    </w:p>
    <w:p w14:paraId="0057A5D8" w14:textId="77777777" w:rsidR="00911C0D" w:rsidRPr="00284A32" w:rsidRDefault="00911C0D" w:rsidP="00911C0D">
      <w:pPr>
        <w:pStyle w:val="Formuledadoption"/>
      </w:pPr>
      <w:r w:rsidRPr="00284A32">
        <w:t>ПРИЕ НАСТОЯЩИЯ РЕГЛАМЕНТ:</w:t>
      </w:r>
    </w:p>
    <w:p w14:paraId="3D820E8F" w14:textId="77777777" w:rsidR="00911C0D" w:rsidRPr="00284A32" w:rsidRDefault="00911C0D" w:rsidP="00911C0D">
      <w:pPr>
        <w:pStyle w:val="SectionTitle"/>
        <w:rPr>
          <w:b w:val="0"/>
          <w:i/>
        </w:rPr>
      </w:pPr>
      <w:r w:rsidRPr="00284A32">
        <w:rPr>
          <w:b w:val="0"/>
          <w:i/>
        </w:rPr>
        <w:t>ДЯЛ I</w:t>
      </w:r>
      <w:r w:rsidRPr="00284A32">
        <w:t xml:space="preserve"> </w:t>
      </w:r>
      <w:r w:rsidRPr="00284A32">
        <w:br/>
      </w:r>
      <w:r w:rsidRPr="00284A32">
        <w:rPr>
          <w:b w:val="0"/>
          <w:i/>
        </w:rPr>
        <w:t>ПРЕДОСТАВЯНЕ НА ИНФОРМАЦИЯ ЗА НАДЗОРНИ ЦЕЛИ</w:t>
      </w:r>
    </w:p>
    <w:p w14:paraId="41755B8B" w14:textId="77777777" w:rsidR="00911C0D" w:rsidRPr="00284A32" w:rsidRDefault="00911C0D" w:rsidP="00911C0D">
      <w:pPr>
        <w:pStyle w:val="Titrearticle"/>
      </w:pPr>
      <w:r w:rsidRPr="00284A32">
        <w:t xml:space="preserve">Член </w:t>
      </w:r>
      <w:r w:rsidR="00C12C7B">
        <w:fldChar w:fldCharType="begin"/>
      </w:r>
      <w:r w:rsidR="00C12C7B">
        <w:instrText xml:space="preserve"> SEQ Figure \* ARABIC </w:instrText>
      </w:r>
      <w:r w:rsidR="00C12C7B">
        <w:fldChar w:fldCharType="separate"/>
      </w:r>
      <w:r w:rsidRPr="00284A32">
        <w:t>1</w:t>
      </w:r>
      <w:r w:rsidR="00C12C7B">
        <w:fldChar w:fldCharType="end"/>
      </w:r>
      <w:r w:rsidRPr="00284A32">
        <w:t xml:space="preserve"> </w:t>
      </w:r>
      <w:r w:rsidRPr="00284A32">
        <w:br/>
        <w:t>Референтни дати на докладване</w:t>
      </w:r>
    </w:p>
    <w:p w14:paraId="4E45B252" w14:textId="77777777" w:rsidR="00911C0D" w:rsidRPr="00284A32" w:rsidRDefault="00911C0D" w:rsidP="00911C0D">
      <w:pPr>
        <w:keepNext/>
        <w:keepLines/>
        <w:spacing w:before="360"/>
        <w:rPr>
          <w:noProof/>
        </w:rPr>
      </w:pPr>
      <w:r w:rsidRPr="00284A32">
        <w:t xml:space="preserve">Субектите, които на индивидуална или консолидирана основа подлежат на изискванията за докладване на общия капацитет за покриване на загуби (ОКПЗ) и </w:t>
      </w:r>
      <w:r w:rsidRPr="00284A32">
        <w:rPr>
          <w:sz w:val="23"/>
          <w:szCs w:val="23"/>
        </w:rPr>
        <w:t>минималното изискване за собствени средства и приемливи задължения</w:t>
      </w:r>
      <w:r w:rsidRPr="00284A32">
        <w:t xml:space="preserve"> (МИПЗ) („докладващи субекти“), предоставят информация на компетентните органи и на органите за преструктуриране във вида ѝ към следните референтни дати на докладване:</w:t>
      </w:r>
    </w:p>
    <w:p w14:paraId="62D6D0EC" w14:textId="77777777" w:rsidR="00911C0D" w:rsidRPr="00284A32" w:rsidRDefault="00911C0D" w:rsidP="00911C0D">
      <w:pPr>
        <w:pStyle w:val="Point0"/>
        <w:rPr>
          <w:noProof/>
        </w:rPr>
      </w:pPr>
      <w:r w:rsidRPr="00284A32">
        <w:t>а)</w:t>
      </w:r>
      <w:r w:rsidRPr="00284A32">
        <w:tab/>
        <w:t>при тримесечно докладване: на 31 март, 30 юни, 30 септември и 31 декември;</w:t>
      </w:r>
    </w:p>
    <w:p w14:paraId="6619E578" w14:textId="77777777" w:rsidR="00911C0D" w:rsidRPr="00284A32" w:rsidRDefault="00911C0D" w:rsidP="00911C0D">
      <w:pPr>
        <w:pStyle w:val="Point0"/>
        <w:rPr>
          <w:noProof/>
        </w:rPr>
      </w:pPr>
      <w:r w:rsidRPr="00284A32">
        <w:t>б)</w:t>
      </w:r>
      <w:r w:rsidRPr="00284A32">
        <w:tab/>
        <w:t>при шестмесечно докладване: на 30 юни и 31 декември;</w:t>
      </w:r>
    </w:p>
    <w:p w14:paraId="0A85107A" w14:textId="77777777" w:rsidR="00911C0D" w:rsidRPr="00284A32" w:rsidRDefault="00911C0D" w:rsidP="00911C0D">
      <w:pPr>
        <w:pStyle w:val="Point0"/>
        <w:rPr>
          <w:noProof/>
        </w:rPr>
      </w:pPr>
      <w:r w:rsidRPr="00284A32">
        <w:t>в)</w:t>
      </w:r>
      <w:r w:rsidRPr="00284A32">
        <w:tab/>
        <w:t>при годишно докладване: на 31 декември.</w:t>
      </w:r>
    </w:p>
    <w:p w14:paraId="2DD5D0AB" w14:textId="77777777" w:rsidR="00911C0D" w:rsidRPr="00284A32" w:rsidRDefault="00911C0D" w:rsidP="00911C0D">
      <w:pPr>
        <w:pStyle w:val="Titrearticle"/>
      </w:pPr>
      <w:r w:rsidRPr="00284A32">
        <w:t xml:space="preserve">Член </w:t>
      </w:r>
      <w:r w:rsidR="00C12C7B">
        <w:fldChar w:fldCharType="begin"/>
      </w:r>
      <w:r w:rsidR="00C12C7B">
        <w:instrText xml:space="preserve"> SEQ Figure \* ARABIC </w:instrText>
      </w:r>
      <w:r w:rsidR="00C12C7B">
        <w:fldChar w:fldCharType="separate"/>
      </w:r>
      <w:r w:rsidRPr="00284A32">
        <w:t>2</w:t>
      </w:r>
      <w:r w:rsidR="00C12C7B">
        <w:fldChar w:fldCharType="end"/>
      </w:r>
      <w:r w:rsidRPr="00284A32">
        <w:t xml:space="preserve"> </w:t>
      </w:r>
      <w:r w:rsidRPr="00284A32">
        <w:br/>
        <w:t>Дати за подаване на информация</w:t>
      </w:r>
    </w:p>
    <w:p w14:paraId="7EB2FA5F" w14:textId="77777777" w:rsidR="00911C0D" w:rsidRPr="00284A32" w:rsidRDefault="00911C0D" w:rsidP="00080A21">
      <w:pPr>
        <w:pStyle w:val="NumPar1"/>
        <w:numPr>
          <w:ilvl w:val="0"/>
          <w:numId w:val="2"/>
        </w:numPr>
        <w:rPr>
          <w:noProof/>
        </w:rPr>
      </w:pPr>
      <w:r w:rsidRPr="00284A32">
        <w:t>Докладващите субекти подават информация на компетентните органи и на органите за преструктуриране до края на работния ден на следните дати:</w:t>
      </w:r>
    </w:p>
    <w:p w14:paraId="333C0EF1" w14:textId="62BB7725" w:rsidR="00911C0D" w:rsidRPr="00284A32" w:rsidRDefault="0097682D" w:rsidP="0097682D">
      <w:pPr>
        <w:pStyle w:val="Point1"/>
        <w:rPr>
          <w:noProof/>
        </w:rPr>
      </w:pPr>
      <w:r>
        <w:t>а)</w:t>
      </w:r>
      <w:r w:rsidRPr="0097682D">
        <w:tab/>
      </w:r>
      <w:r w:rsidR="00911C0D" w:rsidRPr="00284A32">
        <w:t>при тримесечно докладване: 19 май, 18 август, 18 ноември и 18 февруари, с изключение на данните, отнасящи се до референтната дата 30 юни 2021 г., за които датата на подаване е най-късно 30 септември 2021 г.;</w:t>
      </w:r>
    </w:p>
    <w:p w14:paraId="2215F3EB" w14:textId="6644BCF9" w:rsidR="00911C0D" w:rsidRPr="00284A32" w:rsidRDefault="0097682D" w:rsidP="0097682D">
      <w:pPr>
        <w:pStyle w:val="Point1"/>
        <w:rPr>
          <w:noProof/>
        </w:rPr>
      </w:pPr>
      <w:r>
        <w:t>б)</w:t>
      </w:r>
      <w:r w:rsidRPr="0097682D">
        <w:tab/>
      </w:r>
      <w:r w:rsidR="00911C0D" w:rsidRPr="00284A32">
        <w:t>при шестмесечно докладване: на 18 август и 18 февруари;</w:t>
      </w:r>
    </w:p>
    <w:p w14:paraId="3F3B32F9" w14:textId="41CEDF8D" w:rsidR="00911C0D" w:rsidRPr="00284A32" w:rsidRDefault="0097682D" w:rsidP="0097682D">
      <w:pPr>
        <w:pStyle w:val="Point1"/>
        <w:rPr>
          <w:noProof/>
        </w:rPr>
      </w:pPr>
      <w:r>
        <w:lastRenderedPageBreak/>
        <w:t>в)</w:t>
      </w:r>
      <w:r w:rsidRPr="0097682D">
        <w:tab/>
      </w:r>
      <w:r w:rsidR="00911C0D" w:rsidRPr="00284A32">
        <w:t>при годишно докладване: 18 февруари.</w:t>
      </w:r>
    </w:p>
    <w:p w14:paraId="5D1F4190" w14:textId="77777777" w:rsidR="00911C0D" w:rsidRPr="00284A32" w:rsidRDefault="00911C0D" w:rsidP="00911C0D">
      <w:pPr>
        <w:pStyle w:val="NumPar1"/>
        <w:rPr>
          <w:noProof/>
        </w:rPr>
      </w:pPr>
      <w:r w:rsidRPr="00284A32">
        <w:t>Когато датата на подаване съвпада с официален празник в държавата членка на компетентния орган или на органа за преструктуриране, на който се предоставя посочената в параграф 1 информация, или със събота или неделя, информацията се подава до края на следващия работен ден.</w:t>
      </w:r>
    </w:p>
    <w:p w14:paraId="1323199E" w14:textId="77777777" w:rsidR="00911C0D" w:rsidRPr="00284A32" w:rsidRDefault="00911C0D" w:rsidP="00911C0D">
      <w:pPr>
        <w:pStyle w:val="NumPar1"/>
        <w:rPr>
          <w:noProof/>
        </w:rPr>
      </w:pPr>
      <w:r w:rsidRPr="00284A32">
        <w:t xml:space="preserve">Докладващите субекти могат да подават данни, за които не е получено становище на външен одитор (неодитирани данни). Когато данните, проверени от външен одитор, който е изразил за тях одиторско становище (одитирани данни), се отклоняват от подадените неодитирани данни, докладващите субекти подават своевременно коригираните одитирани данни. </w:t>
      </w:r>
    </w:p>
    <w:p w14:paraId="449A6FE1" w14:textId="77777777" w:rsidR="00911C0D" w:rsidRPr="00284A32" w:rsidRDefault="00911C0D" w:rsidP="00911C0D">
      <w:pPr>
        <w:pStyle w:val="NumPar1"/>
        <w:rPr>
          <w:noProof/>
        </w:rPr>
      </w:pPr>
      <w:r w:rsidRPr="00284A32">
        <w:t>Докладващите субекти своевременно представят на компетентните органи и на органите за преструктуриране всички други корекции.</w:t>
      </w:r>
    </w:p>
    <w:p w14:paraId="73C2EE64" w14:textId="77777777" w:rsidR="00911C0D" w:rsidRPr="00284A32" w:rsidRDefault="00911C0D" w:rsidP="00911C0D">
      <w:pPr>
        <w:pStyle w:val="Titrearticle"/>
      </w:pPr>
      <w:r w:rsidRPr="00284A32">
        <w:t xml:space="preserve">Член </w:t>
      </w:r>
      <w:r w:rsidR="00C12C7B">
        <w:fldChar w:fldCharType="begin"/>
      </w:r>
      <w:r w:rsidR="00C12C7B">
        <w:instrText xml:space="preserve"> SEQ Figure \* ARABIC </w:instrText>
      </w:r>
      <w:r w:rsidR="00C12C7B">
        <w:fldChar w:fldCharType="separate"/>
      </w:r>
      <w:r w:rsidRPr="00284A32">
        <w:t>3</w:t>
      </w:r>
      <w:r w:rsidR="00C12C7B">
        <w:fldChar w:fldCharType="end"/>
      </w:r>
      <w:r w:rsidRPr="00284A32">
        <w:t xml:space="preserve"> </w:t>
      </w:r>
      <w:r w:rsidRPr="00284A32">
        <w:br/>
        <w:t>Формат и честота на докладването от субектите за преструктуриране на индивидуална основа</w:t>
      </w:r>
    </w:p>
    <w:p w14:paraId="18406280" w14:textId="77777777" w:rsidR="00911C0D" w:rsidRPr="00284A32" w:rsidRDefault="00911C0D" w:rsidP="00080A21">
      <w:pPr>
        <w:pStyle w:val="NumPar1"/>
        <w:numPr>
          <w:ilvl w:val="0"/>
          <w:numId w:val="1"/>
        </w:numPr>
        <w:rPr>
          <w:noProof/>
        </w:rPr>
      </w:pPr>
      <w:r w:rsidRPr="00284A32">
        <w:t>Субектите за преструктуриране, които не са дъщерни предприятия, за които в съответствие с член 45д от Директива 2014/59/ЕС се прилагат изискванията по член 45 от посочената директива, подават до компетентните органи и органите за преструктуриране следната информация на индивидуална основа:</w:t>
      </w:r>
    </w:p>
    <w:p w14:paraId="790F78D3" w14:textId="3C5C788D" w:rsidR="00911C0D" w:rsidRPr="00284A32" w:rsidRDefault="0097682D" w:rsidP="0097682D">
      <w:pPr>
        <w:pStyle w:val="Point1"/>
        <w:rPr>
          <w:noProof/>
        </w:rPr>
      </w:pPr>
      <w:r>
        <w:t>а)</w:t>
      </w:r>
      <w:r w:rsidRPr="0097682D">
        <w:tab/>
      </w:r>
      <w:r w:rsidR="00911C0D" w:rsidRPr="00284A32">
        <w:t>информацията за основните показатели съгласно посоченото в образец 1, колона 0010 от приложение I към настоящия регламент се докладва на всяко тримесечие в съответствие с указанията в част II, точка 1 от приложение II към настоящия регламент;</w:t>
      </w:r>
    </w:p>
    <w:p w14:paraId="619B3CEC" w14:textId="32D2FEE0" w:rsidR="00911C0D" w:rsidRPr="00284A32" w:rsidRDefault="0097682D" w:rsidP="0097682D">
      <w:pPr>
        <w:pStyle w:val="Point1"/>
        <w:rPr>
          <w:noProof/>
        </w:rPr>
      </w:pPr>
      <w:r>
        <w:t>б)</w:t>
      </w:r>
      <w:r w:rsidRPr="0097682D">
        <w:tab/>
      </w:r>
      <w:r w:rsidR="00911C0D" w:rsidRPr="00284A32">
        <w:t>информацията за състава на собствените средства и приемливите задължения съгласно посоченото в образец 2, колона 0010 от приложение I към настоящия регламент се докладва на всяко тримесечие в съответствие с указанията в част II, точка 2.1 от приложение II към настоящия регламент;</w:t>
      </w:r>
    </w:p>
    <w:p w14:paraId="1B7D16C2" w14:textId="0A0CAA4F" w:rsidR="00911C0D" w:rsidRPr="00284A32" w:rsidRDefault="0097682D" w:rsidP="0097682D">
      <w:pPr>
        <w:pStyle w:val="Point1"/>
        <w:rPr>
          <w:noProof/>
        </w:rPr>
      </w:pPr>
      <w:r>
        <w:t>в)</w:t>
      </w:r>
      <w:r w:rsidRPr="0097682D">
        <w:tab/>
      </w:r>
      <w:r w:rsidR="00911C0D" w:rsidRPr="00284A32">
        <w:t>информацията за структурата на финансиране на приемливите задължения съгласно посоченото в образец 4 от приложение I към настоящия регламент се докладва на всяко тримесечие в съответствие с указанията в част II, точка 2.3 от приложение II към настоящия регламент;</w:t>
      </w:r>
    </w:p>
    <w:p w14:paraId="28DECEF8" w14:textId="2A661219" w:rsidR="00911C0D" w:rsidRPr="00284A32" w:rsidRDefault="0097682D" w:rsidP="0097682D">
      <w:pPr>
        <w:pStyle w:val="Point1"/>
        <w:rPr>
          <w:noProof/>
        </w:rPr>
      </w:pPr>
      <w:r>
        <w:t>г)</w:t>
      </w:r>
      <w:r w:rsidRPr="0097682D">
        <w:tab/>
      </w:r>
      <w:r w:rsidR="00911C0D" w:rsidRPr="00284A32">
        <w:t>информацията за инструментите, уредени от правото на трета държава, съгласно посоченото в образец 7 от приложение I към настоящия регламент се докладва на всяко тримесечие в съответствие с указанията в част II, точка 4 от приложение II към настоящия регламент.</w:t>
      </w:r>
    </w:p>
    <w:p w14:paraId="06B6C64E" w14:textId="77777777" w:rsidR="00911C0D" w:rsidRPr="00284A32" w:rsidRDefault="00911C0D" w:rsidP="00080A21">
      <w:pPr>
        <w:pStyle w:val="NumPar1"/>
        <w:numPr>
          <w:ilvl w:val="0"/>
          <w:numId w:val="1"/>
        </w:numPr>
        <w:rPr>
          <w:noProof/>
        </w:rPr>
      </w:pPr>
      <w:r w:rsidRPr="00284A32">
        <w:t>Субектите за преструктуриране подават до компетентните органи и органите за преструктуриране информация за разбивката на собствените средства и задълженията според ранга при несъстоятелност съгласно посоченото в образец 6 от приложение I на индивидуална основа на всеки три месеца в съответствие с указанията в част II, точка 3.2 от приложение II.</w:t>
      </w:r>
    </w:p>
    <w:p w14:paraId="2CE25962" w14:textId="77777777" w:rsidR="00911C0D" w:rsidRPr="00284A32" w:rsidRDefault="00911C0D" w:rsidP="00080A21">
      <w:pPr>
        <w:pStyle w:val="NumPar1"/>
        <w:numPr>
          <w:ilvl w:val="0"/>
          <w:numId w:val="1"/>
        </w:numPr>
        <w:rPr>
          <w:noProof/>
        </w:rPr>
      </w:pPr>
      <w:r w:rsidRPr="00284A32">
        <w:t xml:space="preserve">В допълнение към информацията, посочена в параграфи 1 и 2, субектите за преструктуриране, за които в съответствие с член 6, параграф 1а от Регламент (ЕС) № 575/2013 се прилага на индивидуална основа изискването по член 92а </w:t>
      </w:r>
      <w:r w:rsidRPr="00284A32">
        <w:lastRenderedPageBreak/>
        <w:t>от същия регламент, подават до органите за преструктуриране и компетентните органи следната информация на индивидуална основа:</w:t>
      </w:r>
    </w:p>
    <w:p w14:paraId="028BBD2D" w14:textId="06734B33" w:rsidR="00911C0D" w:rsidRPr="00284A32" w:rsidRDefault="0097682D" w:rsidP="0097682D">
      <w:pPr>
        <w:pStyle w:val="Point1"/>
        <w:rPr>
          <w:noProof/>
        </w:rPr>
      </w:pPr>
      <w:r>
        <w:t>а)</w:t>
      </w:r>
      <w:r w:rsidRPr="0097682D">
        <w:tab/>
      </w:r>
      <w:r w:rsidR="00911C0D" w:rsidRPr="00284A32">
        <w:t>информацията за основните показатели съгласно посоченото в образец 1, колона 0020 от приложение I към настоящия регламент се докладва на всяко тримесечие в съответствие с указанията в част II, точка 1 от приложение II към настоящия регламент;</w:t>
      </w:r>
    </w:p>
    <w:p w14:paraId="45E52025" w14:textId="18FE8334" w:rsidR="00911C0D" w:rsidRPr="00284A32" w:rsidRDefault="0097682D" w:rsidP="0097682D">
      <w:pPr>
        <w:pStyle w:val="Point1"/>
        <w:rPr>
          <w:noProof/>
        </w:rPr>
      </w:pPr>
      <w:r>
        <w:t>б)</w:t>
      </w:r>
      <w:r w:rsidRPr="0097682D">
        <w:tab/>
      </w:r>
      <w:r w:rsidR="00911C0D" w:rsidRPr="00284A32">
        <w:t>информацията за състава на собствените средства и приемливите задължения съгласно посоченото в образец 2, колони 0020 и 0030 от приложение I към настоящия регламент се докладва на всяко тримесечие в съответствие с указанията в част II, точка 2.1 от приложение II към настоящия регламент.</w:t>
      </w:r>
    </w:p>
    <w:p w14:paraId="020EF926" w14:textId="77777777" w:rsidR="00911C0D" w:rsidRPr="00284A32" w:rsidRDefault="00911C0D" w:rsidP="00911C0D">
      <w:pPr>
        <w:pStyle w:val="Titrearticle"/>
      </w:pPr>
      <w:r w:rsidRPr="00284A32">
        <w:t xml:space="preserve">Член </w:t>
      </w:r>
      <w:r w:rsidR="00C12C7B">
        <w:fldChar w:fldCharType="begin"/>
      </w:r>
      <w:r w:rsidR="00C12C7B">
        <w:instrText xml:space="preserve"> SEQ Figure \* ARABIC </w:instrText>
      </w:r>
      <w:r w:rsidR="00C12C7B">
        <w:fldChar w:fldCharType="separate"/>
      </w:r>
      <w:r w:rsidRPr="00284A32">
        <w:t>4</w:t>
      </w:r>
      <w:r w:rsidR="00C12C7B">
        <w:fldChar w:fldCharType="end"/>
      </w:r>
      <w:r w:rsidRPr="00284A32">
        <w:t xml:space="preserve"> </w:t>
      </w:r>
      <w:r w:rsidRPr="00284A32">
        <w:br/>
        <w:t>Формат и честота на докладването от субектите за преструктуриране на консолидирана основа</w:t>
      </w:r>
    </w:p>
    <w:p w14:paraId="1378D8C9" w14:textId="77777777" w:rsidR="00911C0D" w:rsidRPr="00284A32" w:rsidRDefault="00911C0D" w:rsidP="00080A21">
      <w:pPr>
        <w:pStyle w:val="NumPar1"/>
        <w:numPr>
          <w:ilvl w:val="0"/>
          <w:numId w:val="3"/>
        </w:numPr>
        <w:rPr>
          <w:noProof/>
        </w:rPr>
      </w:pPr>
      <w:r w:rsidRPr="00284A32">
        <w:t>Субектите за преструктуриране, за които в съответствие с член 45д от Директива 2014/59/ЕС се прилагат на консолидирана основа изискванията по член 45 от посочената директива, подават до компетентните органи и органите за преструктуриране следната информация на консолидирана основа:</w:t>
      </w:r>
    </w:p>
    <w:p w14:paraId="1E21506B" w14:textId="3DE15672" w:rsidR="00911C0D" w:rsidRPr="00284A32" w:rsidRDefault="0097682D" w:rsidP="0097682D">
      <w:pPr>
        <w:pStyle w:val="Point1"/>
        <w:rPr>
          <w:noProof/>
        </w:rPr>
      </w:pPr>
      <w:r>
        <w:t>а)</w:t>
      </w:r>
      <w:r w:rsidRPr="0097682D">
        <w:tab/>
      </w:r>
      <w:r w:rsidR="00911C0D" w:rsidRPr="00284A32">
        <w:t>информацията за основните показатели съгласно посоченото в образец 1, колона 0010 от приложение I към настоящия регламент се докладва на всяко тримесечие в съответствие с указанията в част II, точка 1 от приложение II към настоящия регламент;</w:t>
      </w:r>
    </w:p>
    <w:p w14:paraId="7F16E897" w14:textId="7F7C8F14" w:rsidR="00911C0D" w:rsidRPr="00284A32" w:rsidRDefault="0097682D" w:rsidP="0097682D">
      <w:pPr>
        <w:pStyle w:val="Point1"/>
        <w:rPr>
          <w:noProof/>
        </w:rPr>
      </w:pPr>
      <w:r>
        <w:t>б)</w:t>
      </w:r>
      <w:r w:rsidRPr="0097682D">
        <w:tab/>
      </w:r>
      <w:r w:rsidR="00911C0D" w:rsidRPr="00284A32">
        <w:t>информацията за състава на собствените средства и приемливите задължения съгласно посоченото в образец 2, колона 0010 от приложение I към настоящия регламент се докладва на всяко тримесечие в съответствие с указанията в част II, точка 2.1 от приложение II към настоящия регламент;</w:t>
      </w:r>
    </w:p>
    <w:p w14:paraId="2CE5F340" w14:textId="1063E91E" w:rsidR="00911C0D" w:rsidRPr="00284A32" w:rsidRDefault="0097682D" w:rsidP="0097682D">
      <w:pPr>
        <w:pStyle w:val="Point1"/>
        <w:rPr>
          <w:noProof/>
        </w:rPr>
      </w:pPr>
      <w:r>
        <w:t>в)</w:t>
      </w:r>
      <w:r w:rsidRPr="0097682D">
        <w:tab/>
      </w:r>
      <w:r w:rsidR="00911C0D" w:rsidRPr="00284A32">
        <w:t>информацията за структурата на финансиране на приемливите задължения съгласно посоченото в образец 4 от приложение I към настоящия регламент се докладва на всяко тримесечие в съответствие с указанията в част II, точка 2.3 от приложение II към настоящия регламент;</w:t>
      </w:r>
    </w:p>
    <w:p w14:paraId="0CB1A49C" w14:textId="78459823" w:rsidR="00911C0D" w:rsidRPr="00284A32" w:rsidRDefault="0097682D" w:rsidP="0097682D">
      <w:pPr>
        <w:pStyle w:val="Point1"/>
        <w:rPr>
          <w:noProof/>
        </w:rPr>
      </w:pPr>
      <w:r>
        <w:t>г)</w:t>
      </w:r>
      <w:r w:rsidRPr="0097682D">
        <w:tab/>
      </w:r>
      <w:r w:rsidR="00911C0D" w:rsidRPr="00284A32">
        <w:t>информацията за инструментите, уредени от правото на трета държава, съгласно посоченото в образец 7 от приложение I към настоящия регламент се докладва на всяко тримесечие в съответствие с указанията в част II, точка 4 от приложение II към настоящия регламент.</w:t>
      </w:r>
    </w:p>
    <w:p w14:paraId="1604BDA8" w14:textId="77777777" w:rsidR="00911C0D" w:rsidRPr="00284A32" w:rsidRDefault="00911C0D" w:rsidP="00080A21">
      <w:pPr>
        <w:pStyle w:val="NumPar1"/>
        <w:numPr>
          <w:ilvl w:val="0"/>
          <w:numId w:val="3"/>
        </w:numPr>
        <w:rPr>
          <w:noProof/>
        </w:rPr>
      </w:pPr>
      <w:r w:rsidRPr="00284A32">
        <w:t>В допълнение към информацията, посочена в параграф 1, субектите за преструктуриране, за които в съответствие с член 11, параграф 3а от Регламент (ЕС) № 575/2013 се прилага на консолидирана основа изискването по член 92а от същия регламент, подават до компетентните органи и органите за преструктуриране следната информация на консолидирана основа:</w:t>
      </w:r>
    </w:p>
    <w:p w14:paraId="4EEC865C" w14:textId="1B2AEEBE" w:rsidR="00911C0D" w:rsidRPr="00284A32" w:rsidRDefault="0097682D" w:rsidP="0097682D">
      <w:pPr>
        <w:pStyle w:val="Point1"/>
        <w:rPr>
          <w:noProof/>
        </w:rPr>
      </w:pPr>
      <w:r>
        <w:t>а)</w:t>
      </w:r>
      <w:r w:rsidRPr="0097682D">
        <w:tab/>
      </w:r>
      <w:r w:rsidR="00911C0D" w:rsidRPr="00284A32">
        <w:t>информацията за основните показатели съгласно посоченото в образец 1, колона 0020 от приложение I към настоящия регламент се докладва на всяко тримесечие в съответствие с указанията в част II, точка 1 от приложение II към настоящия регламент;</w:t>
      </w:r>
    </w:p>
    <w:p w14:paraId="62EB5754" w14:textId="2F2FECDA" w:rsidR="00911C0D" w:rsidRPr="00284A32" w:rsidRDefault="0097682D" w:rsidP="0097682D">
      <w:pPr>
        <w:pStyle w:val="Point1"/>
        <w:rPr>
          <w:noProof/>
        </w:rPr>
      </w:pPr>
      <w:r>
        <w:lastRenderedPageBreak/>
        <w:t>б)</w:t>
      </w:r>
      <w:r w:rsidRPr="0097682D">
        <w:tab/>
      </w:r>
      <w:r w:rsidR="00911C0D" w:rsidRPr="00284A32">
        <w:t>информацията за състава на собствените средства и приемливите задължения съгласно посоченото в образец 2, колони 0020 и 0030 от приложение I към настоящия регламент се докладва на всяко тримесечие в съответствие с указанията в част II, точка 2.1 от приложение II към настоящия регламент.</w:t>
      </w:r>
    </w:p>
    <w:p w14:paraId="79821E88" w14:textId="77777777" w:rsidR="00911C0D" w:rsidRPr="00284A32" w:rsidRDefault="00911C0D" w:rsidP="00911C0D">
      <w:pPr>
        <w:pStyle w:val="Titrearticle"/>
      </w:pPr>
      <w:r w:rsidRPr="00284A32">
        <w:t xml:space="preserve">Член </w:t>
      </w:r>
      <w:r w:rsidR="00C12C7B">
        <w:fldChar w:fldCharType="begin"/>
      </w:r>
      <w:r w:rsidR="00C12C7B">
        <w:instrText xml:space="preserve"> SEQ Figure \* ARABIC </w:instrText>
      </w:r>
      <w:r w:rsidR="00C12C7B">
        <w:fldChar w:fldCharType="separate"/>
      </w:r>
      <w:r w:rsidRPr="00284A32">
        <w:t>5</w:t>
      </w:r>
      <w:r w:rsidR="00C12C7B">
        <w:fldChar w:fldCharType="end"/>
      </w:r>
      <w:r w:rsidRPr="00284A32">
        <w:t xml:space="preserve"> </w:t>
      </w:r>
      <w:r w:rsidRPr="00284A32">
        <w:br/>
        <w:t>Формат и честота на докладването на индивидуална основа от субекти, които сами по себе си не са субекти за преструктуриране, и от значими дъщерни предприятия на глобални системно значими институции извън ЕС</w:t>
      </w:r>
    </w:p>
    <w:p w14:paraId="0FDA52A0" w14:textId="77777777" w:rsidR="00911C0D" w:rsidRPr="00284A32" w:rsidRDefault="00911C0D" w:rsidP="00080A21">
      <w:pPr>
        <w:pStyle w:val="NumPar1"/>
        <w:numPr>
          <w:ilvl w:val="0"/>
          <w:numId w:val="4"/>
        </w:numPr>
        <w:rPr>
          <w:noProof/>
        </w:rPr>
      </w:pPr>
      <w:r w:rsidRPr="00284A32">
        <w:t>Субектите, които сами по себе си не са субекти за преструктуриране и за които в съответствие с член 45е от Директива 2014/59/ЕС се прилагат на индивидуална основа изискванията по член 45 от посочената директива, подават до компетентните органи и органите за преструктуриране следната информация на индивидуална основа:</w:t>
      </w:r>
    </w:p>
    <w:p w14:paraId="45A08A7C" w14:textId="3302E7D0" w:rsidR="00911C0D" w:rsidRPr="00284A32" w:rsidRDefault="0097682D" w:rsidP="0097682D">
      <w:pPr>
        <w:pStyle w:val="Point1"/>
        <w:rPr>
          <w:noProof/>
        </w:rPr>
      </w:pPr>
      <w:r>
        <w:t>а)</w:t>
      </w:r>
      <w:r w:rsidRPr="0097682D">
        <w:tab/>
      </w:r>
      <w:r w:rsidR="00911C0D" w:rsidRPr="00284A32">
        <w:t>информацията за размера и състава на собствените средства и приемливите задължения съгласно посоченото в образец 3, колона 0010 от приложение I към настоящия регламент се докладва на всяко тримесечие в съответствие с указанията в част II, точка 2.2 от приложение II към настоящия регламент;</w:t>
      </w:r>
    </w:p>
    <w:p w14:paraId="3AED8007" w14:textId="0D4B955C" w:rsidR="00911C0D" w:rsidRPr="00284A32" w:rsidRDefault="0097682D" w:rsidP="0097682D">
      <w:pPr>
        <w:pStyle w:val="Point1"/>
        <w:rPr>
          <w:noProof/>
        </w:rPr>
      </w:pPr>
      <w:r>
        <w:t>б)</w:t>
      </w:r>
      <w:r w:rsidRPr="0097682D">
        <w:tab/>
      </w:r>
      <w:r w:rsidR="00911C0D" w:rsidRPr="00284A32">
        <w:t>информацията за структурата на финансиране на приемливите задължения съгласно посоченото в образец 4 от приложение I към настоящия регламент се докладва на всяко тримесечие в съответствие с указанията в част II, точка 2.3 от приложение II към настоящия регламент;</w:t>
      </w:r>
    </w:p>
    <w:p w14:paraId="4455633C" w14:textId="4DA00EEC" w:rsidR="00911C0D" w:rsidRPr="00284A32" w:rsidRDefault="0097682D" w:rsidP="0097682D">
      <w:pPr>
        <w:pStyle w:val="Point1"/>
        <w:rPr>
          <w:noProof/>
        </w:rPr>
      </w:pPr>
      <w:r>
        <w:t>в)</w:t>
      </w:r>
      <w:r w:rsidRPr="0097682D">
        <w:tab/>
      </w:r>
      <w:r w:rsidR="00911C0D" w:rsidRPr="00284A32">
        <w:t>информацията за инструментите, уредени от правото на трета държава, съгласно посоченото в образец 7 от приложение I към настоящия регламент се докладва на всяко тримесечие в съответствие с указанията в част II, точка 4 от приложение II към настоящия регламент.</w:t>
      </w:r>
    </w:p>
    <w:p w14:paraId="1ACCD4B5" w14:textId="77777777" w:rsidR="00911C0D" w:rsidRPr="00284A32" w:rsidRDefault="00911C0D" w:rsidP="00080A21">
      <w:pPr>
        <w:pStyle w:val="NumPar1"/>
        <w:numPr>
          <w:ilvl w:val="0"/>
          <w:numId w:val="4"/>
        </w:numPr>
        <w:rPr>
          <w:noProof/>
        </w:rPr>
      </w:pPr>
      <w:r w:rsidRPr="00284A32">
        <w:t>Субектите, които сами по себе си не са субекти за преструктуриране, подават до компетентните органи и органите за преструктуриране информация за разбивката на собствените средства и задълженията според ранга при несъстоятелност съгласно посоченото в образец 5 от приложение I на индивидуална основа на всяко тримесечие в съответствие с указанията в част II, точка 3.1 от приложение II.</w:t>
      </w:r>
    </w:p>
    <w:p w14:paraId="3F08EA69" w14:textId="77777777" w:rsidR="00911C0D" w:rsidRPr="00284A32" w:rsidRDefault="00911C0D" w:rsidP="00080A21">
      <w:pPr>
        <w:pStyle w:val="NumPar1"/>
        <w:numPr>
          <w:ilvl w:val="0"/>
          <w:numId w:val="4"/>
        </w:numPr>
        <w:rPr>
          <w:noProof/>
        </w:rPr>
      </w:pPr>
      <w:r w:rsidRPr="00284A32">
        <w:t>В допълнение към информацията, посочена в параграфи 1 и 2, субектите, които са значими дъщерни предприятия на глобални системно значими институции (Г-СЗИ) извън ЕС и за които в съответствие с член 6, параграф 1а от Регламент (ЕС) № 575/2013 се прилага на индивидуална основа изискването по член 92б от същия регламент, подават до компетентните органи и органите за преструктуриране информацията за размера и състава на собствените средства и приемливите задължения съгласно посоченото в образец 3, колона 0020 от приложение I към настоящия регламент на индивидуална основа на всяко тримесечие в съответствие с указанията в част II, точка 2.2 от приложение II към настоящия регламент.</w:t>
      </w:r>
    </w:p>
    <w:p w14:paraId="5415A2FF" w14:textId="77777777" w:rsidR="00911C0D" w:rsidRPr="00284A32" w:rsidRDefault="00911C0D" w:rsidP="00911C0D">
      <w:pPr>
        <w:pStyle w:val="Titrearticle"/>
      </w:pPr>
      <w:r w:rsidRPr="00284A32">
        <w:lastRenderedPageBreak/>
        <w:t xml:space="preserve">Член </w:t>
      </w:r>
      <w:r w:rsidR="00C12C7B">
        <w:fldChar w:fldCharType="begin"/>
      </w:r>
      <w:r w:rsidR="00C12C7B">
        <w:instrText xml:space="preserve"> SEQ Figure \* ARABIC </w:instrText>
      </w:r>
      <w:r w:rsidR="00C12C7B">
        <w:fldChar w:fldCharType="separate"/>
      </w:r>
      <w:r w:rsidRPr="00284A32">
        <w:t>6</w:t>
      </w:r>
      <w:r w:rsidR="00C12C7B">
        <w:fldChar w:fldCharType="end"/>
      </w:r>
      <w:r w:rsidRPr="00284A32">
        <w:t xml:space="preserve"> </w:t>
      </w:r>
      <w:r w:rsidRPr="00284A32">
        <w:br/>
        <w:t xml:space="preserve">Формат и честота на докладването на консолидирана основа от субекти, които сами по себе си не са субекти за преструктуриране, и от значими дъщерни предприятия на глобални системно значими институции извън ЕС </w:t>
      </w:r>
    </w:p>
    <w:p w14:paraId="5D1AFD35" w14:textId="77777777" w:rsidR="00911C0D" w:rsidRPr="00284A32" w:rsidRDefault="00911C0D" w:rsidP="00080A21">
      <w:pPr>
        <w:pStyle w:val="NumPar1"/>
        <w:numPr>
          <w:ilvl w:val="0"/>
          <w:numId w:val="5"/>
        </w:numPr>
        <w:rPr>
          <w:noProof/>
        </w:rPr>
      </w:pPr>
      <w:r w:rsidRPr="00284A32">
        <w:t>Субектите, които сами по себе си не са субекти за преструктуриране и за които в съответствие с член 45е от Директива 2014/59/ЕС се прилагат на консолидирана основа изискванията по член 45 от посочената директива, подават до компетентните органи и органите за преструктуриране следната информация на консолидирана основа:</w:t>
      </w:r>
    </w:p>
    <w:p w14:paraId="6F70BBA8" w14:textId="6CCF7399" w:rsidR="00911C0D" w:rsidRPr="00284A32" w:rsidRDefault="0097682D" w:rsidP="0097682D">
      <w:pPr>
        <w:pStyle w:val="Point1"/>
        <w:rPr>
          <w:noProof/>
        </w:rPr>
      </w:pPr>
      <w:r>
        <w:t>а)</w:t>
      </w:r>
      <w:r w:rsidRPr="0097682D">
        <w:tab/>
      </w:r>
      <w:r w:rsidR="00911C0D" w:rsidRPr="00284A32">
        <w:t>информацията за размера и състава на собствените средства и приемливите задължения съгласно посоченото в образец 3, колона 0010 от приложение I към настоящия регламент се докладва на всяко тримесечие в съответствие с указанията в част II, точка 2.2 от приложение II към настоящия регламент;</w:t>
      </w:r>
    </w:p>
    <w:p w14:paraId="52DC2154" w14:textId="2EA4868F" w:rsidR="00911C0D" w:rsidRPr="00284A32" w:rsidRDefault="0097682D" w:rsidP="0097682D">
      <w:pPr>
        <w:pStyle w:val="Point1"/>
        <w:rPr>
          <w:noProof/>
        </w:rPr>
      </w:pPr>
      <w:r>
        <w:t>б)</w:t>
      </w:r>
      <w:r w:rsidRPr="0097682D">
        <w:tab/>
      </w:r>
      <w:r w:rsidR="00911C0D" w:rsidRPr="00284A32">
        <w:t>информацията за структурата на финансиране на приемливите задължения съгласно посоченото в образец 4 от приложение I към настоящия регламент се докладва на всяко тримесечие в съответствие с указанията в част II, точка 2.3 от приложение II към настоящия регламент;</w:t>
      </w:r>
    </w:p>
    <w:p w14:paraId="61F772BF" w14:textId="1DAB9367" w:rsidR="00911C0D" w:rsidRPr="00284A32" w:rsidRDefault="0097682D" w:rsidP="0097682D">
      <w:pPr>
        <w:pStyle w:val="Point1"/>
        <w:rPr>
          <w:noProof/>
        </w:rPr>
      </w:pPr>
      <w:r>
        <w:t>в)</w:t>
      </w:r>
      <w:r w:rsidRPr="0097682D">
        <w:tab/>
      </w:r>
      <w:r w:rsidR="00911C0D" w:rsidRPr="00284A32">
        <w:t>информацията за инструментите, уредени от правото на трета държава, съгласно посоченото в образец 7 от приложение I към настоящия регламент се докладва на всяко тримесечие в съответствие с указанията в част II, точка 4 от приложение II към настоящия регламент.</w:t>
      </w:r>
    </w:p>
    <w:p w14:paraId="6CFA046B" w14:textId="77777777" w:rsidR="00911C0D" w:rsidRPr="00284A32" w:rsidRDefault="00911C0D" w:rsidP="00080A21">
      <w:pPr>
        <w:pStyle w:val="NumPar1"/>
        <w:numPr>
          <w:ilvl w:val="0"/>
          <w:numId w:val="5"/>
        </w:numPr>
        <w:rPr>
          <w:noProof/>
        </w:rPr>
      </w:pPr>
      <w:r w:rsidRPr="00284A32">
        <w:t>В допълнение към информацията, посочена в параграф 1, субектите, които са значими дъщерни предприятия на Г-СЗИ извън ЕС и за които в съответствие с член 11, параграф 3а от Регламент (ЕС) № 575/2013 се прилага на консолидирана основа изискването по член 92б от същия регламент, подават до компетентните органи и органите за преструктуриране информацията за размера и състава на собствените средства и приемливите задължения съгласно посоченото в образец 3, колона 0020 от приложение I към настоящия регламент на консолидирана основа на всяко тримесечие в съответствие с указанията в част II, точка 2.2 от приложение II към настоящия регламент.</w:t>
      </w:r>
    </w:p>
    <w:p w14:paraId="4E886073" w14:textId="77777777" w:rsidR="00911C0D" w:rsidRPr="00284A32" w:rsidRDefault="00911C0D" w:rsidP="00146633">
      <w:pPr>
        <w:pStyle w:val="Titrearticle"/>
        <w:rPr>
          <w:i w:val="0"/>
        </w:rPr>
      </w:pPr>
      <w:r w:rsidRPr="00284A32">
        <w:t xml:space="preserve">Член </w:t>
      </w:r>
      <w:r w:rsidR="00C12C7B">
        <w:fldChar w:fldCharType="begin"/>
      </w:r>
      <w:r w:rsidR="00C12C7B">
        <w:instrText xml:space="preserve"> SEQ Figure \* ARABIC </w:instrText>
      </w:r>
      <w:r w:rsidR="00C12C7B">
        <w:fldChar w:fldCharType="separate"/>
      </w:r>
      <w:r w:rsidRPr="00284A32">
        <w:t>7</w:t>
      </w:r>
      <w:r w:rsidR="00C12C7B">
        <w:fldChar w:fldCharType="end"/>
      </w:r>
      <w:r w:rsidRPr="00284A32">
        <w:t xml:space="preserve"> </w:t>
      </w:r>
      <w:r w:rsidRPr="00284A32">
        <w:br/>
        <w:t>Формати за обмен на данни и информация, свързана с подаването</w:t>
      </w:r>
    </w:p>
    <w:p w14:paraId="60E9050D" w14:textId="77777777" w:rsidR="00911C0D" w:rsidRPr="00284A32" w:rsidRDefault="00911C0D" w:rsidP="00080A21">
      <w:pPr>
        <w:pStyle w:val="NumPar1"/>
        <w:numPr>
          <w:ilvl w:val="0"/>
          <w:numId w:val="6"/>
        </w:numPr>
        <w:rPr>
          <w:noProof/>
        </w:rPr>
      </w:pPr>
      <w:r w:rsidRPr="00284A32">
        <w:t>Докладващите субекти подават информацията съгласно настоящия регламент във форматите за обмен на данни и начините на представяне, посочени от съответните им компетентни органи или органи за преструктуриране, и съобразно определенията за данните от информационния модел и правилата за утвърждаване, предвидени в приложение III към настоящия регламент.</w:t>
      </w:r>
    </w:p>
    <w:p w14:paraId="6673A56D" w14:textId="77777777" w:rsidR="00911C0D" w:rsidRPr="00284A32" w:rsidRDefault="00911C0D" w:rsidP="00080A21">
      <w:pPr>
        <w:pStyle w:val="NumPar1"/>
        <w:numPr>
          <w:ilvl w:val="0"/>
          <w:numId w:val="5"/>
        </w:numPr>
        <w:rPr>
          <w:noProof/>
        </w:rPr>
      </w:pPr>
      <w:r w:rsidRPr="00284A32">
        <w:t>Когато подават информацията съгласно настоящия регламент, докладващите субекти съблюдават следното:</w:t>
      </w:r>
    </w:p>
    <w:p w14:paraId="7D9E4167" w14:textId="39A7D247" w:rsidR="00911C0D" w:rsidRPr="00284A32" w:rsidRDefault="0097682D" w:rsidP="0097682D">
      <w:pPr>
        <w:pStyle w:val="Point1"/>
        <w:rPr>
          <w:noProof/>
        </w:rPr>
      </w:pPr>
      <w:r>
        <w:t>а)</w:t>
      </w:r>
      <w:r w:rsidRPr="0097682D">
        <w:tab/>
      </w:r>
      <w:r w:rsidR="00911C0D" w:rsidRPr="00284A32">
        <w:t xml:space="preserve">в подадените данни не се включва информация, която не е изискана или не е приложима; </w:t>
      </w:r>
    </w:p>
    <w:p w14:paraId="3B400175" w14:textId="4717EE63" w:rsidR="00911C0D" w:rsidRPr="00284A32" w:rsidRDefault="0097682D" w:rsidP="0097682D">
      <w:pPr>
        <w:pStyle w:val="Point1"/>
        <w:rPr>
          <w:noProof/>
        </w:rPr>
      </w:pPr>
      <w:r>
        <w:t>б)</w:t>
      </w:r>
      <w:r w:rsidRPr="0097682D">
        <w:tab/>
      </w:r>
      <w:r w:rsidR="00911C0D" w:rsidRPr="00284A32">
        <w:t>числените стойности се подават, както следва:</w:t>
      </w:r>
    </w:p>
    <w:p w14:paraId="2184B4DB" w14:textId="77777777" w:rsidR="00911C0D" w:rsidRPr="00284A32" w:rsidRDefault="00911C0D" w:rsidP="00146633">
      <w:pPr>
        <w:pStyle w:val="Point2"/>
      </w:pPr>
      <w:r w:rsidRPr="00284A32">
        <w:lastRenderedPageBreak/>
        <w:t>i)</w:t>
      </w:r>
      <w:r w:rsidRPr="00284A32">
        <w:tab/>
        <w:t xml:space="preserve">данните от тип „паричен“ се отчитат с минимална точност до хиляди единици; </w:t>
      </w:r>
    </w:p>
    <w:p w14:paraId="7B1AF6BE" w14:textId="77777777" w:rsidR="00911C0D" w:rsidRPr="00284A32" w:rsidRDefault="00911C0D" w:rsidP="00146633">
      <w:pPr>
        <w:pStyle w:val="Point2"/>
      </w:pPr>
      <w:r w:rsidRPr="00284A32">
        <w:t>ii)</w:t>
      </w:r>
      <w:r w:rsidRPr="00284A32">
        <w:tab/>
        <w:t xml:space="preserve">данните от тип „процент“ се представят за единица с минимална точност до четири десетични знака; </w:t>
      </w:r>
    </w:p>
    <w:p w14:paraId="5478D846" w14:textId="77777777" w:rsidR="00911C0D" w:rsidRPr="00284A32" w:rsidRDefault="00911C0D" w:rsidP="00146633">
      <w:pPr>
        <w:pStyle w:val="Point2"/>
      </w:pPr>
      <w:r w:rsidRPr="00284A32">
        <w:t>iii)</w:t>
      </w:r>
      <w:r w:rsidRPr="00284A32">
        <w:tab/>
        <w:t>данните от тип „цяло число“ се докладват като цели числа с точност до съответната единица;</w:t>
      </w:r>
    </w:p>
    <w:p w14:paraId="3B0DDC02" w14:textId="7117D7D3" w:rsidR="00911C0D" w:rsidRPr="00284A32" w:rsidRDefault="0097682D" w:rsidP="0097682D">
      <w:pPr>
        <w:pStyle w:val="Point1"/>
        <w:rPr>
          <w:noProof/>
        </w:rPr>
      </w:pPr>
      <w:r>
        <w:t>в)</w:t>
      </w:r>
      <w:r w:rsidRPr="0097682D">
        <w:tab/>
      </w:r>
      <w:r w:rsidR="00911C0D" w:rsidRPr="00284A32">
        <w:t>институциите се посочват единствено чрез техния идентификационен код на правния субект (ИКПС). Правните субекти и контрагентите, различни от институции, се посочват чрез техния ИКПС, ако има такъв.</w:t>
      </w:r>
    </w:p>
    <w:p w14:paraId="1DBE05C1" w14:textId="77777777" w:rsidR="00911C0D" w:rsidRPr="00284A32" w:rsidRDefault="00911C0D" w:rsidP="00080A21">
      <w:pPr>
        <w:pStyle w:val="NumPar1"/>
        <w:numPr>
          <w:ilvl w:val="0"/>
          <w:numId w:val="5"/>
        </w:numPr>
        <w:rPr>
          <w:noProof/>
        </w:rPr>
      </w:pPr>
      <w:r w:rsidRPr="00284A32">
        <w:t>Информацията, подадена от докладващите субекти в съответствие с настоящия регламент, се придружава от следната информация:</w:t>
      </w:r>
    </w:p>
    <w:p w14:paraId="1DEF8C77" w14:textId="7C9D8F3F" w:rsidR="00911C0D" w:rsidRPr="00284A32" w:rsidRDefault="0097682D" w:rsidP="0097682D">
      <w:pPr>
        <w:pStyle w:val="Point1"/>
        <w:rPr>
          <w:noProof/>
        </w:rPr>
      </w:pPr>
      <w:r>
        <w:t>а)</w:t>
      </w:r>
      <w:r w:rsidRPr="0097682D">
        <w:tab/>
      </w:r>
      <w:r w:rsidR="00911C0D" w:rsidRPr="00284A32">
        <w:t>референтна дата и референтен период на докладване;</w:t>
      </w:r>
    </w:p>
    <w:p w14:paraId="09EC726C" w14:textId="21AA5F17" w:rsidR="00911C0D" w:rsidRPr="00284A32" w:rsidRDefault="0097682D" w:rsidP="0097682D">
      <w:pPr>
        <w:pStyle w:val="Point1"/>
        <w:rPr>
          <w:noProof/>
        </w:rPr>
      </w:pPr>
      <w:r>
        <w:t>б)</w:t>
      </w:r>
      <w:r w:rsidRPr="0097682D">
        <w:tab/>
      </w:r>
      <w:r w:rsidR="00911C0D" w:rsidRPr="00284A32">
        <w:t>отчетна парична единица;</w:t>
      </w:r>
    </w:p>
    <w:p w14:paraId="4EEE4DC2" w14:textId="6D44A6FD" w:rsidR="00911C0D" w:rsidRPr="00284A32" w:rsidRDefault="0097682D" w:rsidP="0097682D">
      <w:pPr>
        <w:pStyle w:val="Point1"/>
        <w:rPr>
          <w:noProof/>
        </w:rPr>
      </w:pPr>
      <w:r>
        <w:t>в)</w:t>
      </w:r>
      <w:r w:rsidRPr="0097682D">
        <w:tab/>
      </w:r>
      <w:r w:rsidR="00911C0D" w:rsidRPr="00284A32">
        <w:t>счетоводен стандарт;</w:t>
      </w:r>
    </w:p>
    <w:p w14:paraId="2729F1FB" w14:textId="5C733CDE" w:rsidR="00911C0D" w:rsidRPr="00284A32" w:rsidRDefault="0097682D" w:rsidP="0097682D">
      <w:pPr>
        <w:pStyle w:val="Point1"/>
        <w:rPr>
          <w:noProof/>
        </w:rPr>
      </w:pPr>
      <w:r>
        <w:t>г)</w:t>
      </w:r>
      <w:r w:rsidRPr="0097682D">
        <w:tab/>
      </w:r>
      <w:r w:rsidR="00911C0D" w:rsidRPr="00284A32">
        <w:t>ИКПС на докладващата институция;</w:t>
      </w:r>
    </w:p>
    <w:p w14:paraId="0F34F03F" w14:textId="43427640" w:rsidR="00911C0D" w:rsidRPr="00284A32" w:rsidRDefault="0097682D" w:rsidP="0097682D">
      <w:pPr>
        <w:pStyle w:val="Point1"/>
        <w:rPr>
          <w:noProof/>
        </w:rPr>
      </w:pPr>
      <w:r>
        <w:t>д)</w:t>
      </w:r>
      <w:r w:rsidRPr="0097682D">
        <w:tab/>
      </w:r>
      <w:r w:rsidR="00911C0D" w:rsidRPr="00284A32">
        <w:tab/>
        <w:t>обхват на консолидацията.</w:t>
      </w:r>
    </w:p>
    <w:p w14:paraId="7CF14DFD" w14:textId="77777777" w:rsidR="00911C0D" w:rsidRPr="00284A32" w:rsidRDefault="00911C0D" w:rsidP="00911C0D">
      <w:pPr>
        <w:pStyle w:val="Titrearticle"/>
      </w:pPr>
      <w:r w:rsidRPr="00284A32">
        <w:t xml:space="preserve">Член </w:t>
      </w:r>
      <w:r w:rsidR="00C12C7B">
        <w:fldChar w:fldCharType="begin"/>
      </w:r>
      <w:r w:rsidR="00C12C7B">
        <w:instrText xml:space="preserve"> SEQ Figure \* ARABIC </w:instrText>
      </w:r>
      <w:r w:rsidR="00C12C7B">
        <w:fldChar w:fldCharType="separate"/>
      </w:r>
      <w:r w:rsidRPr="00284A32">
        <w:t>8</w:t>
      </w:r>
      <w:r w:rsidR="00C12C7B">
        <w:fldChar w:fldCharType="end"/>
      </w:r>
      <w:r w:rsidRPr="00284A32">
        <w:t xml:space="preserve"> </w:t>
      </w:r>
      <w:r w:rsidRPr="00284A32">
        <w:br/>
        <w:t>Стандартизирано представяне на йерархията при несъстоятелност</w:t>
      </w:r>
    </w:p>
    <w:p w14:paraId="5049F073" w14:textId="77777777" w:rsidR="00911C0D" w:rsidRPr="00284A32" w:rsidRDefault="00911C0D" w:rsidP="00C12C7B">
      <w:pPr>
        <w:pStyle w:val="NumPar1"/>
        <w:numPr>
          <w:ilvl w:val="0"/>
          <w:numId w:val="11"/>
        </w:numPr>
        <w:rPr>
          <w:noProof/>
        </w:rPr>
      </w:pPr>
      <w:r w:rsidRPr="00284A32">
        <w:t>Органите за преструктуриране събират информация за йерархията на позициите в националните си производства по несъстоятелност в стандартизирания формат, определен в приложение IV. При настъпването на промени те актуализират своевременно тази информация.</w:t>
      </w:r>
    </w:p>
    <w:p w14:paraId="3F9A4A43" w14:textId="77777777" w:rsidR="00911C0D" w:rsidRPr="00284A32" w:rsidRDefault="00911C0D" w:rsidP="00C12C7B">
      <w:pPr>
        <w:pStyle w:val="NumPar1"/>
        <w:numPr>
          <w:ilvl w:val="0"/>
          <w:numId w:val="11"/>
        </w:numPr>
        <w:rPr>
          <w:noProof/>
        </w:rPr>
      </w:pPr>
      <w:r w:rsidRPr="00284A32">
        <w:t>Органите за преструктуриране публикуват посочената в параграф 1 информация, за да осигурят на поднадзорните си институции достъп до нея.</w:t>
      </w:r>
    </w:p>
    <w:p w14:paraId="1D1FC80E" w14:textId="77777777" w:rsidR="00911C0D" w:rsidRPr="00284A32" w:rsidRDefault="00911C0D" w:rsidP="00911C0D">
      <w:pPr>
        <w:pStyle w:val="SectionTitle"/>
        <w:rPr>
          <w:b w:val="0"/>
          <w:i/>
        </w:rPr>
      </w:pPr>
      <w:r w:rsidRPr="00284A32">
        <w:rPr>
          <w:b w:val="0"/>
          <w:i/>
        </w:rPr>
        <w:t>ДЯЛ II</w:t>
      </w:r>
      <w:r w:rsidRPr="00284A32">
        <w:t xml:space="preserve"> </w:t>
      </w:r>
      <w:r w:rsidRPr="00284A32">
        <w:br/>
      </w:r>
      <w:r w:rsidRPr="00284A32">
        <w:rPr>
          <w:b w:val="0"/>
          <w:i/>
        </w:rPr>
        <w:t>ПУБЛИЧНО ОПОВЕСТЯВАНЕ ОТ СТРАНА НА ИНСТИТУЦИИТЕ</w:t>
      </w:r>
    </w:p>
    <w:p w14:paraId="674A8126" w14:textId="77777777" w:rsidR="00911C0D" w:rsidRPr="00284A32" w:rsidRDefault="00911C0D" w:rsidP="00911C0D">
      <w:pPr>
        <w:pStyle w:val="Titrearticle"/>
      </w:pPr>
      <w:r w:rsidRPr="00284A32">
        <w:t xml:space="preserve">Член </w:t>
      </w:r>
      <w:r w:rsidR="00C12C7B">
        <w:fldChar w:fldCharType="begin"/>
      </w:r>
      <w:r w:rsidR="00C12C7B">
        <w:instrText xml:space="preserve"> SEQ Figure \* ARABIC </w:instrText>
      </w:r>
      <w:r w:rsidR="00C12C7B">
        <w:fldChar w:fldCharType="separate"/>
      </w:r>
      <w:r w:rsidRPr="00284A32">
        <w:t>9</w:t>
      </w:r>
      <w:r w:rsidR="00C12C7B">
        <w:fldChar w:fldCharType="end"/>
      </w:r>
      <w:r w:rsidRPr="00284A32">
        <w:t xml:space="preserve"> </w:t>
      </w:r>
      <w:r w:rsidRPr="00284A32">
        <w:br/>
        <w:t>Честота и дати на оповестяване</w:t>
      </w:r>
    </w:p>
    <w:p w14:paraId="30497442" w14:textId="1688CF64" w:rsidR="00911C0D" w:rsidRPr="00284A32" w:rsidRDefault="00911C0D" w:rsidP="00C12C7B">
      <w:pPr>
        <w:pStyle w:val="NumPar1"/>
        <w:numPr>
          <w:ilvl w:val="0"/>
          <w:numId w:val="12"/>
        </w:numPr>
        <w:rPr>
          <w:noProof/>
        </w:rPr>
      </w:pPr>
      <w:r w:rsidRPr="00284A32">
        <w:t>Посочените в член 10, параграф 1 оповестявания се извършват на всяко тримесечие. Посочените в член 10, параграф 2 оповестявания се извършват на всеки шест месеца.</w:t>
      </w:r>
    </w:p>
    <w:p w14:paraId="0CFDDF92" w14:textId="77777777" w:rsidR="00911C0D" w:rsidRPr="00284A32" w:rsidRDefault="00911C0D" w:rsidP="00146633">
      <w:pPr>
        <w:pStyle w:val="NumPar1"/>
        <w:rPr>
          <w:noProof/>
        </w:rPr>
      </w:pPr>
      <w:r w:rsidRPr="00284A32">
        <w:t>Посочените в член 11, параграф 1 и член 14, параграф 1 оповестявания се извършват на всеки шест месеца. Посочените в член 11, параграф 2 и член 14, параграф 2 оповестявания се извършват веднъж годишно.</w:t>
      </w:r>
    </w:p>
    <w:p w14:paraId="0276A47B" w14:textId="59C6BE0E" w:rsidR="00911C0D" w:rsidRPr="00284A32" w:rsidRDefault="00911C0D" w:rsidP="00146633">
      <w:pPr>
        <w:pStyle w:val="NumPar1"/>
        <w:rPr>
          <w:noProof/>
        </w:rPr>
      </w:pPr>
      <w:r w:rsidRPr="00284A32">
        <w:t>Посочените в член 12, параграф 1 оповестявания се извършват на всяко тримесечие. Посочените в член 12, параграф 2 оповестявания се извършват на всеки шест месеца.</w:t>
      </w:r>
    </w:p>
    <w:p w14:paraId="1C90BE41" w14:textId="77777777" w:rsidR="00911C0D" w:rsidRPr="00284A32" w:rsidRDefault="00911C0D" w:rsidP="00146633">
      <w:pPr>
        <w:pStyle w:val="NumPar1"/>
        <w:rPr>
          <w:noProof/>
        </w:rPr>
      </w:pPr>
      <w:r w:rsidRPr="00284A32">
        <w:t>Посочените в член 13, параграф 1 оповестявания се извършват на всеки шест месеца. Посочените в член 13, параграф 2 оповестявания се извършват веднъж годишно.</w:t>
      </w:r>
    </w:p>
    <w:p w14:paraId="77DF8699" w14:textId="77777777" w:rsidR="00911C0D" w:rsidRPr="00284A32" w:rsidRDefault="00911C0D" w:rsidP="00146633">
      <w:pPr>
        <w:pStyle w:val="NumPar1"/>
        <w:rPr>
          <w:noProof/>
        </w:rPr>
      </w:pPr>
      <w:r w:rsidRPr="00284A32">
        <w:lastRenderedPageBreak/>
        <w:t>Посочените в член 15 оповестявания се извършват, както следва:</w:t>
      </w:r>
    </w:p>
    <w:p w14:paraId="553B9B42" w14:textId="5ABE7B6A" w:rsidR="00911C0D" w:rsidRPr="00284A32" w:rsidRDefault="0097682D" w:rsidP="0097682D">
      <w:pPr>
        <w:pStyle w:val="Point1"/>
        <w:rPr>
          <w:noProof/>
        </w:rPr>
      </w:pPr>
      <w:r>
        <w:t>а)</w:t>
      </w:r>
      <w:r w:rsidRPr="0097682D">
        <w:tab/>
      </w:r>
      <w:r w:rsidR="00911C0D" w:rsidRPr="00284A32">
        <w:t>на всеки шест месеца, когато оповестяващият субект е голяма институция;</w:t>
      </w:r>
    </w:p>
    <w:p w14:paraId="6AC02098" w14:textId="5D06D00E" w:rsidR="00911C0D" w:rsidRPr="00284A32" w:rsidRDefault="0097682D" w:rsidP="0097682D">
      <w:pPr>
        <w:pStyle w:val="Point1"/>
        <w:rPr>
          <w:noProof/>
        </w:rPr>
      </w:pPr>
      <w:r>
        <w:t>б)</w:t>
      </w:r>
      <w:r w:rsidRPr="0097682D">
        <w:tab/>
      </w:r>
      <w:r w:rsidR="00146633" w:rsidRPr="00284A32">
        <w:t xml:space="preserve">веднъж годишно, когато оповестяващият субект не е нито голяма институция, нито малка и несложна институция. </w:t>
      </w:r>
    </w:p>
    <w:p w14:paraId="67AF5D74" w14:textId="77777777" w:rsidR="00911C0D" w:rsidRPr="00284A32" w:rsidRDefault="00911C0D" w:rsidP="00911C0D">
      <w:pPr>
        <w:pStyle w:val="Point0"/>
        <w:rPr>
          <w:noProof/>
        </w:rPr>
      </w:pPr>
      <w:r w:rsidRPr="00284A32">
        <w:t>6.</w:t>
      </w:r>
      <w:r w:rsidRPr="00284A32">
        <w:tab/>
        <w:t>За целите на публичното оповестяване оповестяващите информация субекти спазват следното:</w:t>
      </w:r>
    </w:p>
    <w:p w14:paraId="4DA11D1B" w14:textId="63D4CEF7" w:rsidR="00911C0D" w:rsidRPr="00284A32" w:rsidRDefault="0097682D" w:rsidP="0097682D">
      <w:pPr>
        <w:pStyle w:val="Point1"/>
        <w:rPr>
          <w:noProof/>
        </w:rPr>
      </w:pPr>
      <w:r>
        <w:t>а)</w:t>
      </w:r>
      <w:r w:rsidRPr="0097682D">
        <w:tab/>
      </w:r>
      <w:r w:rsidR="00911C0D" w:rsidRPr="00284A32">
        <w:t xml:space="preserve">оповестяваната ежегодно информация се публикува на датата, на която институциите публикуват своите финансови отчети или възможно най-скоро след това; </w:t>
      </w:r>
    </w:p>
    <w:p w14:paraId="38E67937" w14:textId="1339B9B7" w:rsidR="00911C0D" w:rsidRPr="00284A32" w:rsidRDefault="0097682D" w:rsidP="0097682D">
      <w:pPr>
        <w:pStyle w:val="Point1"/>
        <w:rPr>
          <w:noProof/>
        </w:rPr>
      </w:pPr>
      <w:r>
        <w:t>б)</w:t>
      </w:r>
      <w:r w:rsidRPr="0097682D">
        <w:tab/>
      </w:r>
      <w:r w:rsidR="00911C0D" w:rsidRPr="00284A32">
        <w:t xml:space="preserve">информацията, която се оповестява на шест и три месеца, се публикува на датата, на която институциите публикуват своите финансови отчети за съответния период според случая или възможно най-скоро след това; </w:t>
      </w:r>
    </w:p>
    <w:p w14:paraId="7CC4F5BD" w14:textId="2A3A8D32" w:rsidR="00911C0D" w:rsidRPr="00284A32" w:rsidRDefault="0097682D" w:rsidP="0097682D">
      <w:pPr>
        <w:pStyle w:val="Point1"/>
        <w:rPr>
          <w:noProof/>
        </w:rPr>
      </w:pPr>
      <w:r>
        <w:t>в)</w:t>
      </w:r>
      <w:r w:rsidRPr="0097682D">
        <w:tab/>
      </w:r>
      <w:r w:rsidR="00911C0D" w:rsidRPr="00284A32">
        <w:t>евентуално забавяне на датата на публикуване на информацията, чието оповестяване се изисква съгласно настоящия дял, спрямо съответните финансови отчети е в разумни граници и при всички случаи не надвишава срока, определен от компетентните органи съгласно член 106 от Директива 2013/36/ЕС на Европейския парламент и на Съвета</w:t>
      </w:r>
      <w:r w:rsidR="00911C0D" w:rsidRPr="00284A32">
        <w:rPr>
          <w:rStyle w:val="FootnoteReference"/>
          <w:noProof/>
        </w:rPr>
        <w:footnoteReference w:id="6"/>
      </w:r>
      <w:r w:rsidR="00911C0D" w:rsidRPr="00284A32">
        <w:t>.</w:t>
      </w:r>
    </w:p>
    <w:p w14:paraId="2B144DCB" w14:textId="77777777" w:rsidR="00911C0D" w:rsidRPr="00284A32" w:rsidRDefault="00911C0D" w:rsidP="00911C0D">
      <w:pPr>
        <w:pStyle w:val="Titrearticle"/>
      </w:pPr>
      <w:bookmarkStart w:id="1" w:name="_Ref21085297"/>
      <w:r w:rsidRPr="00284A32">
        <w:t xml:space="preserve">Член </w:t>
      </w:r>
      <w:r w:rsidR="00C12C7B">
        <w:fldChar w:fldCharType="begin"/>
      </w:r>
      <w:r w:rsidR="00C12C7B">
        <w:instrText xml:space="preserve"> SEQ Figure \* ARABIC </w:instrText>
      </w:r>
      <w:r w:rsidR="00C12C7B">
        <w:fldChar w:fldCharType="separate"/>
      </w:r>
      <w:r w:rsidRPr="00284A32">
        <w:t>10</w:t>
      </w:r>
      <w:r w:rsidR="00C12C7B">
        <w:fldChar w:fldCharType="end"/>
      </w:r>
      <w:bookmarkEnd w:id="1"/>
      <w:r w:rsidRPr="00284A32">
        <w:t xml:space="preserve"> </w:t>
      </w:r>
      <w:r w:rsidRPr="00284A32">
        <w:br/>
        <w:t>Оповестяване от субектите за преструктуриран на основните показатели за собствените средства и приемливите задължения и на изискванията за собствените средства и приемливите задължения</w:t>
      </w:r>
    </w:p>
    <w:p w14:paraId="44F94195" w14:textId="77777777" w:rsidR="00911C0D" w:rsidRPr="00284A32" w:rsidRDefault="00911C0D" w:rsidP="00C12C7B">
      <w:pPr>
        <w:pStyle w:val="NumPar1"/>
        <w:numPr>
          <w:ilvl w:val="0"/>
          <w:numId w:val="10"/>
        </w:numPr>
        <w:rPr>
          <w:noProof/>
        </w:rPr>
      </w:pPr>
      <w:r w:rsidRPr="00284A32">
        <w:t xml:space="preserve">Субектите, определени като субекти за преструктуриране, които са Г-СЗИ или част от Г-СЗИ, оповестяват информацията, изисквана по член 447, буква з) от Регламент (ЕС) № 575/2013 и член 45и, параграф 3, букви а) и в) от Директива 2014/59/ЕС, съгласно образец EU KM2 от приложение V към настоящия регламент и в съответствие с указанията в приложение VI към настоящия регламент. </w:t>
      </w:r>
    </w:p>
    <w:p w14:paraId="2955CCFE" w14:textId="77777777" w:rsidR="00911C0D" w:rsidRPr="00284A32" w:rsidRDefault="00911C0D" w:rsidP="00C12C7B">
      <w:pPr>
        <w:pStyle w:val="NumPar1"/>
        <w:numPr>
          <w:ilvl w:val="0"/>
          <w:numId w:val="10"/>
        </w:numPr>
        <w:rPr>
          <w:noProof/>
        </w:rPr>
      </w:pPr>
      <w:r w:rsidRPr="00284A32">
        <w:t>Субектите, определени като субекти за преструктуриране, които не са Г-СЗИ или част от Г-СЗИ, оповестяват информацията, изисквана по член 45и, параграф 3, букви а) и в) от Директива 2014/59/ЕС, съгласно образец EU KM2 от приложение V към настоящия регламент и в съответствие с указанията в приложение VI към настоящия регламент.</w:t>
      </w:r>
    </w:p>
    <w:p w14:paraId="5BA5FA46" w14:textId="77777777" w:rsidR="00911C0D" w:rsidRPr="00284A32" w:rsidRDefault="00911C0D" w:rsidP="00911C0D">
      <w:pPr>
        <w:pStyle w:val="Titrearticle"/>
      </w:pPr>
      <w:bookmarkStart w:id="2" w:name="_Ref21450145"/>
      <w:r w:rsidRPr="00284A32">
        <w:t xml:space="preserve">Член </w:t>
      </w:r>
      <w:r w:rsidR="00C12C7B">
        <w:fldChar w:fldCharType="begin"/>
      </w:r>
      <w:r w:rsidR="00C12C7B">
        <w:instrText xml:space="preserve"> SEQ Figure \* ARABIC </w:instrText>
      </w:r>
      <w:r w:rsidR="00C12C7B">
        <w:fldChar w:fldCharType="separate"/>
      </w:r>
      <w:r w:rsidRPr="00284A32">
        <w:t>11</w:t>
      </w:r>
      <w:r w:rsidR="00C12C7B">
        <w:fldChar w:fldCharType="end"/>
      </w:r>
      <w:bookmarkEnd w:id="2"/>
      <w:r w:rsidRPr="00284A32">
        <w:t xml:space="preserve"> </w:t>
      </w:r>
      <w:r w:rsidRPr="00284A32">
        <w:br/>
        <w:t>Оповестяване от субектите за преструктуриране на състава на собствените средства и приемливите задължения</w:t>
      </w:r>
    </w:p>
    <w:p w14:paraId="097F2CA5" w14:textId="77777777" w:rsidR="00911C0D" w:rsidRPr="00284A32" w:rsidRDefault="00911C0D" w:rsidP="00C12C7B">
      <w:pPr>
        <w:pStyle w:val="NumPar1"/>
        <w:numPr>
          <w:ilvl w:val="0"/>
          <w:numId w:val="9"/>
        </w:numPr>
        <w:rPr>
          <w:noProof/>
        </w:rPr>
      </w:pPr>
      <w:r w:rsidRPr="00284A32">
        <w:t xml:space="preserve">Субектите, определени като субекти за преструктуриране, които са Г-СЗИ или част от Г-СЗИ, оповестяват информацията, изисквана по член 437а, букви а), в) и г) от Регламент (ЕС) № 575/2013, както и състава на собствените средства и приемливите задължения, изискан по член 45и, параграф 3, буква б) от </w:t>
      </w:r>
      <w:r w:rsidRPr="00284A32">
        <w:lastRenderedPageBreak/>
        <w:t>Директива 2014/59/ЕС, съгласно образец EU TLAC1 от приложение V към настоящия регламент и в съответствие с указанията в приложение VI към настоящия регламент.</w:t>
      </w:r>
    </w:p>
    <w:p w14:paraId="6EE067EB" w14:textId="77777777" w:rsidR="00911C0D" w:rsidRPr="00284A32" w:rsidRDefault="00911C0D" w:rsidP="00C12C7B">
      <w:pPr>
        <w:pStyle w:val="NumPar1"/>
        <w:numPr>
          <w:ilvl w:val="0"/>
          <w:numId w:val="9"/>
        </w:numPr>
        <w:rPr>
          <w:noProof/>
        </w:rPr>
      </w:pPr>
      <w:r w:rsidRPr="00284A32">
        <w:t>Субектите, определени като субекти за преструктуриране, които не са Г-СЗИ или част от Г-СЗИ, оповестяват състава на собствените средства и приемливите задължения, изискан по член 45и, параграф 3, буква б) от Директива 2014/59/ЕС, съгласно образец EU TLAC1 от приложение V към настоящия регламент и в съответствие с указанията в приложение VI към настоящия регламент.</w:t>
      </w:r>
    </w:p>
    <w:p w14:paraId="31FF8221" w14:textId="77777777" w:rsidR="00911C0D" w:rsidRPr="00284A32" w:rsidRDefault="00911C0D" w:rsidP="00911C0D">
      <w:pPr>
        <w:pStyle w:val="Titrearticle"/>
      </w:pPr>
      <w:bookmarkStart w:id="3" w:name="_Ref21087987"/>
      <w:r w:rsidRPr="00284A32">
        <w:t xml:space="preserve">Член </w:t>
      </w:r>
      <w:r w:rsidR="00C12C7B">
        <w:fldChar w:fldCharType="begin"/>
      </w:r>
      <w:r w:rsidR="00C12C7B">
        <w:instrText xml:space="preserve"> SEQ Figure \* ARABIC </w:instrText>
      </w:r>
      <w:r w:rsidR="00C12C7B">
        <w:fldChar w:fldCharType="separate"/>
      </w:r>
      <w:r w:rsidRPr="00284A32">
        <w:t>12</w:t>
      </w:r>
      <w:r w:rsidR="00C12C7B">
        <w:fldChar w:fldCharType="end"/>
      </w:r>
      <w:bookmarkEnd w:id="3"/>
      <w:r w:rsidRPr="00284A32">
        <w:t xml:space="preserve"> </w:t>
      </w:r>
      <w:r w:rsidRPr="00284A32">
        <w:br/>
        <w:t>Оповестяване на основните показатели и вътрешния капацитет за поемане на загуби от субекти, които сами по себе си не са субекти за преструктуриране</w:t>
      </w:r>
    </w:p>
    <w:p w14:paraId="32300B39" w14:textId="77777777" w:rsidR="00911C0D" w:rsidRPr="00284A32" w:rsidRDefault="00911C0D" w:rsidP="00C12C7B">
      <w:pPr>
        <w:pStyle w:val="NumPar1"/>
        <w:numPr>
          <w:ilvl w:val="0"/>
          <w:numId w:val="8"/>
        </w:numPr>
        <w:rPr>
          <w:noProof/>
        </w:rPr>
      </w:pPr>
      <w:r w:rsidRPr="00284A32">
        <w:t>Субектите, които са значими дъщерни предприятия на Г-СЗИ извън ЕС и които сами по себе си не са субекти за преструктуриране, оповестяват следната информация съгласно образец ЕС ILAC от приложение V към настоящия регламент и в съответствие с указанията в приложение VI към настоящия регламент:</w:t>
      </w:r>
    </w:p>
    <w:p w14:paraId="782B5E5F" w14:textId="499D8ECC" w:rsidR="00911C0D" w:rsidRPr="00284A32" w:rsidRDefault="0097682D" w:rsidP="0097682D">
      <w:pPr>
        <w:pStyle w:val="Point1"/>
        <w:rPr>
          <w:noProof/>
        </w:rPr>
      </w:pPr>
      <w:r>
        <w:t>а)</w:t>
      </w:r>
      <w:r w:rsidRPr="0097682D">
        <w:tab/>
      </w:r>
      <w:r w:rsidR="00911C0D" w:rsidRPr="00284A32">
        <w:t>оповестяванията, изисквани в съответствие с член 437а, букви а), в) и г) от Регламент (ЕС) № 575/2013;</w:t>
      </w:r>
    </w:p>
    <w:p w14:paraId="32D06C75" w14:textId="7C245BCA" w:rsidR="00911C0D" w:rsidRPr="00284A32" w:rsidRDefault="0097682D" w:rsidP="0097682D">
      <w:pPr>
        <w:pStyle w:val="Point1"/>
        <w:rPr>
          <w:noProof/>
        </w:rPr>
      </w:pPr>
      <w:r>
        <w:t>б)</w:t>
      </w:r>
      <w:r w:rsidRPr="0097682D">
        <w:tab/>
      </w:r>
      <w:r w:rsidR="00911C0D" w:rsidRPr="00284A32">
        <w:t>оповестяванията, изисквани в съответствие с член 447, буква з) от Регламент (ЕС) № 575/2013;</w:t>
      </w:r>
    </w:p>
    <w:p w14:paraId="00DD876B" w14:textId="1CD938F6" w:rsidR="00911C0D" w:rsidRPr="00284A32" w:rsidRDefault="0097682D" w:rsidP="0097682D">
      <w:pPr>
        <w:pStyle w:val="Point1"/>
        <w:rPr>
          <w:noProof/>
        </w:rPr>
      </w:pPr>
      <w:r>
        <w:t>в)</w:t>
      </w:r>
      <w:r w:rsidRPr="0097682D">
        <w:tab/>
      </w:r>
      <w:r w:rsidR="00911C0D" w:rsidRPr="00284A32">
        <w:t>оповестяванията, изисквани в съответствие с член 45и, параграф 3, букви а) и в) от Директива 2014/59/ЕС;</w:t>
      </w:r>
    </w:p>
    <w:p w14:paraId="4DA0CF37" w14:textId="293EE0EC" w:rsidR="00911C0D" w:rsidRPr="00284A32" w:rsidRDefault="0097682D" w:rsidP="0097682D">
      <w:pPr>
        <w:pStyle w:val="Point1"/>
        <w:rPr>
          <w:noProof/>
        </w:rPr>
      </w:pPr>
      <w:r>
        <w:t>г)</w:t>
      </w:r>
      <w:r w:rsidRPr="0097682D">
        <w:tab/>
      </w:r>
      <w:r w:rsidR="00911C0D" w:rsidRPr="00284A32">
        <w:t>оповестяванията относно състава на собствените средства и приемливите задължения, изисквани в съответствие с член 45и, параграф 3, буква б) от Директива 2014/59/ЕС.</w:t>
      </w:r>
    </w:p>
    <w:p w14:paraId="2D3A456D" w14:textId="77777777" w:rsidR="00911C0D" w:rsidRPr="00284A32" w:rsidRDefault="00911C0D" w:rsidP="00911C0D">
      <w:pPr>
        <w:pStyle w:val="Point0"/>
        <w:rPr>
          <w:noProof/>
        </w:rPr>
      </w:pPr>
      <w:r w:rsidRPr="00284A32">
        <w:t>2.</w:t>
      </w:r>
      <w:r w:rsidRPr="00284A32">
        <w:tab/>
        <w:t>Субектите, различни от значими дъщерни предприятия на Г-СЗИ извън ЕС и които сами по себе си не са субекти за преструктуриране, оповестяват следната информация съгласно образец ЕС ILAC от приложение V към настоящия регламент и в съответствие с указанията в приложение VI към настоящия регламент:</w:t>
      </w:r>
    </w:p>
    <w:p w14:paraId="2F8640BD" w14:textId="50495861" w:rsidR="00911C0D" w:rsidRPr="00284A32" w:rsidRDefault="0097682D" w:rsidP="0097682D">
      <w:pPr>
        <w:pStyle w:val="Point1"/>
        <w:rPr>
          <w:noProof/>
        </w:rPr>
      </w:pPr>
      <w:r>
        <w:t>а)</w:t>
      </w:r>
      <w:r w:rsidRPr="0097682D">
        <w:tab/>
      </w:r>
      <w:r w:rsidR="00911C0D" w:rsidRPr="00284A32">
        <w:t>оповестяванията, изисквани в съответствие с член 45и, параграф 3, букви а) и в) от Директива 2014/59/ЕС;</w:t>
      </w:r>
    </w:p>
    <w:p w14:paraId="4C6E59D7" w14:textId="5F032040" w:rsidR="00911C0D" w:rsidRPr="00284A32" w:rsidRDefault="0097682D" w:rsidP="0097682D">
      <w:pPr>
        <w:pStyle w:val="Point1"/>
        <w:rPr>
          <w:noProof/>
        </w:rPr>
      </w:pPr>
      <w:r>
        <w:t>б)</w:t>
      </w:r>
      <w:r w:rsidRPr="0097682D">
        <w:tab/>
      </w:r>
      <w:r w:rsidR="00911C0D" w:rsidRPr="00284A32">
        <w:t>оповестяванията относно състава на собствените средства и приемливите задължения, изисквани в съответствие с член 45и, параграф 3, буква б) от Директива 2014/59/ЕС.</w:t>
      </w:r>
    </w:p>
    <w:p w14:paraId="40797C60" w14:textId="77777777" w:rsidR="00911C0D" w:rsidRPr="00284A32" w:rsidRDefault="00911C0D" w:rsidP="00911C0D">
      <w:pPr>
        <w:pStyle w:val="Titrearticle"/>
      </w:pPr>
      <w:bookmarkStart w:id="4" w:name="_Ref21088028"/>
      <w:r w:rsidRPr="00284A32">
        <w:t xml:space="preserve">Член </w:t>
      </w:r>
      <w:bookmarkEnd w:id="4"/>
      <w:r w:rsidRPr="00284A32">
        <w:fldChar w:fldCharType="begin"/>
      </w:r>
      <w:r w:rsidRPr="00284A32">
        <w:instrText xml:space="preserve"> SEQ Figure \* ARABIC </w:instrText>
      </w:r>
      <w:r w:rsidRPr="00284A32">
        <w:fldChar w:fldCharType="separate"/>
      </w:r>
      <w:r w:rsidRPr="00284A32">
        <w:t>13</w:t>
      </w:r>
      <w:r w:rsidRPr="00284A32">
        <w:fldChar w:fldCharType="end"/>
      </w:r>
      <w:r w:rsidRPr="00284A32">
        <w:t xml:space="preserve"> </w:t>
      </w:r>
      <w:r w:rsidRPr="00284A32">
        <w:br/>
        <w:t>Оповестяване на йерархията на кредиторите от субекти, които не подлежат на преструктуриране</w:t>
      </w:r>
    </w:p>
    <w:p w14:paraId="0FA53E9A" w14:textId="16A22625" w:rsidR="00911C0D" w:rsidRPr="00284A32" w:rsidRDefault="00911C0D" w:rsidP="00C12C7B">
      <w:pPr>
        <w:pStyle w:val="NumPar1"/>
        <w:numPr>
          <w:ilvl w:val="0"/>
          <w:numId w:val="7"/>
        </w:numPr>
        <w:rPr>
          <w:noProof/>
        </w:rPr>
      </w:pPr>
      <w:r w:rsidRPr="00284A32">
        <w:t xml:space="preserve">Субектите, които са значими дъщерни предприятия на Г-СЗИ извън ЕС и които сами по себе си не са субекти за преструктуриране, оповестяват информацията относно падежния профил и йерархията при обичайното производство по несъстоятелност по член 437а, букви а) и б) от Регламент (ЕС) № 575/2013 и член 45и, параграф 3, буква б) от Директива 2014/59/ЕС, съгласно образец EU </w:t>
      </w:r>
      <w:r w:rsidRPr="00284A32">
        <w:lastRenderedPageBreak/>
        <w:t xml:space="preserve">TLAC2a от приложение V към настоящия регламент и в съответствие с указанията в приложение VI към настоящия регламент. </w:t>
      </w:r>
    </w:p>
    <w:p w14:paraId="515F579C" w14:textId="77777777" w:rsidR="00911C0D" w:rsidRPr="00284A32" w:rsidRDefault="00911C0D" w:rsidP="00C12C7B">
      <w:pPr>
        <w:pStyle w:val="NumPar1"/>
        <w:numPr>
          <w:ilvl w:val="0"/>
          <w:numId w:val="7"/>
        </w:numPr>
        <w:rPr>
          <w:noProof/>
        </w:rPr>
      </w:pPr>
      <w:r w:rsidRPr="00284A32">
        <w:t xml:space="preserve">Субектите, различни от значими дъщерни предприятия на Г-СЗИ извън ЕС и които сами по себе си не са субекти за преструктуриране, оповестяват информацията относно падежния профил и йерархията при обичайното производство по несъстоятелност по член 45и, параграф 3, буква б) от Директива 2014/59/ЕС, съгласно образец EU TLAC2b от приложение V към настоящия регламент и в съответствие с указанията в приложение VI към настоящия регламент. </w:t>
      </w:r>
    </w:p>
    <w:p w14:paraId="51B0E851" w14:textId="32AD2F70" w:rsidR="00911C0D" w:rsidRPr="00284A32" w:rsidRDefault="00911C0D" w:rsidP="00B129CF">
      <w:pPr>
        <w:pStyle w:val="Text1"/>
        <w:rPr>
          <w:noProof/>
        </w:rPr>
      </w:pPr>
      <w:r w:rsidRPr="00284A32">
        <w:t>Субектите, посочени в първата алинея от настоящия параграф, могат да изберат да използват образец EU TLAC2a вместо EU TLAC2b за оповестяване на информация относно падежния профил и йерархията при обичайното производство по несъстоятелност по член 45и, параграф 3, буква б) от Директива 2014/59/ЕС.</w:t>
      </w:r>
    </w:p>
    <w:p w14:paraId="0ACD53CE" w14:textId="77777777" w:rsidR="00911C0D" w:rsidRPr="00284A32" w:rsidRDefault="00911C0D" w:rsidP="00911C0D">
      <w:pPr>
        <w:pStyle w:val="Titrearticle"/>
      </w:pPr>
      <w:bookmarkStart w:id="5" w:name="_Ref21087242"/>
      <w:r w:rsidRPr="00284A32">
        <w:t>Член</w:t>
      </w:r>
      <w:bookmarkEnd w:id="5"/>
      <w:r w:rsidRPr="00284A32">
        <w:t xml:space="preserve"> </w:t>
      </w:r>
      <w:r w:rsidR="00C12C7B">
        <w:fldChar w:fldCharType="begin"/>
      </w:r>
      <w:r w:rsidR="00C12C7B">
        <w:instrText xml:space="preserve"> SEQ Figure \* ARABIC </w:instrText>
      </w:r>
      <w:r w:rsidR="00C12C7B">
        <w:fldChar w:fldCharType="separate"/>
      </w:r>
      <w:r w:rsidRPr="00284A32">
        <w:t>14</w:t>
      </w:r>
      <w:r w:rsidR="00C12C7B">
        <w:fldChar w:fldCharType="end"/>
      </w:r>
      <w:r w:rsidRPr="00284A32">
        <w:t xml:space="preserve"> </w:t>
      </w:r>
      <w:r w:rsidRPr="00284A32">
        <w:br/>
        <w:t>Оповестяване на йерархията на кредиторите от субекти за преструктуриране</w:t>
      </w:r>
    </w:p>
    <w:p w14:paraId="0214BA4A" w14:textId="4F8B03D6" w:rsidR="00911C0D" w:rsidRPr="00284A32" w:rsidRDefault="00911C0D" w:rsidP="00C12C7B">
      <w:pPr>
        <w:pStyle w:val="NumPar1"/>
        <w:numPr>
          <w:ilvl w:val="0"/>
          <w:numId w:val="13"/>
        </w:numPr>
        <w:rPr>
          <w:noProof/>
        </w:rPr>
      </w:pPr>
      <w:r w:rsidRPr="00284A32">
        <w:t xml:space="preserve">Субектите, определени като субекти за преструктуриране, които са Г-СЗИ или част от Г-СЗИ, оповестяват информацията относно падежния профил и йерархията при обичайното производство по несъстоятелност по член 437а, букви а) и б) от Регламент (ЕС) № 575/2013 и член 45и, параграф 3, буква б) от Директива 2014/59/ЕС, съгласно образец EU TLAC3a от приложение V към настоящия регламент и в съответствие с указанията в приложение VI към настоящия регламент. </w:t>
      </w:r>
    </w:p>
    <w:p w14:paraId="703B620D" w14:textId="18C45AB4" w:rsidR="00911C0D" w:rsidRPr="00284A32" w:rsidRDefault="00911C0D" w:rsidP="00C12C7B">
      <w:pPr>
        <w:pStyle w:val="NumPar1"/>
        <w:numPr>
          <w:ilvl w:val="0"/>
          <w:numId w:val="13"/>
        </w:numPr>
        <w:rPr>
          <w:noProof/>
        </w:rPr>
      </w:pPr>
      <w:r w:rsidRPr="00284A32">
        <w:t xml:space="preserve">Субектите, определени като субекти за преструктуриране, които не са Г-СЗИ или част от Г-СЗИ, оповестяват информацията относно падежния профил и йерархията при обичайното производство по несъстоятелност по член 45и, параграф 3, буква б) от Директива 2014/59/ЕС, съгласно образец EU TLAC3b от приложение V към настоящия регламент и в съответствие с указанията в приложение VI към настоящия регламент. </w:t>
      </w:r>
    </w:p>
    <w:p w14:paraId="312D7D45" w14:textId="0EC96E4F" w:rsidR="00911C0D" w:rsidRPr="00284A32" w:rsidRDefault="00911C0D" w:rsidP="008E17B7">
      <w:pPr>
        <w:pStyle w:val="Text1"/>
        <w:rPr>
          <w:noProof/>
        </w:rPr>
      </w:pPr>
      <w:r w:rsidRPr="00284A32">
        <w:t>Субектите, посочени в първата алинея от настоящия параграф, могат да изберат да използват образец EU TLAC3a вместо EU TLAC3b за оповестяване на информация относно падежния профил и йерархията при обичайното производство по несъстоятелност по член 45и, параграф 3, буква б) от Директива 2014/59/ЕС.</w:t>
      </w:r>
    </w:p>
    <w:p w14:paraId="392B83E1" w14:textId="0ED4F921" w:rsidR="00911C0D" w:rsidRPr="00284A32" w:rsidRDefault="00911C0D" w:rsidP="00911C0D">
      <w:pPr>
        <w:pStyle w:val="Titrearticle"/>
      </w:pPr>
      <w:bookmarkStart w:id="6" w:name="_Ref21087218"/>
      <w:r w:rsidRPr="00284A32">
        <w:lastRenderedPageBreak/>
        <w:t xml:space="preserve">Член </w:t>
      </w:r>
      <w:r w:rsidR="00C12C7B">
        <w:fldChar w:fldCharType="begin"/>
      </w:r>
      <w:r w:rsidR="00C12C7B">
        <w:instrText xml:space="preserve"> SEQ Figure \* ARABIC </w:instrText>
      </w:r>
      <w:r w:rsidR="00C12C7B">
        <w:fldChar w:fldCharType="separate"/>
      </w:r>
      <w:r w:rsidRPr="00284A32">
        <w:t>15</w:t>
      </w:r>
      <w:r w:rsidR="00C12C7B">
        <w:fldChar w:fldCharType="end"/>
      </w:r>
      <w:bookmarkEnd w:id="6"/>
      <w:r w:rsidRPr="00284A32">
        <w:t xml:space="preserve"> </w:t>
      </w:r>
      <w:r w:rsidRPr="00284A32">
        <w:br/>
        <w:t>Оповестяване на основните характеристики на собствените средства и приемливите задължения</w:t>
      </w:r>
    </w:p>
    <w:p w14:paraId="556F10F9" w14:textId="77777777" w:rsidR="00911C0D" w:rsidRPr="00284A32" w:rsidRDefault="00911C0D" w:rsidP="00911C0D">
      <w:pPr>
        <w:keepNext/>
        <w:keepLines/>
        <w:spacing w:before="360"/>
      </w:pPr>
      <w:r w:rsidRPr="00284A32">
        <w:t xml:space="preserve">Субектите, определени като субекти за преструктуриране, които са Г-СЗИ или част от Г-СЗИ, и субектите, които са значими дъщерни предприятия на Г-СЗИ извън ЕС и които сами по себе си не са субекти за преструктуриране, оповестяват информацията по член 437а, буква а) от Регламент (ЕС) № 575/2013 в съответствие с акта за изпълнение, посочен в член 434а от същия регламент. </w:t>
      </w:r>
    </w:p>
    <w:p w14:paraId="20EB102D" w14:textId="77777777" w:rsidR="00911C0D" w:rsidRPr="00284A32" w:rsidRDefault="00911C0D" w:rsidP="00146633">
      <w:pPr>
        <w:pStyle w:val="Titrearticle"/>
      </w:pPr>
      <w:r w:rsidRPr="00284A32">
        <w:t xml:space="preserve">Член </w:t>
      </w:r>
      <w:r w:rsidR="00C12C7B">
        <w:fldChar w:fldCharType="begin"/>
      </w:r>
      <w:r w:rsidR="00C12C7B">
        <w:instrText xml:space="preserve"> SEQ Figure \* ARABIC </w:instrText>
      </w:r>
      <w:r w:rsidR="00C12C7B">
        <w:fldChar w:fldCharType="separate"/>
      </w:r>
      <w:r w:rsidRPr="00284A32">
        <w:t>16</w:t>
      </w:r>
      <w:r w:rsidR="00C12C7B">
        <w:fldChar w:fldCharType="end"/>
      </w:r>
      <w:r w:rsidRPr="00284A32">
        <w:t xml:space="preserve"> </w:t>
      </w:r>
      <w:r w:rsidRPr="00284A32">
        <w:br/>
        <w:t>Общи правила относно оповестяването</w:t>
      </w:r>
    </w:p>
    <w:p w14:paraId="74D86184" w14:textId="77777777" w:rsidR="00911C0D" w:rsidRPr="00284A32" w:rsidRDefault="00911C0D" w:rsidP="00C12C7B">
      <w:pPr>
        <w:pStyle w:val="NumPar1"/>
        <w:numPr>
          <w:ilvl w:val="0"/>
          <w:numId w:val="14"/>
        </w:numPr>
        <w:rPr>
          <w:noProof/>
        </w:rPr>
      </w:pPr>
      <w:r w:rsidRPr="00284A32">
        <w:t xml:space="preserve">Когато оповестяващите информацията субекти могат да пропуснат едно или повече от оповестяванията в съответствие с член 432 от Регламент (ЕС) № 575/2013, съответните редове или колони на образците или таблиците, предвидени в настоящия регламент, могат да останат празни, а номерирането на следващите редове или колони не се променя. </w:t>
      </w:r>
    </w:p>
    <w:p w14:paraId="2C21F69F" w14:textId="77777777" w:rsidR="00911C0D" w:rsidRPr="00284A32" w:rsidRDefault="00911C0D" w:rsidP="00C12C7B">
      <w:pPr>
        <w:pStyle w:val="NumPar1"/>
        <w:numPr>
          <w:ilvl w:val="0"/>
          <w:numId w:val="14"/>
        </w:numPr>
        <w:rPr>
          <w:noProof/>
        </w:rPr>
      </w:pPr>
      <w:r w:rsidRPr="00284A32">
        <w:t xml:space="preserve">Оповестяващите информацията субекти посочват ясно в съответния образец или таблица празните редове или колони и причината за пропускането на съответното оповестяване. </w:t>
      </w:r>
    </w:p>
    <w:p w14:paraId="2DFEFA5E" w14:textId="77777777" w:rsidR="00911C0D" w:rsidRPr="00284A32" w:rsidRDefault="00911C0D" w:rsidP="00C12C7B">
      <w:pPr>
        <w:pStyle w:val="NumPar1"/>
        <w:numPr>
          <w:ilvl w:val="0"/>
          <w:numId w:val="14"/>
        </w:numPr>
        <w:rPr>
          <w:noProof/>
        </w:rPr>
      </w:pPr>
      <w:r w:rsidRPr="00284A32">
        <w:t>Поясненията с качественото описание и всяка друга необходима допълнителна информация, придружаваща количествените оповестявания в съответствие с член 431 от Регламент (ЕС) № 575/2013, са достатъчно ясни и изчерпателни, като дават възможност на ползвателите на информацията да разберат количествените оповестявания, и се поставят до образците, които описват.</w:t>
      </w:r>
    </w:p>
    <w:p w14:paraId="29D7C25D" w14:textId="77777777" w:rsidR="00911C0D" w:rsidRPr="00284A32" w:rsidRDefault="00911C0D" w:rsidP="00C12C7B">
      <w:pPr>
        <w:pStyle w:val="NumPar1"/>
        <w:numPr>
          <w:ilvl w:val="0"/>
          <w:numId w:val="14"/>
        </w:numPr>
        <w:rPr>
          <w:noProof/>
        </w:rPr>
      </w:pPr>
      <w:r w:rsidRPr="00284A32">
        <w:t>Оповестяващите информацията субекти спазват следното при оповестяването на цифрови стойности:</w:t>
      </w:r>
    </w:p>
    <w:p w14:paraId="554837EF" w14:textId="593742C5" w:rsidR="00911C0D" w:rsidRPr="00284A32" w:rsidRDefault="0097682D" w:rsidP="0097682D">
      <w:pPr>
        <w:pStyle w:val="Point1"/>
        <w:rPr>
          <w:noProof/>
        </w:rPr>
      </w:pPr>
      <w:r>
        <w:t>а)</w:t>
      </w:r>
      <w:r w:rsidRPr="0097682D">
        <w:tab/>
      </w:r>
      <w:r w:rsidR="00911C0D" w:rsidRPr="00284A32">
        <w:t>количествените парични данни се оповестяват с минимална точност до милиони единици;</w:t>
      </w:r>
    </w:p>
    <w:p w14:paraId="4E96B6F9" w14:textId="5E386898" w:rsidR="00911C0D" w:rsidRPr="00284A32" w:rsidRDefault="0097682D" w:rsidP="0097682D">
      <w:pPr>
        <w:pStyle w:val="Point1"/>
        <w:rPr>
          <w:noProof/>
        </w:rPr>
      </w:pPr>
      <w:r>
        <w:t>б)</w:t>
      </w:r>
      <w:r w:rsidRPr="0097682D">
        <w:tab/>
      </w:r>
      <w:r w:rsidR="00911C0D" w:rsidRPr="00284A32">
        <w:t>количествените данни от тип „процент“ се оповестяват за единица с минимална точност до четири десетични знака.</w:t>
      </w:r>
    </w:p>
    <w:p w14:paraId="06F63E8F" w14:textId="77777777" w:rsidR="00911C0D" w:rsidRPr="00284A32" w:rsidRDefault="00911C0D" w:rsidP="00146633">
      <w:pPr>
        <w:pStyle w:val="NumPar1"/>
        <w:rPr>
          <w:noProof/>
        </w:rPr>
      </w:pPr>
      <w:r w:rsidRPr="00284A32">
        <w:t>Към оповестената информация оповестяващите информацията субекти добавят:</w:t>
      </w:r>
    </w:p>
    <w:p w14:paraId="2FCAAE18" w14:textId="0B0F3DA4" w:rsidR="00911C0D" w:rsidRPr="00284A32" w:rsidRDefault="0097682D" w:rsidP="0097682D">
      <w:pPr>
        <w:pStyle w:val="Point1"/>
        <w:rPr>
          <w:noProof/>
        </w:rPr>
      </w:pPr>
      <w:r>
        <w:t>а)</w:t>
      </w:r>
      <w:r w:rsidRPr="0097682D">
        <w:tab/>
      </w:r>
      <w:r w:rsidR="00911C0D" w:rsidRPr="00284A32">
        <w:t xml:space="preserve">референтната дата на оповестяване и съответния референтен период; </w:t>
      </w:r>
    </w:p>
    <w:p w14:paraId="0D85A6C3" w14:textId="70DEC95E" w:rsidR="00911C0D" w:rsidRPr="00284A32" w:rsidRDefault="0097682D" w:rsidP="0097682D">
      <w:pPr>
        <w:pStyle w:val="Point1"/>
        <w:rPr>
          <w:noProof/>
        </w:rPr>
      </w:pPr>
      <w:r>
        <w:t>б)</w:t>
      </w:r>
      <w:r w:rsidRPr="0097682D">
        <w:tab/>
      </w:r>
      <w:r w:rsidR="00911C0D" w:rsidRPr="00284A32">
        <w:t xml:space="preserve">паричната единица на оповестяване; </w:t>
      </w:r>
    </w:p>
    <w:p w14:paraId="5B5B4AB9" w14:textId="0A40F4F7" w:rsidR="00911C0D" w:rsidRPr="00284A32" w:rsidRDefault="0097682D" w:rsidP="0097682D">
      <w:pPr>
        <w:pStyle w:val="Point1"/>
        <w:rPr>
          <w:noProof/>
        </w:rPr>
      </w:pPr>
      <w:r>
        <w:t>в)</w:t>
      </w:r>
      <w:r w:rsidRPr="0097682D">
        <w:tab/>
      </w:r>
      <w:r w:rsidR="00911C0D" w:rsidRPr="00284A32">
        <w:t>наименованието на оповестяващия информацията субект, а когато е приложимо — и неговия идентификационен код на правен субект (ИКПС);</w:t>
      </w:r>
    </w:p>
    <w:p w14:paraId="584E8AC6" w14:textId="6A7A7189" w:rsidR="00911C0D" w:rsidRPr="00284A32" w:rsidRDefault="0097682D" w:rsidP="0097682D">
      <w:pPr>
        <w:pStyle w:val="Point1"/>
        <w:rPr>
          <w:noProof/>
        </w:rPr>
      </w:pPr>
      <w:r>
        <w:t>г)</w:t>
      </w:r>
      <w:r w:rsidRPr="0097682D">
        <w:tab/>
      </w:r>
      <w:r w:rsidR="00911C0D" w:rsidRPr="00284A32">
        <w:t xml:space="preserve">когато е приложимо — счетоводния стандарт; както и </w:t>
      </w:r>
    </w:p>
    <w:p w14:paraId="582EB987" w14:textId="3D113C1D" w:rsidR="00911C0D" w:rsidRPr="00284A32" w:rsidRDefault="0097682D" w:rsidP="0097682D">
      <w:pPr>
        <w:pStyle w:val="Point1"/>
        <w:rPr>
          <w:noProof/>
        </w:rPr>
      </w:pPr>
      <w:r>
        <w:t>д)</w:t>
      </w:r>
      <w:r w:rsidRPr="0097682D">
        <w:tab/>
      </w:r>
      <w:r w:rsidR="00911C0D" w:rsidRPr="00284A32">
        <w:t>когато е приложимо — обхвата на консолидация.</w:t>
      </w:r>
    </w:p>
    <w:p w14:paraId="13904397" w14:textId="6E48D9B3" w:rsidR="00911C0D" w:rsidRPr="00284A32" w:rsidRDefault="00911C0D" w:rsidP="00911C0D">
      <w:pPr>
        <w:pStyle w:val="SectionTitle"/>
        <w:rPr>
          <w:b w:val="0"/>
          <w:i/>
        </w:rPr>
      </w:pPr>
      <w:r w:rsidRPr="00284A32">
        <w:rPr>
          <w:b w:val="0"/>
          <w:i/>
        </w:rPr>
        <w:lastRenderedPageBreak/>
        <w:t>ДЯЛ III</w:t>
      </w:r>
      <w:r w:rsidRPr="00284A32">
        <w:t xml:space="preserve"> </w:t>
      </w:r>
      <w:r w:rsidRPr="00284A32">
        <w:br/>
      </w:r>
      <w:r w:rsidRPr="00284A32">
        <w:rPr>
          <w:b w:val="0"/>
          <w:i/>
        </w:rPr>
        <w:t>ЗАКЛЮЧИТЕЛНИ РАЗПОРЕДБИ</w:t>
      </w:r>
    </w:p>
    <w:p w14:paraId="207DBFA4" w14:textId="6A156BA8" w:rsidR="00911C0D" w:rsidRPr="00284A32" w:rsidRDefault="00911C0D" w:rsidP="00146633">
      <w:pPr>
        <w:pStyle w:val="Titrearticle"/>
      </w:pPr>
      <w:r w:rsidRPr="00284A32">
        <w:t xml:space="preserve">Член </w:t>
      </w:r>
      <w:r w:rsidR="00C12C7B">
        <w:fldChar w:fldCharType="begin"/>
      </w:r>
      <w:r w:rsidR="00C12C7B">
        <w:instrText xml:space="preserve"> SEQ Figure \* ARABIC </w:instrText>
      </w:r>
      <w:r w:rsidR="00C12C7B">
        <w:fldChar w:fldCharType="separate"/>
      </w:r>
      <w:r w:rsidRPr="00284A32">
        <w:t>17</w:t>
      </w:r>
      <w:r w:rsidR="00C12C7B">
        <w:fldChar w:fldCharType="end"/>
      </w:r>
      <w:r w:rsidRPr="00284A32">
        <w:t xml:space="preserve"> </w:t>
      </w:r>
      <w:r w:rsidRPr="00284A32">
        <w:br/>
        <w:t>Влизане в сила и прилагане</w:t>
      </w:r>
    </w:p>
    <w:p w14:paraId="132DAA82" w14:textId="4F13BF1D" w:rsidR="00911C0D" w:rsidRPr="00284A32" w:rsidRDefault="00911C0D" w:rsidP="00911C0D">
      <w:r w:rsidRPr="00284A32">
        <w:t xml:space="preserve">Настоящият регламент влиза в сила на двадесетия ден след деня на публикуването му в </w:t>
      </w:r>
      <w:r w:rsidRPr="00284A32">
        <w:rPr>
          <w:i/>
          <w:iCs/>
        </w:rPr>
        <w:t>Официален вестник на Европейския съюз</w:t>
      </w:r>
      <w:r w:rsidRPr="00284A32">
        <w:t>.</w:t>
      </w:r>
    </w:p>
    <w:p w14:paraId="59F2EBFB" w14:textId="5F28E1E6" w:rsidR="00911C0D" w:rsidRPr="00284A32" w:rsidRDefault="00911C0D" w:rsidP="00911C0D">
      <w:pPr>
        <w:widowControl w:val="0"/>
        <w:autoSpaceDE w:val="0"/>
        <w:autoSpaceDN w:val="0"/>
        <w:rPr>
          <w:rFonts w:eastAsia="Times New Roman"/>
        </w:rPr>
      </w:pPr>
      <w:r w:rsidRPr="00284A32">
        <w:t>Дял I се прилага от 28 юни 2021 г.</w:t>
      </w:r>
    </w:p>
    <w:p w14:paraId="2F7214D1" w14:textId="64BF67D1" w:rsidR="00F82D09" w:rsidRPr="00284A32" w:rsidRDefault="00911C0D" w:rsidP="00911C0D">
      <w:pPr>
        <w:widowControl w:val="0"/>
        <w:autoSpaceDE w:val="0"/>
        <w:autoSpaceDN w:val="0"/>
        <w:rPr>
          <w:rFonts w:eastAsia="Times New Roman"/>
        </w:rPr>
      </w:pPr>
      <w:r w:rsidRPr="00284A32">
        <w:t xml:space="preserve">Дял II се прилага от </w:t>
      </w:r>
      <w:r w:rsidRPr="00284A32">
        <w:rPr>
          <w:i/>
        </w:rPr>
        <w:t>[моля, въведете датата на влизане в сила на настоящия регламент]</w:t>
      </w:r>
      <w:r w:rsidRPr="00284A32">
        <w:t xml:space="preserve"> по отношение на оповестяванията по член 437а и член 447, буква з) от Регламент (ЕС) № 575/2013 и от датата на прилагане на изискванията за оповестяване съгласно член 3, параграф 1, трета алинея от Директива (ЕС) 2019/879 по отношение на оповестяванията по член 45и, параграф 3 от Директива 2014/59/ЕС.</w:t>
      </w:r>
    </w:p>
    <w:p w14:paraId="48405F17" w14:textId="52DE1662" w:rsidR="00911C0D" w:rsidRPr="00284A32" w:rsidRDefault="00911C0D" w:rsidP="00911C0D">
      <w:pPr>
        <w:pStyle w:val="Applicationdirecte"/>
        <w:keepNext/>
        <w:keepLines/>
      </w:pPr>
      <w:r w:rsidRPr="00284A32">
        <w:t>Настоящият регламент е задължителен в своята цялост и се прилага пряко във всички държави членки.</w:t>
      </w:r>
    </w:p>
    <w:p w14:paraId="688CD257" w14:textId="77777777" w:rsidR="00911C0D" w:rsidRPr="00284A32" w:rsidRDefault="00DD5153" w:rsidP="00DD5153">
      <w:pPr>
        <w:pStyle w:val="Fait"/>
      </w:pPr>
      <w:r w:rsidRPr="00284A32">
        <w:t>Съставено в Брюксел на […] година.</w:t>
      </w:r>
    </w:p>
    <w:p w14:paraId="7D6E3D67" w14:textId="77777777" w:rsidR="00911C0D" w:rsidRPr="00284A32" w:rsidRDefault="00911C0D" w:rsidP="00911C0D">
      <w:pPr>
        <w:pStyle w:val="Institutionquisigne"/>
      </w:pPr>
      <w:r w:rsidRPr="00284A32">
        <w:tab/>
        <w:t>За Комисията</w:t>
      </w:r>
    </w:p>
    <w:p w14:paraId="0936848B" w14:textId="77777777" w:rsidR="00911C0D" w:rsidRPr="00284A32" w:rsidRDefault="00911C0D" w:rsidP="00911C0D">
      <w:pPr>
        <w:pStyle w:val="Personnequisigne"/>
      </w:pPr>
      <w:r w:rsidRPr="00284A32">
        <w:tab/>
        <w:t xml:space="preserve">Председател </w:t>
      </w:r>
      <w:r w:rsidRPr="00284A32">
        <w:br/>
      </w:r>
      <w:r w:rsidRPr="00284A32">
        <w:tab/>
        <w:t>Ursula VON DER LEYEN</w:t>
      </w:r>
    </w:p>
    <w:sectPr w:rsidR="00911C0D" w:rsidRPr="00284A32" w:rsidSect="0097682D">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5EAB" w14:textId="0A018926" w:rsidR="00911C0D" w:rsidRPr="0097682D" w:rsidRDefault="0097682D" w:rsidP="0097682D">
    <w:pPr>
      <w:pStyle w:val="Footer"/>
      <w:rPr>
        <w:rFonts w:ascii="Arial" w:hAnsi="Arial" w:cs="Arial"/>
        <w:b/>
        <w:sz w:val="48"/>
      </w:rPr>
    </w:pPr>
    <w:r w:rsidRPr="0097682D">
      <w:rPr>
        <w:rFonts w:ascii="Arial" w:hAnsi="Arial" w:cs="Arial"/>
        <w:b/>
        <w:sz w:val="48"/>
      </w:rPr>
      <w:t>BG</w:t>
    </w:r>
    <w:r w:rsidRPr="0097682D">
      <w:rPr>
        <w:rFonts w:ascii="Arial" w:hAnsi="Arial" w:cs="Arial"/>
        <w:b/>
        <w:sz w:val="48"/>
      </w:rPr>
      <w:tab/>
    </w:r>
    <w:r w:rsidRPr="0097682D">
      <w:rPr>
        <w:rFonts w:ascii="Arial" w:hAnsi="Arial" w:cs="Arial"/>
        <w:b/>
        <w:sz w:val="48"/>
      </w:rPr>
      <w:tab/>
    </w:r>
    <w:r w:rsidRPr="0097682D">
      <w:tab/>
    </w:r>
    <w:r w:rsidRPr="0097682D">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09DF8" w14:textId="0C2C0A52" w:rsidR="0097682D" w:rsidRPr="0097682D" w:rsidRDefault="0097682D" w:rsidP="0097682D">
    <w:pPr>
      <w:pStyle w:val="Footer"/>
      <w:rPr>
        <w:rFonts w:ascii="Arial" w:hAnsi="Arial" w:cs="Arial"/>
        <w:b/>
        <w:sz w:val="48"/>
      </w:rPr>
    </w:pPr>
    <w:r w:rsidRPr="0097682D">
      <w:rPr>
        <w:rFonts w:ascii="Arial" w:hAnsi="Arial" w:cs="Arial"/>
        <w:b/>
        <w:sz w:val="48"/>
      </w:rPr>
      <w:t>BG</w:t>
    </w:r>
    <w:r w:rsidRPr="0097682D">
      <w:rPr>
        <w:rFonts w:ascii="Arial" w:hAnsi="Arial" w:cs="Arial"/>
        <w:b/>
        <w:sz w:val="48"/>
      </w:rPr>
      <w:tab/>
    </w:r>
    <w:r>
      <w:fldChar w:fldCharType="begin"/>
    </w:r>
    <w:r>
      <w:instrText xml:space="preserve"> PAGE  \* MERGEFORMAT </w:instrText>
    </w:r>
    <w:r>
      <w:fldChar w:fldCharType="separate"/>
    </w:r>
    <w:r w:rsidR="00693FBA">
      <w:rPr>
        <w:noProof/>
      </w:rPr>
      <w:t>14</w:t>
    </w:r>
    <w:r>
      <w:fldChar w:fldCharType="end"/>
    </w:r>
    <w:r>
      <w:tab/>
    </w:r>
    <w:r w:rsidRPr="0097682D">
      <w:tab/>
    </w:r>
    <w:r w:rsidRPr="0097682D">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E6947" w14:textId="77777777" w:rsidR="0097682D" w:rsidRPr="0097682D" w:rsidRDefault="0097682D" w:rsidP="009768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Pr>
          <w:rStyle w:val="FootnoteReference"/>
        </w:rPr>
        <w:footnoteRef/>
      </w:r>
      <w:r>
        <w:tab/>
        <w:t>OB L 176, 27.6.2013 г., стр. 1.</w:t>
      </w:r>
    </w:p>
  </w:footnote>
  <w:footnote w:id="2">
    <w:p w14:paraId="52F29A01" w14:textId="77777777" w:rsidR="00911C0D" w:rsidRDefault="00911C0D" w:rsidP="00911C0D">
      <w:pPr>
        <w:pStyle w:val="FootnoteText"/>
      </w:pPr>
      <w:r>
        <w:rPr>
          <w:rStyle w:val="FootnoteReference"/>
        </w:rPr>
        <w:footnoteRef/>
      </w:r>
      <w:r>
        <w:tab/>
        <w:t>OB L 173, 12.6.2014 г., стр. 190.</w:t>
      </w:r>
    </w:p>
  </w:footnote>
  <w:footnote w:id="3">
    <w:p w14:paraId="400AF6FF" w14:textId="77777777" w:rsidR="00911C0D" w:rsidRPr="007A7954" w:rsidRDefault="00911C0D" w:rsidP="00911C0D">
      <w:pPr>
        <w:pStyle w:val="FootnoteText"/>
      </w:pPr>
      <w:r>
        <w:rPr>
          <w:rStyle w:val="FootnoteReference"/>
        </w:rPr>
        <w:footnoteRef/>
      </w:r>
      <w:r>
        <w:tab/>
        <w:t>Регламент (ЕС) 2019/876 на Европейския парламент и на Съвета от 20 май 2019 г. за изменение на Регламент (ЕС) № 575/2013 по отношение на отношението на ливъридж, отношението на нетното стабилно финансиране, капиталовите изисквания и изискванията за приемливи задължения, кредитния риск от контрагента, пазарния риск, експозициите към централни контрагенти, експозициите към предприятия за колективно инвестиране, големите експозиции, изискванията за отчетност и оповестяване и на Регламент (ЕС) № 648/2012 (ОВ L 150, 7.6.2019 г., стр. 1).</w:t>
      </w:r>
    </w:p>
  </w:footnote>
  <w:footnote w:id="4">
    <w:p w14:paraId="7FB27E48" w14:textId="77777777" w:rsidR="00911C0D" w:rsidRPr="00520ABD" w:rsidRDefault="00911C0D" w:rsidP="00911C0D">
      <w:pPr>
        <w:pStyle w:val="FootnoteText"/>
      </w:pPr>
      <w:r>
        <w:rPr>
          <w:rStyle w:val="FootnoteReference"/>
        </w:rPr>
        <w:footnoteRef/>
      </w:r>
      <w:r>
        <w:tab/>
        <w:t>Директива (ЕС) 2019/879 на Европейския парламент и на Съвета от 20 май 2019 г. за изменение на Директива 2014/59/ЕС по отношение на капацитета за поемане на загуби и рекапитализация на кредитните институции и инвестиционните посредници и на Директива 98/26/ЕО (ОВ L 150, 7.6.2019 г., стр. 296).</w:t>
      </w:r>
    </w:p>
  </w:footnote>
  <w:footnote w:id="5">
    <w:p w14:paraId="7DA394B3" w14:textId="02D3CC85" w:rsidR="00911C0D" w:rsidRPr="006D7393" w:rsidRDefault="00911C0D" w:rsidP="00911C0D">
      <w:pPr>
        <w:pStyle w:val="FootnoteText"/>
      </w:pPr>
      <w:r>
        <w:rPr>
          <w:rStyle w:val="FootnoteReference"/>
        </w:rPr>
        <w:footnoteRef/>
      </w:r>
      <w:r>
        <w:tab/>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(ОВ L 331, 15.12.2010 г., стр. 12).</w:t>
      </w:r>
    </w:p>
  </w:footnote>
  <w:footnote w:id="6">
    <w:p w14:paraId="078CA3AC" w14:textId="77777777" w:rsidR="00911C0D" w:rsidRDefault="00911C0D" w:rsidP="00911C0D">
      <w:pPr>
        <w:pStyle w:val="FootnoteText"/>
      </w:pPr>
      <w:r>
        <w:rPr>
          <w:rStyle w:val="FootnoteReference"/>
        </w:rPr>
        <w:footnoteRef/>
      </w:r>
      <w:r>
        <w:tab/>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4"/>
  </w:num>
  <w:num w:numId="18">
    <w:abstractNumId w:val="3"/>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1 10:49:1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F6879491-4253-4CDB-AB71-1CB4C2EAC4BA"/>
    <w:docVar w:name="LW_COVERPAGE_TYPE" w:val="1"/>
    <w:docVar w:name="LW_CROSSREFERENCE" w:val="&lt;UNUSED&gt;"/>
    <w:docVar w:name="LW_DATE.ADOPT.CP" w:val="\u1086?\u1090? XXX \u1075?\u1086?\u1076?\u1080?\u1085?\u1072?"/>
    <w:docVar w:name="LW_DATE.ADOPT.CP_DATEFORMAT" w:val="\u1086?\u1090? %DATE% \u1075?\u1086?\u1076?\u1080?\u1085?\u1072?"/>
    <w:docVar w:name="LW_DATE.ADOPT.CP_ISODATE" w:val="&lt;EMPTY&gt;"/>
    <w:docVar w:name="LW_DocType" w:val="COM"/>
    <w:docVar w:name="LW_EMISSION" w:val="&lt;EMPTY&gt;"/>
    <w:docVar w:name="LW_EMISSION_ISODATE" w:val="&lt;EMPTY&gt;"/>
    <w:docVar w:name="LW_EMISSION_LOCATION" w:val="BRX"/>
    <w:docVar w:name="LW_EMISSION_PREFIX" w:val="\u1041?\u1088?\u1102?\u1082?\u1089?\u1077?\u1083?, "/>
    <w:docVar w:name="LW_EMISSION_SUFFIX" w:val=" \u1075?."/>
    <w:docVar w:name="LW_ID_DOCMODEL" w:val="SJ-004"/>
    <w:docVar w:name="LW_ID_DOCSIGNATURE" w:val="SJ-004"/>
    <w:docVar w:name="LW_ID_DOCSTRUCTURE" w:val="COM/AA"/>
    <w:docVar w:name="LW_ID_DOCTYPE" w:val="SJ-004"/>
    <w:docVar w:name="LW_INTERETEEE" w:val="(\u1090?\u1077?\u1082?\u1089?\u1090? \u1086?\u1090? \u1079?\u1085?\u1072?\u1095?\u1077?\u1085?\u1080?\u1077? \u1079?\u1072? \u1045?\u1048?\u1055?)"/>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u1079?\u1072? \u1086?\u1087?\u1088?\u1077?\u1076?\u1077?\u1083?\u1103?\u1085?\u1077? \u1085?\u1072? \u1090?\u1077?\u1093?\u1085?\u1080?\u1095?\u1077?\u1089?\u1082?\u1080?\u1090?\u1077? \u1089?\u1090?\u1072?\u1085?\u1076?\u1072?\u1088?\u1090?\u1080? \u1079?\u1072? \u1080?\u1079?\u1087?\u1098?\u1083?\u1085?\u1077?\u1085?\u1080?\u1077? \u1079?\u1072? \u1087?\u1088?\u1080?\u1083?\u1072?\u1075?\u1072?\u1085?\u1077?\u1090?\u1086? \u1085?\u1072? \u1056?\u1077?\u1075?\u1083?\u1072?\u1084?\u1077?\u1085?\u1090? (\u1045?\u1057?) \u8470? 575/2013 \u1085?\u1072? \u1045?\u1074?\u1088?\u1086?\u1087?\u1077?\u1081?\u1089?\u1082?\u1080?\u1103? \u1087?\u1072?\u1088?\u1083?\u1072?\u1084?\u1077?\u1085?\u1090? \u1080? \u1085?\u1072? \u1057?\u1098?\u1074?\u1077?\u1090?\u1072? \u1080? \u1044?\u1080?\u1088?\u1077?\u1082?\u1090?\u1080?\u1074?\u1072? 2014/59/\u1045?\u1057? \u1085?\u1072? \u1045?\u1074?\u1088?\u1086?\u1087?\u1077?\u1081?\u1089?\u1082?\u1080?\u1103? \u1087?\u1072?\u1088?\u1083?\u1072?\u1084?\u1077?\u1085?\u1090? \u1080? \u1085?\u1072? \u1057?\u1098?\u1074?\u1077?\u1090?\u1072? \u1087?\u1086? \u1086?\u1090?\u1085?\u1086?\u1096?\u1077?\u1085?\u1080?\u1077? \u1085?\u1072? \u1087?\u1088?\u1077?\u1076?\u1086?\u1089?\u1090?\u1072?\u1074?\u1103?\u1085?\u1077?\u1090?\u1086? \u1085?\u1072? \u1080?\u1085?\u1092?\u1086?\u1088?\u1084?\u1072?\u1094?\u1080?\u1103? \u1085?\u1072? \u1085?\u1072?\u1076?\u1079?\u1086?\u1088?\u1085?\u1080?\u1090?\u1077? \u1086?\u1088?\u1075?\u1072?\u1085?\u1080? \u1080? \u1087?\u1091?\u1073?\u1083?\u1080?\u1095?\u1085?\u1086?\u1090?\u1086? \u1086?\u1087?\u1086?\u1074?\u1077?\u1089?\u1090?\u1103?\u1074?\u1072?\u1085?\u1077? \u1085?\u1072? \u1084?\u1080?\u1085?\u1080?\u1084?\u1072?\u1083?\u1085?\u1086?\u1090?\u1086? \u1080?\u1079?\u1080?\u1089?\u1082?\u1074?\u1072?\u1085?\u1077? \u1079?\u1072? \u1089?\u1086?\u1073?\u1089?\u1090?\u1074?\u1077?\u1085?\u1080? \u1089?\u1088?\u1077?\u1076?\u1089?\u1090?\u1074?\u1072? \u1080? \u1087?\u1088?\u1080?\u1077?\u1084?\u1083?\u1080?\u1074?\u1080? \u1079?\u1072?\u1076?\u1098?\u1083?\u1078?\u1077?\u1085?\u1080?\u1103?"/>
    <w:docVar w:name="LW_TITRE.OBJ.CP" w:val="\u1079?\u1072? \u1086?\u1087?\u1088?\u1077?\u1076?\u1077?\u1083?\u1103?\u1085?\u1077? \u1085?\u1072? \u1090?\u1077?\u1093?\u1085?\u1080?\u1095?\u1077?\u1089?\u1082?\u1080?\u1090?\u1077? \u1089?\u1090?\u1072?\u1085?\u1076?\u1072?\u1088?\u1090?\u1080? \u1079?\u1072? \u1080?\u1079?\u1087?\u1098?\u1083?\u1085?\u1077?\u1085?\u1080?\u1077? \u1079?\u1072? \u1087?\u1088?\u1080?\u1083?\u1072?\u1075?\u1072?\u1085?\u1077?\u1090?\u1086? \u1085?\u1072? \u1056?\u1077?\u1075?\u1083?\u1072?\u1084?\u1077?\u1085?\u1090? (\u1045?\u1057?) \u8470? 575/2013 \u1085?\u1072? \u1045?\u1074?\u1088?\u1086?\u1087?\u1077?\u1081?\u1089?\u1082?\u1080?\u1103? \u1087?\u1072?\u1088?\u1083?\u1072?\u1084?\u1077?\u1085?\u1090? \u1080? \u1085?\u1072? \u1057?\u1098?\u1074?\u1077?\u1090?\u1072? \u1080? \u1044?\u1080?\u1088?\u1077?\u1082?\u1090?\u1080?\u1074?\u1072? 2014/59/\u1045?\u1057? \u1085?\u1072? \u1045?\u1074?\u1088?\u1086?\u1087?\u1077?\u1081?\u1089?\u1082?\u1080?\u1103? \u1087?\u1072?\u1088?\u1083?\u1072?\u1084?\u1077?\u1085?\u1090? \u1080? \u1085?\u1072? \u1057?\u1098?\u1074?\u1077?\u1090?\u1072? \u1087?\u1086? \u1086?\u1090?\u1085?\u1086?\u1096?\u1077?\u1085?\u1080?\u1077? \u1085?\u1072? \u1087?\u1088?\u1077?\u1076?\u1086?\u1089?\u1090?\u1072?\u1074?\u1103?\u1085?\u1077?\u1090?\u1086? \u1085?\u1072? \u1080?\u1085?\u1092?\u1086?\u1088?\u1084?\u1072?\u1094?\u1080?\u1103? \u1085?\u1072? \u1085?\u1072?\u1076?\u1079?\u1086?\u1088?\u1085?\u1080?\u1090?\u1077? \u1086?\u1088?\u1075?\u1072?\u1085?\u1080? \u1080? \u1087?\u1091?\u1073?\u1083?\u1080?\u1095?\u1085?\u1086?\u1090?\u1086? \u1086?\u1087?\u1086?\u1074?\u1077?\u1089?\u1090?\u1103?\u1074?\u1072?\u1085?\u1077? \u1085?\u1072? \u1084?\u1080?\u1085?\u1080?\u1084?\u1072?\u1083?\u1085?\u1086?\u1090?\u1086? \u1080?\u1079?\u1080?\u1089?\u1082?\u1074?\u1072?\u1085?\u1077? \u1079?\u1072? \u1089?\u1086?\u1073?\u1089?\u1090?\u1074?\u1077?\u1085?\u1080? \u1089?\u1088?\u1077?\u1076?\u1089?\u1090?\u1074?\u1072? \u1080? \u1087?\u1088?\u1080?\u1077?\u1084?\u1083?\u1080?\u1074?\u1080? \u1079?\u1072?\u1076?\u1098?\u1083?\u1078?\u1077?\u1085?\u1080?\u1103?"/>
    <w:docVar w:name="LW_TYPE.DOC" w:val="\u1056?\u1045?\u1043?\u1051?\u1040?\u1052?\u1045?\u1053?\u1058? \u1047?\u1040? \u1048?\u1047?\u1055?\u1066?\u1051?\u1053?\u1045?\u1053?\u1048?\u1045? (\u1045?\u1057?) .../\u8230? \u1053?\u1040? \u1050?\u1054?\u1052?\u1048?\u1057?\u1048?\u1071?\u1058?\u1040?"/>
    <w:docVar w:name="LW_TYPE.DOC.CP" w:val="\u1056?\u1045?\u1043?\u1051?\u1040?\u1052?\u1045?\u1053?\u1058? \u1047?\u1040? \u1048?\u1047?\u1055?\u1066?\u1051?\u1053?\u1045?\u1053?\u1048?\u1045? (\u1045?\u1057?) .../\u8230? \u1053?\u1040? \u1050?\u1054?\u1052?\u1048?\u1057?\u1048?\u1071?\u1058?\u1040?"/>
  </w:docVars>
  <w:rsids>
    <w:rsidRoot w:val="00911C0D"/>
    <w:rsid w:val="00022330"/>
    <w:rsid w:val="00050379"/>
    <w:rsid w:val="00080A21"/>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84A32"/>
    <w:rsid w:val="002A6E40"/>
    <w:rsid w:val="0038586F"/>
    <w:rsid w:val="003D1FF4"/>
    <w:rsid w:val="00403FFA"/>
    <w:rsid w:val="004D75CF"/>
    <w:rsid w:val="00501159"/>
    <w:rsid w:val="00515FD9"/>
    <w:rsid w:val="00534AD8"/>
    <w:rsid w:val="00576101"/>
    <w:rsid w:val="00595F73"/>
    <w:rsid w:val="005A470A"/>
    <w:rsid w:val="005F390A"/>
    <w:rsid w:val="0060509B"/>
    <w:rsid w:val="006142ED"/>
    <w:rsid w:val="006601FC"/>
    <w:rsid w:val="00693D6D"/>
    <w:rsid w:val="00693FBA"/>
    <w:rsid w:val="0069401E"/>
    <w:rsid w:val="006E792A"/>
    <w:rsid w:val="0070128F"/>
    <w:rsid w:val="00786D48"/>
    <w:rsid w:val="007B44BE"/>
    <w:rsid w:val="007B47A6"/>
    <w:rsid w:val="007C06F6"/>
    <w:rsid w:val="007D06B9"/>
    <w:rsid w:val="007D3252"/>
    <w:rsid w:val="00867BAC"/>
    <w:rsid w:val="008D3B10"/>
    <w:rsid w:val="008E0D6D"/>
    <w:rsid w:val="008E17B7"/>
    <w:rsid w:val="008F166D"/>
    <w:rsid w:val="00911C0D"/>
    <w:rsid w:val="00936C22"/>
    <w:rsid w:val="00947623"/>
    <w:rsid w:val="009606FE"/>
    <w:rsid w:val="0097682D"/>
    <w:rsid w:val="00986B33"/>
    <w:rsid w:val="00987AD5"/>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E246D"/>
    <w:rsid w:val="00BF17AA"/>
    <w:rsid w:val="00C12C7B"/>
    <w:rsid w:val="00C13087"/>
    <w:rsid w:val="00C20744"/>
    <w:rsid w:val="00C24556"/>
    <w:rsid w:val="00C86532"/>
    <w:rsid w:val="00C9260D"/>
    <w:rsid w:val="00C95437"/>
    <w:rsid w:val="00CD7950"/>
    <w:rsid w:val="00D05552"/>
    <w:rsid w:val="00D104BF"/>
    <w:rsid w:val="00D4070C"/>
    <w:rsid w:val="00D56ED7"/>
    <w:rsid w:val="00D653C4"/>
    <w:rsid w:val="00D80CBF"/>
    <w:rsid w:val="00DB7093"/>
    <w:rsid w:val="00DC0EF5"/>
    <w:rsid w:val="00DC7D9F"/>
    <w:rsid w:val="00DD5153"/>
    <w:rsid w:val="00E0465B"/>
    <w:rsid w:val="00E31F5B"/>
    <w:rsid w:val="00E34FF4"/>
    <w:rsid w:val="00E65C7F"/>
    <w:rsid w:val="00EA09E4"/>
    <w:rsid w:val="00EE12E2"/>
    <w:rsid w:val="00EF62B3"/>
    <w:rsid w:val="00F20062"/>
    <w:rsid w:val="00F4241B"/>
    <w:rsid w:val="00F45263"/>
    <w:rsid w:val="00F82D09"/>
    <w:rsid w:val="00FB396C"/>
    <w:rsid w:val="00FB639E"/>
    <w:rsid w:val="00FC5586"/>
    <w:rsid w:val="00FD7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15"/>
      </w:numPr>
      <w:contextualSpacing/>
    </w:pPr>
  </w:style>
  <w:style w:type="paragraph" w:styleId="ListBullet2">
    <w:name w:val="List Bullet 2"/>
    <w:basedOn w:val="Normal"/>
    <w:uiPriority w:val="99"/>
    <w:semiHidden/>
    <w:unhideWhenUsed/>
    <w:rsid w:val="001B26AE"/>
    <w:pPr>
      <w:numPr>
        <w:numId w:val="16"/>
      </w:numPr>
      <w:contextualSpacing/>
    </w:pPr>
  </w:style>
  <w:style w:type="paragraph" w:styleId="ListBullet3">
    <w:name w:val="List Bullet 3"/>
    <w:basedOn w:val="Normal"/>
    <w:uiPriority w:val="99"/>
    <w:semiHidden/>
    <w:unhideWhenUsed/>
    <w:rsid w:val="001B26AE"/>
    <w:pPr>
      <w:numPr>
        <w:numId w:val="17"/>
      </w:numPr>
      <w:contextualSpacing/>
    </w:pPr>
  </w:style>
  <w:style w:type="paragraph" w:styleId="ListBullet4">
    <w:name w:val="List Bullet 4"/>
    <w:basedOn w:val="Normal"/>
    <w:uiPriority w:val="99"/>
    <w:semiHidden/>
    <w:unhideWhenUsed/>
    <w:rsid w:val="001B26AE"/>
    <w:pPr>
      <w:numPr>
        <w:numId w:val="18"/>
      </w:numPr>
      <w:contextualSpacing/>
    </w:pPr>
  </w:style>
  <w:style w:type="paragraph" w:styleId="ListNumber">
    <w:name w:val="List Number"/>
    <w:basedOn w:val="Normal"/>
    <w:uiPriority w:val="99"/>
    <w:semiHidden/>
    <w:unhideWhenUsed/>
    <w:rsid w:val="001B26AE"/>
    <w:pPr>
      <w:numPr>
        <w:numId w:val="19"/>
      </w:numPr>
      <w:contextualSpacing/>
    </w:pPr>
  </w:style>
  <w:style w:type="paragraph" w:styleId="ListNumber2">
    <w:name w:val="List Number 2"/>
    <w:basedOn w:val="Normal"/>
    <w:uiPriority w:val="99"/>
    <w:semiHidden/>
    <w:unhideWhenUsed/>
    <w:rsid w:val="001B26AE"/>
    <w:pPr>
      <w:numPr>
        <w:numId w:val="20"/>
      </w:numPr>
      <w:contextualSpacing/>
    </w:pPr>
  </w:style>
  <w:style w:type="paragraph" w:styleId="ListNumber3">
    <w:name w:val="List Number 3"/>
    <w:basedOn w:val="Normal"/>
    <w:uiPriority w:val="99"/>
    <w:semiHidden/>
    <w:unhideWhenUsed/>
    <w:rsid w:val="001B26AE"/>
    <w:pPr>
      <w:numPr>
        <w:numId w:val="21"/>
      </w:numPr>
      <w:contextualSpacing/>
    </w:pPr>
  </w:style>
  <w:style w:type="paragraph" w:styleId="ListNumber4">
    <w:name w:val="List Number 4"/>
    <w:basedOn w:val="Normal"/>
    <w:uiPriority w:val="99"/>
    <w:semiHidden/>
    <w:unhideWhenUsed/>
    <w:rsid w:val="001B26AE"/>
    <w:pPr>
      <w:numPr>
        <w:numId w:val="22"/>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bg-BG"/>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bg-BG"/>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15</Pages>
  <Words>5022</Words>
  <Characters>28877</Characters>
  <Application>Microsoft Office Word</Application>
  <DocSecurity>0</DocSecurity>
  <Lines>566</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2021-05-18T09:47:00Z</dcterms:created>
  <dcterms:modified xsi:type="dcterms:W3CDTF">2021-05-18T09:47:00Z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SJ-004</vt:lpwstr>
  </property>
  <property fmtid="{D5CDD505-2E9C-101B-9397-08002B2CF9AE}" pid="7" name="DQCStatus">
    <vt:lpwstr>Green (DQC version 03)</vt:lpwstr>
  </property>
</Properties>
</file>