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5DDD656C" w:rsidR="001C2816" w:rsidRPr="00A512DA" w:rsidRDefault="00F841F7" w:rsidP="00714E55">
      <w:pPr>
        <w:pStyle w:val="Pagedecouverture"/>
      </w:pPr>
      <w:bookmarkStart w:id="0" w:name="_GoBack"/>
      <w:bookmarkEnd w:id="0"/>
      <w:r>
        <w:pict w14:anchorId="619E3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4142759-6756-4D85-9D8F-14BCE2D73134" style="width:450.6pt;height:409.2pt">
            <v:imagedata r:id="rId7" o:title=""/>
          </v:shape>
        </w:pict>
      </w:r>
    </w:p>
    <w:p w14:paraId="42BED65A" w14:textId="77777777" w:rsidR="00911C0D" w:rsidRPr="00A512DA" w:rsidRDefault="00911C0D">
      <w:pPr>
        <w:sectPr w:rsidR="00911C0D" w:rsidRPr="00A512DA" w:rsidSect="00BD272F">
          <w:footerReference w:type="default" r:id="rId8"/>
          <w:pgSz w:w="11907" w:h="16839"/>
          <w:pgMar w:top="1134" w:right="1417" w:bottom="1134" w:left="1417" w:header="709" w:footer="709" w:gutter="0"/>
          <w:pgNumType w:start="0"/>
          <w:cols w:space="720"/>
          <w:docGrid w:linePitch="360"/>
        </w:sectPr>
      </w:pPr>
    </w:p>
    <w:p w14:paraId="2E321C8E" w14:textId="77777777" w:rsidR="00911C0D" w:rsidRPr="00A512DA" w:rsidRDefault="00DD5153" w:rsidP="00DD5153">
      <w:pPr>
        <w:pStyle w:val="Typedudocument"/>
      </w:pPr>
      <w:r w:rsidRPr="00A512DA">
        <w:lastRenderedPageBreak/>
        <w:t>PROVÁDĚCÍ NAŘÍZENÍ KOMISE (EU) …/...</w:t>
      </w:r>
    </w:p>
    <w:p w14:paraId="537E2F9A" w14:textId="26B4C00E" w:rsidR="00911C0D" w:rsidRPr="00A512DA" w:rsidRDefault="00A512DA" w:rsidP="00DD5153">
      <w:pPr>
        <w:pStyle w:val="Datedadoption"/>
      </w:pPr>
      <w:r>
        <w:t>ze dne XXX</w:t>
      </w:r>
      <w:r w:rsidR="00714E55">
        <w:t>,</w:t>
      </w:r>
    </w:p>
    <w:p w14:paraId="2AF513BE" w14:textId="77777777" w:rsidR="00911C0D" w:rsidRPr="00A512DA" w:rsidRDefault="00DD5153" w:rsidP="00DD5153">
      <w:pPr>
        <w:pStyle w:val="Titreobjet"/>
      </w:pPr>
      <w:r w:rsidRPr="00A512DA">
        <w:t>kterým se stanoví prováděcí technické normy pro uplatňování nařízení Evropského parlamentu a Rady (EU) č. 575/2013 a směrnice Evropského parlamentu a Rady 2014/59/EU s ohledem na podávání zpráv pro účely dohledu a zveřejňování minimálních požadavků na kapitál a způsobilé závazky</w:t>
      </w:r>
    </w:p>
    <w:p w14:paraId="17032FFA" w14:textId="77777777" w:rsidR="00911C0D" w:rsidRPr="00A512DA" w:rsidRDefault="00DD5153" w:rsidP="00DD5153">
      <w:pPr>
        <w:pStyle w:val="IntrtEEE"/>
      </w:pPr>
      <w:r w:rsidRPr="00A512DA">
        <w:t>(Text s významem pro EHP)</w:t>
      </w:r>
    </w:p>
    <w:p w14:paraId="70543606" w14:textId="77777777" w:rsidR="00911C0D" w:rsidRPr="00A512DA" w:rsidRDefault="00911C0D" w:rsidP="00911C0D">
      <w:pPr>
        <w:pStyle w:val="Institutionquiagit"/>
      </w:pPr>
      <w:r w:rsidRPr="00A512DA">
        <w:t>EVROPSKÁ KOMISE,</w:t>
      </w:r>
    </w:p>
    <w:p w14:paraId="69A98AD3" w14:textId="30134CBB" w:rsidR="00911C0D" w:rsidRPr="00A512DA" w:rsidRDefault="00911C0D" w:rsidP="00911C0D">
      <w:r w:rsidRPr="00A512DA">
        <w:t>s ohledem na nařízení Evropského parlamentu a Rady (EU) č. 575/2013 ze dne 26. června 2013 o obezřetnostních požadavcích na úvěrové instituce a investiční podniky a o změně nařízení (EU) č. 648/2012</w:t>
      </w:r>
      <w:r w:rsidRPr="00A512DA">
        <w:rPr>
          <w:rStyle w:val="FootnoteReference"/>
        </w:rPr>
        <w:footnoteReference w:id="1"/>
      </w:r>
      <w:r w:rsidRPr="00A512DA">
        <w:t>, a zejména na čl. 430 odst. 7 pátý pododstavec a čl. 434a pátý pododstavec uvedeného nařízení,</w:t>
      </w:r>
    </w:p>
    <w:p w14:paraId="283FAA3A" w14:textId="77777777" w:rsidR="00911C0D" w:rsidRPr="00A512DA" w:rsidRDefault="00911C0D" w:rsidP="00911C0D">
      <w:r w:rsidRPr="00A512DA">
        <w:t>s ohledem na směrnici Evropského parlamentu a Rady 2014/59/EU ze dne 15. května 2014, kterou se stanoví rámec pro ozdravné postupy a řešení krize úvěrových institucí a investičních podniků a kterou se mění směrnice Rady 82/891/EHS, směrnice Evropského parlamentu a Rady 2001/24/ES, 2002/47/ES, 2004/25/ES, 2005/56/ES, 2007/36/ES, 2011/35/EU, 2012/30/EU a 2013/36/EU a nařízení Evropského parlamentu a Rady (EU) č. 1093/2010 a (EU) č. 648/2012</w:t>
      </w:r>
      <w:r w:rsidRPr="00A512DA">
        <w:rPr>
          <w:rStyle w:val="FootnoteReference"/>
        </w:rPr>
        <w:footnoteReference w:id="2"/>
      </w:r>
      <w:r w:rsidRPr="00A512DA">
        <w:t>, a zejména na čl. 45i odst. 5 a 6 uvedené směrnice,</w:t>
      </w:r>
    </w:p>
    <w:p w14:paraId="2D724A4A" w14:textId="77777777" w:rsidR="00911C0D" w:rsidRPr="00A512DA" w:rsidRDefault="00911C0D" w:rsidP="00911C0D">
      <w:r w:rsidRPr="00A512DA">
        <w:t>vzhledem k těmto důvodům:</w:t>
      </w:r>
    </w:p>
    <w:p w14:paraId="1498BCD9" w14:textId="55EE7DC6" w:rsidR="00911C0D" w:rsidRPr="00A512DA" w:rsidRDefault="00911C0D" w:rsidP="00292692">
      <w:pPr>
        <w:pStyle w:val="Considrant"/>
        <w:numPr>
          <w:ilvl w:val="0"/>
          <w:numId w:val="23"/>
        </w:numPr>
      </w:pPr>
      <w:r w:rsidRPr="00A512DA">
        <w:t>Nařízením Evropského parlamentu a Rady (EU) 2019/876</w:t>
      </w:r>
      <w:r w:rsidRPr="00A512DA">
        <w:rPr>
          <w:rStyle w:val="FootnoteReference"/>
        </w:rPr>
        <w:footnoteReference w:id="3"/>
      </w:r>
      <w:r w:rsidRPr="00A512DA">
        <w:t xml:space="preserve">, </w:t>
      </w:r>
      <w:r w:rsidRPr="00A512DA">
        <w:rPr>
          <w:sz w:val="23"/>
          <w:szCs w:val="23"/>
        </w:rPr>
        <w:t>kterým se mění nařízení (EU) č. 575/2013</w:t>
      </w:r>
      <w:r w:rsidRPr="00A512DA">
        <w:t>, byla do právních předpisů Unie zavedena harmonizovaná minimální úroveň specifikace celkové kapacity pro absorpci ztrát (dále jen „standard TLAC“) pro globální systémově významné instituce (G-SVI) (dále jen „požadavek TLAC“).</w:t>
      </w:r>
      <w:r w:rsidRPr="00A512DA">
        <w:rPr>
          <w:sz w:val="23"/>
          <w:szCs w:val="23"/>
        </w:rPr>
        <w:t xml:space="preserve"> Prostřednictvím cílených změn směrnice 2014/59/EU ustanovených směrnicí Evropského parlamentu a Rady (EU) </w:t>
      </w:r>
      <w:r w:rsidRPr="00A512DA">
        <w:t>2019/879</w:t>
      </w:r>
      <w:r w:rsidRPr="00A512DA">
        <w:rPr>
          <w:rStyle w:val="FootnoteReference"/>
        </w:rPr>
        <w:footnoteReference w:id="4"/>
      </w:r>
      <w:r w:rsidRPr="00A512DA">
        <w:rPr>
          <w:sz w:val="23"/>
          <w:szCs w:val="23"/>
        </w:rPr>
        <w:t xml:space="preserve"> bylo zavedeno navýšení pro G-SVI specifické pro jednotlivé instituce a požadavek na jednotlivé instituce, které nejsou institucemi G-SVI, označovaný jako minimální požadavek na kapitál a způsobilé závazky (MREL)</w:t>
      </w:r>
      <w:r w:rsidRPr="00A512DA">
        <w:t>. Požadavky na podávání zpráv a zpřístupňování informací pro standard TLAC jsou nyní zahrnuty v nařízení (EU) č. 575/2013 a pro požadavek MREL ve směrnici 2014/59/EU.</w:t>
      </w:r>
    </w:p>
    <w:p w14:paraId="42917AA4" w14:textId="77777777" w:rsidR="00911C0D" w:rsidRPr="00A512DA" w:rsidRDefault="00911C0D" w:rsidP="00911C0D">
      <w:pPr>
        <w:pStyle w:val="Considrant"/>
      </w:pPr>
      <w:r w:rsidRPr="00A512DA">
        <w:lastRenderedPageBreak/>
        <w:t>Jelikož standard TLAC a požadavek MREL sledují stejný cíl – zajistit, aby instituce a subjekty usazené v Unii měly dostatečnou schopnost absorbovat ztráty a schopnost rekapitalizace –, měly by být tyto dva požadavky vzájemně se doplňujícími prvky společného rámce. Je proto vhodné stanovit soubor šablon na podávání zpráv a zveřejňování harmonizovaných informací o požadavku na kapitál a způsobilé závazky pro instituce G-SVI a významné dceřiné podniky institucí G-SVI mimo EU (TLAC) a o požadavku MREL specifickém pro jednotlivé instituce, které by se vztahovaly na všechny instituce.</w:t>
      </w:r>
    </w:p>
    <w:p w14:paraId="621ACD0D" w14:textId="77777777" w:rsidR="00911C0D" w:rsidRPr="00A512DA" w:rsidRDefault="00911C0D" w:rsidP="00911C0D">
      <w:pPr>
        <w:pStyle w:val="Considrant"/>
      </w:pPr>
      <w:r w:rsidRPr="00A512DA">
        <w:t>Návrhy prováděcích technických norem, které za účelem stanovení jednotných formátů pro zpřístupňování informací vypracuje Evropský orgán pro bankovnictví (EBA), mají podle článku 434a nařízení (EU) č. 575/2013 za účelem usnadnění porovnatelnosti informací usilovat o udržení jednotnosti formátů pro zpřístupňování s mezinárodními standardy pro zpřístupňování informací. Basilejský výbor pro bankovní dohled vydal v prosinci 2018 aktualizované požadavky na zpřístupňování informací podle pilíře 3, včetně požadavků na zpřístupňování informací o kapacitě TLAC. Formáty pro zpřístupňování informací a související pokyny stanovené v tomto nařízení by tudíž měly být v souladu s uvedenými aktualizovanými požadavky na zpřístupňování informací Basilejského výboru pro bankovní dohled.</w:t>
      </w:r>
    </w:p>
    <w:p w14:paraId="39396602" w14:textId="77777777" w:rsidR="00911C0D" w:rsidRPr="00A512DA" w:rsidRDefault="00911C0D" w:rsidP="00911C0D">
      <w:pPr>
        <w:pStyle w:val="Considrant"/>
      </w:pPr>
      <w:r w:rsidRPr="00A512DA">
        <w:t xml:space="preserve">Aby se zajistilo, že se náklady institucí na dodržování tohoto nařízení nepřiměřeně nenavýší a že se zachová kvalita údajů, měly by být povinnosti podávat zprávy a zpřístupňovat informace ve svém věcném obsahu uvedeny do souladu v největší možné míře, a to i pokud jde o jejich četnost. Uvedení prováděcích technických norem týkajících se povinností podávat zprávy a zpřístupňovat informace o kapacitě TLAC a požadavku MREL do souladu je navíc výslovně požadováno v čl. 45i odst. 5 třetím pododstavci a v čl. 45i odst. 6 třetím pododstavci směrnice 2014/59/EU. Je proto vhodné stanovit normy platné pro podávání zpráv a zpřístupňování informací o kapacitě TLAC a požadavku MREL v rámci jediného nařízení. Zároveň by měla být podle potřeby upravena podrobnost a četnost podávání zpráv a zveřejňování informací s ohledem na požadavky stanovené v nařízení (EU) č. 575/2013 a ve směrnici 2014/59/EU a na potřebu zajistit, aby instituce tyto požadavky splňovaly trvale. </w:t>
      </w:r>
    </w:p>
    <w:p w14:paraId="6A0B1EFC" w14:textId="77777777" w:rsidR="00911C0D" w:rsidRPr="00A512DA" w:rsidRDefault="00911C0D" w:rsidP="00911C0D">
      <w:pPr>
        <w:pStyle w:val="Considrant"/>
        <w:rPr>
          <w:noProof/>
        </w:rPr>
      </w:pPr>
      <w:r w:rsidRPr="00A512DA">
        <w:t>Směrnice 2014/59/EU požaduje, aby se informace o požadavku MREL oznamovaly příslušným orgánům i orgánům příslušným k řešení krize. Nařízení (EU) č. 575/2013 požaduje, aby se informace o kapacitě TLAC oznamovaly pouze příslušným orgánům. Podle čl. 45d odst. 1 směrnice 2014/59/EU však požadavek MREL subjektu řešícího krizi, který je institucí G-SVI nebo součástí instituce G-SVI, zahrnuje požadavek TLAC a jakýkoli dodatečný požadavek. Je proto vhodné zajistit, aby orgány příslušné k řešení krize získaly informace o kapacitě TLAC od institucí G-SVI v rámci podávání zpráv o požadavku MREL. Tím by neměla být dotčena ujednání uzavřená příslušnými orgány a orgány příslušnými k řešení krize, aby se omezily toky údajů.</w:t>
      </w:r>
    </w:p>
    <w:p w14:paraId="47B09598" w14:textId="77777777" w:rsidR="00911C0D" w:rsidRPr="00A512DA" w:rsidRDefault="00911C0D" w:rsidP="00911C0D">
      <w:pPr>
        <w:pStyle w:val="Considrant"/>
      </w:pPr>
      <w:r w:rsidRPr="00A512DA">
        <w:t>Ustanovení čl. 45i odst. 5 směrnice 2014/59/EU požaduje, aby návrhy prováděcích technických norem, jež vypracuje orgán EBA, stanovily standardizovaný způsob podávání informací o pořadí kapitálu a závazků použitelných k rekapitalizaci z vnitřních zdrojů, které se v zájmu srovnatelnosti a právní jistoty uplatní ve vnitrostátních úpadkových řízeních v každém členském státě. Orgány příslušné k řešení krize by proto měly institucím ve své pravomoci zpřístupnit standardizované informace o insolvenčních hierarchiích v každém členském státě a jejich včasné aktualizace. Uvedené informace by měly dodržovat standardizovanou podobu insolvenčních hierarchií.</w:t>
      </w:r>
    </w:p>
    <w:p w14:paraId="5C67BF36" w14:textId="77777777" w:rsidR="00911C0D" w:rsidRPr="00A512DA" w:rsidRDefault="00911C0D" w:rsidP="00911C0D">
      <w:pPr>
        <w:pStyle w:val="Considrant"/>
      </w:pPr>
      <w:r w:rsidRPr="00A512DA">
        <w:lastRenderedPageBreak/>
        <w:t>Pokud jde o závazky použitelné k rekapitalizaci z vnitřních zdrojů, které podléhají právním předpisům třetí země, ustanovení čl. 45i odst. 5 směrnice 2014/59/EU rovněž požaduje, aby návrhy prováděcích technických norem, jež vypracuje orgán EBA, stanovily standardizovaný způsob podávání informací, které se týkají třetích zemí, jejichž právním předpisům uvedené závazky podléhají, a uvádějí, zda v rámci každé zjištěné třetí země uvedené závazky obsahují smluvní podmínky uznávající, že podle uvedené směrnice mohou podléhat pravomoci k odpisu a konverzi. Kvůli potřebě dále posoudit úroveň podrobnosti podávání zpráv o těchto prvcích orgán EBA včas a zvlášť vypracuje a Komisi předloží související pokyny a šablony, aby příslušné orgány a orgány příslušné k řešení krize měly k těmto informacím pravidelně přístup. Neexistence těchto omezených dodatečných prvků neovlivní ani nezdrží uplatňování požadavků na podávání zpráv stanovených v tomto nařízení.</w:t>
      </w:r>
    </w:p>
    <w:p w14:paraId="131F500A" w14:textId="77777777" w:rsidR="00911C0D" w:rsidRPr="00A512DA" w:rsidRDefault="00911C0D" w:rsidP="00911C0D">
      <w:pPr>
        <w:pStyle w:val="Considrant"/>
      </w:pPr>
      <w:r w:rsidRPr="00A512DA">
        <w:t xml:space="preserve">V souladu s článkem 432 nařízení (EU) č. 575/2013 by subjekty zpřístupňující informace měly při posuzování, zda je informace podstatná, vyhrazená, nebo důvěrná, zohlednit příslušné obecné pokyny vydané orgánem EBA. </w:t>
      </w:r>
    </w:p>
    <w:p w14:paraId="334E45CF" w14:textId="77777777" w:rsidR="00911C0D" w:rsidRPr="00A512DA" w:rsidRDefault="00911C0D" w:rsidP="00911C0D">
      <w:pPr>
        <w:pStyle w:val="Considrant"/>
        <w:rPr>
          <w:noProof/>
        </w:rPr>
      </w:pPr>
      <w:r w:rsidRPr="00A512DA">
        <w:t>Povinnost podávat zprávy a zpřístupňovat informace o kapacitě TLAC stanovená v čl. 430 odst. 1 písm. b), článku 437a a čl. 447 písm. h) nařízení (EU) č. 575/2013 platí v souladu s čl. 3 odst. 3 druhým pododstavcem nařízení (EU) 2019/876 od 27. června 2019. Jakmile toto nařízení vstoupí v platnost, měly by instituce G-SVI a významné dceřiné podniky institucí G-SVI mimo Unii neprodleně zpřístupnit informace o kapacitě TLAC za použití šablon a podle pokynů stanovených v tomto nařízení. Podávání zpráv o kapacitě TLAC v souladu s tímto nařízením by však mělo začít platit až od 28. června 2021, aby se institucím a příslušným orgánům poskytl dostatek času na splnění příslušných požadavků.</w:t>
      </w:r>
    </w:p>
    <w:p w14:paraId="5CD8D630" w14:textId="554B47BE" w:rsidR="00911C0D" w:rsidRPr="00A512DA" w:rsidRDefault="00911C0D" w:rsidP="00911C0D">
      <w:pPr>
        <w:pStyle w:val="Considrant"/>
        <w:rPr>
          <w:noProof/>
        </w:rPr>
      </w:pPr>
      <w:r w:rsidRPr="00A512DA">
        <w:rPr>
          <w:color w:val="000000"/>
        </w:rPr>
        <w:t>Pokud jde o požadavek MREL, povinnost podávat zprávy stanovená ve směrnici 2014/59/EU má platit nejpozději od 28. prosince 2020. Ze stejných důvodů, které se týkají kapacity TLAC, by však všechny instituce měly o požadavku MREL podávat zprávy za použití šablon a podle pokynů stanovených v tomto nařízení od 28. června 2021. Avšak datum, odkdy platí povinnosti ohledně zpřístupňování informací o požadavku MREL, by mělo připadnout na konec přechodného období podle čl. 45m odst. 1 třetího pododstavce směrnice 2014/59/EU, tedy nejdříve na 1. leden 2024.</w:t>
      </w:r>
      <w:r w:rsidRPr="00A512DA">
        <w:t xml:space="preserve"> </w:t>
      </w:r>
    </w:p>
    <w:p w14:paraId="440C2F52" w14:textId="37997D46" w:rsidR="00D05552" w:rsidRPr="00A512DA" w:rsidRDefault="00EA09E4" w:rsidP="00EA09E4">
      <w:pPr>
        <w:pStyle w:val="Considrant"/>
        <w:rPr>
          <w:noProof/>
        </w:rPr>
      </w:pPr>
      <w:r w:rsidRPr="00A512DA">
        <w:t xml:space="preserve">Vzhledem k tomu, že je třeba, aby instituce, příslušné orgány a orgány příslušné k řešení krize upravily své systémy vykazování a elektronické systémy podle požadavků stanovených v tomto nařízení, měla by lhůta pro zasílání zpráv pro čtvrtletní vykazování k referenčnímu datu 30. června 2021 končit nejpozději dne 30. září 2021. </w:t>
      </w:r>
    </w:p>
    <w:p w14:paraId="059DCDED" w14:textId="77777777" w:rsidR="00911C0D" w:rsidRPr="00A512DA" w:rsidRDefault="00911C0D" w:rsidP="00911C0D">
      <w:pPr>
        <w:pStyle w:val="Considrant"/>
        <w:rPr>
          <w:noProof/>
        </w:rPr>
      </w:pPr>
      <w:r w:rsidRPr="00A512DA">
        <w:t>Toto nařízení vychází z návrhů prováděcích technických norem, které Komisi předložil orgán EBA.</w:t>
      </w:r>
    </w:p>
    <w:p w14:paraId="11F1B273" w14:textId="77777777" w:rsidR="00911C0D" w:rsidRPr="00A512DA" w:rsidRDefault="00911C0D" w:rsidP="00911C0D">
      <w:pPr>
        <w:pStyle w:val="Considrant"/>
        <w:rPr>
          <w:noProof/>
          <w:color w:val="000000"/>
        </w:rPr>
      </w:pPr>
      <w:r w:rsidRPr="00A512DA">
        <w:t>Orgán EBA uskutečnil k návrhům prováděcích technických norem, z nichž toto nařízení vychází, otevřené veřejné konzultace, analyzoval potenciální související náklady a přínosy a požádal o stanovisko skupinu subjektů působících v bankovnictví zřízenou v souladu s článkem 37 nařízení Evropského parlamentu a Rady (EU) č. 1093/2010</w:t>
      </w:r>
      <w:r w:rsidRPr="00A512DA">
        <w:rPr>
          <w:rStyle w:val="FootnoteReference"/>
        </w:rPr>
        <w:footnoteReference w:id="5"/>
      </w:r>
      <w:r w:rsidRPr="00A512DA">
        <w:t>,</w:t>
      </w:r>
    </w:p>
    <w:p w14:paraId="0057A5D8" w14:textId="77777777" w:rsidR="00911C0D" w:rsidRPr="00A512DA" w:rsidRDefault="00911C0D" w:rsidP="00911C0D">
      <w:pPr>
        <w:pStyle w:val="Formuledadoption"/>
      </w:pPr>
      <w:r w:rsidRPr="00A512DA">
        <w:lastRenderedPageBreak/>
        <w:t>PŘIJALA TOTO NAŘÍZENÍ:</w:t>
      </w:r>
    </w:p>
    <w:p w14:paraId="3D820E8F" w14:textId="77777777" w:rsidR="00911C0D" w:rsidRPr="00A512DA" w:rsidRDefault="00911C0D" w:rsidP="00911C0D">
      <w:pPr>
        <w:pStyle w:val="SectionTitle"/>
        <w:rPr>
          <w:b w:val="0"/>
          <w:i/>
        </w:rPr>
      </w:pPr>
      <w:r w:rsidRPr="00A512DA">
        <w:rPr>
          <w:b w:val="0"/>
          <w:i/>
        </w:rPr>
        <w:t>HLAVA I</w:t>
      </w:r>
      <w:r w:rsidRPr="00A512DA">
        <w:t xml:space="preserve"> </w:t>
      </w:r>
      <w:r w:rsidRPr="00A512DA">
        <w:br/>
      </w:r>
      <w:r w:rsidRPr="00A512DA">
        <w:rPr>
          <w:b w:val="0"/>
          <w:i/>
        </w:rPr>
        <w:t>PODÁVÁNÍ ZPRÁV PRO ÚČELY DOHLEDU</w:t>
      </w:r>
    </w:p>
    <w:p w14:paraId="41755B8B"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1</w:t>
      </w:r>
      <w:r w:rsidR="00063959">
        <w:fldChar w:fldCharType="end"/>
      </w:r>
      <w:r w:rsidRPr="00A512DA">
        <w:t xml:space="preserve"> </w:t>
      </w:r>
      <w:r w:rsidRPr="00A512DA">
        <w:br/>
        <w:t>Referenční data sledovaného období</w:t>
      </w:r>
    </w:p>
    <w:p w14:paraId="4E45B252" w14:textId="77777777" w:rsidR="00911C0D" w:rsidRPr="00A512DA" w:rsidRDefault="00911C0D" w:rsidP="00911C0D">
      <w:pPr>
        <w:keepNext/>
        <w:keepLines/>
        <w:spacing w:before="360"/>
        <w:rPr>
          <w:noProof/>
        </w:rPr>
      </w:pPr>
      <w:r w:rsidRPr="00A512DA">
        <w:t xml:space="preserve">Subjekty, které podléhají požadavkům na podávání zpráv o celkové kapacitě pro absorpci ztrát (TLAC) a o </w:t>
      </w:r>
      <w:r w:rsidRPr="00A512DA">
        <w:rPr>
          <w:sz w:val="23"/>
          <w:szCs w:val="23"/>
        </w:rPr>
        <w:t xml:space="preserve">minimálním požadavku na kapitál a způsobilé závazky </w:t>
      </w:r>
      <w:r w:rsidRPr="00A512DA">
        <w:t>(MREL) na individuálním nebo na konsolidovaném základě (vykazující subjekty), předloží příslušným orgánům a orgánům příslušným k řešení krize informace platné k následujícím referenčním datům vykazování:</w:t>
      </w:r>
    </w:p>
    <w:p w14:paraId="62D6D0EC" w14:textId="77777777" w:rsidR="00911C0D" w:rsidRPr="00A512DA" w:rsidRDefault="00911C0D" w:rsidP="00911C0D">
      <w:pPr>
        <w:pStyle w:val="Point0"/>
        <w:rPr>
          <w:noProof/>
        </w:rPr>
      </w:pPr>
      <w:r w:rsidRPr="00A512DA">
        <w:t>a)</w:t>
      </w:r>
      <w:r w:rsidRPr="00A512DA">
        <w:tab/>
        <w:t>čtvrtletní vykazování: ke dni 31. března, 30. června, 30. září a 31. prosince;</w:t>
      </w:r>
    </w:p>
    <w:p w14:paraId="6619E578" w14:textId="77777777" w:rsidR="00911C0D" w:rsidRPr="00A512DA" w:rsidRDefault="00911C0D" w:rsidP="00911C0D">
      <w:pPr>
        <w:pStyle w:val="Point0"/>
        <w:rPr>
          <w:noProof/>
        </w:rPr>
      </w:pPr>
      <w:r w:rsidRPr="00A512DA">
        <w:t>b)</w:t>
      </w:r>
      <w:r w:rsidRPr="00A512DA">
        <w:tab/>
        <w:t>pololetní vykazování: ke dni 30. června a 31. prosince;</w:t>
      </w:r>
    </w:p>
    <w:p w14:paraId="0A85107A" w14:textId="77777777" w:rsidR="00911C0D" w:rsidRPr="00A512DA" w:rsidRDefault="00911C0D" w:rsidP="00911C0D">
      <w:pPr>
        <w:pStyle w:val="Point0"/>
        <w:rPr>
          <w:noProof/>
        </w:rPr>
      </w:pPr>
      <w:r w:rsidRPr="00A512DA">
        <w:t>c)</w:t>
      </w:r>
      <w:r w:rsidRPr="00A512DA">
        <w:tab/>
        <w:t>roční vykazování: ke dni 31. prosince.</w:t>
      </w:r>
    </w:p>
    <w:p w14:paraId="2DD5D0AB"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2</w:t>
      </w:r>
      <w:r w:rsidR="00063959">
        <w:fldChar w:fldCharType="end"/>
      </w:r>
      <w:r w:rsidRPr="00A512DA">
        <w:t xml:space="preserve"> </w:t>
      </w:r>
      <w:r w:rsidRPr="00A512DA">
        <w:br/>
        <w:t>Lhůty pro zasílání zpráv</w:t>
      </w:r>
    </w:p>
    <w:p w14:paraId="7EB2FA5F" w14:textId="77777777" w:rsidR="00911C0D" w:rsidRPr="00A512DA" w:rsidRDefault="00911C0D" w:rsidP="00080A21">
      <w:pPr>
        <w:pStyle w:val="NumPar1"/>
        <w:numPr>
          <w:ilvl w:val="0"/>
          <w:numId w:val="2"/>
        </w:numPr>
        <w:rPr>
          <w:noProof/>
        </w:rPr>
      </w:pPr>
      <w:r w:rsidRPr="00A512DA">
        <w:t>Vykazující subjekty předloží informace příslušným orgánům a orgánům příslušným k řešení krize do konce běžné pracovní doby v následujících dnech pro zasílání zpráv:</w:t>
      </w:r>
    </w:p>
    <w:p w14:paraId="333C0EF1" w14:textId="4A7157D4" w:rsidR="00911C0D" w:rsidRPr="00A512DA" w:rsidRDefault="00BD272F" w:rsidP="00BD272F">
      <w:pPr>
        <w:pStyle w:val="Point1"/>
        <w:rPr>
          <w:noProof/>
        </w:rPr>
      </w:pPr>
      <w:r w:rsidRPr="00BD272F">
        <w:t>a)</w:t>
      </w:r>
      <w:r w:rsidRPr="00BD272F">
        <w:tab/>
      </w:r>
      <w:r w:rsidR="00911C0D" w:rsidRPr="00A512DA">
        <w:t>čtvrtletní vykazování: 19. května, 18. srpna, 18. listopadu a 18. února s výjimkou údajů k referenčnímu datu 30. června 2021, v jejichž př</w:t>
      </w:r>
      <w:r w:rsidR="00714E55">
        <w:t xml:space="preserve">ípadě lhůta pro zasílání zpráv </w:t>
      </w:r>
      <w:r w:rsidR="00911C0D" w:rsidRPr="00A512DA">
        <w:t>končí nejpozději dne 30. září 2021;</w:t>
      </w:r>
    </w:p>
    <w:p w14:paraId="2215F3EB" w14:textId="6F992C55" w:rsidR="00911C0D" w:rsidRPr="00A512DA" w:rsidRDefault="00BD272F" w:rsidP="00BD272F">
      <w:pPr>
        <w:pStyle w:val="Point1"/>
        <w:rPr>
          <w:noProof/>
        </w:rPr>
      </w:pPr>
      <w:r w:rsidRPr="00BD272F">
        <w:t>b)</w:t>
      </w:r>
      <w:r w:rsidRPr="00BD272F">
        <w:tab/>
      </w:r>
      <w:r w:rsidR="00911C0D" w:rsidRPr="00A512DA">
        <w:t>pololetní vykazování: 18. srpna a 18. února;</w:t>
      </w:r>
    </w:p>
    <w:p w14:paraId="3F3B32F9" w14:textId="1E89222E" w:rsidR="00911C0D" w:rsidRPr="00A512DA" w:rsidRDefault="00BD272F" w:rsidP="00BD272F">
      <w:pPr>
        <w:pStyle w:val="Point1"/>
        <w:rPr>
          <w:noProof/>
        </w:rPr>
      </w:pPr>
      <w:r w:rsidRPr="00BD272F">
        <w:t>c)</w:t>
      </w:r>
      <w:r w:rsidRPr="00BD272F">
        <w:tab/>
      </w:r>
      <w:r w:rsidR="00911C0D" w:rsidRPr="00A512DA">
        <w:t>roční vykazování: 18. února.</w:t>
      </w:r>
    </w:p>
    <w:p w14:paraId="5D1F4190" w14:textId="77777777" w:rsidR="00911C0D" w:rsidRPr="00A512DA" w:rsidRDefault="00911C0D" w:rsidP="00911C0D">
      <w:pPr>
        <w:pStyle w:val="NumPar1"/>
        <w:rPr>
          <w:noProof/>
        </w:rPr>
      </w:pPr>
      <w:r w:rsidRPr="00A512DA">
        <w:t>Pokud lhůta pro zaslání zprávy v členském státě příslušného orgánu nebo orgánu příslušného k řešení krize, jemuž se informace podle odstavce 1 předkládá, připadá na státní svátek nebo na sobotu či na neděli, předkládají se tyto informace v nejbližší následující pracovní den.</w:t>
      </w:r>
    </w:p>
    <w:p w14:paraId="1323199E" w14:textId="77777777" w:rsidR="00911C0D" w:rsidRPr="00A512DA" w:rsidRDefault="00911C0D" w:rsidP="00911C0D">
      <w:pPr>
        <w:pStyle w:val="NumPar1"/>
        <w:rPr>
          <w:noProof/>
        </w:rPr>
      </w:pPr>
      <w:r w:rsidRPr="00A512DA">
        <w:t xml:space="preserve">Vykazující subjekty mohou předkládat údaje, k nimž nebylo vydáno stanovisko externího auditora (neauditované údaje). Pokud se údaje auditované externím auditorem, který vydal stanovisko auditu, (auditované údaje) liší od předložených neauditovaných údajů, předloží vykazující subjekty bez zbytečného odkladu revidované auditované údaje. </w:t>
      </w:r>
    </w:p>
    <w:p w14:paraId="449A6FE1" w14:textId="77777777" w:rsidR="00911C0D" w:rsidRPr="00A512DA" w:rsidRDefault="00911C0D" w:rsidP="00911C0D">
      <w:pPr>
        <w:pStyle w:val="NumPar1"/>
        <w:rPr>
          <w:noProof/>
        </w:rPr>
      </w:pPr>
      <w:r w:rsidRPr="00A512DA">
        <w:t>Vykazující subjekty předkládají příslušným orgánům nebo orgánům příslušným k řešení krize bez zbytečného odkladu jakékoli další opravy.</w:t>
      </w:r>
    </w:p>
    <w:p w14:paraId="73C2EE64"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3</w:t>
      </w:r>
      <w:r w:rsidR="00063959">
        <w:fldChar w:fldCharType="end"/>
      </w:r>
      <w:r w:rsidRPr="00A512DA">
        <w:t xml:space="preserve"> </w:t>
      </w:r>
      <w:r w:rsidRPr="00A512DA">
        <w:br/>
        <w:t>Formát a četnost podávání zpráv subjekty řešícími krizi na individuálním základě</w:t>
      </w:r>
    </w:p>
    <w:p w14:paraId="18406280" w14:textId="77777777" w:rsidR="00911C0D" w:rsidRPr="00A512DA" w:rsidRDefault="00911C0D" w:rsidP="00080A21">
      <w:pPr>
        <w:pStyle w:val="NumPar1"/>
        <w:numPr>
          <w:ilvl w:val="0"/>
          <w:numId w:val="1"/>
        </w:numPr>
        <w:rPr>
          <w:noProof/>
        </w:rPr>
      </w:pPr>
      <w:r w:rsidRPr="00A512DA">
        <w:t>Subjekty bez dceřiných podniků řešící krizi, které podléhají požadavkům stanoveným v článku 45 směrnice 2014/59/EU v souladu s článkem 45e uvedené směrnice, předkládají příslušným orgánům a orgánům příslušným k řešení krize informace na individuálním základě takto:</w:t>
      </w:r>
    </w:p>
    <w:p w14:paraId="790F78D3" w14:textId="326B84C1" w:rsidR="00911C0D" w:rsidRPr="00A512DA" w:rsidRDefault="00BD272F" w:rsidP="00BD272F">
      <w:pPr>
        <w:pStyle w:val="Point1"/>
        <w:rPr>
          <w:noProof/>
        </w:rPr>
      </w:pPr>
      <w:r w:rsidRPr="00BD272F">
        <w:lastRenderedPageBreak/>
        <w:t>a)</w:t>
      </w:r>
      <w:r w:rsidRPr="00BD272F">
        <w:tab/>
      </w:r>
      <w:r w:rsidR="00911C0D" w:rsidRPr="00A512DA">
        <w:t>informace o hlavních parametrech podle sloupce 0010 šablony 1 přílohy I tohoto nařízení se vykazují jednou za čtvrtletí v souladu s pokyny v příloze II části II bodě 1 tohoto nařízení;</w:t>
      </w:r>
    </w:p>
    <w:p w14:paraId="619B3CEC" w14:textId="2EF143AE" w:rsidR="00911C0D" w:rsidRPr="00A512DA" w:rsidRDefault="00BD272F" w:rsidP="00BD272F">
      <w:pPr>
        <w:pStyle w:val="Point1"/>
        <w:rPr>
          <w:noProof/>
        </w:rPr>
      </w:pPr>
      <w:r w:rsidRPr="00BD272F">
        <w:t>b)</w:t>
      </w:r>
      <w:r w:rsidRPr="00BD272F">
        <w:tab/>
      </w:r>
      <w:r w:rsidR="00911C0D" w:rsidRPr="00A512DA">
        <w:t>informace o složení kapitálu a způsobilých závazků podle sloupce 0010 šablony 2 přílohy I tohoto nařízení se vykazují jednou za čtvrtletí v souladu s pokyny v příloze II části II bodě 2.1 tohoto nařízení;</w:t>
      </w:r>
    </w:p>
    <w:p w14:paraId="1B7D16C2" w14:textId="60E86C89" w:rsidR="00911C0D" w:rsidRPr="00A512DA" w:rsidRDefault="00BD272F" w:rsidP="00BD272F">
      <w:pPr>
        <w:pStyle w:val="Point1"/>
        <w:rPr>
          <w:noProof/>
        </w:rPr>
      </w:pPr>
      <w:r w:rsidRPr="00BD272F">
        <w:t>c)</w:t>
      </w:r>
      <w:r w:rsidRPr="00BD272F">
        <w:tab/>
      </w:r>
      <w:r w:rsidR="00911C0D" w:rsidRPr="00A512DA">
        <w:t>informace o struktuře financování způsobilých závazků podle šablony 4 přílohy I tohoto nařízení se vykazují jednou za čtvrtletí v souladu s pokyny v příloze II části II bodě 2.3 tohoto nařízení;</w:t>
      </w:r>
    </w:p>
    <w:p w14:paraId="28DECEF8" w14:textId="582F48FC" w:rsidR="00911C0D" w:rsidRPr="00A512DA" w:rsidRDefault="00BD272F" w:rsidP="00BD272F">
      <w:pPr>
        <w:pStyle w:val="Point1"/>
        <w:rPr>
          <w:noProof/>
        </w:rPr>
      </w:pPr>
      <w:r w:rsidRPr="00BD272F">
        <w:t>d)</w:t>
      </w:r>
      <w:r w:rsidRPr="00BD272F">
        <w:tab/>
      </w:r>
      <w:r w:rsidR="00911C0D" w:rsidRPr="00A512DA">
        <w:t>informace o nástrojích podléhajících právním předpisům třetí země podle šablony 7 přílohy I tohoto nařízení se vykazují jednou za čtvrtletí v souladu s pokyny v příloze II části II bodě 4 tohoto nařízení.</w:t>
      </w:r>
    </w:p>
    <w:p w14:paraId="06B6C64E" w14:textId="77777777" w:rsidR="00911C0D" w:rsidRPr="00A512DA" w:rsidRDefault="00911C0D" w:rsidP="00080A21">
      <w:pPr>
        <w:pStyle w:val="NumPar1"/>
        <w:numPr>
          <w:ilvl w:val="0"/>
          <w:numId w:val="1"/>
        </w:numPr>
        <w:rPr>
          <w:noProof/>
        </w:rPr>
      </w:pPr>
      <w:r w:rsidRPr="00A512DA">
        <w:t>Subjekty řešící krizi předkládají příslušným orgánům a orgánům příslušným k řešení krize informace o členění kapitálu a závazků podle pořadí pohledávek podle šablony 6 přílohy I na individuálním základě jednou za čtvrtletí v souladu s pokyny v příloze II části II bodě 3.2.</w:t>
      </w:r>
    </w:p>
    <w:p w14:paraId="2CE25962" w14:textId="77777777" w:rsidR="00911C0D" w:rsidRPr="00A512DA" w:rsidRDefault="00911C0D" w:rsidP="00080A21">
      <w:pPr>
        <w:pStyle w:val="NumPar1"/>
        <w:numPr>
          <w:ilvl w:val="0"/>
          <w:numId w:val="1"/>
        </w:numPr>
        <w:rPr>
          <w:noProof/>
        </w:rPr>
      </w:pPr>
      <w:r w:rsidRPr="00A512DA">
        <w:t>Subjekty řešící krizi, které podléhají požadavkům stanoveným v článku 92a nařízení (EU) č. 575/2013 na individuálním základě v souladu s čl. 6 odst. 1a uvedeného nařízení, předkládají příslušným orgánům a orgánům příslušným k řešení krize vedle informací uvedených v odstavcích 1 a 2 informace na individuálním základě takto:</w:t>
      </w:r>
    </w:p>
    <w:p w14:paraId="028BBD2D" w14:textId="6206CE51" w:rsidR="00911C0D" w:rsidRPr="00A512DA" w:rsidRDefault="00BD272F" w:rsidP="00BD272F">
      <w:pPr>
        <w:pStyle w:val="Point1"/>
        <w:rPr>
          <w:noProof/>
        </w:rPr>
      </w:pPr>
      <w:r w:rsidRPr="00BD272F">
        <w:t>a)</w:t>
      </w:r>
      <w:r w:rsidRPr="00BD272F">
        <w:tab/>
      </w:r>
      <w:r w:rsidR="00911C0D" w:rsidRPr="00A512DA">
        <w:t>informace o hlavních parametrech podle sloupce 0020 šablony 1 přílohy I tohoto nařízení se vykazují jednou za čtvrtletí v souladu s pokyny v příloze II části II bodě 1 tohoto nařízení;</w:t>
      </w:r>
    </w:p>
    <w:p w14:paraId="45E52025" w14:textId="22006963" w:rsidR="00911C0D" w:rsidRPr="00A512DA" w:rsidRDefault="00BD272F" w:rsidP="00BD272F">
      <w:pPr>
        <w:pStyle w:val="Point1"/>
        <w:rPr>
          <w:noProof/>
        </w:rPr>
      </w:pPr>
      <w:r w:rsidRPr="00BD272F">
        <w:t>b)</w:t>
      </w:r>
      <w:r w:rsidRPr="00BD272F">
        <w:tab/>
      </w:r>
      <w:r w:rsidR="00911C0D" w:rsidRPr="00A512DA">
        <w:t>informace o složení kapitálu a způsobilých závazků podle sloupců 0020 a 0030 šablony 2 přílohy I tohoto nařízení se vykazují jednou za čtvrtletí v souladu s pokyny v příloze II části II bodě 2.1 tohoto nařízení.</w:t>
      </w:r>
    </w:p>
    <w:p w14:paraId="020EF926"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4</w:t>
      </w:r>
      <w:r w:rsidR="00063959">
        <w:fldChar w:fldCharType="end"/>
      </w:r>
      <w:r w:rsidRPr="00A512DA">
        <w:t xml:space="preserve"> </w:t>
      </w:r>
      <w:r w:rsidRPr="00A512DA">
        <w:br/>
        <w:t>Formát a četnost podávání zpráv subjekty řešícími krizi na konsolidovaném základě</w:t>
      </w:r>
    </w:p>
    <w:p w14:paraId="1378D8C9" w14:textId="77777777" w:rsidR="00911C0D" w:rsidRPr="00A512DA" w:rsidRDefault="00911C0D" w:rsidP="00080A21">
      <w:pPr>
        <w:pStyle w:val="NumPar1"/>
        <w:numPr>
          <w:ilvl w:val="0"/>
          <w:numId w:val="3"/>
        </w:numPr>
        <w:rPr>
          <w:noProof/>
        </w:rPr>
      </w:pPr>
      <w:r w:rsidRPr="00A512DA">
        <w:t>Subjekty řešící krizi, které podléhají požadavkům stanoveným v článku 45 směrnice 2014/59/EU na konsolidovaném základě v souladu s článkem 45e uvedené směrnice, předkládají příslušným orgánům a orgánům příslušným k řešení krize informace na konsolidovaném základě takto:</w:t>
      </w:r>
    </w:p>
    <w:p w14:paraId="1E21506B" w14:textId="58C4A30D" w:rsidR="00911C0D" w:rsidRPr="00A512DA" w:rsidRDefault="00BD272F" w:rsidP="00BD272F">
      <w:pPr>
        <w:pStyle w:val="Point1"/>
        <w:rPr>
          <w:noProof/>
        </w:rPr>
      </w:pPr>
      <w:r w:rsidRPr="00BD272F">
        <w:t>a)</w:t>
      </w:r>
      <w:r w:rsidRPr="00BD272F">
        <w:tab/>
      </w:r>
      <w:r w:rsidR="00911C0D" w:rsidRPr="00A512DA">
        <w:t>informace o hlavních parametrech podle sloupce 0010 šablony 1 přílohy I tohoto nařízení se vykazují jednou za čtvrtletí v souladu s pokyny v příloze II části II bodě 1 tohoto nařízení;</w:t>
      </w:r>
    </w:p>
    <w:p w14:paraId="7F16E897" w14:textId="749A3745" w:rsidR="00911C0D" w:rsidRPr="00A512DA" w:rsidRDefault="00BD272F" w:rsidP="00BD272F">
      <w:pPr>
        <w:pStyle w:val="Point1"/>
        <w:rPr>
          <w:noProof/>
        </w:rPr>
      </w:pPr>
      <w:r w:rsidRPr="00BD272F">
        <w:t>b)</w:t>
      </w:r>
      <w:r w:rsidRPr="00BD272F">
        <w:tab/>
      </w:r>
      <w:r w:rsidR="00911C0D" w:rsidRPr="00A512DA">
        <w:t>informace o složení kapitálu a způsobilých závazků podle sloupce 0010 šablony 2 přílohy I tohoto nařízení se vykazují jednou za čtvrtletí v souladu s pokyny v příloze II části II bodě 2.1 tohoto nařízení;</w:t>
      </w:r>
    </w:p>
    <w:p w14:paraId="2CE5F340" w14:textId="72364432" w:rsidR="00911C0D" w:rsidRPr="00A512DA" w:rsidRDefault="00BD272F" w:rsidP="00BD272F">
      <w:pPr>
        <w:pStyle w:val="Point1"/>
        <w:rPr>
          <w:noProof/>
        </w:rPr>
      </w:pPr>
      <w:r w:rsidRPr="00BD272F">
        <w:t>c)</w:t>
      </w:r>
      <w:r w:rsidRPr="00BD272F">
        <w:tab/>
      </w:r>
      <w:r w:rsidR="00911C0D" w:rsidRPr="00A512DA">
        <w:t>informace o struktuře financování způsobilých závazků podle šablony 4 přílohy I tohoto nařízení se vykazují jednou za čtvrtletí v souladu s pokyny v příloze II části II bodě 2.3 tohoto nařízení;</w:t>
      </w:r>
    </w:p>
    <w:p w14:paraId="0CB1A49C" w14:textId="7EF328E1" w:rsidR="00911C0D" w:rsidRPr="00A512DA" w:rsidRDefault="00BD272F" w:rsidP="00BD272F">
      <w:pPr>
        <w:pStyle w:val="Point1"/>
        <w:rPr>
          <w:noProof/>
        </w:rPr>
      </w:pPr>
      <w:r w:rsidRPr="00BD272F">
        <w:t>d)</w:t>
      </w:r>
      <w:r w:rsidRPr="00BD272F">
        <w:tab/>
      </w:r>
      <w:r w:rsidR="00911C0D" w:rsidRPr="00A512DA">
        <w:t>informace o nástrojích podléhajících právním předpisům třetí země podle šablony 7 přílohy I tohoto nařízení se vykazují jednou za čtvrtletí v souladu s pokyny v příloze II části II bodě 4 tohoto nařízení.</w:t>
      </w:r>
    </w:p>
    <w:p w14:paraId="1604BDA8" w14:textId="77777777" w:rsidR="00911C0D" w:rsidRPr="00A512DA" w:rsidRDefault="00911C0D" w:rsidP="00080A21">
      <w:pPr>
        <w:pStyle w:val="NumPar1"/>
        <w:numPr>
          <w:ilvl w:val="0"/>
          <w:numId w:val="3"/>
        </w:numPr>
        <w:rPr>
          <w:noProof/>
        </w:rPr>
      </w:pPr>
      <w:r w:rsidRPr="00A512DA">
        <w:lastRenderedPageBreak/>
        <w:t>Subjekty řešící krizi, které podléhají požadavkům stanoveným v článku 92a nařízení (EU) č. 575/2013 na konsolidovaném základě v souladu s čl. 11 odst. 3a uvedeného nařízení, předkládají příslušným orgánům a orgánům příslušným k řešení krize vedle informací uvedených v odstavci 1 informace na konsolidovaném základě takto:</w:t>
      </w:r>
    </w:p>
    <w:p w14:paraId="4EEC865C" w14:textId="708C7B66" w:rsidR="00911C0D" w:rsidRPr="00A512DA" w:rsidRDefault="00BD272F" w:rsidP="00BD272F">
      <w:pPr>
        <w:pStyle w:val="Point1"/>
        <w:rPr>
          <w:noProof/>
        </w:rPr>
      </w:pPr>
      <w:r w:rsidRPr="00BD272F">
        <w:t>a)</w:t>
      </w:r>
      <w:r w:rsidRPr="00BD272F">
        <w:tab/>
      </w:r>
      <w:r w:rsidR="00911C0D" w:rsidRPr="00A512DA">
        <w:t>informace o hlavních parametrech podle sloupce 0020 šablony 1 přílohy I tohoto nařízení se vykazují jednou za čtvrtletí v souladu s pokyny v příloze II části II bodě 1 tohoto nařízení;</w:t>
      </w:r>
    </w:p>
    <w:p w14:paraId="62EB5754" w14:textId="1E26CD68" w:rsidR="00911C0D" w:rsidRPr="00A512DA" w:rsidRDefault="00BD272F" w:rsidP="00BD272F">
      <w:pPr>
        <w:pStyle w:val="Point1"/>
        <w:rPr>
          <w:noProof/>
        </w:rPr>
      </w:pPr>
      <w:r w:rsidRPr="00BD272F">
        <w:t>b)</w:t>
      </w:r>
      <w:r w:rsidRPr="00BD272F">
        <w:tab/>
      </w:r>
      <w:r w:rsidR="00911C0D" w:rsidRPr="00A512DA">
        <w:t>informace o složení kapitálu a způsobilých závazků podle sloupců 0020 a 0030 šablony 2 přílohy I tohoto nařízení se vykazují jednou za čtvrtletí v souladu s pokyny v příloze II části II bodě 2.1 tohoto nařízení.</w:t>
      </w:r>
    </w:p>
    <w:p w14:paraId="79821E88" w14:textId="4B1521DA" w:rsidR="00911C0D" w:rsidRPr="00A512DA" w:rsidRDefault="00515BFC" w:rsidP="00911C0D">
      <w:pPr>
        <w:pStyle w:val="Titrearticle"/>
      </w:pPr>
      <w:r>
        <w:t>Článek</w:t>
      </w:r>
      <w:r w:rsidR="00911C0D" w:rsidRPr="00A512DA">
        <w:t xml:space="preserve"> </w:t>
      </w:r>
      <w:r w:rsidR="00063959">
        <w:fldChar w:fldCharType="begin"/>
      </w:r>
      <w:r w:rsidR="00063959">
        <w:instrText xml:space="preserve"> SEQ Figure \* ARABIC </w:instrText>
      </w:r>
      <w:r w:rsidR="00063959">
        <w:fldChar w:fldCharType="separate"/>
      </w:r>
      <w:r w:rsidR="00911C0D" w:rsidRPr="00A512DA">
        <w:t>5</w:t>
      </w:r>
      <w:r w:rsidR="00063959">
        <w:fldChar w:fldCharType="end"/>
      </w:r>
      <w:r w:rsidR="00911C0D" w:rsidRPr="00A512DA">
        <w:t xml:space="preserve"> </w:t>
      </w:r>
      <w:r w:rsidR="00911C0D" w:rsidRPr="00A512DA">
        <w:br/>
        <w:t>Formát a četnost podávání zpráv na individuálním základě subjekty, které samy nejsou subjekty řešícími krizi, a významnými dceřinými podniky globálních systémově významných institucí mimo EU</w:t>
      </w:r>
    </w:p>
    <w:p w14:paraId="0FDA52A0" w14:textId="77777777" w:rsidR="00911C0D" w:rsidRPr="00A512DA" w:rsidRDefault="00911C0D" w:rsidP="00080A21">
      <w:pPr>
        <w:pStyle w:val="NumPar1"/>
        <w:numPr>
          <w:ilvl w:val="0"/>
          <w:numId w:val="4"/>
        </w:numPr>
        <w:rPr>
          <w:noProof/>
        </w:rPr>
      </w:pPr>
      <w:r w:rsidRPr="00A512DA">
        <w:t>Subjekty, které samy nejsou subjekty řešícími krizi a podléhají požadavkům stanoveným v článku 45 směrnice 2014/59/EU na individuálním základě v souladu s článkem 45f uvedené směrnice, předkládají příslušným orgánům a orgánům příslušným k řešení krize informace na individuálním základě takto:</w:t>
      </w:r>
    </w:p>
    <w:p w14:paraId="45A08A7C" w14:textId="03123433" w:rsidR="00911C0D" w:rsidRPr="00A512DA" w:rsidRDefault="00BD272F" w:rsidP="00BD272F">
      <w:pPr>
        <w:pStyle w:val="Point1"/>
        <w:rPr>
          <w:noProof/>
        </w:rPr>
      </w:pPr>
      <w:r w:rsidRPr="00BD272F">
        <w:t>a)</w:t>
      </w:r>
      <w:r w:rsidRPr="00BD272F">
        <w:tab/>
      </w:r>
      <w:r w:rsidR="00911C0D" w:rsidRPr="00A512DA">
        <w:t>informace o výši a složení kapitálu a způsobilých závazků podle sloupce 0010 šablony 3 přílohy I tohoto nařízení se vykazují jednou za čtvrtletí v souladu s pokyny v příloze II části II bodě 2.2 tohoto nařízení;</w:t>
      </w:r>
    </w:p>
    <w:p w14:paraId="3AED8007" w14:textId="650C082B" w:rsidR="00911C0D" w:rsidRPr="00A512DA" w:rsidRDefault="00BD272F" w:rsidP="00BD272F">
      <w:pPr>
        <w:pStyle w:val="Point1"/>
        <w:rPr>
          <w:noProof/>
        </w:rPr>
      </w:pPr>
      <w:r w:rsidRPr="00BD272F">
        <w:t>b)</w:t>
      </w:r>
      <w:r w:rsidRPr="00BD272F">
        <w:tab/>
      </w:r>
      <w:r w:rsidR="00911C0D" w:rsidRPr="00A512DA">
        <w:t>informace o struktuře financování způsobilých závazků podle šablony 4 přílohy I tohoto nařízení se vykazují jednou za čtvrtletí v souladu s pokyny v příloze II části II bodě 2.3 tohoto nařízení;</w:t>
      </w:r>
    </w:p>
    <w:p w14:paraId="4455633C" w14:textId="40297165" w:rsidR="00911C0D" w:rsidRPr="00A512DA" w:rsidRDefault="00BD272F" w:rsidP="00BD272F">
      <w:pPr>
        <w:pStyle w:val="Point1"/>
        <w:rPr>
          <w:noProof/>
        </w:rPr>
      </w:pPr>
      <w:r w:rsidRPr="00BD272F">
        <w:t>c)</w:t>
      </w:r>
      <w:r w:rsidRPr="00BD272F">
        <w:tab/>
      </w:r>
      <w:r w:rsidR="00911C0D" w:rsidRPr="00A512DA">
        <w:t>informace o nástrojích podléhajících právním předpisům třetí země podle šablony 7 přílohy I tohoto nařízení se vykazují jednou za čtvrtletí v souladu s pokyny v příloze II části II bodě 4 tohoto nařízení.</w:t>
      </w:r>
    </w:p>
    <w:p w14:paraId="1ACCD4B5" w14:textId="77777777" w:rsidR="00911C0D" w:rsidRPr="00A512DA" w:rsidRDefault="00911C0D" w:rsidP="00080A21">
      <w:pPr>
        <w:pStyle w:val="NumPar1"/>
        <w:numPr>
          <w:ilvl w:val="0"/>
          <w:numId w:val="4"/>
        </w:numPr>
        <w:rPr>
          <w:noProof/>
        </w:rPr>
      </w:pPr>
      <w:r w:rsidRPr="00A512DA">
        <w:t>Subjekty, které samy nejsou subjekty řešícími krizi, předkládají příslušným orgánům a orgánům příslušným k řešení krize informace o členění kapitálu a závazků podle pořadí pohledávek podle šablony 5 přílohy I na individuálním základě jednou za čtvrtletí v souladu s pokyny v příloze II části II bodě 3.1.</w:t>
      </w:r>
    </w:p>
    <w:p w14:paraId="3F08EA69" w14:textId="77777777" w:rsidR="00911C0D" w:rsidRPr="00A512DA" w:rsidRDefault="00911C0D" w:rsidP="00080A21">
      <w:pPr>
        <w:pStyle w:val="NumPar1"/>
        <w:numPr>
          <w:ilvl w:val="0"/>
          <w:numId w:val="4"/>
        </w:numPr>
        <w:rPr>
          <w:noProof/>
        </w:rPr>
      </w:pPr>
      <w:r w:rsidRPr="00A512DA">
        <w:t>Subjekty, které jsou významnými dceřinými podniky globálních systémově významných institucí (G-SVI) mimo EU a podléhají požadavkům stanoveným v článku 92b nařízení (EU) č. 575/2013 na individuálním základě v souladu s čl. 6 odst. 1a uvedeného nařízení, předkládají příslušným orgánům a orgánům příslušným k řešení krize vedle informací uvedených v odstavcích 1 a 2 informace o výši a složení kapitálu a způsobilých závazků podle sloupce 0020 šablony 3 přílohy I tohoto nařízení na individuálním základě jednou za čtvrtletí v souladu s pokyny v příloze II části II bodě 2.2 tohoto nařízení.</w:t>
      </w:r>
    </w:p>
    <w:p w14:paraId="5415A2FF" w14:textId="35678639" w:rsidR="00911C0D" w:rsidRPr="00A512DA" w:rsidRDefault="00515BFC" w:rsidP="00911C0D">
      <w:pPr>
        <w:pStyle w:val="Titrearticle"/>
      </w:pPr>
      <w:r>
        <w:lastRenderedPageBreak/>
        <w:t>Článek</w:t>
      </w:r>
      <w:r w:rsidR="00911C0D" w:rsidRPr="00A512DA">
        <w:t xml:space="preserve"> </w:t>
      </w:r>
      <w:r w:rsidR="00063959">
        <w:fldChar w:fldCharType="begin"/>
      </w:r>
      <w:r w:rsidR="00063959">
        <w:instrText xml:space="preserve"> SEQ Figure \* ARABIC </w:instrText>
      </w:r>
      <w:r w:rsidR="00063959">
        <w:fldChar w:fldCharType="separate"/>
      </w:r>
      <w:r w:rsidR="00911C0D" w:rsidRPr="00A512DA">
        <w:t>6</w:t>
      </w:r>
      <w:r w:rsidR="00063959">
        <w:fldChar w:fldCharType="end"/>
      </w:r>
      <w:r w:rsidR="00911C0D" w:rsidRPr="00A512DA">
        <w:t xml:space="preserve"> </w:t>
      </w:r>
      <w:r w:rsidR="00911C0D" w:rsidRPr="00A512DA">
        <w:br/>
        <w:t xml:space="preserve">Formát a četnost podávání zpráv na konsolidovaném základě subjekty, které samy nejsou subjekty řešícími krizi, a významnými dceřinými podniky globálních systémově významných institucí mimo EU </w:t>
      </w:r>
    </w:p>
    <w:p w14:paraId="5D1AFD35" w14:textId="77777777" w:rsidR="00911C0D" w:rsidRPr="00A512DA" w:rsidRDefault="00911C0D" w:rsidP="00080A21">
      <w:pPr>
        <w:pStyle w:val="NumPar1"/>
        <w:numPr>
          <w:ilvl w:val="0"/>
          <w:numId w:val="5"/>
        </w:numPr>
        <w:rPr>
          <w:noProof/>
        </w:rPr>
      </w:pPr>
      <w:r w:rsidRPr="00A512DA">
        <w:t>Subjekty, které samy nejsou subjekty řešícími krizi a podléhají požadavkům stanoveným v článku 45 směrnice 2014/59/EU na konsolidovaném základě v souladu s článkem 45f uvedené směrnice, předkládají příslušným orgánům a orgánům příslušným k řešení krize informace na konsolidovaném základě takto:</w:t>
      </w:r>
    </w:p>
    <w:p w14:paraId="6F70BBA8" w14:textId="763E4C53" w:rsidR="00911C0D" w:rsidRPr="00A512DA" w:rsidRDefault="00BD272F" w:rsidP="00BD272F">
      <w:pPr>
        <w:pStyle w:val="Point1"/>
        <w:rPr>
          <w:noProof/>
        </w:rPr>
      </w:pPr>
      <w:r w:rsidRPr="00BD272F">
        <w:t>a)</w:t>
      </w:r>
      <w:r w:rsidRPr="00BD272F">
        <w:tab/>
      </w:r>
      <w:r w:rsidR="00911C0D" w:rsidRPr="00A512DA">
        <w:t>informace o výši a složení kapitálu a způsobilých závazků podle sloupce 0010 šablony 3 přílohy I tohoto nařízení se vykazují jednou za čtvrtletí v souladu s pokyny v příloze II části II bodě 2.2 tohoto nařízení;</w:t>
      </w:r>
    </w:p>
    <w:p w14:paraId="52DC2154" w14:textId="2E89D407" w:rsidR="00911C0D" w:rsidRPr="00A512DA" w:rsidRDefault="00BD272F" w:rsidP="00BD272F">
      <w:pPr>
        <w:pStyle w:val="Point1"/>
        <w:rPr>
          <w:noProof/>
        </w:rPr>
      </w:pPr>
      <w:r w:rsidRPr="00BD272F">
        <w:t>b)</w:t>
      </w:r>
      <w:r w:rsidRPr="00BD272F">
        <w:tab/>
      </w:r>
      <w:r w:rsidR="00911C0D" w:rsidRPr="00A512DA">
        <w:t>informace o struktuře financování způsobilých závazků podle šablony 4 přílohy I tohoto nařízení se vykazují jednou za čtvrtletí v souladu s pokyny v příloze II části II bodě 2.3 tohoto nařízení;</w:t>
      </w:r>
    </w:p>
    <w:p w14:paraId="61F772BF" w14:textId="2F4A8DB1" w:rsidR="00911C0D" w:rsidRPr="00A512DA" w:rsidRDefault="00BD272F" w:rsidP="00BD272F">
      <w:pPr>
        <w:pStyle w:val="Point1"/>
        <w:rPr>
          <w:noProof/>
        </w:rPr>
      </w:pPr>
      <w:r w:rsidRPr="00BD272F">
        <w:t>c)</w:t>
      </w:r>
      <w:r w:rsidRPr="00BD272F">
        <w:tab/>
      </w:r>
      <w:r w:rsidR="00911C0D" w:rsidRPr="00A512DA">
        <w:t>informace o nástrojích podléhajících právním předpisům třetí země podle šablony 7 přílohy I tohoto nařízení se vykazují jednou za čtvrtletí v souladu s pokyny v příloze II části II bodě 4 tohoto nařízení.</w:t>
      </w:r>
    </w:p>
    <w:p w14:paraId="6CFA046B" w14:textId="77777777" w:rsidR="00911C0D" w:rsidRPr="00A512DA" w:rsidRDefault="00911C0D" w:rsidP="00080A21">
      <w:pPr>
        <w:pStyle w:val="NumPar1"/>
        <w:numPr>
          <w:ilvl w:val="0"/>
          <w:numId w:val="5"/>
        </w:numPr>
        <w:rPr>
          <w:noProof/>
        </w:rPr>
      </w:pPr>
      <w:r w:rsidRPr="00A512DA">
        <w:t>Subjekty, které jsou významnými dceřinými podniky institucí G-SVI mimo EU a podléhají požadavkům stanoveným v článku 92b nařízení (EU) č. 575/2013 na konsolidovaném základě v souladu s čl. 11 odst. 3a uvedeného nařízení, předkládají příslušným orgánům a orgánům příslušným k řešení krize vedle informací uvedených v odstavci 1 informace o výši a složení kapitálu a způsobilých závazků podle sloupce 0020 šablony 3 přílohy I tohoto nařízení na konsolidovaném základě jednou za čtvrtletí v souladu s pokyny v příloze II části II bodě 2.2 tohoto nařízení.</w:t>
      </w:r>
    </w:p>
    <w:p w14:paraId="4E886073" w14:textId="77777777" w:rsidR="00911C0D" w:rsidRPr="00A512DA" w:rsidRDefault="00911C0D" w:rsidP="00146633">
      <w:pPr>
        <w:pStyle w:val="Titrearticle"/>
        <w:rPr>
          <w:i w:val="0"/>
        </w:rPr>
      </w:pPr>
      <w:r w:rsidRPr="00A512DA">
        <w:t xml:space="preserve">Článek </w:t>
      </w:r>
      <w:r w:rsidR="00063959">
        <w:fldChar w:fldCharType="begin"/>
      </w:r>
      <w:r w:rsidR="00063959">
        <w:instrText xml:space="preserve"> SEQ Figure \* ARABIC </w:instrText>
      </w:r>
      <w:r w:rsidR="00063959">
        <w:fldChar w:fldCharType="separate"/>
      </w:r>
      <w:r w:rsidRPr="00A512DA">
        <w:t>7</w:t>
      </w:r>
      <w:r w:rsidR="00063959">
        <w:fldChar w:fldCharType="end"/>
      </w:r>
      <w:r w:rsidRPr="00A512DA">
        <w:t xml:space="preserve"> </w:t>
      </w:r>
      <w:r w:rsidRPr="00A512DA">
        <w:br/>
        <w:t>Formáty pro výměnu údajů a informace související s předkládáním zpráv</w:t>
      </w:r>
    </w:p>
    <w:p w14:paraId="60E9050D" w14:textId="77777777" w:rsidR="00911C0D" w:rsidRPr="00A512DA" w:rsidRDefault="00911C0D" w:rsidP="00080A21">
      <w:pPr>
        <w:pStyle w:val="NumPar1"/>
        <w:numPr>
          <w:ilvl w:val="0"/>
          <w:numId w:val="6"/>
        </w:numPr>
        <w:rPr>
          <w:noProof/>
        </w:rPr>
      </w:pPr>
      <w:r w:rsidRPr="00A512DA">
        <w:t>Vykazující subjekty předkládají informace v souladu s tímto nařízením ve formátech pro výměnu údajů a ve výkazech určených příslušnými orgány nebo orgány příslušnými k řešení krize a v souladu s vymezením datového bodu v modelu datových polí a s pravidly pro ověřování stanovenými v příloze III tohoto nařízení.</w:t>
      </w:r>
    </w:p>
    <w:p w14:paraId="6673A56D" w14:textId="77777777" w:rsidR="00911C0D" w:rsidRPr="00A512DA" w:rsidRDefault="00911C0D" w:rsidP="00080A21">
      <w:pPr>
        <w:pStyle w:val="NumPar1"/>
        <w:numPr>
          <w:ilvl w:val="0"/>
          <w:numId w:val="5"/>
        </w:numPr>
        <w:rPr>
          <w:noProof/>
        </w:rPr>
      </w:pPr>
      <w:r w:rsidRPr="00A512DA">
        <w:t>Při předkládání informací v souladu s tímto nařízením dodrží vykazující subjekty následující pravidla:</w:t>
      </w:r>
    </w:p>
    <w:p w14:paraId="7D9E4167" w14:textId="492457D0" w:rsidR="00911C0D" w:rsidRPr="00A512DA" w:rsidRDefault="00BD272F" w:rsidP="00BD272F">
      <w:pPr>
        <w:pStyle w:val="Point1"/>
        <w:rPr>
          <w:noProof/>
        </w:rPr>
      </w:pPr>
      <w:r w:rsidRPr="00BD272F">
        <w:t>a)</w:t>
      </w:r>
      <w:r w:rsidRPr="00BD272F">
        <w:tab/>
      </w:r>
      <w:r w:rsidR="00911C0D" w:rsidRPr="00A512DA">
        <w:t xml:space="preserve">součástí předkládaných údajů nejsou informace, které nejsou vyžadovány nebo jsou v daném případě bezpředmětné; </w:t>
      </w:r>
    </w:p>
    <w:p w14:paraId="3B400175" w14:textId="4AC7B54E" w:rsidR="00911C0D" w:rsidRPr="00A512DA" w:rsidRDefault="00BD272F" w:rsidP="00BD272F">
      <w:pPr>
        <w:pStyle w:val="Point1"/>
        <w:rPr>
          <w:noProof/>
        </w:rPr>
      </w:pPr>
      <w:r w:rsidRPr="00BD272F">
        <w:t>b)</w:t>
      </w:r>
      <w:r w:rsidRPr="00BD272F">
        <w:tab/>
      </w:r>
      <w:r w:rsidR="00911C0D" w:rsidRPr="00A512DA">
        <w:t>číselné hodnoty se předkládají takto:</w:t>
      </w:r>
    </w:p>
    <w:p w14:paraId="2184B4DB" w14:textId="77777777" w:rsidR="00911C0D" w:rsidRPr="00A512DA" w:rsidRDefault="00911C0D" w:rsidP="00146633">
      <w:pPr>
        <w:pStyle w:val="Point2"/>
      </w:pPr>
      <w:r w:rsidRPr="00A512DA">
        <w:t>i)</w:t>
      </w:r>
      <w:r w:rsidRPr="00A512DA">
        <w:tab/>
        <w:t xml:space="preserve">pole s údaji typu „měna“ se vykazují s minimální přesností odpovídající tisícům jednotek; </w:t>
      </w:r>
    </w:p>
    <w:p w14:paraId="7B1AF6BE" w14:textId="77777777" w:rsidR="00911C0D" w:rsidRPr="00A512DA" w:rsidRDefault="00911C0D" w:rsidP="00146633">
      <w:pPr>
        <w:pStyle w:val="Point2"/>
      </w:pPr>
      <w:r w:rsidRPr="00A512DA">
        <w:t>ii)</w:t>
      </w:r>
      <w:r w:rsidRPr="00A512DA">
        <w:tab/>
        <w:t xml:space="preserve">pole s údaji typu „procento“ se pro každou jednotku vyjádří s minimální přesností odpovídající čtyřem desetinným místům; </w:t>
      </w:r>
    </w:p>
    <w:p w14:paraId="5478D846" w14:textId="77777777" w:rsidR="00911C0D" w:rsidRPr="00A512DA" w:rsidRDefault="00911C0D" w:rsidP="00146633">
      <w:pPr>
        <w:pStyle w:val="Point2"/>
      </w:pPr>
      <w:r w:rsidRPr="00A512DA">
        <w:t>iii)</w:t>
      </w:r>
      <w:r w:rsidRPr="00A512DA">
        <w:tab/>
        <w:t>pole s údaji typu „celé číslo“ se vykazují s přesností odpovídající jednotkám bez desetinných míst;</w:t>
      </w:r>
    </w:p>
    <w:p w14:paraId="3B0DDC02" w14:textId="3ED109B6" w:rsidR="00911C0D" w:rsidRPr="00A512DA" w:rsidRDefault="00BD272F" w:rsidP="00BD272F">
      <w:pPr>
        <w:pStyle w:val="Point1"/>
        <w:rPr>
          <w:noProof/>
        </w:rPr>
      </w:pPr>
      <w:r w:rsidRPr="00BD272F">
        <w:t>c)</w:t>
      </w:r>
      <w:r w:rsidRPr="00BD272F">
        <w:tab/>
      </w:r>
      <w:r w:rsidR="00911C0D" w:rsidRPr="00A512DA">
        <w:t xml:space="preserve">instituce jsou identifikovány výhradně pomocí svého identifikačního kódu právnické osoby. Právnické osoby a protistrany jiné než instituce jsou </w:t>
      </w:r>
      <w:r w:rsidR="00911C0D" w:rsidRPr="00A512DA">
        <w:lastRenderedPageBreak/>
        <w:t>identifikovány pomocí svého identifikačního kódu právnické osoby, je-li k dispozici.</w:t>
      </w:r>
    </w:p>
    <w:p w14:paraId="1DBE05C1" w14:textId="77777777" w:rsidR="00911C0D" w:rsidRPr="00A512DA" w:rsidRDefault="00911C0D" w:rsidP="00080A21">
      <w:pPr>
        <w:pStyle w:val="NumPar1"/>
        <w:numPr>
          <w:ilvl w:val="0"/>
          <w:numId w:val="5"/>
        </w:numPr>
        <w:rPr>
          <w:noProof/>
        </w:rPr>
      </w:pPr>
      <w:r w:rsidRPr="00A512DA">
        <w:t>Informace předkládané vykazujícími subjekty v souladu s tímto nařízením jsou doprovázeny následujícími informacemi:</w:t>
      </w:r>
    </w:p>
    <w:p w14:paraId="1DEF8C77" w14:textId="1C996F11" w:rsidR="00911C0D" w:rsidRPr="00A512DA" w:rsidRDefault="00BD272F" w:rsidP="00BD272F">
      <w:pPr>
        <w:pStyle w:val="Point1"/>
        <w:rPr>
          <w:noProof/>
        </w:rPr>
      </w:pPr>
      <w:r w:rsidRPr="00BD272F">
        <w:t>a)</w:t>
      </w:r>
      <w:r w:rsidRPr="00BD272F">
        <w:tab/>
      </w:r>
      <w:r w:rsidR="00911C0D" w:rsidRPr="00A512DA">
        <w:t>referenčním datem vykazování a referenčním obdobím;</w:t>
      </w:r>
    </w:p>
    <w:p w14:paraId="09EC726C" w14:textId="6F655F03" w:rsidR="00911C0D" w:rsidRPr="00A512DA" w:rsidRDefault="00BD272F" w:rsidP="00BD272F">
      <w:pPr>
        <w:pStyle w:val="Point1"/>
        <w:rPr>
          <w:noProof/>
        </w:rPr>
      </w:pPr>
      <w:r w:rsidRPr="00BD272F">
        <w:t>b)</w:t>
      </w:r>
      <w:r w:rsidRPr="00BD272F">
        <w:tab/>
      </w:r>
      <w:r w:rsidR="00911C0D" w:rsidRPr="00A512DA">
        <w:t>vykazovací měnou;</w:t>
      </w:r>
    </w:p>
    <w:p w14:paraId="4EEE4DC2" w14:textId="28E25237" w:rsidR="00911C0D" w:rsidRPr="00A512DA" w:rsidRDefault="00BD272F" w:rsidP="00BD272F">
      <w:pPr>
        <w:pStyle w:val="Point1"/>
        <w:rPr>
          <w:noProof/>
        </w:rPr>
      </w:pPr>
      <w:r w:rsidRPr="00BD272F">
        <w:t>c)</w:t>
      </w:r>
      <w:r w:rsidRPr="00BD272F">
        <w:tab/>
      </w:r>
      <w:r w:rsidR="00911C0D" w:rsidRPr="00A512DA">
        <w:t>účetním standardem;</w:t>
      </w:r>
    </w:p>
    <w:p w14:paraId="2729F1FB" w14:textId="2B3658CE" w:rsidR="00911C0D" w:rsidRPr="00A512DA" w:rsidRDefault="00BD272F" w:rsidP="00BD272F">
      <w:pPr>
        <w:pStyle w:val="Point1"/>
        <w:rPr>
          <w:noProof/>
        </w:rPr>
      </w:pPr>
      <w:r w:rsidRPr="00BD272F">
        <w:t>d)</w:t>
      </w:r>
      <w:r w:rsidRPr="00BD272F">
        <w:tab/>
      </w:r>
      <w:r w:rsidR="00911C0D" w:rsidRPr="00A512DA">
        <w:t>identifikačním kódem právnické osoby vykazující instituce;</w:t>
      </w:r>
    </w:p>
    <w:p w14:paraId="0F34F03F" w14:textId="3456EE9B" w:rsidR="00911C0D" w:rsidRPr="00A512DA" w:rsidRDefault="00BD272F" w:rsidP="00BD272F">
      <w:pPr>
        <w:pStyle w:val="Point1"/>
        <w:rPr>
          <w:noProof/>
        </w:rPr>
      </w:pPr>
      <w:r w:rsidRPr="00BD272F">
        <w:t>e)</w:t>
      </w:r>
      <w:r w:rsidRPr="00BD272F">
        <w:tab/>
      </w:r>
      <w:r w:rsidR="00911C0D" w:rsidRPr="00A512DA">
        <w:tab/>
        <w:t>rozsahem konsolidace.</w:t>
      </w:r>
    </w:p>
    <w:p w14:paraId="7CF14DFD"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8</w:t>
      </w:r>
      <w:r w:rsidR="00063959">
        <w:fldChar w:fldCharType="end"/>
      </w:r>
      <w:r w:rsidRPr="00A512DA">
        <w:t xml:space="preserve"> </w:t>
      </w:r>
      <w:r w:rsidRPr="00A512DA">
        <w:br/>
        <w:t>Standardizovaný způsob vykazování pořadí pohledávek</w:t>
      </w:r>
    </w:p>
    <w:p w14:paraId="5049F073" w14:textId="77777777" w:rsidR="00911C0D" w:rsidRPr="00A512DA" w:rsidRDefault="00911C0D" w:rsidP="00292692">
      <w:pPr>
        <w:pStyle w:val="NumPar1"/>
        <w:numPr>
          <w:ilvl w:val="0"/>
          <w:numId w:val="11"/>
        </w:numPr>
        <w:rPr>
          <w:noProof/>
        </w:rPr>
      </w:pPr>
      <w:r w:rsidRPr="00A512DA">
        <w:t>Orgány příslušné k řešení krize shromáždí informace o pořadí položek ve svých vnitrostátních úpadkových řízeních ve standardizovaných formátech podle přílohy IV. Pokud nastanou změny, tyto informace bez zbytečného odkladu aktualizují.</w:t>
      </w:r>
    </w:p>
    <w:p w14:paraId="3F9A4A43" w14:textId="77777777" w:rsidR="00911C0D" w:rsidRPr="00A512DA" w:rsidRDefault="00911C0D" w:rsidP="00292692">
      <w:pPr>
        <w:pStyle w:val="NumPar1"/>
        <w:numPr>
          <w:ilvl w:val="0"/>
          <w:numId w:val="11"/>
        </w:numPr>
        <w:rPr>
          <w:noProof/>
        </w:rPr>
      </w:pPr>
      <w:r w:rsidRPr="00A512DA">
        <w:t>Orgány příslušné k řešení krize zveřejní informace uvedené v odstavci 1, aby je zpřístupnily institucím podléhajícím jejich dohledu.</w:t>
      </w:r>
    </w:p>
    <w:p w14:paraId="1D1FC80E" w14:textId="77777777" w:rsidR="00911C0D" w:rsidRPr="00A512DA" w:rsidRDefault="00911C0D" w:rsidP="00911C0D">
      <w:pPr>
        <w:pStyle w:val="SectionTitle"/>
        <w:rPr>
          <w:b w:val="0"/>
          <w:i/>
        </w:rPr>
      </w:pPr>
      <w:r w:rsidRPr="00A512DA">
        <w:rPr>
          <w:b w:val="0"/>
          <w:i/>
        </w:rPr>
        <w:t>HLAVA II</w:t>
      </w:r>
      <w:r w:rsidRPr="00A512DA">
        <w:t xml:space="preserve"> </w:t>
      </w:r>
      <w:r w:rsidRPr="00A512DA">
        <w:br/>
      </w:r>
      <w:r w:rsidRPr="00A512DA">
        <w:rPr>
          <w:b w:val="0"/>
          <w:i/>
        </w:rPr>
        <w:t>ZPŘÍSTUPŇOVÁNÍ INFORMACÍ INSTITUCEMI</w:t>
      </w:r>
    </w:p>
    <w:p w14:paraId="674A8126" w14:textId="77777777" w:rsidR="00911C0D" w:rsidRPr="00A512DA" w:rsidRDefault="00911C0D" w:rsidP="00911C0D">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9</w:t>
      </w:r>
      <w:r w:rsidR="00063959">
        <w:fldChar w:fldCharType="end"/>
      </w:r>
      <w:r w:rsidRPr="00A512DA">
        <w:t xml:space="preserve"> </w:t>
      </w:r>
      <w:r w:rsidRPr="00A512DA">
        <w:br/>
        <w:t>Četnost zpřístupňování informací a data zveřejnění</w:t>
      </w:r>
    </w:p>
    <w:p w14:paraId="30497442" w14:textId="1688CF64" w:rsidR="00911C0D" w:rsidRPr="00A512DA" w:rsidRDefault="00911C0D" w:rsidP="00292692">
      <w:pPr>
        <w:pStyle w:val="NumPar1"/>
        <w:numPr>
          <w:ilvl w:val="0"/>
          <w:numId w:val="12"/>
        </w:numPr>
        <w:rPr>
          <w:noProof/>
        </w:rPr>
      </w:pPr>
      <w:r w:rsidRPr="00A512DA">
        <w:t>Informace uvedené v čl. 10 odst. 1 se zpřístupňují jednou za čtvrtletí. Informace uvedené v čl. 10 odst. 2 se zpřístupňují jednou za půl roku.</w:t>
      </w:r>
    </w:p>
    <w:p w14:paraId="0CFDDF92" w14:textId="77777777" w:rsidR="00911C0D" w:rsidRPr="00A512DA" w:rsidRDefault="00911C0D" w:rsidP="00146633">
      <w:pPr>
        <w:pStyle w:val="NumPar1"/>
        <w:rPr>
          <w:noProof/>
        </w:rPr>
      </w:pPr>
      <w:r w:rsidRPr="00A512DA">
        <w:t>Informace uvedené v čl. 11 odst. 1 a čl. 14 odst. 1 se zpřístupňují jednou za půl roku. Informace uvedené v čl. 11 odst. 2 a čl. 14 odst. 2 se zpřístupňují jednou za rok.</w:t>
      </w:r>
    </w:p>
    <w:p w14:paraId="0276A47B" w14:textId="59C6BE0E" w:rsidR="00911C0D" w:rsidRPr="00A512DA" w:rsidRDefault="00911C0D" w:rsidP="00146633">
      <w:pPr>
        <w:pStyle w:val="NumPar1"/>
        <w:rPr>
          <w:noProof/>
        </w:rPr>
      </w:pPr>
      <w:r w:rsidRPr="00A512DA">
        <w:t>Informace uvedené v čl. 12 odst. 1 se zpřístupňují jednou za čtvrtletí. Informace uvedené v čl. 12 odst. 2 se zpřístupňují jednou za půl roku.</w:t>
      </w:r>
    </w:p>
    <w:p w14:paraId="1C90BE41" w14:textId="77777777" w:rsidR="00911C0D" w:rsidRPr="00A512DA" w:rsidRDefault="00911C0D" w:rsidP="00146633">
      <w:pPr>
        <w:pStyle w:val="NumPar1"/>
        <w:rPr>
          <w:noProof/>
        </w:rPr>
      </w:pPr>
      <w:r w:rsidRPr="00A512DA">
        <w:t>Informace uvedené v čl. 13 odst. 1 se zpřístupňují jednou za půl roku. Informace uvedené v čl. 13 odst. 2 se zpřístupňují jednou za rok.</w:t>
      </w:r>
    </w:p>
    <w:p w14:paraId="77DF8699" w14:textId="77777777" w:rsidR="00911C0D" w:rsidRPr="00A512DA" w:rsidRDefault="00911C0D" w:rsidP="00146633">
      <w:pPr>
        <w:pStyle w:val="NumPar1"/>
        <w:rPr>
          <w:noProof/>
        </w:rPr>
      </w:pPr>
      <w:r w:rsidRPr="00A512DA">
        <w:t>Informace uvedené v článku 15 se zpřístupňují takto:</w:t>
      </w:r>
    </w:p>
    <w:p w14:paraId="553B9B42" w14:textId="4219633D" w:rsidR="00911C0D" w:rsidRPr="00A512DA" w:rsidRDefault="00BD272F" w:rsidP="00BD272F">
      <w:pPr>
        <w:pStyle w:val="Point1"/>
        <w:rPr>
          <w:noProof/>
        </w:rPr>
      </w:pPr>
      <w:r w:rsidRPr="00BD272F">
        <w:t>a)</w:t>
      </w:r>
      <w:r w:rsidRPr="00BD272F">
        <w:tab/>
      </w:r>
      <w:r w:rsidR="00911C0D" w:rsidRPr="00A512DA">
        <w:t>jednou za půl roku, pokud subjekt zpřístupňující informace je velkou institucí;</w:t>
      </w:r>
    </w:p>
    <w:p w14:paraId="6AC02098" w14:textId="62E058C8" w:rsidR="00911C0D" w:rsidRPr="00A512DA" w:rsidRDefault="00BD272F" w:rsidP="00BD272F">
      <w:pPr>
        <w:pStyle w:val="Point1"/>
        <w:rPr>
          <w:noProof/>
        </w:rPr>
      </w:pPr>
      <w:r w:rsidRPr="00BD272F">
        <w:t>b)</w:t>
      </w:r>
      <w:r w:rsidRPr="00BD272F">
        <w:tab/>
      </w:r>
      <w:r w:rsidR="00146633" w:rsidRPr="00A512DA">
        <w:t xml:space="preserve">jednou za rok, pokud subjekt zpřístupňující informace není ani velkou institucí, ani malou a nepříliš složitou institucí. </w:t>
      </w:r>
    </w:p>
    <w:p w14:paraId="67AF5D74" w14:textId="77777777" w:rsidR="00911C0D" w:rsidRPr="00A512DA" w:rsidRDefault="00911C0D" w:rsidP="00911C0D">
      <w:pPr>
        <w:pStyle w:val="Point0"/>
        <w:rPr>
          <w:noProof/>
        </w:rPr>
      </w:pPr>
      <w:r w:rsidRPr="00A512DA">
        <w:t>6.</w:t>
      </w:r>
      <w:r w:rsidRPr="00A512DA">
        <w:tab/>
        <w:t>Pro účely zpřístupnění informací dodrží subjekty zpřístupňující informace následující pravidla:</w:t>
      </w:r>
    </w:p>
    <w:p w14:paraId="4DA11D1B" w14:textId="5DE35789" w:rsidR="00911C0D" w:rsidRPr="00A512DA" w:rsidRDefault="00BD272F" w:rsidP="00BD272F">
      <w:pPr>
        <w:pStyle w:val="Point1"/>
        <w:rPr>
          <w:noProof/>
        </w:rPr>
      </w:pPr>
      <w:r w:rsidRPr="00BD272F">
        <w:t>a)</w:t>
      </w:r>
      <w:r w:rsidRPr="00BD272F">
        <w:tab/>
      </w:r>
      <w:r w:rsidR="00911C0D" w:rsidRPr="00A512DA">
        <w:t xml:space="preserve">každoročně zpřístupňované informace se zveřejňují ve stejný den, kdy instituce zveřejňují svou účetní závěrku, nebo co nejdříve po tomto datu; </w:t>
      </w:r>
    </w:p>
    <w:p w14:paraId="38E67937" w14:textId="7CA71D75" w:rsidR="00911C0D" w:rsidRPr="00A512DA" w:rsidRDefault="00BD272F" w:rsidP="00BD272F">
      <w:pPr>
        <w:pStyle w:val="Point1"/>
        <w:rPr>
          <w:noProof/>
        </w:rPr>
      </w:pPr>
      <w:r w:rsidRPr="00BD272F">
        <w:t>b)</w:t>
      </w:r>
      <w:r w:rsidRPr="00BD272F">
        <w:tab/>
      </w:r>
      <w:r w:rsidR="00911C0D" w:rsidRPr="00A512DA">
        <w:t xml:space="preserve">půlročně a čtvrtletně zpřístupňované informace se zveřejňují ve stejný den, kdy instituce v příslušných případech zveřejňují své finanční zprávy za příslušné období, nebo co nejdříve po tomto datu; </w:t>
      </w:r>
    </w:p>
    <w:p w14:paraId="7CC4F5BD" w14:textId="7E1BAE69" w:rsidR="00911C0D" w:rsidRPr="00A512DA" w:rsidRDefault="00BD272F" w:rsidP="00BD272F">
      <w:pPr>
        <w:pStyle w:val="Point1"/>
        <w:rPr>
          <w:noProof/>
        </w:rPr>
      </w:pPr>
      <w:r w:rsidRPr="00BD272F">
        <w:lastRenderedPageBreak/>
        <w:t>c)</w:t>
      </w:r>
      <w:r w:rsidRPr="00BD272F">
        <w:tab/>
      </w:r>
      <w:r w:rsidR="00911C0D" w:rsidRPr="00A512DA">
        <w:t>jakékoli prodlení mezi datem zveřejnění zpřístupňovaných informací požadovaných podle této hlavy a datem zveřejnění příslušné účetní závěrky musí být přiměřené a v žádném případě nepřekročí časový rámec stanovený příslušnými orgány podle článku 106 směrnice Evropského parlamentu a Rady 2013/36/EU</w:t>
      </w:r>
      <w:r w:rsidR="00911C0D" w:rsidRPr="00A512DA">
        <w:rPr>
          <w:rStyle w:val="FootnoteReference"/>
          <w:noProof/>
        </w:rPr>
        <w:footnoteReference w:id="6"/>
      </w:r>
      <w:r w:rsidR="00911C0D" w:rsidRPr="00A512DA">
        <w:t>.</w:t>
      </w:r>
    </w:p>
    <w:p w14:paraId="2B144DCB" w14:textId="77777777" w:rsidR="00911C0D" w:rsidRPr="00A512DA" w:rsidRDefault="00911C0D" w:rsidP="00911C0D">
      <w:pPr>
        <w:pStyle w:val="Titrearticle"/>
      </w:pPr>
      <w:bookmarkStart w:id="1" w:name="_Ref21085297"/>
      <w:r w:rsidRPr="00A512DA">
        <w:t xml:space="preserve">Článek </w:t>
      </w:r>
      <w:r w:rsidR="00063959">
        <w:fldChar w:fldCharType="begin"/>
      </w:r>
      <w:r w:rsidR="00063959">
        <w:instrText xml:space="preserve"> SEQ Figure \* ARABIC </w:instrText>
      </w:r>
      <w:r w:rsidR="00063959">
        <w:fldChar w:fldCharType="separate"/>
      </w:r>
      <w:r w:rsidRPr="00A512DA">
        <w:t>10</w:t>
      </w:r>
      <w:r w:rsidR="00063959">
        <w:fldChar w:fldCharType="end"/>
      </w:r>
      <w:bookmarkEnd w:id="1"/>
      <w:r w:rsidRPr="00A512DA">
        <w:t xml:space="preserve"> </w:t>
      </w:r>
      <w:r w:rsidRPr="00A512DA">
        <w:br/>
        <w:t>Zpřístupňování hlavních parametrů kapitálu a způsobilých závazků a požadavků na kapitál a způsobilé závazky subjekty řešícími krizi</w:t>
      </w:r>
    </w:p>
    <w:p w14:paraId="44F94195" w14:textId="77777777" w:rsidR="00911C0D" w:rsidRPr="00A512DA" w:rsidRDefault="00911C0D" w:rsidP="00292692">
      <w:pPr>
        <w:pStyle w:val="NumPar1"/>
        <w:numPr>
          <w:ilvl w:val="0"/>
          <w:numId w:val="10"/>
        </w:numPr>
        <w:rPr>
          <w:noProof/>
        </w:rPr>
      </w:pPr>
      <w:r w:rsidRPr="00A512DA">
        <w:t xml:space="preserve">Subjekty určené jako subjekty řešící krizi, které jsou institucemi G-SVI nebo součástí instituce G-SVI, zpřístupňují informace požadované v čl. 447 písm. h) nařízení č. 575/2013 a v čl. 45i odst. 3 písm. a) a c) směrnice 2014/59/EU v souladu s šablonou EU KM2 přílohy V tohoto nařízení a s příslušnými pokyny stanovenými v příloze VI tohoto nařízení. </w:t>
      </w:r>
    </w:p>
    <w:p w14:paraId="2955CCFE" w14:textId="77777777" w:rsidR="00911C0D" w:rsidRPr="00A512DA" w:rsidRDefault="00911C0D" w:rsidP="00292692">
      <w:pPr>
        <w:pStyle w:val="NumPar1"/>
        <w:numPr>
          <w:ilvl w:val="0"/>
          <w:numId w:val="10"/>
        </w:numPr>
        <w:rPr>
          <w:noProof/>
        </w:rPr>
      </w:pPr>
      <w:r w:rsidRPr="00A512DA">
        <w:t>Subjekty určené jako subjekty řešící krizi, které nejsou institucemi G-SVI ani součástí instituce G-SVI, zveřejňují informace požadované v čl. 45i odst. 3 písm. a) a c) směrnice 2014/59/EU v souladu s šablonou EU KM2 přílohy V tohoto nařízení a s příslušnými pokyny stanovenými v příloze VI tohoto nařízení.</w:t>
      </w:r>
    </w:p>
    <w:p w14:paraId="5BA5FA46" w14:textId="77777777" w:rsidR="00911C0D" w:rsidRPr="00A512DA" w:rsidRDefault="00911C0D" w:rsidP="00911C0D">
      <w:pPr>
        <w:pStyle w:val="Titrearticle"/>
      </w:pPr>
      <w:bookmarkStart w:id="2" w:name="_Ref21450145"/>
      <w:r w:rsidRPr="00A512DA">
        <w:t xml:space="preserve">Článek </w:t>
      </w:r>
      <w:r w:rsidR="00063959">
        <w:fldChar w:fldCharType="begin"/>
      </w:r>
      <w:r w:rsidR="00063959">
        <w:instrText xml:space="preserve"> SEQ Figure \* ARABIC </w:instrText>
      </w:r>
      <w:r w:rsidR="00063959">
        <w:fldChar w:fldCharType="separate"/>
      </w:r>
      <w:r w:rsidRPr="00A512DA">
        <w:t>11</w:t>
      </w:r>
      <w:r w:rsidR="00063959">
        <w:fldChar w:fldCharType="end"/>
      </w:r>
      <w:bookmarkEnd w:id="2"/>
      <w:r w:rsidRPr="00A512DA">
        <w:t xml:space="preserve"> </w:t>
      </w:r>
      <w:r w:rsidRPr="00A512DA">
        <w:br/>
        <w:t>Zpřístupňování informací o složení kapitálu a způsobilých závazků subjekty řešícími krizi</w:t>
      </w:r>
    </w:p>
    <w:p w14:paraId="097F2CA5" w14:textId="77777777" w:rsidR="00911C0D" w:rsidRPr="00A512DA" w:rsidRDefault="00911C0D" w:rsidP="00292692">
      <w:pPr>
        <w:pStyle w:val="NumPar1"/>
        <w:numPr>
          <w:ilvl w:val="0"/>
          <w:numId w:val="9"/>
        </w:numPr>
        <w:rPr>
          <w:noProof/>
        </w:rPr>
      </w:pPr>
      <w:r w:rsidRPr="00A512DA">
        <w:t>Subjekty určené jako subjekty řešící krizi, které jsou institucemi G-SVI nebo součástí instituce G-SVI, zpřístupňují informace požadované v souladu s čl. 437a písm. a), c) a d) nařízení (EU) č. 575/2013 a informace o složení kapitálu a způsobilých závazků požadované v čl. 45i odst. 3 písm. b) směrnice 2014/59/EU v souladu s šablonou EU TLAC1 přílohy V tohoto nařízení a s příslušnými pokyny stanovenými v příloze VI tohoto nařízení.</w:t>
      </w:r>
    </w:p>
    <w:p w14:paraId="6EE067EB" w14:textId="77777777" w:rsidR="00911C0D" w:rsidRPr="00A512DA" w:rsidRDefault="00911C0D" w:rsidP="00292692">
      <w:pPr>
        <w:pStyle w:val="NumPar1"/>
        <w:numPr>
          <w:ilvl w:val="0"/>
          <w:numId w:val="9"/>
        </w:numPr>
        <w:rPr>
          <w:noProof/>
        </w:rPr>
      </w:pPr>
      <w:r w:rsidRPr="00A512DA">
        <w:t>Subjekty určené jako subjekty řešící krizi, které nejsou institucemi G-SVI ani součástí instituce G-SVI, zveřejňují informace o složení kapitálu a způsobilých závazků požadované v čl. 45i odst. 3 písm. b) směrnice 2014/59/EU v souladu s šablonou EU TLAC1 přílohy V tohoto nařízení a s příslušnými pokyny stanovenými v příloze VI tohoto nařízení.</w:t>
      </w:r>
    </w:p>
    <w:p w14:paraId="31FF8221" w14:textId="77777777" w:rsidR="00911C0D" w:rsidRPr="00A512DA" w:rsidRDefault="00911C0D" w:rsidP="00911C0D">
      <w:pPr>
        <w:pStyle w:val="Titrearticle"/>
      </w:pPr>
      <w:bookmarkStart w:id="3" w:name="_Ref21087987"/>
      <w:r w:rsidRPr="00A512DA">
        <w:t xml:space="preserve">Článek </w:t>
      </w:r>
      <w:r w:rsidR="00063959">
        <w:fldChar w:fldCharType="begin"/>
      </w:r>
      <w:r w:rsidR="00063959">
        <w:instrText xml:space="preserve"> SEQ Figure \* ARABIC </w:instrText>
      </w:r>
      <w:r w:rsidR="00063959">
        <w:fldChar w:fldCharType="separate"/>
      </w:r>
      <w:r w:rsidRPr="00A512DA">
        <w:t>12</w:t>
      </w:r>
      <w:r w:rsidR="00063959">
        <w:fldChar w:fldCharType="end"/>
      </w:r>
      <w:bookmarkEnd w:id="3"/>
      <w:r w:rsidRPr="00A512DA">
        <w:t xml:space="preserve"> </w:t>
      </w:r>
      <w:r w:rsidRPr="00A512DA">
        <w:br/>
        <w:t>Zpřístupňování hlavních parametrů a vnitřní kapacity pro absorpci ztrát subjekty, které samy nejsou subjekty řešícími krizi</w:t>
      </w:r>
    </w:p>
    <w:p w14:paraId="32300B39" w14:textId="77777777" w:rsidR="00911C0D" w:rsidRPr="00A512DA" w:rsidRDefault="00911C0D" w:rsidP="00292692">
      <w:pPr>
        <w:pStyle w:val="NumPar1"/>
        <w:numPr>
          <w:ilvl w:val="0"/>
          <w:numId w:val="8"/>
        </w:numPr>
        <w:rPr>
          <w:noProof/>
        </w:rPr>
      </w:pPr>
      <w:r w:rsidRPr="00A512DA">
        <w:t>Subjekty, které jsou významnými dceřinými podniky institucí G-SVI mimo EU a samy nejsou subjekty řešícími krizi, zpřístupňují následující informace v souladu s šablonou EU ILAC přílohy V tohoto nařízení a s příslušnými pokyny stanovenými v příloze VI tohoto nařízení:</w:t>
      </w:r>
    </w:p>
    <w:p w14:paraId="782B5E5F" w14:textId="28880955" w:rsidR="00911C0D" w:rsidRPr="00A512DA" w:rsidRDefault="00BD272F" w:rsidP="00BD272F">
      <w:pPr>
        <w:pStyle w:val="Point1"/>
        <w:rPr>
          <w:noProof/>
        </w:rPr>
      </w:pPr>
      <w:r w:rsidRPr="00BD272F">
        <w:t>a)</w:t>
      </w:r>
      <w:r w:rsidRPr="00BD272F">
        <w:tab/>
      </w:r>
      <w:r w:rsidR="00911C0D" w:rsidRPr="00A512DA">
        <w:t>informace požadované v souladu s čl. 437a písm. a), c) a d) nařízení (EU) č. 575/2013;</w:t>
      </w:r>
    </w:p>
    <w:p w14:paraId="32D06C75" w14:textId="2F90887D" w:rsidR="00911C0D" w:rsidRPr="00A512DA" w:rsidRDefault="00BD272F" w:rsidP="00BD272F">
      <w:pPr>
        <w:pStyle w:val="Point1"/>
        <w:rPr>
          <w:noProof/>
        </w:rPr>
      </w:pPr>
      <w:r w:rsidRPr="00BD272F">
        <w:lastRenderedPageBreak/>
        <w:t>b)</w:t>
      </w:r>
      <w:r w:rsidRPr="00BD272F">
        <w:tab/>
      </w:r>
      <w:r w:rsidR="00911C0D" w:rsidRPr="00A512DA">
        <w:t>informace požadované v souladu s čl. 447 písm. h) nařízení (EU) č. 575/2013;</w:t>
      </w:r>
    </w:p>
    <w:p w14:paraId="00DD876B" w14:textId="54A44B32" w:rsidR="00911C0D" w:rsidRPr="00A512DA" w:rsidRDefault="00BD272F" w:rsidP="00BD272F">
      <w:pPr>
        <w:pStyle w:val="Point1"/>
        <w:rPr>
          <w:noProof/>
        </w:rPr>
      </w:pPr>
      <w:r w:rsidRPr="00BD272F">
        <w:t>c)</w:t>
      </w:r>
      <w:r w:rsidRPr="00BD272F">
        <w:tab/>
      </w:r>
      <w:r w:rsidR="00911C0D" w:rsidRPr="00A512DA">
        <w:t>informace požadované v souladu s čl. 45i odst. 3 písm. a) a c) směrnice 2014/59/EU;</w:t>
      </w:r>
    </w:p>
    <w:p w14:paraId="4DA0CF37" w14:textId="2230004D" w:rsidR="00911C0D" w:rsidRPr="00A512DA" w:rsidRDefault="00BD272F" w:rsidP="00BD272F">
      <w:pPr>
        <w:pStyle w:val="Point1"/>
        <w:rPr>
          <w:noProof/>
        </w:rPr>
      </w:pPr>
      <w:r w:rsidRPr="00BD272F">
        <w:t>d)</w:t>
      </w:r>
      <w:r w:rsidRPr="00BD272F">
        <w:tab/>
      </w:r>
      <w:r w:rsidR="00911C0D" w:rsidRPr="00A512DA">
        <w:t>informace ohledně složení kapitálu a způsobilých závazků v souladu s čl. 45i odst. 3 písm. b) směrnice 2014/59/EU.</w:t>
      </w:r>
    </w:p>
    <w:p w14:paraId="2D3A456D" w14:textId="77777777" w:rsidR="00911C0D" w:rsidRPr="00A512DA" w:rsidRDefault="00911C0D" w:rsidP="00911C0D">
      <w:pPr>
        <w:pStyle w:val="Point0"/>
        <w:rPr>
          <w:noProof/>
        </w:rPr>
      </w:pPr>
      <w:r w:rsidRPr="00A512DA">
        <w:t>2.</w:t>
      </w:r>
      <w:r w:rsidRPr="00A512DA">
        <w:tab/>
        <w:t>Subjekty jiné než významné dceřiné podniky institucí G-SVI mimo EU, které samy nejsou subjekty řešícími krizi, zpřístupňují následující informace v souladu s šablonou EU ILAC přílohy V tohoto nařízení a s příslušnými pokyny stanovenými v příloze VI tohoto nařízení:</w:t>
      </w:r>
    </w:p>
    <w:p w14:paraId="2F8640BD" w14:textId="7979E80D" w:rsidR="00911C0D" w:rsidRPr="00A512DA" w:rsidRDefault="00BD272F" w:rsidP="00BD272F">
      <w:pPr>
        <w:pStyle w:val="Point1"/>
        <w:rPr>
          <w:noProof/>
        </w:rPr>
      </w:pPr>
      <w:r w:rsidRPr="00BD272F">
        <w:t>a)</w:t>
      </w:r>
      <w:r w:rsidRPr="00BD272F">
        <w:tab/>
      </w:r>
      <w:r w:rsidR="00911C0D" w:rsidRPr="00A512DA">
        <w:t>informace požadované v souladu s čl. 45i odst. 3 písm. a) a c) směrnice 2014/59/EU;</w:t>
      </w:r>
    </w:p>
    <w:p w14:paraId="4C6E59D7" w14:textId="7029714A" w:rsidR="00911C0D" w:rsidRPr="00A512DA" w:rsidRDefault="00BD272F" w:rsidP="00BD272F">
      <w:pPr>
        <w:pStyle w:val="Point1"/>
        <w:rPr>
          <w:noProof/>
        </w:rPr>
      </w:pPr>
      <w:r w:rsidRPr="00BD272F">
        <w:t>b)</w:t>
      </w:r>
      <w:r w:rsidRPr="00BD272F">
        <w:tab/>
      </w:r>
      <w:r w:rsidR="00911C0D" w:rsidRPr="00A512DA">
        <w:t>informace ohledně složení kapitálu a způsobilých závazků v souladu s čl. 45i odst. 3 písm. b) směrnice 2014/59/EU.</w:t>
      </w:r>
    </w:p>
    <w:p w14:paraId="40797C60" w14:textId="77777777" w:rsidR="00911C0D" w:rsidRPr="00A512DA" w:rsidRDefault="00911C0D" w:rsidP="00911C0D">
      <w:pPr>
        <w:pStyle w:val="Titrearticle"/>
      </w:pPr>
      <w:bookmarkStart w:id="4" w:name="_Ref21088028"/>
      <w:r w:rsidRPr="00A512DA">
        <w:t>Článek</w:t>
      </w:r>
      <w:bookmarkEnd w:id="4"/>
      <w:r w:rsidRPr="00A512DA">
        <w:t xml:space="preserve"> </w:t>
      </w:r>
      <w:r w:rsidR="00063959">
        <w:fldChar w:fldCharType="begin"/>
      </w:r>
      <w:r w:rsidR="00063959">
        <w:instrText xml:space="preserve"> SEQ Figure \* ARABIC </w:instrText>
      </w:r>
      <w:r w:rsidR="00063959">
        <w:fldChar w:fldCharType="separate"/>
      </w:r>
      <w:r w:rsidRPr="00A512DA">
        <w:t>13</w:t>
      </w:r>
      <w:r w:rsidR="00063959">
        <w:fldChar w:fldCharType="end"/>
      </w:r>
      <w:r w:rsidRPr="00A512DA">
        <w:br/>
        <w:t>Zpřístupňování informací o pořadí věřitelů subjekty, které nejsou subjekty řešícími krizi</w:t>
      </w:r>
    </w:p>
    <w:p w14:paraId="0FA53E9A" w14:textId="16A22625" w:rsidR="00911C0D" w:rsidRPr="00A512DA" w:rsidRDefault="00911C0D" w:rsidP="00292692">
      <w:pPr>
        <w:pStyle w:val="NumPar1"/>
        <w:numPr>
          <w:ilvl w:val="0"/>
          <w:numId w:val="7"/>
        </w:numPr>
        <w:rPr>
          <w:noProof/>
        </w:rPr>
      </w:pPr>
      <w:r w:rsidRPr="00A512DA">
        <w:t xml:space="preserve">Subjekty, které jsou významnými dceřinými podniky institucí G-SVI mimo EU a samy nejsou subjekty řešícími krizi, zpřístupňují informace o profilu splatnosti a pořadí v běžném úpadkovém řízení stanovené v čl. 437a písm. a) a b) nařízení (EU) č. 575/2013 a v čl. 45i odst. 3 písm. b) směrnice 2014/59/EU v souladu s šablonou EU TLAC2a přílohy V tohoto nařízení a s příslušnými pokyny stanovenými v příloze VI tohoto nařízení. </w:t>
      </w:r>
    </w:p>
    <w:p w14:paraId="515F579C" w14:textId="77777777" w:rsidR="00911C0D" w:rsidRPr="00A512DA" w:rsidRDefault="00911C0D" w:rsidP="00292692">
      <w:pPr>
        <w:pStyle w:val="NumPar1"/>
        <w:numPr>
          <w:ilvl w:val="0"/>
          <w:numId w:val="7"/>
        </w:numPr>
        <w:rPr>
          <w:noProof/>
        </w:rPr>
      </w:pPr>
      <w:r w:rsidRPr="00A512DA">
        <w:t xml:space="preserve">Subjekty jiné než významné dceřiné podniky institucí G-SVI mimo Unii, které samy nejsou subjekty řešícími krizi, zveřejňují informace o profilu splatnosti a pořadí v běžném úpadkovém řízení stanovené v čl. 45i odst. 3 písm. b) směrnice 2014/59/EU v souladu s šablonou EU TLAC2b přílohy V tohoto nařízení a s příslušnými pokyny stanovenými v příloze VI tohoto nařízení. </w:t>
      </w:r>
    </w:p>
    <w:p w14:paraId="51B0E851" w14:textId="32AD2F70" w:rsidR="00911C0D" w:rsidRPr="00A512DA" w:rsidRDefault="00911C0D" w:rsidP="00B129CF">
      <w:pPr>
        <w:pStyle w:val="Text1"/>
        <w:rPr>
          <w:noProof/>
        </w:rPr>
      </w:pPr>
      <w:r w:rsidRPr="00A512DA">
        <w:t>Subjekty uvedené v tomto odstavci prvním pododstavci mohou ke zveřejnění informací o profilu splatnosti a pořadí v běžném úpadkovém řízení v souladu s čl. 45i odst. 3 písm. b) směrnice 2014/59/EU zvolit místo šablony EU TLAC2b šablonu EU TLAC2a.</w:t>
      </w:r>
    </w:p>
    <w:p w14:paraId="0ACD53CE" w14:textId="77777777" w:rsidR="00911C0D" w:rsidRPr="00A512DA" w:rsidRDefault="00911C0D" w:rsidP="00911C0D">
      <w:pPr>
        <w:pStyle w:val="Titrearticle"/>
      </w:pPr>
      <w:bookmarkStart w:id="5" w:name="_Ref21087242"/>
      <w:r w:rsidRPr="00A512DA">
        <w:t>Článek</w:t>
      </w:r>
      <w:bookmarkEnd w:id="5"/>
      <w:r w:rsidRPr="00A512DA">
        <w:t xml:space="preserve"> </w:t>
      </w:r>
      <w:r w:rsidR="00063959">
        <w:fldChar w:fldCharType="begin"/>
      </w:r>
      <w:r w:rsidR="00063959">
        <w:instrText xml:space="preserve"> SEQ Figure \* ARABIC </w:instrText>
      </w:r>
      <w:r w:rsidR="00063959">
        <w:fldChar w:fldCharType="separate"/>
      </w:r>
      <w:r w:rsidRPr="00A512DA">
        <w:t>14</w:t>
      </w:r>
      <w:r w:rsidR="00063959">
        <w:fldChar w:fldCharType="end"/>
      </w:r>
      <w:r w:rsidRPr="00A512DA">
        <w:br/>
        <w:t>Zpřístupňování informací o pořadí věřitelů subjekty řešícími krizi</w:t>
      </w:r>
    </w:p>
    <w:p w14:paraId="0214BA4A" w14:textId="4F8B03D6" w:rsidR="00911C0D" w:rsidRPr="00A512DA" w:rsidRDefault="00911C0D" w:rsidP="00292692">
      <w:pPr>
        <w:pStyle w:val="NumPar1"/>
        <w:numPr>
          <w:ilvl w:val="0"/>
          <w:numId w:val="13"/>
        </w:numPr>
        <w:rPr>
          <w:noProof/>
        </w:rPr>
      </w:pPr>
      <w:r w:rsidRPr="00A512DA">
        <w:t xml:space="preserve">Subjekty určené jako subjekty řešící krizi, které jsou institucemi G-SVI nebo součástí instituce G-SVI, zpřístupňují informace o profilu splatnosti a pořadí v běžném úpadkovém řízení stanovené v čl. 437a písm. a) a b) nařízení (EU) č. 575/2013 a v čl. 45i odst. 3 písm. b) směrnice 2014/59/EU v souladu s šablonou EU TLAC3a přílohy V tohoto nařízení a s příslušnými pokyny stanovenými v příloze VI tohoto nařízení. </w:t>
      </w:r>
    </w:p>
    <w:p w14:paraId="703B620D" w14:textId="18C45AB4" w:rsidR="00911C0D" w:rsidRPr="00A512DA" w:rsidRDefault="00911C0D" w:rsidP="00292692">
      <w:pPr>
        <w:pStyle w:val="NumPar1"/>
        <w:numPr>
          <w:ilvl w:val="0"/>
          <w:numId w:val="13"/>
        </w:numPr>
        <w:rPr>
          <w:noProof/>
        </w:rPr>
      </w:pPr>
      <w:r w:rsidRPr="00A512DA">
        <w:t xml:space="preserve">Subjekty určené jako subjekty řešící krizi, které nejsou institucemi G-SVI ani součástí instituce G-SVI, zveřejňují informace o profilu splatnosti a pořadí věřitelů v běžném úpadkovém řízení stanovené v čl. 45i odst. 3 písm. b) směrnice 2014/59/EU v souladu s šablonou EU TLAC3b přílohy V tohoto nařízení a s příslušnými pokyny stanovenými v příloze VI tohoto nařízení. </w:t>
      </w:r>
    </w:p>
    <w:p w14:paraId="312D7D45" w14:textId="0EC96E4F" w:rsidR="00911C0D" w:rsidRPr="00A512DA" w:rsidRDefault="00911C0D" w:rsidP="008E17B7">
      <w:pPr>
        <w:pStyle w:val="Text1"/>
        <w:rPr>
          <w:noProof/>
        </w:rPr>
      </w:pPr>
      <w:r w:rsidRPr="00A512DA">
        <w:lastRenderedPageBreak/>
        <w:t>Subjekty uvedené v tomto odstavci prvním pododstavci mohou ke zveřejnění požadovaných informací o profilu splatnosti a pořadí v běžném úpadkovém řízení v souladu s čl. 45i odst. 3 písm. b) směrnice 2014/59/EU zvolit místo šablony EU TLAC3b šablonu EU TLAC3a.</w:t>
      </w:r>
    </w:p>
    <w:p w14:paraId="392B83E1" w14:textId="0ED4F921" w:rsidR="00911C0D" w:rsidRPr="00A512DA" w:rsidRDefault="00911C0D" w:rsidP="00911C0D">
      <w:pPr>
        <w:pStyle w:val="Titrearticle"/>
      </w:pPr>
      <w:bookmarkStart w:id="6" w:name="_Ref21087218"/>
      <w:r w:rsidRPr="00A512DA">
        <w:t xml:space="preserve">Článek </w:t>
      </w:r>
      <w:r w:rsidR="00063959">
        <w:fldChar w:fldCharType="begin"/>
      </w:r>
      <w:r w:rsidR="00063959">
        <w:instrText xml:space="preserve"> SEQ Figure \* ARABIC </w:instrText>
      </w:r>
      <w:r w:rsidR="00063959">
        <w:fldChar w:fldCharType="separate"/>
      </w:r>
      <w:r w:rsidRPr="00A512DA">
        <w:t>15</w:t>
      </w:r>
      <w:r w:rsidR="00063959">
        <w:fldChar w:fldCharType="end"/>
      </w:r>
      <w:bookmarkEnd w:id="6"/>
      <w:r w:rsidRPr="00A512DA">
        <w:t xml:space="preserve"> </w:t>
      </w:r>
      <w:r w:rsidRPr="00A512DA">
        <w:br/>
        <w:t>Zpřístupňování informací o hlavních charakteristikách kapitálu a způsobilých závazků</w:t>
      </w:r>
    </w:p>
    <w:p w14:paraId="556F10F9" w14:textId="77777777" w:rsidR="00911C0D" w:rsidRPr="00A512DA" w:rsidRDefault="00911C0D" w:rsidP="00911C0D">
      <w:pPr>
        <w:keepNext/>
        <w:keepLines/>
        <w:spacing w:before="360"/>
      </w:pPr>
      <w:r w:rsidRPr="00A512DA">
        <w:t xml:space="preserve">Subjekty určené jako subjekty řešící krizi, které jsou institucemi G-SVI nebo součástí instituce G-SVI, a subjekty, které jsou významnými dceřinými podniky institucí G-SVI mimo EU a které samy nejsou subjekty řešícími krizi, zpřístupňují informace stanovené v čl. 437a písm. a) nařízení (EU) č. 575/2013 v souladu s prováděcím aktem uvedeným v článku 434a uvedeného nařízení. </w:t>
      </w:r>
    </w:p>
    <w:p w14:paraId="20EB102D" w14:textId="77777777" w:rsidR="00911C0D" w:rsidRPr="00A512DA" w:rsidRDefault="00911C0D" w:rsidP="00146633">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16</w:t>
      </w:r>
      <w:r w:rsidR="00063959">
        <w:fldChar w:fldCharType="end"/>
      </w:r>
      <w:r w:rsidRPr="00A512DA">
        <w:t xml:space="preserve"> </w:t>
      </w:r>
      <w:r w:rsidRPr="00A512DA">
        <w:br/>
        <w:t>Obecná pravidla zpřístupňování informací</w:t>
      </w:r>
    </w:p>
    <w:p w14:paraId="74D86184" w14:textId="77777777" w:rsidR="00911C0D" w:rsidRPr="00A512DA" w:rsidRDefault="00911C0D" w:rsidP="00292692">
      <w:pPr>
        <w:pStyle w:val="NumPar1"/>
        <w:numPr>
          <w:ilvl w:val="0"/>
          <w:numId w:val="14"/>
        </w:numPr>
        <w:rPr>
          <w:noProof/>
        </w:rPr>
      </w:pPr>
      <w:r w:rsidRPr="00A512DA">
        <w:t xml:space="preserve">Pokud subjekty zpřístupňující informace nemusí zpřístupňovat některé z informací v souladu s článkem 432 nařízení (EU) č. 575/2013, mohou se příslušné řádky nebo sloupce šablon nebo tabulek stanovených v tomto nařízení nechat prázdné a číslování následujících řádků nebo sloupců se nemění. </w:t>
      </w:r>
    </w:p>
    <w:p w14:paraId="2C21F69F" w14:textId="77777777" w:rsidR="00911C0D" w:rsidRPr="00A512DA" w:rsidRDefault="00911C0D" w:rsidP="00292692">
      <w:pPr>
        <w:pStyle w:val="NumPar1"/>
        <w:numPr>
          <w:ilvl w:val="0"/>
          <w:numId w:val="14"/>
        </w:numPr>
        <w:rPr>
          <w:noProof/>
        </w:rPr>
      </w:pPr>
      <w:r w:rsidRPr="00A512DA">
        <w:t xml:space="preserve">Subjekty zpřístupňující informace v příslušných šablonách nebo tabulkách jasně označí prázdné řádky a sloupce a uvedou důvody vynechání příslušné informace. </w:t>
      </w:r>
    </w:p>
    <w:p w14:paraId="2DFEFA5E" w14:textId="77777777" w:rsidR="00911C0D" w:rsidRPr="00A512DA" w:rsidRDefault="00911C0D" w:rsidP="00292692">
      <w:pPr>
        <w:pStyle w:val="NumPar1"/>
        <w:numPr>
          <w:ilvl w:val="0"/>
          <w:numId w:val="14"/>
        </w:numPr>
        <w:rPr>
          <w:noProof/>
        </w:rPr>
      </w:pPr>
      <w:r w:rsidRPr="00A512DA">
        <w:t>Kvalitativní vysvětlení a jakékoli jiné nezbytné doplňující informace týkající se zpřístupňování kvantitativních informací v souladu s článkem 431 nařízení (EU) č. 575/2013 musí být přiměřené a srozumitelné, aby uživatelům umožnilo kvantitativní informace pochopit, a umístí se vedle šablon, které popisují.</w:t>
      </w:r>
    </w:p>
    <w:p w14:paraId="29D7C25D" w14:textId="77777777" w:rsidR="00911C0D" w:rsidRPr="00A512DA" w:rsidRDefault="00911C0D" w:rsidP="00292692">
      <w:pPr>
        <w:pStyle w:val="NumPar1"/>
        <w:numPr>
          <w:ilvl w:val="0"/>
          <w:numId w:val="14"/>
        </w:numPr>
        <w:rPr>
          <w:noProof/>
        </w:rPr>
      </w:pPr>
      <w:r w:rsidRPr="00A512DA">
        <w:t>Subjekty zpřístupňující informace dodrží následující pravidla ohledně zpřístupňování číselných hodnot:</w:t>
      </w:r>
    </w:p>
    <w:p w14:paraId="554837EF" w14:textId="55832B2E" w:rsidR="00911C0D" w:rsidRPr="00A512DA" w:rsidRDefault="00BD272F" w:rsidP="00BD272F">
      <w:pPr>
        <w:pStyle w:val="Point1"/>
        <w:rPr>
          <w:noProof/>
        </w:rPr>
      </w:pPr>
      <w:r w:rsidRPr="00BD272F">
        <w:t>a)</w:t>
      </w:r>
      <w:r w:rsidRPr="00BD272F">
        <w:tab/>
      </w:r>
      <w:r w:rsidR="00911C0D" w:rsidRPr="00A512DA">
        <w:t>kvantitativní měnové údaje se zpřístupňují s minimální přesností odpovídající milionům jednotek;</w:t>
      </w:r>
    </w:p>
    <w:p w14:paraId="4E96B6F9" w14:textId="1D8EB154" w:rsidR="00911C0D" w:rsidRPr="00A512DA" w:rsidRDefault="00BD272F" w:rsidP="00BD272F">
      <w:pPr>
        <w:pStyle w:val="Point1"/>
        <w:rPr>
          <w:noProof/>
        </w:rPr>
      </w:pPr>
      <w:r w:rsidRPr="00BD272F">
        <w:t>b)</w:t>
      </w:r>
      <w:r w:rsidRPr="00BD272F">
        <w:tab/>
      </w:r>
      <w:r w:rsidR="00911C0D" w:rsidRPr="00A512DA">
        <w:t>kvantitativní údaje typu „procento“ se pro každou jednotku vyjadřují s minimální přesností odpovídající čtyřem desetinným místům.</w:t>
      </w:r>
    </w:p>
    <w:p w14:paraId="06F63E8F" w14:textId="77777777" w:rsidR="00911C0D" w:rsidRPr="00A512DA" w:rsidRDefault="00911C0D" w:rsidP="00146633">
      <w:pPr>
        <w:pStyle w:val="NumPar1"/>
        <w:rPr>
          <w:noProof/>
        </w:rPr>
      </w:pPr>
      <w:r w:rsidRPr="00A512DA">
        <w:t>Subjekty zpřístupňující informace doplní zpřístupněné informace následujícími údaji:</w:t>
      </w:r>
    </w:p>
    <w:p w14:paraId="2FCAAE18" w14:textId="23CFCBEC" w:rsidR="00911C0D" w:rsidRPr="00A512DA" w:rsidRDefault="00BD272F" w:rsidP="00BD272F">
      <w:pPr>
        <w:pStyle w:val="Point1"/>
        <w:rPr>
          <w:noProof/>
        </w:rPr>
      </w:pPr>
      <w:r w:rsidRPr="00BD272F">
        <w:t>a)</w:t>
      </w:r>
      <w:r w:rsidRPr="00BD272F">
        <w:tab/>
      </w:r>
      <w:r w:rsidR="00911C0D" w:rsidRPr="00A512DA">
        <w:t xml:space="preserve">referenčním datem zpřístupňování informací a referenčním obdobím; </w:t>
      </w:r>
    </w:p>
    <w:p w14:paraId="0D85A6C3" w14:textId="7F436591" w:rsidR="00911C0D" w:rsidRPr="00A512DA" w:rsidRDefault="00BD272F" w:rsidP="00BD272F">
      <w:pPr>
        <w:pStyle w:val="Point1"/>
        <w:rPr>
          <w:noProof/>
        </w:rPr>
      </w:pPr>
      <w:r w:rsidRPr="00BD272F">
        <w:t>b)</w:t>
      </w:r>
      <w:r w:rsidRPr="00BD272F">
        <w:tab/>
      </w:r>
      <w:r w:rsidR="00911C0D" w:rsidRPr="00A512DA">
        <w:t xml:space="preserve">měnou zveřejněného údaje; </w:t>
      </w:r>
    </w:p>
    <w:p w14:paraId="5B5B4AB9" w14:textId="4EF5C22C" w:rsidR="00911C0D" w:rsidRPr="00A512DA" w:rsidRDefault="00BD272F" w:rsidP="00BD272F">
      <w:pPr>
        <w:pStyle w:val="Point1"/>
        <w:rPr>
          <w:noProof/>
        </w:rPr>
      </w:pPr>
      <w:r w:rsidRPr="00BD272F">
        <w:t>c)</w:t>
      </w:r>
      <w:r w:rsidRPr="00BD272F">
        <w:tab/>
      </w:r>
      <w:r w:rsidR="00911C0D" w:rsidRPr="00A512DA">
        <w:t>názvem a případně identifikačním kódem právnické osoby subjektu zpřístupňujícího informaci;</w:t>
      </w:r>
    </w:p>
    <w:p w14:paraId="584E8AC6" w14:textId="3CEFDC12" w:rsidR="00911C0D" w:rsidRPr="00A512DA" w:rsidRDefault="00BD272F" w:rsidP="00BD272F">
      <w:pPr>
        <w:pStyle w:val="Point1"/>
        <w:rPr>
          <w:noProof/>
        </w:rPr>
      </w:pPr>
      <w:r w:rsidRPr="00BD272F">
        <w:t>d)</w:t>
      </w:r>
      <w:r w:rsidRPr="00BD272F">
        <w:tab/>
      </w:r>
      <w:r w:rsidR="00911C0D" w:rsidRPr="00A512DA">
        <w:t xml:space="preserve">případně účetním standardem a </w:t>
      </w:r>
    </w:p>
    <w:p w14:paraId="582EB987" w14:textId="5861F8B8" w:rsidR="00911C0D" w:rsidRPr="00A512DA" w:rsidRDefault="00BD272F" w:rsidP="00BD272F">
      <w:pPr>
        <w:pStyle w:val="Point1"/>
        <w:rPr>
          <w:noProof/>
        </w:rPr>
      </w:pPr>
      <w:r w:rsidRPr="00BD272F">
        <w:t>e)</w:t>
      </w:r>
      <w:r w:rsidRPr="00BD272F">
        <w:tab/>
      </w:r>
      <w:r w:rsidR="00911C0D" w:rsidRPr="00A512DA">
        <w:t>případně rozsahem konsolidace.</w:t>
      </w:r>
    </w:p>
    <w:p w14:paraId="13904397" w14:textId="6E48D9B3" w:rsidR="00911C0D" w:rsidRPr="00A512DA" w:rsidRDefault="00911C0D" w:rsidP="00911C0D">
      <w:pPr>
        <w:pStyle w:val="SectionTitle"/>
        <w:rPr>
          <w:b w:val="0"/>
          <w:i/>
        </w:rPr>
      </w:pPr>
      <w:r w:rsidRPr="00A512DA">
        <w:rPr>
          <w:b w:val="0"/>
          <w:i/>
        </w:rPr>
        <w:lastRenderedPageBreak/>
        <w:t>HLAVA III</w:t>
      </w:r>
      <w:r w:rsidRPr="00A512DA">
        <w:t xml:space="preserve"> </w:t>
      </w:r>
      <w:r w:rsidRPr="00A512DA">
        <w:br/>
      </w:r>
      <w:r w:rsidRPr="00A512DA">
        <w:rPr>
          <w:b w:val="0"/>
          <w:i/>
        </w:rPr>
        <w:t>ZÁVĚREČNÁ USTANOVENÍ</w:t>
      </w:r>
    </w:p>
    <w:p w14:paraId="207DBFA4" w14:textId="6A156BA8" w:rsidR="00911C0D" w:rsidRPr="00A512DA" w:rsidRDefault="00911C0D" w:rsidP="00146633">
      <w:pPr>
        <w:pStyle w:val="Titrearticle"/>
      </w:pPr>
      <w:r w:rsidRPr="00A512DA">
        <w:t xml:space="preserve">Článek </w:t>
      </w:r>
      <w:r w:rsidR="00063959">
        <w:fldChar w:fldCharType="begin"/>
      </w:r>
      <w:r w:rsidR="00063959">
        <w:instrText xml:space="preserve"> SEQ Figure \* ARABIC </w:instrText>
      </w:r>
      <w:r w:rsidR="00063959">
        <w:fldChar w:fldCharType="separate"/>
      </w:r>
      <w:r w:rsidRPr="00A512DA">
        <w:t>17</w:t>
      </w:r>
      <w:r w:rsidR="00063959">
        <w:fldChar w:fldCharType="end"/>
      </w:r>
      <w:r w:rsidRPr="00A512DA">
        <w:t xml:space="preserve"> </w:t>
      </w:r>
      <w:r w:rsidRPr="00A512DA">
        <w:br/>
        <w:t>Vstup v platnost a použitelnost</w:t>
      </w:r>
    </w:p>
    <w:p w14:paraId="132DAA82" w14:textId="4F13BF1D" w:rsidR="00911C0D" w:rsidRPr="00A512DA" w:rsidRDefault="00911C0D" w:rsidP="00911C0D">
      <w:r w:rsidRPr="00A512DA">
        <w:t xml:space="preserve">Toto nařízení vstupuje v platnost dvacátým dnem po vyhlášení v </w:t>
      </w:r>
      <w:r w:rsidRPr="00A512DA">
        <w:rPr>
          <w:i/>
        </w:rPr>
        <w:t>Úředním věstníku Evropské unie</w:t>
      </w:r>
      <w:r w:rsidRPr="00A512DA">
        <w:t>.</w:t>
      </w:r>
    </w:p>
    <w:p w14:paraId="59F2EBFB" w14:textId="5F28E1E6" w:rsidR="00911C0D" w:rsidRPr="00A512DA" w:rsidRDefault="00911C0D" w:rsidP="00911C0D">
      <w:pPr>
        <w:widowControl w:val="0"/>
        <w:autoSpaceDE w:val="0"/>
        <w:autoSpaceDN w:val="0"/>
        <w:rPr>
          <w:rFonts w:eastAsia="Times New Roman"/>
        </w:rPr>
      </w:pPr>
      <w:r w:rsidRPr="00A512DA">
        <w:t>Hlava I se použije ode dne 28. června 2021.</w:t>
      </w:r>
    </w:p>
    <w:p w14:paraId="2F7214D1" w14:textId="64BF67D1" w:rsidR="00F82D09" w:rsidRPr="00A512DA" w:rsidRDefault="00911C0D" w:rsidP="00911C0D">
      <w:pPr>
        <w:widowControl w:val="0"/>
        <w:autoSpaceDE w:val="0"/>
        <w:autoSpaceDN w:val="0"/>
        <w:rPr>
          <w:rFonts w:eastAsia="Times New Roman"/>
        </w:rPr>
      </w:pPr>
      <w:r w:rsidRPr="00A512DA">
        <w:t xml:space="preserve">Hlava II se použije ode dne </w:t>
      </w:r>
      <w:r w:rsidRPr="00A512DA">
        <w:rPr>
          <w:i/>
        </w:rPr>
        <w:t>[datum vstupu tohoto nařízení v platnost]</w:t>
      </w:r>
      <w:r w:rsidRPr="00A512DA">
        <w:t>, pokud jde o zpřístupňování informací v souladu s článkem 437a a čl. 447 písm. h) nařízení (EU) č. 575/2013, a ode dne uplatňování požadavků na zveřejňování v souladu s čl. 3 odst. 1 třetím pododstavcem směrnice (EU) 2019/879, pokud jde o zveřejňování informací v souladu s čl. 45i odst. 3 směrnice 2014/59/EU.</w:t>
      </w:r>
    </w:p>
    <w:p w14:paraId="48405F17" w14:textId="52DE1662" w:rsidR="00911C0D" w:rsidRPr="00A512DA" w:rsidRDefault="00911C0D" w:rsidP="00911C0D">
      <w:pPr>
        <w:pStyle w:val="Applicationdirecte"/>
        <w:keepNext/>
        <w:keepLines/>
      </w:pPr>
      <w:r w:rsidRPr="00A512DA">
        <w:t>Toto nařízení je závazné v celém rozsahu a přímo použitelné ve všech členských státech.</w:t>
      </w:r>
    </w:p>
    <w:p w14:paraId="688CD257" w14:textId="77777777" w:rsidR="00911C0D" w:rsidRPr="00A512DA" w:rsidRDefault="00DD5153" w:rsidP="00DD5153">
      <w:pPr>
        <w:pStyle w:val="Fait"/>
      </w:pPr>
      <w:r w:rsidRPr="00A512DA">
        <w:t>V Bruselu dne</w:t>
      </w:r>
    </w:p>
    <w:p w14:paraId="7D6E3D67" w14:textId="77777777" w:rsidR="00911C0D" w:rsidRPr="00A512DA" w:rsidRDefault="00911C0D" w:rsidP="00911C0D">
      <w:pPr>
        <w:pStyle w:val="Institutionquisigne"/>
      </w:pPr>
      <w:r w:rsidRPr="00A512DA">
        <w:tab/>
        <w:t>Za Komisi</w:t>
      </w:r>
    </w:p>
    <w:p w14:paraId="0936848B" w14:textId="77777777" w:rsidR="00911C0D" w:rsidRPr="00A512DA" w:rsidRDefault="00911C0D" w:rsidP="00911C0D">
      <w:pPr>
        <w:pStyle w:val="Personnequisigne"/>
      </w:pPr>
      <w:r w:rsidRPr="00A512DA">
        <w:tab/>
        <w:t xml:space="preserve">předsedkyně </w:t>
      </w:r>
      <w:r w:rsidRPr="00A512DA">
        <w:br/>
      </w:r>
      <w:r w:rsidRPr="00A512DA">
        <w:tab/>
        <w:t>Ursula VON DER LEYEN</w:t>
      </w:r>
    </w:p>
    <w:sectPr w:rsidR="00911C0D" w:rsidRPr="00A512DA" w:rsidSect="00BD272F">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F7889" w14:textId="56E92B88" w:rsidR="00714E55" w:rsidRPr="00BD272F" w:rsidRDefault="00BD272F" w:rsidP="00BD272F">
    <w:pPr>
      <w:pStyle w:val="Footer"/>
      <w:rPr>
        <w:rFonts w:ascii="Arial" w:hAnsi="Arial" w:cs="Arial"/>
        <w:b/>
        <w:sz w:val="48"/>
      </w:rPr>
    </w:pPr>
    <w:r w:rsidRPr="00BD272F">
      <w:rPr>
        <w:rFonts w:ascii="Arial" w:hAnsi="Arial" w:cs="Arial"/>
        <w:b/>
        <w:sz w:val="48"/>
      </w:rPr>
      <w:t>CS</w:t>
    </w:r>
    <w:r w:rsidRPr="00BD272F">
      <w:rPr>
        <w:rFonts w:ascii="Arial" w:hAnsi="Arial" w:cs="Arial"/>
        <w:b/>
        <w:sz w:val="48"/>
      </w:rPr>
      <w:tab/>
    </w:r>
    <w:r w:rsidRPr="00BD272F">
      <w:rPr>
        <w:rFonts w:ascii="Arial" w:hAnsi="Arial" w:cs="Arial"/>
        <w:b/>
        <w:sz w:val="48"/>
      </w:rPr>
      <w:tab/>
    </w:r>
    <w:r w:rsidRPr="00BD272F">
      <w:tab/>
    </w:r>
    <w:r w:rsidRPr="00BD272F">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F31F4" w14:textId="0077D7FF" w:rsidR="00BD272F" w:rsidRPr="00BD272F" w:rsidRDefault="00BD272F" w:rsidP="00BD272F">
    <w:pPr>
      <w:pStyle w:val="Footer"/>
      <w:rPr>
        <w:rFonts w:ascii="Arial" w:hAnsi="Arial" w:cs="Arial"/>
        <w:b/>
        <w:sz w:val="48"/>
      </w:rPr>
    </w:pPr>
    <w:r w:rsidRPr="00BD272F">
      <w:rPr>
        <w:rFonts w:ascii="Arial" w:hAnsi="Arial" w:cs="Arial"/>
        <w:b/>
        <w:sz w:val="48"/>
      </w:rPr>
      <w:t>CS</w:t>
    </w:r>
    <w:r w:rsidRPr="00BD272F">
      <w:rPr>
        <w:rFonts w:ascii="Arial" w:hAnsi="Arial" w:cs="Arial"/>
        <w:b/>
        <w:sz w:val="48"/>
      </w:rPr>
      <w:tab/>
    </w:r>
    <w:r>
      <w:fldChar w:fldCharType="begin"/>
    </w:r>
    <w:r>
      <w:instrText xml:space="preserve"> PAGE  \* MERGEFORMAT </w:instrText>
    </w:r>
    <w:r>
      <w:fldChar w:fldCharType="separate"/>
    </w:r>
    <w:r w:rsidR="00F841F7">
      <w:rPr>
        <w:noProof/>
      </w:rPr>
      <w:t>12</w:t>
    </w:r>
    <w:r>
      <w:fldChar w:fldCharType="end"/>
    </w:r>
    <w:r>
      <w:tab/>
    </w:r>
    <w:r w:rsidRPr="00BD272F">
      <w:tab/>
    </w:r>
    <w:r w:rsidRPr="00BD272F">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676EB" w14:textId="77777777" w:rsidR="00BD272F" w:rsidRPr="00BD272F" w:rsidRDefault="00BD272F" w:rsidP="00BD2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Úř. věst. L 176, 27.6.2013, s. 1.</w:t>
      </w:r>
    </w:p>
  </w:footnote>
  <w:footnote w:id="2">
    <w:p w14:paraId="52F29A01" w14:textId="77777777" w:rsidR="00911C0D" w:rsidRDefault="00911C0D" w:rsidP="00911C0D">
      <w:pPr>
        <w:pStyle w:val="FootnoteText"/>
      </w:pPr>
      <w:r>
        <w:rPr>
          <w:rStyle w:val="FootnoteReference"/>
        </w:rPr>
        <w:footnoteRef/>
      </w:r>
      <w:r>
        <w:tab/>
        <w:t>Úř. věst. L 173, 12.6.2014, s. 190.</w:t>
      </w:r>
    </w:p>
  </w:footnote>
  <w:footnote w:id="3">
    <w:p w14:paraId="400AF6FF" w14:textId="77777777" w:rsidR="00911C0D" w:rsidRPr="007A7954" w:rsidRDefault="00911C0D" w:rsidP="00911C0D">
      <w:pPr>
        <w:pStyle w:val="FootnoteText"/>
      </w:pPr>
      <w:r>
        <w:rPr>
          <w:rStyle w:val="FootnoteReference"/>
        </w:rPr>
        <w:footnoteRef/>
      </w:r>
      <w:r>
        <w:tab/>
        <w:t>Nařízení Evropského parlamentu a Rady (EU) 2019/876 ze dne 20. května 2019, kterým se mění nařízení (EU) č. 575/2013, pokud jde o pákový poměr, ukazatel čistého stabilního financování, požadavky na kapitál a způsobilé závazky, úvěrové riziko protistrany, tržní riziko, expozice vůči ústředním protistranám, expozice vůči subjektům kolektivního investování, velké expozice, požadavky na podávání zpráv a zpřístupňování informací, a nařízení (EU) č. 648/2012 (Úř. věst. L 150, 7.6. 2019, s. 1).</w:t>
      </w:r>
    </w:p>
  </w:footnote>
  <w:footnote w:id="4">
    <w:p w14:paraId="7FB27E48" w14:textId="77777777" w:rsidR="00911C0D" w:rsidRPr="00520ABD" w:rsidRDefault="00911C0D" w:rsidP="00911C0D">
      <w:pPr>
        <w:pStyle w:val="FootnoteText"/>
      </w:pPr>
      <w:r>
        <w:rPr>
          <w:rStyle w:val="FootnoteReference"/>
        </w:rPr>
        <w:footnoteRef/>
      </w:r>
      <w:r>
        <w:tab/>
        <w:t>Směrnice Evropského parlamentu a Rady (EU) 2019/879 ze dne 20. května 2019, kterou se mění směrnice 2014/59/EU, pokud jde o schopnost úvěrových institucí a investičních podniků absorbovat ztráty a schopnost rekapitalizace, a směrnice 98/26/ES (Úř. věst. L 150, 7.6.2019, s. 296).</w:t>
      </w:r>
    </w:p>
  </w:footnote>
  <w:footnote w:id="5">
    <w:p w14:paraId="7DA394B3" w14:textId="02D3CC85" w:rsidR="00911C0D" w:rsidRPr="006D7393" w:rsidRDefault="00911C0D" w:rsidP="00911C0D">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(Úř. věst. L 331, 15.12.2010, s. 12).</w:t>
      </w:r>
    </w:p>
  </w:footnote>
  <w:footnote w:id="6">
    <w:p w14:paraId="078CA3AC" w14:textId="77777777" w:rsidR="00911C0D" w:rsidRDefault="00911C0D" w:rsidP="00911C0D">
      <w:pPr>
        <w:pStyle w:val="FootnoteText"/>
      </w:pPr>
      <w:r>
        <w:rPr>
          <w:rStyle w:val="FootnoteReference"/>
        </w:rPr>
        <w:footnoteRef/>
      </w:r>
      <w:r>
        <w:tab/>
        <w:t>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1:45:1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74142759-6756-4D85-9D8F-14BCE2D73134"/>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 w:val="(Text s významem pro EHP)"/>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kterým se stanoví provád\u283?cí technické normy pro uplat\u328?ování na\u345?ízení Evropského parlamentu a Rady (EU) \u269?. 575/2013 a sm\u283?rnice Evropského parlamentu a Rady 2014/59/EU s ohledem na podávání zpráv pro ú\u269?ely dohledu a zve\u345?ej\u328?ování minimálních po\u382?adavk\u367? na kapitál a zp\u367?sobilé závazky"/>
    <w:docVar w:name="LW_TITRE.OBJ.CP" w:val="kterým se stanoví provád\u283?cí technické normy pro uplat\u328?ování na\u345?ízení Evropského parlamentu a Rady (EU) \u269?. 575/2013 a sm\u283?rnice Evropského parlamentu a Rady 2014/59/EU s ohledem na podávání zpráv pro ú\u269?ely dohledu a zve\u345?ej\u328?ování minimálních po\u382?adavk\u367? na kapitál a zp\u367?sobilé závazky"/>
    <w:docVar w:name="LW_TYPE.DOC" w:val="PROVÁD\u282?CÍ NA\u344?ÍZENÍ KOMISE (EU) \u8230?/..."/>
    <w:docVar w:name="LW_TYPE.DOC.CP" w:val="PROVÁD\u282?CÍ NA\u344?ÍZENÍ KOMISE (EU) \u8230?/..."/>
  </w:docVars>
  <w:rsids>
    <w:rsidRoot w:val="00911C0D"/>
    <w:rsid w:val="00022330"/>
    <w:rsid w:val="00050379"/>
    <w:rsid w:val="0006395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92692"/>
    <w:rsid w:val="002A6E40"/>
    <w:rsid w:val="0038586F"/>
    <w:rsid w:val="003D1FF4"/>
    <w:rsid w:val="00403FFA"/>
    <w:rsid w:val="004D75CF"/>
    <w:rsid w:val="00501159"/>
    <w:rsid w:val="00504F4C"/>
    <w:rsid w:val="00515BFC"/>
    <w:rsid w:val="00515FD9"/>
    <w:rsid w:val="00534AD8"/>
    <w:rsid w:val="00576101"/>
    <w:rsid w:val="00595F73"/>
    <w:rsid w:val="005A470A"/>
    <w:rsid w:val="005F390A"/>
    <w:rsid w:val="0060509B"/>
    <w:rsid w:val="006142ED"/>
    <w:rsid w:val="006601FC"/>
    <w:rsid w:val="00693D6D"/>
    <w:rsid w:val="0069401E"/>
    <w:rsid w:val="006E792A"/>
    <w:rsid w:val="0070128F"/>
    <w:rsid w:val="00714E55"/>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512DA"/>
    <w:rsid w:val="00A72CC5"/>
    <w:rsid w:val="00A92F78"/>
    <w:rsid w:val="00AA2E8A"/>
    <w:rsid w:val="00AC0214"/>
    <w:rsid w:val="00AD067C"/>
    <w:rsid w:val="00B076B3"/>
    <w:rsid w:val="00B1066F"/>
    <w:rsid w:val="00B129CF"/>
    <w:rsid w:val="00B15ABD"/>
    <w:rsid w:val="00B26F22"/>
    <w:rsid w:val="00B378A2"/>
    <w:rsid w:val="00B51552"/>
    <w:rsid w:val="00BD272F"/>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56C86"/>
    <w:rsid w:val="00E65C7F"/>
    <w:rsid w:val="00EA09E4"/>
    <w:rsid w:val="00EE12E2"/>
    <w:rsid w:val="00EF62B3"/>
    <w:rsid w:val="00F20062"/>
    <w:rsid w:val="00F45263"/>
    <w:rsid w:val="00F82D09"/>
    <w:rsid w:val="00F841F7"/>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cs-CZ"/>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cs-CZ"/>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4559</Words>
  <Characters>25947</Characters>
  <Application>Microsoft Office Word</Application>
  <DocSecurity>0</DocSecurity>
  <Lines>471</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2021-05-18T10:28:00Z</dcterms:created>
  <dcterms:modified xsi:type="dcterms:W3CDTF">2021-05-18T10:28:00Z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