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DA0A03" w14:textId="1E7947CE" w:rsidR="001C2816" w:rsidRPr="00E6252D" w:rsidRDefault="00006A2D" w:rsidP="00E6252D">
      <w:pPr>
        <w:pStyle w:val="Pagedecouverture"/>
      </w:pPr>
      <w:bookmarkStart w:id="0" w:name="_GoBack"/>
      <w:bookmarkEnd w:id="0"/>
      <w:r>
        <w:pict w14:anchorId="744CB7A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870E9E24-305D-473F-AE1A-CE1AF8FC3961" style="width:450.6pt;height:423pt">
            <v:imagedata r:id="rId7" o:title=""/>
          </v:shape>
        </w:pict>
      </w:r>
    </w:p>
    <w:p w14:paraId="42BED65A" w14:textId="77777777" w:rsidR="00911C0D" w:rsidRPr="00E6252D" w:rsidRDefault="00911C0D">
      <w:pPr>
        <w:sectPr w:rsidR="00911C0D" w:rsidRPr="00E6252D" w:rsidSect="00997897">
          <w:footerReference w:type="default" r:id="rId8"/>
          <w:pgSz w:w="11907" w:h="16839"/>
          <w:pgMar w:top="1134" w:right="1417" w:bottom="1134" w:left="1417" w:header="709" w:footer="709" w:gutter="0"/>
          <w:pgNumType w:start="0"/>
          <w:cols w:space="720"/>
          <w:docGrid w:linePitch="360"/>
        </w:sectPr>
      </w:pPr>
    </w:p>
    <w:p w14:paraId="2E321C8E" w14:textId="77777777" w:rsidR="00911C0D" w:rsidRPr="00E6252D" w:rsidRDefault="00DD5153" w:rsidP="00DD5153">
      <w:pPr>
        <w:pStyle w:val="Typedudocument"/>
      </w:pPr>
      <w:r w:rsidRPr="00E6252D">
        <w:lastRenderedPageBreak/>
        <w:t>ΕΚΤΕΛΕΣΤΙΚΟΣ ΚΑΝΟΝΙΣΜΟΣ (ΕΕ) …/... ΤΗΣ ΕΠΙΤΡΟΠΗΣ</w:t>
      </w:r>
    </w:p>
    <w:p w14:paraId="537E2F9A" w14:textId="32177210" w:rsidR="00911C0D" w:rsidRPr="00E6252D" w:rsidRDefault="00E6252D" w:rsidP="00DD5153">
      <w:pPr>
        <w:pStyle w:val="Datedadoption"/>
      </w:pPr>
      <w:r>
        <w:t>της XXX</w:t>
      </w:r>
    </w:p>
    <w:p w14:paraId="2AF513BE" w14:textId="77777777" w:rsidR="00911C0D" w:rsidRPr="00E6252D" w:rsidRDefault="00DD5153" w:rsidP="00DD5153">
      <w:pPr>
        <w:pStyle w:val="Titreobjet"/>
      </w:pPr>
      <w:r w:rsidRPr="00E6252D">
        <w:t>σχετικά με τη θέσπιση εκτελεστικών τεχνικών προτύπων για την εφαρμογή του κανονισμού (ΕΕ) αριθ. 575/2013 του Ευρωπαϊκού Κοινοβουλίου και του Συμβουλίου και της οδηγίας 2014/59/ΕΕ του Ευρωπαϊκού Κοινοβουλίου και του Συμβουλίου όσον αφορά την υποβολή εποπτικών αναφορών και τη δημοσιοποίηση της ελάχιστης απαίτησης ιδίων κεφαλαίων και επιλέξιμων υποχρεώσεων</w:t>
      </w:r>
    </w:p>
    <w:p w14:paraId="17032FFA" w14:textId="77777777" w:rsidR="00911C0D" w:rsidRPr="00E6252D" w:rsidRDefault="00DD5153" w:rsidP="00DD5153">
      <w:pPr>
        <w:pStyle w:val="IntrtEEE"/>
      </w:pPr>
      <w:r w:rsidRPr="00E6252D">
        <w:t>(Κείμενο που παρουσιάζει ενδιαφέρον για τον ΕΟΧ)</w:t>
      </w:r>
    </w:p>
    <w:p w14:paraId="70543606" w14:textId="77777777" w:rsidR="00911C0D" w:rsidRPr="00E6252D" w:rsidRDefault="00911C0D" w:rsidP="00911C0D">
      <w:pPr>
        <w:pStyle w:val="Institutionquiagit"/>
      </w:pPr>
      <w:r w:rsidRPr="00E6252D">
        <w:t>Η ΕΥΡΩΠΑΪΚΗ ΕΠΙΤΡΟΠΗ,</w:t>
      </w:r>
    </w:p>
    <w:p w14:paraId="69A98AD3" w14:textId="30134CBB" w:rsidR="00911C0D" w:rsidRPr="00E6252D" w:rsidRDefault="00911C0D" w:rsidP="00911C0D">
      <w:r w:rsidRPr="00E6252D">
        <w:t>Έχοντας υπόψη τον κανονισμό (ΕΕ) αριθ. 575/2013 του Ευρωπαϊκού Κοινοβουλίου και του Συμβουλίου, της 26ης Ιουνίου 2013, σχετικά με τις απαιτήσεις προληπτικής εποπτείας για πιστωτικά ιδρύματα και επιχειρήσεις επενδύσεων και την τροποποίηση του κανονισμού (ΕΕ) αριθ. 648/2012</w:t>
      </w:r>
      <w:r w:rsidRPr="00E6252D">
        <w:rPr>
          <w:rStyle w:val="FootnoteReference"/>
        </w:rPr>
        <w:footnoteReference w:id="1"/>
      </w:r>
      <w:r w:rsidRPr="00E6252D">
        <w:t>, και ιδίως το άρθρο 430 παράγραφος 7 πέμπτο εδάφιο και το άρθρο 434α πέμπτο εδάφιο,</w:t>
      </w:r>
    </w:p>
    <w:p w14:paraId="283FAA3A" w14:textId="77777777" w:rsidR="00911C0D" w:rsidRPr="00E6252D" w:rsidRDefault="00911C0D" w:rsidP="00911C0D">
      <w:r w:rsidRPr="00E6252D">
        <w:t>Έχοντας υπόψη την οδηγία 2014/59/ΕΕ του Ευρωπαϊκού Κοινοβουλίου και του Συμβουλίου, της 15ης Μαΐου 2014, για τη θέσπιση πλαισίου για την ανάκαμψη και την εξυγίανση πιστωτικών ιδρυμάτων και επιχειρήσεων επενδύσεων και για την τροποποίηση της οδηγίας 82/891/ΕΟΚ του Συμβουλίου, και των οδηγιών 2001/24/ΕΚ, 2002/47/ΕΚ, 2004/25/ΕΚ, 2005/56/ΕΚ, 2007/36/ΕΚ, 2011/35/ΕΕ, 2012/30/ΕΕ και 2013/36/ΕΕ, καθώς και των κανονισμών του Ευρωπαϊκού Κοινοβουλίου και του Συμβουλίου (ΕΕ) αριθ. 1093/2010 και (ΕΕ) αριθ. 648/2012</w:t>
      </w:r>
      <w:r w:rsidRPr="00E6252D">
        <w:rPr>
          <w:rStyle w:val="FootnoteReference"/>
        </w:rPr>
        <w:footnoteReference w:id="2"/>
      </w:r>
      <w:r w:rsidRPr="00E6252D">
        <w:t>, και ιδίως το άρθρο 45θ παράγραφοι 5 και 6,</w:t>
      </w:r>
    </w:p>
    <w:p w14:paraId="2D724A4A" w14:textId="77777777" w:rsidR="00911C0D" w:rsidRPr="00E6252D" w:rsidRDefault="00911C0D" w:rsidP="00911C0D">
      <w:r w:rsidRPr="00E6252D">
        <w:t>Εκτιμώντας τα ακόλουθα:</w:t>
      </w:r>
    </w:p>
    <w:p w14:paraId="1498BCD9" w14:textId="55EE7DC6" w:rsidR="00911C0D" w:rsidRPr="00E6252D" w:rsidRDefault="00911C0D" w:rsidP="009B4649">
      <w:pPr>
        <w:pStyle w:val="Considrant"/>
        <w:numPr>
          <w:ilvl w:val="0"/>
          <w:numId w:val="23"/>
        </w:numPr>
      </w:pPr>
      <w:r w:rsidRPr="00E6252D">
        <w:t>Το εναρμονισμένο ελάχιστο επίπεδο του εγγράφου με τους όρους λειτουργίας (Term Sheet) της συνολικής ικανότητας απορρόφησης ζημιών (TLAC) (στο εξής: πρότυπο TLAC) για τα παγκόσμια συστημικώς σημαντικά ιδρύματα (G-SII) (στο εξής: απαίτηση TLAC) καθιερώθηκε στη νομοθεσία της Ένωσης με τον κανονισμό (ΕΕ) 2019/876 του Ευρωπαϊκού Κοινοβουλίου και του Συμβουλίου</w:t>
      </w:r>
      <w:r w:rsidRPr="00E6252D">
        <w:rPr>
          <w:rStyle w:val="FootnoteReference"/>
        </w:rPr>
        <w:footnoteReference w:id="3"/>
      </w:r>
      <w:r w:rsidRPr="00E6252D">
        <w:rPr>
          <w:sz w:val="23"/>
          <w:szCs w:val="23"/>
        </w:rPr>
        <w:t xml:space="preserve"> για την τροποποίηση του κανονισμού (ΕΕ) αριθ. 575/2013. Η ειδική προσαύξηση ανά ίδρυμα για τα G-SII και η ειδική απαίτηση ανά ίδρυμα για τα μη G-SII, η οποία αναφέρεται ως ελάχιστη απαίτηση ιδίων κεφαλαίων και επιλέξιμων υποχρεώσεων (MREL), έχουν θεσπιστεί μέσω στοχευμένων τροποποιήσεων της οδηγίας 2014/59/ΕΕ που θεσπίστηκαν με την οδηγία (ΕΕ) </w:t>
      </w:r>
      <w:r w:rsidRPr="00E6252D">
        <w:t>2019/879 του Ευρωπαϊκού Κοινοβουλίου και του Συμβουλίου</w:t>
      </w:r>
      <w:r w:rsidRPr="00E6252D">
        <w:rPr>
          <w:rStyle w:val="FootnoteReference"/>
        </w:rPr>
        <w:footnoteReference w:id="4"/>
      </w:r>
      <w:r w:rsidRPr="00E6252D">
        <w:t xml:space="preserve">. Απαιτήσεις </w:t>
      </w:r>
      <w:r w:rsidRPr="00E6252D">
        <w:lastRenderedPageBreak/>
        <w:t>υποβολής αναφορών και δημοσιοποίησης τόσο για το πρότυπο TLAC όσο και για τη MREL περιλαμβάνονται πλέον στον κανονισμό (ΕΕ) αριθ. 575/2013 και στην οδηγία 2014/59/ΕΕ, αντίστοιχα.</w:t>
      </w:r>
    </w:p>
    <w:p w14:paraId="42917AA4" w14:textId="77777777" w:rsidR="00911C0D" w:rsidRPr="00E6252D" w:rsidRDefault="00911C0D" w:rsidP="00911C0D">
      <w:pPr>
        <w:pStyle w:val="Considrant"/>
      </w:pPr>
      <w:r w:rsidRPr="00E6252D">
        <w:t>Δεδομένου ότι το πρότυπο TLAC και η MREL επιδιώκουν τον ίδιο στόχο, δηλαδή να διασφαλίσουν ότι τα ιδρύματα και οι οντότητες που είναι εγκατεστημένα/-ες στην Ένωση διαθέτουν επαρκή ικανότητα απορρόφησης ζημιών και ανακεφαλαιοποίησης, οι δύο απαιτήσεις θα πρέπει να αποτελούν συμπληρωματικά στοιχεία ενός κοινού πλαισίου. Ως εκ τούτου, είναι σκόπιμο να θεσπιστεί ένα σύνολο υποδειγμάτων για την υποβολή αναφορών και τη δημοσιοποίηση εναρμονισμένων πληροφοριών σχετικά με την απαίτηση ιδίων κεφαλαίων και επιλέξιμων υποχρεώσεων για τα G-SII και τις σημαντικές θυγατρικές των G-SII εκτός ΕΕ (TLAC) καθώς και την ειδική ανά ίδρυμα MREL, που θα εφαρμόζεται σε όλα τα ιδρύματα.</w:t>
      </w:r>
    </w:p>
    <w:p w14:paraId="621ACD0D" w14:textId="77777777" w:rsidR="00911C0D" w:rsidRPr="00E6252D" w:rsidRDefault="00911C0D" w:rsidP="00911C0D">
      <w:pPr>
        <w:pStyle w:val="Considrant"/>
      </w:pPr>
      <w:r w:rsidRPr="00E6252D">
        <w:t>Σύμφωνα με το άρθρο 434α του κανονισμού (ΕΕ) αριθ. 575/2013, στα σχέδια εκτελεστικών τεχνικών προτύπων τα οποία καταρτίζει η Ευρωπαϊκή Αρχή Τραπεζών (EBA) για τον καθορισμό ενιαίων μορφοτύπων δημοσιοποίησης πρέπει να επιδιώκεται να διατηρείται η συνοχή των μορφοτύπων δημοσιοποίησης με τα διεθνή πρότυπα για τις δημοσιοποιήσεις, προκειμένου να διευκολύνεται η συγκρισιμότητα των πληροφοριών. Η Επιτροπή της Βασιλείας για την Τραπεζική Εποπτεία (BCBS) δημοσίευσε τον Δεκέμβριο του 2018 επικαιροποιημένες απαιτήσεις δημοσιοποίησης του πυλώνα 3, συμπεριλαμβανομένων απαιτήσεων για τις δημοσιοποιήσεις TLAC. Οι μορφότυποι δημοσιοποίησης και οι σχετικές οδηγίες που καθορίζονται στον παρόντα κανονισμό θα πρέπει, συνεπώς, να συνάδουν με τις εν λόγω επικαιροποιημένες απαιτήσεις δημοσιοποίησης της BCBS.</w:t>
      </w:r>
    </w:p>
    <w:p w14:paraId="39396602" w14:textId="77777777" w:rsidR="00911C0D" w:rsidRPr="00E6252D" w:rsidRDefault="00911C0D" w:rsidP="00911C0D">
      <w:pPr>
        <w:pStyle w:val="Considrant"/>
      </w:pPr>
      <w:r w:rsidRPr="00E6252D">
        <w:t xml:space="preserve">Για να διασφαλιστεί ότι δεν θα αυξηθεί αδικαιολόγητα το κόστος συμμόρφωσης για τα ιδρύματα και ότι θα διατηρηθεί η ποιότητα των δεδομένων, οι υποχρεώσεις υποβολής αναφορών και δημοσιοποίησης θα πρέπει να εναρμονιστούν μεταξύ τους στον μέγιστο δυνατό βαθμό ως προς την ουσία τους, μεταξύ άλλων και όσον αφορά τη συχνότητά τους. Επιπλέον, η εναρμόνιση των εκτελεστικών τεχνικών προτύπων σχετικά με τις υποχρεώσεις υποβολής αναφορών και δημοσιοποίησης για την TLAC και τη MREL απαιτείται ρητά από το άρθρο 45θ παράγραφος 5 τρίτο εδάφιο και το άρθρο 45θ παράγραφος 6 τρίτο εδάφιο της οδηγίας 2014/59/ΕΕ. Ως εκ τούτου, είναι σκόπιμο να καθοριστούν, σε ενιαίο κανονισμό, τα πρότυπα που θα εφαρμόζονται τόσο για την υποβολή αναφορών όσο και για τη δημοσιοποίηση της TLAC και της MREL. Ταυτόχρονα, το επίπεδο λεπτομέρειας και η συχνότητα τόσο της υποβολής αναφορών όσο και των δημοσιοποιήσεων θα πρέπει να προσαρμόζονται ανάλογα με την περίπτωση, λαμβανομένων υπόψη των απαιτήσεων του κανονισμού (ΕΕ) αριθ. 575/2013 και της οδηγίας 2014/59/ΕΕ, αντίστοιχα, καθώς και της ανάγκης να διασφαλίζεται ότι τα ιδρύματα πληρούν τις απαιτήσεις αυτές ανά πάσα στιγμή. </w:t>
      </w:r>
    </w:p>
    <w:p w14:paraId="6A0B1EFC" w14:textId="77777777" w:rsidR="00911C0D" w:rsidRPr="00E6252D" w:rsidRDefault="00911C0D" w:rsidP="00911C0D">
      <w:pPr>
        <w:pStyle w:val="Considrant"/>
        <w:rPr>
          <w:noProof/>
        </w:rPr>
      </w:pPr>
      <w:r w:rsidRPr="00E6252D">
        <w:t xml:space="preserve">Η οδηγία 2014/59/ΕΕ απαιτεί να υποβάλλονται οι πληροφορίες σχετικά με τη MREL τόσο στις αρμόδιες αρχές όσο και στις αρχές εξυγίανσης. Ο κανονισμός (ΕΕ) αριθ. 575/2013 απαιτεί να υποβάλλονται οι πληροφορίες σχετικά με την TLAC μόνο στις αρμόδιες αρχές. Ωστόσο, σύμφωνα με το άρθρο 45δ παράγραφος 1 της οδηγίας 2014/59/ΕΕ, η MREL μιας οντότητας εξυγίανσης που είναι G-SII ή αποτελεί μέρος ενός G-SII συνίσταται στην απαίτηση TLAC και κάθε συμπληρωματική προσαύξηση. Ως εκ τούτου, είναι σκόπιμο να διασφαλιστεί ότι οι αρχές εξυγίανσης λαμβάνουν πληροφορίες σχετικά με την TLAC από τα G-SII στο πλαίσιο της υποβολής </w:t>
      </w:r>
      <w:r w:rsidRPr="00E6252D">
        <w:lastRenderedPageBreak/>
        <w:t>αναφορών τους σχετικά με τη MREL. Αυτό δεν θα πρέπει να θίγει τις ρυθμίσεις που έχουν συμφωνηθεί από τις αρμόδιες αρχές και τις αρχές εξυγίανσης για την ελαχιστοποίηση των ροών δεδομένων.</w:t>
      </w:r>
    </w:p>
    <w:p w14:paraId="47B09598" w14:textId="77777777" w:rsidR="00911C0D" w:rsidRPr="00E6252D" w:rsidRDefault="00911C0D" w:rsidP="00911C0D">
      <w:pPr>
        <w:pStyle w:val="Considrant"/>
      </w:pPr>
      <w:r w:rsidRPr="00E6252D">
        <w:t>Το άρθρο 45θ παράγραφος 5 της οδηγίας 2014/59/ΕΕ απαιτεί τα σχέδια εκτελεστικών τεχνικών προτύπων τα οποία καταρτίζει η EBA να προσδιορίζουν έναν τυποποιημένο τρόπο παροχής πληροφοριών για την κατάταξη των ιδίων κεφαλαίων και των υποκείμενων σε αναδιάρθρωση παθητικού υποχρεώσεων προς εφαρμογή σε εθνικές διαδικασίες αφερεγγυότητας σε κάθε κράτος μέλος, για λόγους συγκρισιμότητας και ασφάλειας δικαίου. Ως εκ τούτου, οι αντίστοιχες αρχές εξυγίανσης θα πρέπει να θέτουν στη διάθεση των ιδρυμάτων που υπάγονται στη δικαιοδοσία τους τυποποιημένες πληροφορίες σχετικά με την πτωχευτική ιεραρχία σε κάθε κράτος μέλος, καθώς και έγκαιρες επικαιροποιήσεις τους. Οι πληροφορίες αυτές θα πρέπει να ακολουθούν τυποποιημένη παρουσίαση της πτωχευτικής ιεραρχίας.</w:t>
      </w:r>
    </w:p>
    <w:p w14:paraId="5C67BF36" w14:textId="77777777" w:rsidR="00911C0D" w:rsidRPr="00E6252D" w:rsidRDefault="00911C0D" w:rsidP="00911C0D">
      <w:pPr>
        <w:pStyle w:val="Considrant"/>
      </w:pPr>
      <w:r w:rsidRPr="00E6252D">
        <w:t>Όσον αφορά τις υποκείμενες σε αναδιάρθρωση παθητικού υποχρεώσεις που διέπονται από τη νομοθεσία τρίτης χώρας, το άρθρο 45θ παράγραφος 5 της οδηγίας 2014/59/ΕΕ απαιτεί επίσης τα σχέδια εκτελεστικών τεχνικών προτύπων τα οποία καταρτίζει η EBA να προσδιορίζουν έναν τυποποιημένο τρόπο παροχής πληροφοριών που υποδεικνύει τις τρίτες χώρες των οποίων το δίκαιο διέπει τις εν λόγω υποχρεώσεις και, για κάθε αναφερόμενη τρίτη χώρα, αν οι εν λόγω υποχρεώσεις περιέχουν τον συμβατικό όρο με τον οποίο αναγνωρίζεται ότι ενδέχεται να υπόκεινται, δυνάμει της εν λόγω οδηγίας, σε εξουσίες απομείωσης και μετατροπής. Λόγω της ανάγκης να αξιολογηθεί περαιτέρω το επίπεδο λεπτομέρειας για την υποβολή αναφορών σχετικά με τα εν λόγω στοιχεία, οι σχετικές οδηγίες και τα υποδείγματα θα καταρτιστούν και θα υποβληθούν χωριστά από την EBA στην Επιτροπή σε εύθετο χρόνο, ώστε τόσο οι αρμόδιες αρχές όσο και οι αρχές εξυγίανσης να έχουν πρόσβαση στις πληροφορίες αυτές σε τακτική βάση. Η απουσία αυτών των περιορισμένων πρόσθετων στοιχείων δεν θα επηρεάσει ούτε θα καθυστερήσει την εφαρμογή των απαιτήσεων υποβολής αναφορών που προβλέπονται στον παρόντα κανονισμό.</w:t>
      </w:r>
    </w:p>
    <w:p w14:paraId="131F500A" w14:textId="77777777" w:rsidR="00911C0D" w:rsidRPr="00E6252D" w:rsidRDefault="00911C0D" w:rsidP="00911C0D">
      <w:pPr>
        <w:pStyle w:val="Considrant"/>
      </w:pPr>
      <w:r w:rsidRPr="00E6252D">
        <w:t xml:space="preserve">Οι οντότητες που προβαίνουν στη δημοσιοποίηση θα πρέπει να λαμβάνουν υπόψη τις σχετικές κατευθυντήριες γραμμές που εκδίδει η EBA κατά την αξιολόγηση του αν οι πληροφορίες είναι ουσιώδεις, αποκλειστικές ή εμπιστευτικές σύμφωνα με το άρθρο 432 του κανονισμού (ΕΕ) αριθ. 575/2013. </w:t>
      </w:r>
    </w:p>
    <w:p w14:paraId="334E45CF" w14:textId="77777777" w:rsidR="00911C0D" w:rsidRPr="00E6252D" w:rsidRDefault="00911C0D" w:rsidP="00911C0D">
      <w:pPr>
        <w:pStyle w:val="Considrant"/>
        <w:rPr>
          <w:noProof/>
        </w:rPr>
      </w:pPr>
      <w:r w:rsidRPr="00E6252D">
        <w:t>Η υποχρέωση υποβολής αναφορών και δημοσιοποίησης πληροφοριών σχετικά με την TLAC, η οποία προβλέπεται στο άρθρο 430 παράγραφος 1 στοιχείο β), στο άρθρο 437α και στο άρθρο 447 στοιχείο η) του κανονισμού (ΕΕ) αριθ. 575/2013, εφαρμόζεται από τις 27 Ιουνίου 2019, σύμφωνα με το άρθρο 3 παράγραφος 3 δεύτερο εδάφιο του κανονισμού (ΕΕ) 2019/876. Κατά συνέπεια, μόλις τεθεί σε ισχύ ο παρών κανονισμός, τα G-SII και οι σημαντικές θυγατρικές G-SII εκτός ΕΕ θα πρέπει να προβούν αμέσως στη δημοσιοποίηση πληροφοριών σχετικά με την TLAC χρησιμοποιώντας τα υποδείγματα και ακολουθώντας τις οδηγίες που προβλέπονται στον παρόντα κανονισμό. Αντιθέτως, η υποβολή αναφορών σχετικά με την απαίτηση TLAC σύμφωνα με τον παρόντα κανονισμό θα πρέπει να αρχίσει να εφαρμόζεται μόνον από τις 28 Ιουνίου 2021, ώστε να παρασχεθεί στα ιδρύματα και στις αρμόδιες αρχές επαρκής χρόνος για την εφαρμογή των σχετικών απαιτήσεων.</w:t>
      </w:r>
    </w:p>
    <w:p w14:paraId="5CD8D630" w14:textId="554B47BE" w:rsidR="00911C0D" w:rsidRPr="00E6252D" w:rsidRDefault="00911C0D" w:rsidP="00911C0D">
      <w:pPr>
        <w:pStyle w:val="Considrant"/>
        <w:rPr>
          <w:noProof/>
        </w:rPr>
      </w:pPr>
      <w:r w:rsidRPr="00E6252D">
        <w:rPr>
          <w:color w:val="000000"/>
        </w:rPr>
        <w:t xml:space="preserve">Όσον αφορά τη MREL, οι υποχρεώσεις υποβολής αναφορών που προβλέπονται στην οδηγία 2014/59/ΕΕ πρέπει να εφαρμοστούν το αργότερο από τις 28 Δεκεμβρίου 2020. Ωστόσο, για τους ίδιους λόγους που ισχύουν και για την TLAC, όλα τα ιδρύματα θα πρέπει να υποβάλλουν πληροφορίες σχετικά με τη MREL χρησιμοποιώντας τα </w:t>
      </w:r>
      <w:r w:rsidRPr="00E6252D">
        <w:rPr>
          <w:color w:val="000000"/>
        </w:rPr>
        <w:lastRenderedPageBreak/>
        <w:t>υποδείγματα και ακολουθώντας τις οδηγίες που προβλέπονται στον παρόντα κανονισμό από τις 28 Ιουνίου 2021. Αντιθέτως, η ημερομηνία εφαρμογής των υποχρεώσεων δημοσιοποίησης της MREL θα πρέπει να συμπίπτει με τη λήξη της μεταβατικής περιόδου σύμφωνα με το άρθρο 45ιγ παράγραφος 1 τρίτο εδάφιο της οδηγίας 2014/59/ΕΕ, δηλαδή το νωρίτερο την 1η Ιανουαρίου 2024.</w:t>
      </w:r>
      <w:r w:rsidRPr="00E6252D">
        <w:t xml:space="preserve"> </w:t>
      </w:r>
    </w:p>
    <w:p w14:paraId="440C2F52" w14:textId="37997D46" w:rsidR="00D05552" w:rsidRPr="00E6252D" w:rsidRDefault="00EA09E4" w:rsidP="00EA09E4">
      <w:pPr>
        <w:pStyle w:val="Considrant"/>
        <w:rPr>
          <w:noProof/>
        </w:rPr>
      </w:pPr>
      <w:r w:rsidRPr="00E6252D">
        <w:t xml:space="preserve">Δεδομένης της ανάγκης να προσαρμοστούν τα συστήματα υποβολής αναφορών και τα ηλεκτρονικά συστήματα των ιδρυμάτων, των αρμόδιων αρχών και των αρχών εξυγίανσης στις απαιτήσεις που καθορίζονται στον παρόντα κανονισμό, η ημερομηνία αποστολής των τριμηνιαίων αναφορών για δεδομένα που σχετίζονται με την ημερομηνία αναφοράς 30 Ιουνίου 2021 θα πρέπει να είναι η 30ή Σεπτεμβρίου 2021 το αργότερο. </w:t>
      </w:r>
    </w:p>
    <w:p w14:paraId="059DCDED" w14:textId="77777777" w:rsidR="00911C0D" w:rsidRPr="00E6252D" w:rsidRDefault="00911C0D" w:rsidP="00911C0D">
      <w:pPr>
        <w:pStyle w:val="Considrant"/>
        <w:rPr>
          <w:noProof/>
        </w:rPr>
      </w:pPr>
      <w:r w:rsidRPr="00E6252D">
        <w:t>Ο παρών κανονισμός βασίζεται στα σχέδια εκτελεστικών τεχνικών προτύπων που υπέβαλε η EBA στην Επιτροπή.</w:t>
      </w:r>
    </w:p>
    <w:p w14:paraId="11F1B273" w14:textId="77777777" w:rsidR="00911C0D" w:rsidRPr="00E6252D" w:rsidRDefault="00911C0D" w:rsidP="00911C0D">
      <w:pPr>
        <w:pStyle w:val="Considrant"/>
        <w:rPr>
          <w:noProof/>
          <w:color w:val="000000"/>
        </w:rPr>
      </w:pPr>
      <w:r w:rsidRPr="00E6252D">
        <w:t>Η EBA διενήργησε ανοικτές δημόσιες διαβουλεύσεις σχετικά με τα σχέδια εκτελεστικών τεχνικών προτύπων στα οποία βασίζεται ο παρών κανονισμός, ανέλυσε τα ενδεχόμενα συναφή κόστη και οφέλη και ζήτησε τις συμβουλές της ομάδας τραπεζικών συμφεροντούχων που έχει συσταθεί σύμφωνα με το άρθρο 37 του κανονισμού (ΕΕ) αριθ. 1093/2010 του Ευρωπαϊκού Κοινοβουλίου και του Συμβουλίου</w:t>
      </w:r>
      <w:r w:rsidRPr="00E6252D">
        <w:rPr>
          <w:rStyle w:val="FootnoteReference"/>
        </w:rPr>
        <w:footnoteReference w:id="5"/>
      </w:r>
      <w:r w:rsidRPr="00E6252D">
        <w:t>,</w:t>
      </w:r>
    </w:p>
    <w:p w14:paraId="0057A5D8" w14:textId="77777777" w:rsidR="00911C0D" w:rsidRPr="00E6252D" w:rsidRDefault="00911C0D" w:rsidP="00911C0D">
      <w:pPr>
        <w:pStyle w:val="Formuledadoption"/>
      </w:pPr>
      <w:r w:rsidRPr="00E6252D">
        <w:t>ΕΞΕΔΩΣΕ ΤΟΝ ΠΑΡΟΝΤΑ ΚΑΝΟΝΙΣΜΟ:</w:t>
      </w:r>
    </w:p>
    <w:p w14:paraId="3D820E8F" w14:textId="77777777" w:rsidR="00911C0D" w:rsidRPr="00E6252D" w:rsidRDefault="00911C0D" w:rsidP="00911C0D">
      <w:pPr>
        <w:pStyle w:val="SectionTitle"/>
        <w:rPr>
          <w:b w:val="0"/>
          <w:i/>
        </w:rPr>
      </w:pPr>
      <w:r w:rsidRPr="00E6252D">
        <w:rPr>
          <w:b w:val="0"/>
          <w:i/>
        </w:rPr>
        <w:t>ΤΙΤΛΟΣ I</w:t>
      </w:r>
      <w:r w:rsidRPr="00E6252D">
        <w:t xml:space="preserve"> </w:t>
      </w:r>
      <w:r w:rsidRPr="00E6252D">
        <w:br/>
      </w:r>
      <w:r w:rsidRPr="00E6252D">
        <w:rPr>
          <w:b w:val="0"/>
          <w:i/>
        </w:rPr>
        <w:t>ΥΠΟΒΟΛΗ ΕΠΟΠΤΙΚΩΝ ΑΝΑΦΟΡΩΝ</w:t>
      </w:r>
    </w:p>
    <w:p w14:paraId="41755B8B" w14:textId="77777777" w:rsidR="00911C0D" w:rsidRPr="00E6252D" w:rsidRDefault="00911C0D" w:rsidP="00911C0D">
      <w:pPr>
        <w:pStyle w:val="Titrearticle"/>
      </w:pPr>
      <w:r w:rsidRPr="00E6252D">
        <w:t xml:space="preserve">Άρθρο </w:t>
      </w:r>
      <w:r w:rsidR="009B4649">
        <w:fldChar w:fldCharType="begin"/>
      </w:r>
      <w:r w:rsidR="009B4649">
        <w:instrText xml:space="preserve"> SEQ Figure \* ARABIC </w:instrText>
      </w:r>
      <w:r w:rsidR="009B4649">
        <w:fldChar w:fldCharType="separate"/>
      </w:r>
      <w:r w:rsidRPr="00E6252D">
        <w:t>1</w:t>
      </w:r>
      <w:r w:rsidR="009B4649">
        <w:fldChar w:fldCharType="end"/>
      </w:r>
      <w:r w:rsidRPr="00E6252D">
        <w:br/>
        <w:t>Ημερομηνίες αναφοράς για την υποβολή αναφορών</w:t>
      </w:r>
    </w:p>
    <w:p w14:paraId="4E45B252" w14:textId="77777777" w:rsidR="00911C0D" w:rsidRPr="00E6252D" w:rsidRDefault="00911C0D" w:rsidP="00911C0D">
      <w:pPr>
        <w:keepNext/>
        <w:keepLines/>
        <w:spacing w:before="360"/>
        <w:rPr>
          <w:noProof/>
        </w:rPr>
      </w:pPr>
      <w:r w:rsidRPr="00E6252D">
        <w:t xml:space="preserve">Οι οντότητες που υπόκεινται σε απαιτήσεις υποβολής αναφορών για τη συνολική ικανότητα απορρόφησης ζημιών (TLAC) και την </w:t>
      </w:r>
      <w:r w:rsidRPr="00E6252D">
        <w:rPr>
          <w:sz w:val="23"/>
          <w:szCs w:val="23"/>
        </w:rPr>
        <w:t xml:space="preserve">ελάχιστη απαίτηση ιδίων κεφαλαίων και επιλέξιμων υποχρεώσεων </w:t>
      </w:r>
      <w:r w:rsidRPr="00E6252D">
        <w:t>(MREL) σε ατομική ή ενοποιημένη βάση (αναφέρουσες οντότητες) υποβάλλουν πληροφορίες στις αρμόδιες αρχές και στις αρχές εξυγίανσης ως έχουν κατά τις ακόλουθες ημερομηνίες αναφοράς για την υποβολή αναφορών:</w:t>
      </w:r>
    </w:p>
    <w:p w14:paraId="62D6D0EC" w14:textId="77777777" w:rsidR="00911C0D" w:rsidRPr="00E6252D" w:rsidRDefault="00911C0D" w:rsidP="00911C0D">
      <w:pPr>
        <w:pStyle w:val="Point0"/>
        <w:rPr>
          <w:noProof/>
        </w:rPr>
      </w:pPr>
      <w:r w:rsidRPr="00E6252D">
        <w:t>α)</w:t>
      </w:r>
      <w:r w:rsidRPr="00E6252D">
        <w:tab/>
        <w:t>για την υποβολή αναφορών σε τριμηνιαία βάση: στις 31 Μαρτίου, στις 30 Ιουνίου, στις 30 Σεπτεμβρίου και στις 31 Δεκεμβρίου·</w:t>
      </w:r>
    </w:p>
    <w:p w14:paraId="6619E578" w14:textId="77777777" w:rsidR="00911C0D" w:rsidRPr="00E6252D" w:rsidRDefault="00911C0D" w:rsidP="00911C0D">
      <w:pPr>
        <w:pStyle w:val="Point0"/>
        <w:rPr>
          <w:noProof/>
        </w:rPr>
      </w:pPr>
      <w:r w:rsidRPr="00E6252D">
        <w:t>β)</w:t>
      </w:r>
      <w:r w:rsidRPr="00E6252D">
        <w:tab/>
        <w:t>για την υποβολή αναφορών σε εξαμηνιαία βάση: στις 30 Ιουνίου και στις 31 Δεκεμβρίου·</w:t>
      </w:r>
    </w:p>
    <w:p w14:paraId="0A85107A" w14:textId="77777777" w:rsidR="00911C0D" w:rsidRPr="00E6252D" w:rsidRDefault="00911C0D" w:rsidP="00911C0D">
      <w:pPr>
        <w:pStyle w:val="Point0"/>
        <w:rPr>
          <w:noProof/>
        </w:rPr>
      </w:pPr>
      <w:r w:rsidRPr="00E6252D">
        <w:t>γ)</w:t>
      </w:r>
      <w:r w:rsidRPr="00E6252D">
        <w:tab/>
        <w:t>για την υποβολή αναφορών σε ετήσια βάση: στις 31 Δεκεμβρίου.</w:t>
      </w:r>
    </w:p>
    <w:p w14:paraId="2DD5D0AB" w14:textId="77777777" w:rsidR="00911C0D" w:rsidRPr="00E6252D" w:rsidRDefault="00911C0D" w:rsidP="00911C0D">
      <w:pPr>
        <w:pStyle w:val="Titrearticle"/>
      </w:pPr>
      <w:r w:rsidRPr="00E6252D">
        <w:lastRenderedPageBreak/>
        <w:t xml:space="preserve">Άρθρο </w:t>
      </w:r>
      <w:r w:rsidR="009B4649">
        <w:fldChar w:fldCharType="begin"/>
      </w:r>
      <w:r w:rsidR="009B4649">
        <w:instrText xml:space="preserve"> SEQ Figure \* ARABIC </w:instrText>
      </w:r>
      <w:r w:rsidR="009B4649">
        <w:fldChar w:fldCharType="separate"/>
      </w:r>
      <w:r w:rsidRPr="00E6252D">
        <w:t>2</w:t>
      </w:r>
      <w:r w:rsidR="009B4649">
        <w:fldChar w:fldCharType="end"/>
      </w:r>
      <w:r w:rsidRPr="00E6252D">
        <w:t xml:space="preserve"> </w:t>
      </w:r>
      <w:r w:rsidRPr="00E6252D">
        <w:br/>
        <w:t>Ημερομηνίες αποστολής</w:t>
      </w:r>
    </w:p>
    <w:p w14:paraId="7EB2FA5F" w14:textId="77777777" w:rsidR="00911C0D" w:rsidRPr="00E6252D" w:rsidRDefault="00911C0D" w:rsidP="00080A21">
      <w:pPr>
        <w:pStyle w:val="NumPar1"/>
        <w:numPr>
          <w:ilvl w:val="0"/>
          <w:numId w:val="2"/>
        </w:numPr>
        <w:rPr>
          <w:noProof/>
        </w:rPr>
      </w:pPr>
      <w:r w:rsidRPr="00E6252D">
        <w:t>Οι αναφέρουσες οντότητες υποβάλλουν πληροφορίες στις αρμόδιες αρχές και στις αρχές εξυγίανσης έως το πέρας των εργασιών στις ακόλουθες ημερομηνίες αποστολής:</w:t>
      </w:r>
    </w:p>
    <w:p w14:paraId="333C0EF1" w14:textId="044BEBAD" w:rsidR="00911C0D" w:rsidRPr="00E6252D" w:rsidRDefault="00E6252D" w:rsidP="00E6252D">
      <w:pPr>
        <w:pStyle w:val="Point1"/>
        <w:rPr>
          <w:noProof/>
        </w:rPr>
      </w:pPr>
      <w:r>
        <w:t>α)</w:t>
      </w:r>
      <w:r w:rsidRPr="00E6252D">
        <w:tab/>
      </w:r>
      <w:r w:rsidR="00911C0D" w:rsidRPr="00E6252D">
        <w:t>για την υποβολή αναφορών σε τριμηνιαία βάση: στις 19 Μαΐου, στις 18 Αυγούστου, στις 18 Νοεμβρίου και στις 18 Φεβρουαρίου, εξαιρουμένων των δεδομένων που σχετίζονται με την ημερομηνία αναφοράς 30 Ιουνίου 2021, για τα οποία η ημερομηνία αποστολής είναι η 30ή Σεπτεμβρίου 2021 το αργότερο·</w:t>
      </w:r>
    </w:p>
    <w:p w14:paraId="2215F3EB" w14:textId="77886777" w:rsidR="00911C0D" w:rsidRPr="00E6252D" w:rsidRDefault="00E6252D" w:rsidP="00E6252D">
      <w:pPr>
        <w:pStyle w:val="Point1"/>
        <w:rPr>
          <w:noProof/>
        </w:rPr>
      </w:pPr>
      <w:r>
        <w:t>β)</w:t>
      </w:r>
      <w:r w:rsidRPr="00E6252D">
        <w:tab/>
      </w:r>
      <w:r w:rsidR="00911C0D" w:rsidRPr="00E6252D">
        <w:t>για την υποβολή αναφορών σε εξαμηνιαία βάση: στις 18 Αυγούστου και στις 18 Φεβρουαρίου·</w:t>
      </w:r>
    </w:p>
    <w:p w14:paraId="3F3B32F9" w14:textId="6DCE0E31" w:rsidR="00911C0D" w:rsidRPr="00E6252D" w:rsidRDefault="00E6252D" w:rsidP="00E6252D">
      <w:pPr>
        <w:pStyle w:val="Point1"/>
        <w:rPr>
          <w:noProof/>
        </w:rPr>
      </w:pPr>
      <w:r>
        <w:t>γ)</w:t>
      </w:r>
      <w:r w:rsidRPr="00E6252D">
        <w:tab/>
      </w:r>
      <w:r w:rsidR="00911C0D" w:rsidRPr="00E6252D">
        <w:t>για την υποβολή αναφορών σε ετήσια βάση: στις 18 Φεβρουαρίου.</w:t>
      </w:r>
    </w:p>
    <w:p w14:paraId="5D1F4190" w14:textId="77777777" w:rsidR="00911C0D" w:rsidRPr="00E6252D" w:rsidRDefault="00911C0D" w:rsidP="00911C0D">
      <w:pPr>
        <w:pStyle w:val="NumPar1"/>
        <w:rPr>
          <w:noProof/>
        </w:rPr>
      </w:pPr>
      <w:r w:rsidRPr="00E6252D">
        <w:t>Εάν η ημερομηνία αποστολής συμπίπτει με δημόσια αργία στο κράτος μέλος της αρμόδιας αρχής ή της αρχής εξυγίανσης στην οποία υποβάλλονται οι πληροφορίες που αναφέρονται στην παράγραφο 1, ή συμπίπτει με Σάββατο ή Κυριακή, τότε οι εν λόγω πληροφορίες υποβάλλονται έως το πέρας των εργασιών της επόμενης εργάσιμης ημέρας.</w:t>
      </w:r>
    </w:p>
    <w:p w14:paraId="1323199E" w14:textId="77777777" w:rsidR="00911C0D" w:rsidRPr="00E6252D" w:rsidRDefault="00911C0D" w:rsidP="00911C0D">
      <w:pPr>
        <w:pStyle w:val="NumPar1"/>
        <w:rPr>
          <w:noProof/>
        </w:rPr>
      </w:pPr>
      <w:r w:rsidRPr="00E6252D">
        <w:t xml:space="preserve">Οι αναφέρουσες οντότητες μπορούν να υποβάλλουν αριθμητικά στοιχεία για τα οποία δεν έχουν λάβει τη γνώμη εξωτερικού ελεγκτή (μη ελεγμένα στοιχεία). Όταν τα αριθμητικά στοιχεία που έχουν ελεγχθεί από εξωτερικό ελεγκτή ο οποίος διατυπώνει ελεγκτική γνώμη (ελεγμένα στοιχεία) αποκλίνουν από τα υποβληθέντα μη ελεγμένα στοιχεία, οι αναφέρουσες οντότητες υποβάλλουν τα αναθεωρημένα, ελεγμένα στοιχεία χωρίς αδικαιολόγητη καθυστέρηση. </w:t>
      </w:r>
    </w:p>
    <w:p w14:paraId="449A6FE1" w14:textId="77777777" w:rsidR="00911C0D" w:rsidRPr="00E6252D" w:rsidRDefault="00911C0D" w:rsidP="00911C0D">
      <w:pPr>
        <w:pStyle w:val="NumPar1"/>
        <w:rPr>
          <w:noProof/>
        </w:rPr>
      </w:pPr>
      <w:r w:rsidRPr="00E6252D">
        <w:t>Οι αναφέρουσες οντότητες υποβάλλουν τυχόν άλλες διορθώσεις στις αρμόδιες αρχές και στις αρχές εξυγίανσης χωρίς αδικαιολόγητη καθυστέρηση.</w:t>
      </w:r>
    </w:p>
    <w:p w14:paraId="73C2EE64" w14:textId="77777777" w:rsidR="00911C0D" w:rsidRPr="00E6252D" w:rsidRDefault="00911C0D" w:rsidP="00911C0D">
      <w:pPr>
        <w:pStyle w:val="Titrearticle"/>
      </w:pPr>
      <w:r w:rsidRPr="00E6252D">
        <w:t xml:space="preserve">Άρθρο </w:t>
      </w:r>
      <w:r w:rsidR="009B4649">
        <w:fldChar w:fldCharType="begin"/>
      </w:r>
      <w:r w:rsidR="009B4649">
        <w:instrText xml:space="preserve"> SEQ Figure \* ARABIC </w:instrText>
      </w:r>
      <w:r w:rsidR="009B4649">
        <w:fldChar w:fldCharType="separate"/>
      </w:r>
      <w:r w:rsidRPr="00E6252D">
        <w:t>3</w:t>
      </w:r>
      <w:r w:rsidR="009B4649">
        <w:fldChar w:fldCharType="end"/>
      </w:r>
      <w:r w:rsidRPr="00E6252D">
        <w:br/>
        <w:t>Μορφότυπος και συχνότητα υποβολής αναφορών από οντότητες εξυγίανσης σε ατομική βάση</w:t>
      </w:r>
    </w:p>
    <w:p w14:paraId="18406280" w14:textId="77777777" w:rsidR="00911C0D" w:rsidRPr="00E6252D" w:rsidRDefault="00911C0D" w:rsidP="00080A21">
      <w:pPr>
        <w:pStyle w:val="NumPar1"/>
        <w:numPr>
          <w:ilvl w:val="0"/>
          <w:numId w:val="1"/>
        </w:numPr>
        <w:rPr>
          <w:noProof/>
        </w:rPr>
      </w:pPr>
      <w:r w:rsidRPr="00E6252D">
        <w:t>Οι οντότητες εξυγίανσης χωρίς θυγατρικές οι οποίες υπόκεινται στις απαιτήσεις που ορίζονται στο άρθρο 45 της οδηγίας 2014/59/ΕΕ σύμφωνα με το άρθρο 45ε της εν λόγω οδηγίας υποβάλλουν στις αρμόδιες αρχές και στις αρχές εξυγίανσης πληροφορίες σε ατομική βάση ως εξής:</w:t>
      </w:r>
    </w:p>
    <w:p w14:paraId="790F78D3" w14:textId="611D381C" w:rsidR="00911C0D" w:rsidRPr="00E6252D" w:rsidRDefault="00E6252D" w:rsidP="00E6252D">
      <w:pPr>
        <w:pStyle w:val="Point1"/>
        <w:rPr>
          <w:noProof/>
        </w:rPr>
      </w:pPr>
      <w:r>
        <w:t>α)</w:t>
      </w:r>
      <w:r w:rsidRPr="00E6252D">
        <w:tab/>
      </w:r>
      <w:r w:rsidR="00911C0D" w:rsidRPr="00E6252D">
        <w:t>οι πληροφορίες σχετικά με τις βασικές μετρήσεις, όπως προσδιορίζονται στη στήλη 0010 του υποδείγματος 1 του παραρτήματος I του παρόντος κανονισμού, υποβάλλονται ανά τρίμηνο σύμφωνα με τις οδηγίες που παρατίθενται στο παράρτημα II μέρος II σημείο 1 του παρόντος κανονισμού·</w:t>
      </w:r>
    </w:p>
    <w:p w14:paraId="619B3CEC" w14:textId="162C6C47" w:rsidR="00911C0D" w:rsidRPr="00E6252D" w:rsidRDefault="00E6252D" w:rsidP="00E6252D">
      <w:pPr>
        <w:pStyle w:val="Point1"/>
        <w:rPr>
          <w:noProof/>
        </w:rPr>
      </w:pPr>
      <w:r>
        <w:t>β)</w:t>
      </w:r>
      <w:r w:rsidRPr="00E6252D">
        <w:tab/>
      </w:r>
      <w:r w:rsidR="00911C0D" w:rsidRPr="00E6252D">
        <w:t>οι πληροφορίες σχετικά με τη σύνθεση των ιδίων κεφαλαίων και των επιλέξιμων υποχρεώσεων, όπως προσδιορίζονται στη στήλη 0010 του υποδείγματος 2 του παραρτήματος I του παρόντος κανονισμού, υποβάλλονται ανά τρίμηνο σύμφωνα με τις οδηγίες που παρατίθενται στο παράρτημα II μέρος II σημείο 2.1 του παρόντος κανονισμού·</w:t>
      </w:r>
    </w:p>
    <w:p w14:paraId="1B7D16C2" w14:textId="324C4D69" w:rsidR="00911C0D" w:rsidRPr="00E6252D" w:rsidRDefault="00E6252D" w:rsidP="00E6252D">
      <w:pPr>
        <w:pStyle w:val="Point1"/>
        <w:rPr>
          <w:noProof/>
        </w:rPr>
      </w:pPr>
      <w:r>
        <w:t>γ)</w:t>
      </w:r>
      <w:r w:rsidRPr="00E6252D">
        <w:tab/>
      </w:r>
      <w:r w:rsidR="00911C0D" w:rsidRPr="00E6252D">
        <w:t>οι πληροφορίες σχετικά με τη δομή χρηματοδότησης των επιλέξιμων υποχρεώσεων, όπως προσδιορίζονται στο υπόδειγμα 4 του παραρτήματος I του παρόντος κανονισμού, υποβάλλονται ανά τρίμηνο σύμφωνα με τις οδηγίες που παρατίθενται στο παράρτημα II μέρος II σημείο 2.3 του παρόντος κανονισμού·</w:t>
      </w:r>
    </w:p>
    <w:p w14:paraId="28DECEF8" w14:textId="78C4A798" w:rsidR="00911C0D" w:rsidRPr="00E6252D" w:rsidRDefault="00E6252D" w:rsidP="00E6252D">
      <w:pPr>
        <w:pStyle w:val="Point1"/>
        <w:rPr>
          <w:noProof/>
        </w:rPr>
      </w:pPr>
      <w:r>
        <w:lastRenderedPageBreak/>
        <w:t>δ)</w:t>
      </w:r>
      <w:r w:rsidRPr="00E6252D">
        <w:tab/>
      </w:r>
      <w:r w:rsidR="00911C0D" w:rsidRPr="00E6252D">
        <w:t>οι πληροφορίες σχετικά με τα μέσα που διέπονται από το δίκαιο τρίτης χώρας, όπως προσδιορίζονται στο υπόδειγμα 7 του παραρτήματος I του παρόντος κανονισμού, υποβάλλονται ανά τρίμηνο σύμφωνα με τις οδηγίες που παρατίθενται στο παράρτημα II μέρος II σημείο 4 του παρόντος κανονισμού.</w:t>
      </w:r>
    </w:p>
    <w:p w14:paraId="06B6C64E" w14:textId="77777777" w:rsidR="00911C0D" w:rsidRPr="00E6252D" w:rsidRDefault="00911C0D" w:rsidP="00080A21">
      <w:pPr>
        <w:pStyle w:val="NumPar1"/>
        <w:numPr>
          <w:ilvl w:val="0"/>
          <w:numId w:val="1"/>
        </w:numPr>
        <w:rPr>
          <w:noProof/>
        </w:rPr>
      </w:pPr>
      <w:r w:rsidRPr="00E6252D">
        <w:t>Οι οντότητες εξυγίανσης υποβάλλουν στις αρμόδιες αρχές και στις αρχές εξυγίανσης πληροφορίες σχετικά με την κατανομή των ιδίων κεφαλαίων και των υποχρεώσεων ανά σειρά κατάταξης στο πλαίσιο της διαδικασίας αφερεγγυότητας, όπως προσδιορίζεται στο υπόδειγμα 6 του παραρτήματος Ι, σε ατομική βάση, ανά τρίμηνο, σύμφωνα με τις οδηγίες που παρατίθενται στο παράρτημα II μέρος ΙΙ σημείο 3.2.</w:t>
      </w:r>
    </w:p>
    <w:p w14:paraId="2CE25962" w14:textId="77777777" w:rsidR="00911C0D" w:rsidRPr="00E6252D" w:rsidRDefault="00911C0D" w:rsidP="00080A21">
      <w:pPr>
        <w:pStyle w:val="NumPar1"/>
        <w:numPr>
          <w:ilvl w:val="0"/>
          <w:numId w:val="1"/>
        </w:numPr>
        <w:rPr>
          <w:noProof/>
        </w:rPr>
      </w:pPr>
      <w:r w:rsidRPr="00E6252D">
        <w:t>Επιπλέον των πληροφοριών που αναφέρονται στις παραγράφους 1 και 2, οι οντότητες εξυγίανσης οι οποίες υπόκεινται στην απαίτηση που ορίζεται στο άρθρο 92α του κανονισμού (ΕΕ) αριθ. 575/2013 σε ατομική βάση σύμφωνα με το άρθρο 6 παράγραφος 1α του εν λόγω κανονισμού υποβάλλουν στις αρχές εξυγίανσης και στις αρμόδιες αρχές πληροφορίες σε ατομική βάση ως εξής:</w:t>
      </w:r>
    </w:p>
    <w:p w14:paraId="028BBD2D" w14:textId="26B4A2F1" w:rsidR="00911C0D" w:rsidRPr="00E6252D" w:rsidRDefault="00997897" w:rsidP="00997897">
      <w:pPr>
        <w:pStyle w:val="Point1"/>
        <w:rPr>
          <w:noProof/>
        </w:rPr>
      </w:pPr>
      <w:r>
        <w:t>α)</w:t>
      </w:r>
      <w:r w:rsidRPr="00997897">
        <w:tab/>
      </w:r>
      <w:r w:rsidR="00911C0D" w:rsidRPr="00E6252D">
        <w:t>οι πληροφορίες σχετικά με τις βασικές μετρήσεις, όπως προσδιορίζονται στη στήλη 0020 του υποδείγματος 1 του παραρτήματος I του παρόντος κανονισμού, υποβάλλονται ανά τρίμηνο σύμφωνα με τις οδηγίες που παρατίθενται στο παράρτημα II μέρος II σημείο 1 του παρόντος κανονισμού·</w:t>
      </w:r>
    </w:p>
    <w:p w14:paraId="45E52025" w14:textId="588A99B9" w:rsidR="00911C0D" w:rsidRPr="00E6252D" w:rsidRDefault="00997897" w:rsidP="00997897">
      <w:pPr>
        <w:pStyle w:val="Point1"/>
        <w:rPr>
          <w:noProof/>
        </w:rPr>
      </w:pPr>
      <w:r>
        <w:t>β)</w:t>
      </w:r>
      <w:r w:rsidRPr="00997897">
        <w:tab/>
      </w:r>
      <w:r w:rsidR="00911C0D" w:rsidRPr="00E6252D">
        <w:t>οι πληροφορίες σχετικά με τη σύνθεση των ιδίων κεφαλαίων και των επιλέξιμων υποχρεώσεων, όπως προσδιορίζονται στις στήλες 0020 και 0030 του υποδείγματος 2 του παραρτήματος I του παρόντος κανονισμού, υποβάλλονται ανά τρίμηνο σύμφωνα με τις οδηγίες που παρατίθενται στο παράρτημα II μέρος II σημείο 2.1 του παρόντος κανονισμού·</w:t>
      </w:r>
    </w:p>
    <w:p w14:paraId="020EF926" w14:textId="77777777" w:rsidR="00911C0D" w:rsidRPr="00E6252D" w:rsidRDefault="00911C0D" w:rsidP="00911C0D">
      <w:pPr>
        <w:pStyle w:val="Titrearticle"/>
      </w:pPr>
      <w:r w:rsidRPr="00E6252D">
        <w:t xml:space="preserve">Άρθρο </w:t>
      </w:r>
      <w:r w:rsidR="009B4649">
        <w:fldChar w:fldCharType="begin"/>
      </w:r>
      <w:r w:rsidR="009B4649">
        <w:instrText xml:space="preserve"> SEQ Figure \* ARABIC </w:instrText>
      </w:r>
      <w:r w:rsidR="009B4649">
        <w:fldChar w:fldCharType="separate"/>
      </w:r>
      <w:r w:rsidRPr="00E6252D">
        <w:t>4</w:t>
      </w:r>
      <w:r w:rsidR="009B4649">
        <w:fldChar w:fldCharType="end"/>
      </w:r>
      <w:r w:rsidRPr="00E6252D">
        <w:br/>
        <w:t>Μορφότυπος και συχνότητα υποβολής αναφορών από οντότητες εξυγίανσης σε ενοποιημένη βάση</w:t>
      </w:r>
    </w:p>
    <w:p w14:paraId="1378D8C9" w14:textId="77777777" w:rsidR="00911C0D" w:rsidRPr="00E6252D" w:rsidRDefault="00911C0D" w:rsidP="00080A21">
      <w:pPr>
        <w:pStyle w:val="NumPar1"/>
        <w:numPr>
          <w:ilvl w:val="0"/>
          <w:numId w:val="3"/>
        </w:numPr>
        <w:rPr>
          <w:noProof/>
        </w:rPr>
      </w:pPr>
      <w:r w:rsidRPr="00E6252D">
        <w:t>Οι οντότητες εξυγίανσης που υπόκεινται στις απαιτήσεις που ορίζονται στο άρθρο 45 της οδηγίας 2014/59/ΕΕ σε ενοποιημένη βάση σύμφωνα με το άρθρο 45ε της εν λόγω οδηγίας υποβάλλουν στις αρμόδιες αρχές και στις αρχές εξυγίανσης πληροφορίες σε ενοποιημένη βάση ως εξής:</w:t>
      </w:r>
    </w:p>
    <w:p w14:paraId="1E21506B" w14:textId="6309606E" w:rsidR="00911C0D" w:rsidRPr="00E6252D" w:rsidRDefault="00997897" w:rsidP="00997897">
      <w:pPr>
        <w:pStyle w:val="Point1"/>
        <w:rPr>
          <w:noProof/>
        </w:rPr>
      </w:pPr>
      <w:r>
        <w:t>α)</w:t>
      </w:r>
      <w:r w:rsidRPr="00997897">
        <w:tab/>
      </w:r>
      <w:r w:rsidR="00911C0D" w:rsidRPr="00E6252D">
        <w:t>οι πληροφορίες σχετικά με τις βασικές μετρήσεις, όπως προσδιορίζονται στη στήλη 0010 του υποδείγματος 1 του παραρτήματος I του παρόντος κανονισμού, υποβάλλονται ανά τρίμηνο σύμφωνα με τις οδηγίες που παρατίθενται στο παράρτημα II μέρος II σημείο 1 του παρόντος κανονισμού·</w:t>
      </w:r>
    </w:p>
    <w:p w14:paraId="7F16E897" w14:textId="1FDE51EE" w:rsidR="00911C0D" w:rsidRPr="00E6252D" w:rsidRDefault="00997897" w:rsidP="00997897">
      <w:pPr>
        <w:pStyle w:val="Point1"/>
        <w:rPr>
          <w:noProof/>
        </w:rPr>
      </w:pPr>
      <w:r>
        <w:t>β)</w:t>
      </w:r>
      <w:r w:rsidRPr="00997897">
        <w:tab/>
      </w:r>
      <w:r w:rsidR="00911C0D" w:rsidRPr="00E6252D">
        <w:t>οι πληροφορίες σχετικά με τη σύνθεση των ιδίων κεφαλαίων και των επιλέξιμων υποχρεώσεων, όπως προσδιορίζονται στη στήλη 0010 του υποδείγματος 2 του παραρτήματος I του παρόντος κανονισμού, υποβάλλονται ανά τρίμηνο σύμφωνα με τις οδηγίες που παρατίθενται στο παράρτημα II μέρος II σημείο 2.1 του παρόντος κανονισμού·</w:t>
      </w:r>
    </w:p>
    <w:p w14:paraId="2CE5F340" w14:textId="402A6804" w:rsidR="00911C0D" w:rsidRPr="00E6252D" w:rsidRDefault="00997897" w:rsidP="00997897">
      <w:pPr>
        <w:pStyle w:val="Point1"/>
        <w:rPr>
          <w:noProof/>
        </w:rPr>
      </w:pPr>
      <w:r>
        <w:t>γ)</w:t>
      </w:r>
      <w:r w:rsidRPr="00997897">
        <w:tab/>
      </w:r>
      <w:r w:rsidR="00911C0D" w:rsidRPr="00E6252D">
        <w:t>οι πληροφορίες σχετικά με τη δομή χρηματοδότησης των επιλέξιμων υποχρεώσεων, όπως προσδιορίζονται στο υπόδειγμα 4 του παραρτήματος I του παρόντος κανονισμού, υποβάλλονται ανά τρίμηνο σύμφωνα με τις οδηγίες που παρατίθενται στο παράρτημα II μέρος II σημείο 2.3 του παρόντος κανονισμού·</w:t>
      </w:r>
    </w:p>
    <w:p w14:paraId="0CB1A49C" w14:textId="33F896C0" w:rsidR="00911C0D" w:rsidRPr="00E6252D" w:rsidRDefault="00997897" w:rsidP="00997897">
      <w:pPr>
        <w:pStyle w:val="Point1"/>
        <w:rPr>
          <w:noProof/>
        </w:rPr>
      </w:pPr>
      <w:r>
        <w:t>δ)</w:t>
      </w:r>
      <w:r w:rsidRPr="00997897">
        <w:tab/>
      </w:r>
      <w:r w:rsidR="00911C0D" w:rsidRPr="00E6252D">
        <w:t xml:space="preserve">οι πληροφορίες σχετικά με τα μέσα που διέπονται από το δίκαιο τρίτης χώρας, όπως προσδιορίζονται στο υπόδειγμα 7 του παραρτήματος I του παρόντος </w:t>
      </w:r>
      <w:r w:rsidR="00911C0D" w:rsidRPr="00E6252D">
        <w:lastRenderedPageBreak/>
        <w:t>κανονισμού, υποβάλλονται ανά τρίμηνο σύμφωνα με τις οδηγίες που παρατίθενται στο παράρτημα II μέρος II σημείο 4 του παρόντος κανονισμού.</w:t>
      </w:r>
    </w:p>
    <w:p w14:paraId="1604BDA8" w14:textId="77777777" w:rsidR="00911C0D" w:rsidRPr="00E6252D" w:rsidRDefault="00911C0D" w:rsidP="00080A21">
      <w:pPr>
        <w:pStyle w:val="NumPar1"/>
        <w:numPr>
          <w:ilvl w:val="0"/>
          <w:numId w:val="3"/>
        </w:numPr>
        <w:rPr>
          <w:noProof/>
        </w:rPr>
      </w:pPr>
      <w:r w:rsidRPr="00E6252D">
        <w:t>Επιπλέον των πληροφοριών που αναφέρονται στην παράγραφο 1, οι οντότητες εξυγίανσης που υπόκεινται στην απαίτηση που ορίζεται στο άρθρο 92α του κανονισμού (ΕΕ) αριθ. 575/2013 σε ενοποιημένη βάση σύμφωνα με το άρθρο 11 παράγραφος 3α του εν λόγω κανονισμού υποβάλλουν στις αρχές εξυγίανσης και στις αρμόδιες αρχές πληροφορίες σε ενοποιημένη βάση ως εξής:</w:t>
      </w:r>
    </w:p>
    <w:p w14:paraId="4EEC865C" w14:textId="745E1712" w:rsidR="00911C0D" w:rsidRPr="00E6252D" w:rsidRDefault="00997897" w:rsidP="00997897">
      <w:pPr>
        <w:pStyle w:val="Point1"/>
        <w:rPr>
          <w:noProof/>
        </w:rPr>
      </w:pPr>
      <w:r>
        <w:t>α)</w:t>
      </w:r>
      <w:r w:rsidRPr="00997897">
        <w:tab/>
      </w:r>
      <w:r w:rsidR="00911C0D" w:rsidRPr="00E6252D">
        <w:t>οι πληροφορίες σχετικά με τις βασικές μετρήσεις, όπως προσδιορίζονται στη στήλη 0020 του υποδείγματος 1 του παραρτήματος I του παρόντος κανονισμού, υποβάλλονται ανά τρίμηνο σύμφωνα με τις οδηγίες που παρατίθενται στο παράρτημα II μέρος II σημείο 1 του παρόντος κανονισμού·</w:t>
      </w:r>
    </w:p>
    <w:p w14:paraId="62EB5754" w14:textId="41AB4934" w:rsidR="00911C0D" w:rsidRPr="00E6252D" w:rsidRDefault="00997897" w:rsidP="00997897">
      <w:pPr>
        <w:pStyle w:val="Point1"/>
        <w:rPr>
          <w:noProof/>
        </w:rPr>
      </w:pPr>
      <w:r>
        <w:t>β)</w:t>
      </w:r>
      <w:r w:rsidRPr="00997897">
        <w:tab/>
      </w:r>
      <w:r w:rsidR="00911C0D" w:rsidRPr="00E6252D">
        <w:t>οι πληροφορίες σχετικά με τη σύνθεση των ιδίων κεφαλαίων και των επιλέξιμων υποχρεώσεων, όπως προσδιορίζονται στις στήλες 0020 και 0030 του υποδείγματος 2 του παραρτήματος I του παρόντος κανονισμού, υποβάλλονται ανά τρίμηνο σύμφωνα με τις οδηγίες που παρατίθενται στο παράρτημα II μέρος II σημείο 2.1 του παρόντος κανονισμού·</w:t>
      </w:r>
    </w:p>
    <w:p w14:paraId="79821E88" w14:textId="77777777" w:rsidR="00911C0D" w:rsidRPr="00E6252D" w:rsidRDefault="00911C0D" w:rsidP="00911C0D">
      <w:pPr>
        <w:pStyle w:val="Titrearticle"/>
      </w:pPr>
      <w:r w:rsidRPr="00E6252D">
        <w:t xml:space="preserve">Άρθρο </w:t>
      </w:r>
      <w:r w:rsidR="009B4649">
        <w:fldChar w:fldCharType="begin"/>
      </w:r>
      <w:r w:rsidR="009B4649">
        <w:instrText xml:space="preserve"> SEQ Figure \* ARABIC </w:instrText>
      </w:r>
      <w:r w:rsidR="009B4649">
        <w:fldChar w:fldCharType="separate"/>
      </w:r>
      <w:r w:rsidRPr="00E6252D">
        <w:t>5</w:t>
      </w:r>
      <w:r w:rsidR="009B4649">
        <w:fldChar w:fldCharType="end"/>
      </w:r>
      <w:r w:rsidRPr="00E6252D">
        <w:br/>
        <w:t>Μορφότυπος και συχνότητα υποβολής αναφορών σε ατομική βάση από οντότητες που δεν είναι οι ίδιες οντότητες εξυγίανσης και από σημαντικές θυγατρικές παγκόσμιων συστημικώς σημαντικών ιδρυμάτων εκτός ΕΕ</w:t>
      </w:r>
    </w:p>
    <w:p w14:paraId="0FDA52A0" w14:textId="77777777" w:rsidR="00911C0D" w:rsidRPr="00E6252D" w:rsidRDefault="00911C0D" w:rsidP="00080A21">
      <w:pPr>
        <w:pStyle w:val="NumPar1"/>
        <w:numPr>
          <w:ilvl w:val="0"/>
          <w:numId w:val="4"/>
        </w:numPr>
        <w:rPr>
          <w:noProof/>
        </w:rPr>
      </w:pPr>
      <w:r w:rsidRPr="00E6252D">
        <w:t>Οι οντότητες που δεν είναι οι ίδιες οντότητες εξυγίανσης και υπόκεινται στις απαιτήσεις που ορίζονται στο άρθρο 45 της οδηγίας 2014/59/ΕΕ σε ατομική βάση σύμφωνα με το άρθρο 45στ της εν λόγω οδηγίας υποβάλλουν στις αρμόδιες αρχές και στις αρχές εξυγίανσης πληροφορίες σε ατομική βάση ως εξής:</w:t>
      </w:r>
    </w:p>
    <w:p w14:paraId="45A08A7C" w14:textId="4826914C" w:rsidR="00911C0D" w:rsidRPr="00E6252D" w:rsidRDefault="00997897" w:rsidP="00997897">
      <w:pPr>
        <w:pStyle w:val="Point1"/>
        <w:rPr>
          <w:noProof/>
        </w:rPr>
      </w:pPr>
      <w:r>
        <w:t>α)</w:t>
      </w:r>
      <w:r w:rsidRPr="00997897">
        <w:tab/>
      </w:r>
      <w:r w:rsidR="00911C0D" w:rsidRPr="00E6252D">
        <w:t>οι πληροφορίες σχετικά με το ποσό και τη σύνθεση των ιδίων κεφαλαίων και των επιλέξιμων υποχρεώσεων, όπως προσδιορίζονται στη στήλη 0010 του υποδείγματος 3 του παραρτήματος I του παρόντος κανονισμού, υποβάλλονται ανά τρίμηνο σύμφωνα με τις οδηγίες που παρατίθενται στο παράρτημα II μέρος II σημείο 2.2 του παρόντος κανονισμού·</w:t>
      </w:r>
    </w:p>
    <w:p w14:paraId="3AED8007" w14:textId="5B772221" w:rsidR="00911C0D" w:rsidRPr="00E6252D" w:rsidRDefault="00997897" w:rsidP="00997897">
      <w:pPr>
        <w:pStyle w:val="Point1"/>
        <w:rPr>
          <w:noProof/>
        </w:rPr>
      </w:pPr>
      <w:r>
        <w:t>β)</w:t>
      </w:r>
      <w:r w:rsidRPr="00997897">
        <w:tab/>
      </w:r>
      <w:r w:rsidR="00911C0D" w:rsidRPr="00E6252D">
        <w:t>οι πληροφορίες σχετικά με τη δομή χρηματοδότησης των επιλέξιμων υποχρεώσεων, όπως προσδιορίζονται στο υπόδειγμα 4 του παραρτήματος I του παρόντος κανονισμού, υποβάλλονται ανά τρίμηνο σύμφωνα με τις οδηγίες που παρατίθενται στο παράρτημα II μέρος II σημείο 2.3 του παρόντος κανονισμού·</w:t>
      </w:r>
    </w:p>
    <w:p w14:paraId="4455633C" w14:textId="36F8ECBB" w:rsidR="00911C0D" w:rsidRPr="00E6252D" w:rsidRDefault="00997897" w:rsidP="00997897">
      <w:pPr>
        <w:pStyle w:val="Point1"/>
        <w:rPr>
          <w:noProof/>
        </w:rPr>
      </w:pPr>
      <w:r>
        <w:t>γ)</w:t>
      </w:r>
      <w:r w:rsidRPr="00997897">
        <w:tab/>
      </w:r>
      <w:r w:rsidR="00911C0D" w:rsidRPr="00E6252D">
        <w:t>οι πληροφορίες σχετικά με τα μέσα που διέπονται από το δίκαιο τρίτης χώρας, όπως προσδιορίζονται στο υπόδειγμα 7 του παραρτήματος I του παρόντος κανονισμού, υποβάλλονται ανά τρίμηνο σύμφωνα με τις οδηγίες που παρατίθενται στο παράρτημα II μέρος II σημείο 4 του παρόντος κανονισμού.</w:t>
      </w:r>
    </w:p>
    <w:p w14:paraId="1ACCD4B5" w14:textId="77777777" w:rsidR="00911C0D" w:rsidRPr="00E6252D" w:rsidRDefault="00911C0D" w:rsidP="00080A21">
      <w:pPr>
        <w:pStyle w:val="NumPar1"/>
        <w:numPr>
          <w:ilvl w:val="0"/>
          <w:numId w:val="4"/>
        </w:numPr>
        <w:rPr>
          <w:noProof/>
        </w:rPr>
      </w:pPr>
      <w:r w:rsidRPr="00E6252D">
        <w:t>Οι οντότητες που δεν είναι οι ίδιες οντότητες εξυγίανσης υποβάλλουν στις αρμόδιες αρχές και στις αρχές εξυγίανσης πληροφορίες σχετικά με την κατανομή των ιδίων κεφαλαίων και των υποχρεώσεων ανά σειρά κατάταξης στο πλαίσιο της διαδικασίας αφερεγγυότητας, όπως προσδιορίζεται στο υπόδειγμα 5 του παραρτήματος Ι, σε ατομική βάση, ανά τρίμηνο, σύμφωνα με τις οδηγίες που παρατίθενται στο παράρτημα II μέρος ΙΙ σημείο 3.1.</w:t>
      </w:r>
    </w:p>
    <w:p w14:paraId="3F08EA69" w14:textId="77777777" w:rsidR="00911C0D" w:rsidRPr="00E6252D" w:rsidRDefault="00911C0D" w:rsidP="00080A21">
      <w:pPr>
        <w:pStyle w:val="NumPar1"/>
        <w:numPr>
          <w:ilvl w:val="0"/>
          <w:numId w:val="4"/>
        </w:numPr>
        <w:rPr>
          <w:noProof/>
        </w:rPr>
      </w:pPr>
      <w:r w:rsidRPr="00E6252D">
        <w:t xml:space="preserve">Επιπλέον των πληροφοριών που αναφέρονται στις παραγράφους 1 και 2, οι οντότητες που είναι σημαντικές θυγατρικές παγκόσμιων συστημικώς σημαντικών </w:t>
      </w:r>
      <w:r w:rsidRPr="00E6252D">
        <w:lastRenderedPageBreak/>
        <w:t>ιδρυμάτων εκτός ΕΕ (G-SII) και υπόκεινται στην απαίτηση που ορίζεται στο άρθρο 92β του κανονισμού (ΕΕ) αριθ. 575/2013 σε ατομική βάση σύμφωνα με το άρθρο 6 παράγραφος 1α του εν λόγω κανονισμού υποβάλλουν στις αρμόδιες αρχές και στις αρχές εξυγίανσης πληροφορίες σχετικά με το ποσό και τη σύνθεση των ιδίων κεφαλαίων και επιλέξιμων υποχρεώσεων, όπως προσδιορίζονται στη στήλη 0020 του υποδείγματος 3 του παραρτήματος I του παρόντος κανονισμού σε ατομική βάση, ανά τρίμηνο, σύμφωνα με τις οδηγίες που παρατίθενται στο παράρτημα II μέρος II σημείο 2.2 του παρόντος κανονισμού.</w:t>
      </w:r>
    </w:p>
    <w:p w14:paraId="5415A2FF" w14:textId="77777777" w:rsidR="00911C0D" w:rsidRPr="00E6252D" w:rsidRDefault="00911C0D" w:rsidP="00911C0D">
      <w:pPr>
        <w:pStyle w:val="Titrearticle"/>
      </w:pPr>
      <w:r w:rsidRPr="00E6252D">
        <w:t xml:space="preserve">Άρθρο </w:t>
      </w:r>
      <w:r w:rsidR="009B4649">
        <w:fldChar w:fldCharType="begin"/>
      </w:r>
      <w:r w:rsidR="009B4649">
        <w:instrText xml:space="preserve"> SEQ Figure \* ARABIC </w:instrText>
      </w:r>
      <w:r w:rsidR="009B4649">
        <w:fldChar w:fldCharType="separate"/>
      </w:r>
      <w:r w:rsidRPr="00E6252D">
        <w:t>6</w:t>
      </w:r>
      <w:r w:rsidR="009B4649">
        <w:fldChar w:fldCharType="end"/>
      </w:r>
      <w:r w:rsidRPr="00E6252D">
        <w:br/>
        <w:t xml:space="preserve">Μορφότυπος και συχνότητα υποβολής αναφορών σε ενοποιημένη βάση από οντότητες που δεν είναι οι ίδιες οντότητες εξυγίανσης και από σημαντικές θυγατρικές παγκόσμιων συστημικώς σημαντικών ιδρυμάτων εκτός ΕΕ </w:t>
      </w:r>
    </w:p>
    <w:p w14:paraId="5D1AFD35" w14:textId="77777777" w:rsidR="00911C0D" w:rsidRPr="00E6252D" w:rsidRDefault="00911C0D" w:rsidP="00080A21">
      <w:pPr>
        <w:pStyle w:val="NumPar1"/>
        <w:numPr>
          <w:ilvl w:val="0"/>
          <w:numId w:val="5"/>
        </w:numPr>
        <w:rPr>
          <w:noProof/>
        </w:rPr>
      </w:pPr>
      <w:r w:rsidRPr="00E6252D">
        <w:t>Οι οντότητες που δεν είναι οι ίδιες οντότητες εξυγίανσης και υπόκεινται στις απαιτήσεις που ορίζονται στο άρθρο 45 της οδηγίας 2014/59/ΕΕ σε ενοποιημένη βάση σύμφωνα με το άρθρο 45στ της εν λόγω οδηγίας υποβάλλουν στις αρμόδιες αρχές και στις αρχές εξυγίανσης πληροφορίες σε ενοποιημένη βάση ως εξής:</w:t>
      </w:r>
    </w:p>
    <w:p w14:paraId="6F70BBA8" w14:textId="0531D96E" w:rsidR="00911C0D" w:rsidRPr="00E6252D" w:rsidRDefault="00997897" w:rsidP="00997897">
      <w:pPr>
        <w:pStyle w:val="Point1"/>
        <w:rPr>
          <w:noProof/>
        </w:rPr>
      </w:pPr>
      <w:r>
        <w:t>α)</w:t>
      </w:r>
      <w:r w:rsidRPr="00997897">
        <w:tab/>
      </w:r>
      <w:r w:rsidR="00911C0D" w:rsidRPr="00E6252D">
        <w:t>οι πληροφορίες σχετικά με το ποσό και τη σύνθεση των ιδίων κεφαλαίων και των επιλέξιμων υποχρεώσεων, όπως προσδιορίζονται στη στήλη 0010 του υποδείγματος 3 του παραρτήματος I του παρόντος κανονισμού, υποβάλλονται ανά τρίμηνο σύμφωνα με τις οδηγίες που παρατίθενται στο παράρτημα II μέρος II σημείο 2.2 του παρόντος κανονισμού·</w:t>
      </w:r>
    </w:p>
    <w:p w14:paraId="52DC2154" w14:textId="103E230E" w:rsidR="00911C0D" w:rsidRPr="00E6252D" w:rsidRDefault="00997897" w:rsidP="00997897">
      <w:pPr>
        <w:pStyle w:val="Point1"/>
        <w:rPr>
          <w:noProof/>
        </w:rPr>
      </w:pPr>
      <w:r>
        <w:t>β)</w:t>
      </w:r>
      <w:r w:rsidRPr="00997897">
        <w:tab/>
      </w:r>
      <w:r w:rsidR="00911C0D" w:rsidRPr="00E6252D">
        <w:t>οι πληροφορίες σχετικά με τη δομή χρηματοδότησης των επιλέξιμων υποχρεώσεων, όπως προσδιορίζονται στο υπόδειγμα 4 του παραρτήματος I του παρόντος κανονισμού, υποβάλλονται ανά τρίμηνο σύμφωνα με τις οδηγίες που παρατίθενται στο παράρτημα II μέρος II σημείο 2.3 του παρόντος κανονισμού·</w:t>
      </w:r>
    </w:p>
    <w:p w14:paraId="61F772BF" w14:textId="606DB158" w:rsidR="00911C0D" w:rsidRPr="00E6252D" w:rsidRDefault="00997897" w:rsidP="00997897">
      <w:pPr>
        <w:pStyle w:val="Point1"/>
        <w:rPr>
          <w:noProof/>
        </w:rPr>
      </w:pPr>
      <w:r>
        <w:t>γ)</w:t>
      </w:r>
      <w:r w:rsidRPr="00997897">
        <w:tab/>
      </w:r>
      <w:r w:rsidR="00911C0D" w:rsidRPr="00E6252D">
        <w:t>οι πληροφορίες σχετικά με τα μέσα που διέπονται από το δίκαιο τρίτης χώρας, όπως προσδιορίζονται στο υπόδειγμα 7 του παραρτήματος I του παρόντος κανονισμού, υποβάλλονται ανά τρίμηνο σύμφωνα με τις οδηγίες που παρατίθενται στο παράρτημα II μέρος II σημείο 4 του παρόντος κανονισμού.</w:t>
      </w:r>
    </w:p>
    <w:p w14:paraId="6CFA046B" w14:textId="77777777" w:rsidR="00911C0D" w:rsidRPr="00E6252D" w:rsidRDefault="00911C0D" w:rsidP="00080A21">
      <w:pPr>
        <w:pStyle w:val="NumPar1"/>
        <w:numPr>
          <w:ilvl w:val="0"/>
          <w:numId w:val="5"/>
        </w:numPr>
        <w:rPr>
          <w:noProof/>
        </w:rPr>
      </w:pPr>
      <w:r w:rsidRPr="00E6252D">
        <w:t>Επιπλέον των πληροφοριών που αναφέρονται στην παράγραφο 1, οι οντότητες που είναι σημαντικές θυγατρικές παγκόσμιων συστημικώς σημαντικών ιδρυμάτων εκτός ΕΕ (G-SII) και υπόκεινται στην απαίτηση που ορίζεται στο άρθρο 92β του κανονισμού (ΕΕ) αριθ. 575/2013 σε ενοποιημένη βάση σύμφωνα με το άρθρο 11 παράγραφος 3α του εν λόγω κανονισμού υποβάλλουν στις αρμόδιες αρχές και στις αρχές εξυγίανσης πληροφορίες σχετικά με το ποσό και τη σύνθεση των ιδίων κεφαλαίων και επιλέξιμων υποχρεώσεων, όπως προσδιορίζονται στη στήλη 0020 του υποδείγματος 3 του παραρτήματος I του παρόντος κανονισμού σε ενοποιημένη βάση, ανά τρίμηνο, σύμφωνα με τις οδηγίες που παρατίθενται στο παράρτημα II μέρος II σημείο 2.2 του παρόντος κανονισμού.</w:t>
      </w:r>
    </w:p>
    <w:p w14:paraId="4E886073" w14:textId="77777777" w:rsidR="00911C0D" w:rsidRPr="00E6252D" w:rsidRDefault="00911C0D" w:rsidP="00146633">
      <w:pPr>
        <w:pStyle w:val="Titrearticle"/>
        <w:rPr>
          <w:i w:val="0"/>
        </w:rPr>
      </w:pPr>
      <w:r w:rsidRPr="00E6252D">
        <w:t xml:space="preserve">Άρθρο </w:t>
      </w:r>
      <w:r w:rsidR="009B4649">
        <w:fldChar w:fldCharType="begin"/>
      </w:r>
      <w:r w:rsidR="009B4649">
        <w:instrText xml:space="preserve"> SEQ Figure \* ARABIC </w:instrText>
      </w:r>
      <w:r w:rsidR="009B4649">
        <w:fldChar w:fldCharType="separate"/>
      </w:r>
      <w:r w:rsidRPr="00E6252D">
        <w:t>7</w:t>
      </w:r>
      <w:r w:rsidR="009B4649">
        <w:fldChar w:fldCharType="end"/>
      </w:r>
      <w:r w:rsidRPr="00E6252D">
        <w:br/>
        <w:t>Μορφότυποι ανταλλαγής δεδομένων και πληροφορίες σχετικές με τις υποβολές</w:t>
      </w:r>
    </w:p>
    <w:p w14:paraId="60E9050D" w14:textId="77777777" w:rsidR="00911C0D" w:rsidRPr="00E6252D" w:rsidRDefault="00911C0D" w:rsidP="00080A21">
      <w:pPr>
        <w:pStyle w:val="NumPar1"/>
        <w:numPr>
          <w:ilvl w:val="0"/>
          <w:numId w:val="6"/>
        </w:numPr>
        <w:rPr>
          <w:noProof/>
        </w:rPr>
      </w:pPr>
      <w:r w:rsidRPr="00E6252D">
        <w:t xml:space="preserve">Οι αναφέρουσες οντότητες υποβάλλουν πληροφορίες σύμφωνα με τον παρόντα κανονισμό με τους μορφοτύπους ανταλλαγής δεδομένων και τις απεικονίσεις που ορίζονται από τις οικείες αρμόδιες αρχές ή αρχές εξυγίανσης, και σύμφωνα με τους ορισμούς των σημείων δεδομένων που περιλαμβάνονται στο μοντέλο σημείων </w:t>
      </w:r>
      <w:r w:rsidRPr="00E6252D">
        <w:lastRenderedPageBreak/>
        <w:t>δεδομένων και τους κανόνες επικύρωσης που προβλέπονται στο παράρτημα III του παρόντος κανονισμού.</w:t>
      </w:r>
    </w:p>
    <w:p w14:paraId="6673A56D" w14:textId="77777777" w:rsidR="00911C0D" w:rsidRPr="00E6252D" w:rsidRDefault="00911C0D" w:rsidP="00080A21">
      <w:pPr>
        <w:pStyle w:val="NumPar1"/>
        <w:numPr>
          <w:ilvl w:val="0"/>
          <w:numId w:val="5"/>
        </w:numPr>
        <w:rPr>
          <w:noProof/>
        </w:rPr>
      </w:pPr>
      <w:r w:rsidRPr="00E6252D">
        <w:t>Κατά την υποβολή πληροφοριών σύμφωνα με τον παρόντα κανονισμό, οι αναφέρουσες οντότητες τηρούν τα ακόλουθα:</w:t>
      </w:r>
    </w:p>
    <w:p w14:paraId="7D9E4167" w14:textId="1AC2EF22" w:rsidR="00911C0D" w:rsidRPr="00E6252D" w:rsidRDefault="00997897" w:rsidP="00997897">
      <w:pPr>
        <w:pStyle w:val="Point1"/>
        <w:rPr>
          <w:noProof/>
        </w:rPr>
      </w:pPr>
      <w:r>
        <w:t>α)</w:t>
      </w:r>
      <w:r w:rsidRPr="00997897">
        <w:tab/>
      </w:r>
      <w:r w:rsidR="00911C0D" w:rsidRPr="00E6252D">
        <w:t xml:space="preserve">δεν περιλαμβάνονται στα υποβαλλόμενα δεδομένα οι μη απαιτούμενες ή μη εφαρμοστέες πληροφορίες· </w:t>
      </w:r>
    </w:p>
    <w:p w14:paraId="3B400175" w14:textId="5345FCB0" w:rsidR="00911C0D" w:rsidRPr="00E6252D" w:rsidRDefault="00997897" w:rsidP="00997897">
      <w:pPr>
        <w:pStyle w:val="Point1"/>
        <w:rPr>
          <w:noProof/>
        </w:rPr>
      </w:pPr>
      <w:r>
        <w:t>β)</w:t>
      </w:r>
      <w:r w:rsidRPr="00997897">
        <w:tab/>
      </w:r>
      <w:r w:rsidR="00911C0D" w:rsidRPr="00E6252D">
        <w:t>οι αριθμητικές τιμές υποβάλλονται ως εξής:</w:t>
      </w:r>
    </w:p>
    <w:p w14:paraId="2184B4DB" w14:textId="77777777" w:rsidR="00911C0D" w:rsidRPr="00E6252D" w:rsidRDefault="00911C0D" w:rsidP="00146633">
      <w:pPr>
        <w:pStyle w:val="Point2"/>
      </w:pPr>
      <w:r w:rsidRPr="00E6252D">
        <w:t>i)</w:t>
      </w:r>
      <w:r w:rsidRPr="00E6252D">
        <w:tab/>
        <w:t xml:space="preserve">τα σημεία δεδομένων του τύπου δεδομένων «Νομισματικά» υποβάλλονται με τη χρήση ελάχιστης ακρίβειας που αντιστοιχεί σε χιλιάδες μονάδες· </w:t>
      </w:r>
    </w:p>
    <w:p w14:paraId="7B1AF6BE" w14:textId="77777777" w:rsidR="00911C0D" w:rsidRPr="00E6252D" w:rsidRDefault="00911C0D" w:rsidP="00146633">
      <w:pPr>
        <w:pStyle w:val="Point2"/>
      </w:pPr>
      <w:r w:rsidRPr="00E6252D">
        <w:t>ii)</w:t>
      </w:r>
      <w:r w:rsidRPr="00E6252D">
        <w:tab/>
        <w:t xml:space="preserve">τα σημεία δεδομένων του τύπου δεδομένων «Ποσοστά» εκφράζονται ανά μονάδα, με ελάχιστη ακρίβεια που αντιστοιχεί σε τέσσερα δεκαδικά ψηφία· </w:t>
      </w:r>
    </w:p>
    <w:p w14:paraId="5478D846" w14:textId="77777777" w:rsidR="00911C0D" w:rsidRPr="00E6252D" w:rsidRDefault="00911C0D" w:rsidP="00146633">
      <w:pPr>
        <w:pStyle w:val="Point2"/>
      </w:pPr>
      <w:r w:rsidRPr="00E6252D">
        <w:t>iii)</w:t>
      </w:r>
      <w:r w:rsidRPr="00E6252D">
        <w:tab/>
        <w:t>τα σημεία δεδομένων του τύπου δεδομένων «Ακέραιοι» υποβάλλονται χωρίς τη χρήση δεκαδικών ψηφίων και με ακρίβεια που αντιστοιχεί σε μονάδες·</w:t>
      </w:r>
    </w:p>
    <w:p w14:paraId="3B0DDC02" w14:textId="6968E285" w:rsidR="00911C0D" w:rsidRPr="00E6252D" w:rsidRDefault="00997897" w:rsidP="00997897">
      <w:pPr>
        <w:pStyle w:val="Point1"/>
        <w:rPr>
          <w:noProof/>
        </w:rPr>
      </w:pPr>
      <w:r>
        <w:t>γ)</w:t>
      </w:r>
      <w:r w:rsidRPr="00997897">
        <w:tab/>
      </w:r>
      <w:r w:rsidR="00911C0D" w:rsidRPr="00E6252D">
        <w:t>τα ιδρύματα προσδιορίζονται αποκλειστικά με τον σχετικό αναγνωριστικό κωδικό νομικής οντότητας (LEI). Οι νομικές οντότητες και οι αντισυμβαλλόμενοι, πλην των ιδρυμάτων, προσδιορίζονται με τον κωδικό LEI τους, εφόσον υπάρχει.</w:t>
      </w:r>
    </w:p>
    <w:p w14:paraId="1DBE05C1" w14:textId="77777777" w:rsidR="00911C0D" w:rsidRPr="00E6252D" w:rsidRDefault="00911C0D" w:rsidP="00080A21">
      <w:pPr>
        <w:pStyle w:val="NumPar1"/>
        <w:numPr>
          <w:ilvl w:val="0"/>
          <w:numId w:val="5"/>
        </w:numPr>
        <w:rPr>
          <w:noProof/>
        </w:rPr>
      </w:pPr>
      <w:r w:rsidRPr="00E6252D">
        <w:t>Οι πληροφορίες που υποβάλλονται από τις αναφέρουσες οντότητες σύμφωνα με τον παρόντα κανονισμό συνοδεύονται από τις ακόλουθες πληροφορίες:</w:t>
      </w:r>
    </w:p>
    <w:p w14:paraId="1DEF8C77" w14:textId="53780810" w:rsidR="00911C0D" w:rsidRPr="00E6252D" w:rsidRDefault="00997897" w:rsidP="00997897">
      <w:pPr>
        <w:pStyle w:val="Point1"/>
        <w:rPr>
          <w:noProof/>
        </w:rPr>
      </w:pPr>
      <w:r>
        <w:t>α)</w:t>
      </w:r>
      <w:r w:rsidRPr="00997897">
        <w:tab/>
      </w:r>
      <w:r w:rsidR="00911C0D" w:rsidRPr="00E6252D">
        <w:t>την ημερομηνία αναφοράς για την υποβολή αναφορών και την περίοδο αναφοράς·</w:t>
      </w:r>
    </w:p>
    <w:p w14:paraId="09EC726C" w14:textId="523E62B1" w:rsidR="00911C0D" w:rsidRPr="00E6252D" w:rsidRDefault="00997897" w:rsidP="00997897">
      <w:pPr>
        <w:pStyle w:val="Point1"/>
        <w:rPr>
          <w:noProof/>
        </w:rPr>
      </w:pPr>
      <w:r>
        <w:t>β)</w:t>
      </w:r>
      <w:r w:rsidRPr="00997897">
        <w:tab/>
      </w:r>
      <w:r w:rsidR="00911C0D" w:rsidRPr="00E6252D">
        <w:t>το νόμισμα που χρησιμοποιείται για την υποβολή αναφορών·</w:t>
      </w:r>
    </w:p>
    <w:p w14:paraId="4EEE4DC2" w14:textId="128D0AE1" w:rsidR="00911C0D" w:rsidRPr="00E6252D" w:rsidRDefault="00997897" w:rsidP="00997897">
      <w:pPr>
        <w:pStyle w:val="Point1"/>
        <w:rPr>
          <w:noProof/>
        </w:rPr>
      </w:pPr>
      <w:r>
        <w:t>γ)</w:t>
      </w:r>
      <w:r w:rsidRPr="00997897">
        <w:tab/>
      </w:r>
      <w:r w:rsidR="00911C0D" w:rsidRPr="00E6252D">
        <w:t>το λογιστικό πρότυπο·</w:t>
      </w:r>
    </w:p>
    <w:p w14:paraId="2729F1FB" w14:textId="06F29D25" w:rsidR="00911C0D" w:rsidRPr="00E6252D" w:rsidRDefault="00997897" w:rsidP="00997897">
      <w:pPr>
        <w:pStyle w:val="Point1"/>
        <w:rPr>
          <w:noProof/>
        </w:rPr>
      </w:pPr>
      <w:r>
        <w:t>δ)</w:t>
      </w:r>
      <w:r w:rsidRPr="00997897">
        <w:tab/>
      </w:r>
      <w:r w:rsidR="00911C0D" w:rsidRPr="00E6252D">
        <w:t>τον κωδικό LEI του ιδρύματος που υποβάλλει αναφορά·</w:t>
      </w:r>
    </w:p>
    <w:p w14:paraId="0F34F03F" w14:textId="5DE057B8" w:rsidR="00911C0D" w:rsidRPr="00E6252D" w:rsidRDefault="00997897" w:rsidP="00997897">
      <w:pPr>
        <w:pStyle w:val="Point1"/>
        <w:rPr>
          <w:noProof/>
        </w:rPr>
      </w:pPr>
      <w:r>
        <w:t>ε)</w:t>
      </w:r>
      <w:r w:rsidRPr="00997897">
        <w:tab/>
      </w:r>
      <w:r w:rsidR="00911C0D" w:rsidRPr="00E6252D">
        <w:tab/>
        <w:t>το πεδίο εφαρμογής της ενοποίησης.</w:t>
      </w:r>
    </w:p>
    <w:p w14:paraId="7CF14DFD" w14:textId="77777777" w:rsidR="00911C0D" w:rsidRPr="00E6252D" w:rsidRDefault="00911C0D" w:rsidP="00911C0D">
      <w:pPr>
        <w:pStyle w:val="Titrearticle"/>
      </w:pPr>
      <w:r w:rsidRPr="00E6252D">
        <w:t xml:space="preserve">Άρθρο </w:t>
      </w:r>
      <w:r w:rsidR="009B4649">
        <w:fldChar w:fldCharType="begin"/>
      </w:r>
      <w:r w:rsidR="009B4649">
        <w:instrText xml:space="preserve"> SEQ Figure \* ARABIC </w:instrText>
      </w:r>
      <w:r w:rsidR="009B4649">
        <w:fldChar w:fldCharType="separate"/>
      </w:r>
      <w:r w:rsidRPr="00E6252D">
        <w:t>8</w:t>
      </w:r>
      <w:r w:rsidR="009B4649">
        <w:fldChar w:fldCharType="end"/>
      </w:r>
      <w:r w:rsidRPr="00E6252D">
        <w:br/>
        <w:t>Τυποποιημένη παρουσίαση της κατάταξης στο πλαίσιο της διαδικασίας αφερεγγυότητας</w:t>
      </w:r>
    </w:p>
    <w:p w14:paraId="5049F073" w14:textId="77777777" w:rsidR="00911C0D" w:rsidRPr="00E6252D" w:rsidRDefault="00911C0D" w:rsidP="009B4649">
      <w:pPr>
        <w:pStyle w:val="NumPar1"/>
        <w:numPr>
          <w:ilvl w:val="0"/>
          <w:numId w:val="11"/>
        </w:numPr>
        <w:rPr>
          <w:noProof/>
        </w:rPr>
      </w:pPr>
      <w:r w:rsidRPr="00E6252D">
        <w:t>Οι αρχές εξυγίανσης συγκεντρώνουν πληροφορίες σχετικά με την κατάταξη των στοιχείων στις οικείες εθνικές διαδικασίες αφερεγγυότητας σύμφωνα με τον τυποποιημένο μορφότυπο που καθορίζεται στο παράρτημα IV. Όταν επέρχονται αλλαγές, επικαιροποιούν τις πληροφορίες αυτές χωρίς αδικαιολόγητη καθυστέρηση.</w:t>
      </w:r>
    </w:p>
    <w:p w14:paraId="3F9A4A43" w14:textId="77777777" w:rsidR="00911C0D" w:rsidRPr="00E6252D" w:rsidRDefault="00911C0D" w:rsidP="009B4649">
      <w:pPr>
        <w:pStyle w:val="NumPar1"/>
        <w:numPr>
          <w:ilvl w:val="0"/>
          <w:numId w:val="11"/>
        </w:numPr>
        <w:rPr>
          <w:noProof/>
        </w:rPr>
      </w:pPr>
      <w:r w:rsidRPr="00E6252D">
        <w:t>Οι αρχές εξυγίανσης δημοσιεύουν τις πληροφορίες που αναφέρονται στην παράγραφο 1, προκειμένου να τις θέσουν στη διάθεση των ιδρυμάτων που υπόκεινται στην εποπτεία τους.</w:t>
      </w:r>
    </w:p>
    <w:p w14:paraId="1D1FC80E" w14:textId="77777777" w:rsidR="00911C0D" w:rsidRPr="00E6252D" w:rsidRDefault="00911C0D" w:rsidP="00911C0D">
      <w:pPr>
        <w:pStyle w:val="SectionTitle"/>
        <w:rPr>
          <w:b w:val="0"/>
          <w:i/>
        </w:rPr>
      </w:pPr>
      <w:r w:rsidRPr="00E6252D">
        <w:rPr>
          <w:b w:val="0"/>
          <w:i/>
        </w:rPr>
        <w:lastRenderedPageBreak/>
        <w:t>ΤΙΤΛΟΣ II</w:t>
      </w:r>
      <w:r w:rsidRPr="00E6252D">
        <w:t xml:space="preserve"> </w:t>
      </w:r>
      <w:r w:rsidRPr="00E6252D">
        <w:br/>
      </w:r>
      <w:r w:rsidRPr="00E6252D">
        <w:rPr>
          <w:b w:val="0"/>
          <w:i/>
        </w:rPr>
        <w:t>ΔΗΜΟΣΙΟΠΟΙΗΣΗ ΠΛΗΡΟΦΟΡΙΩΝ ΑΠΟ ΤΑ ΙΔΡΥΜΑΤΑ</w:t>
      </w:r>
    </w:p>
    <w:p w14:paraId="674A8126" w14:textId="77777777" w:rsidR="00911C0D" w:rsidRPr="00E6252D" w:rsidRDefault="00911C0D" w:rsidP="00911C0D">
      <w:pPr>
        <w:pStyle w:val="Titrearticle"/>
      </w:pPr>
      <w:r w:rsidRPr="00E6252D">
        <w:t xml:space="preserve">Άρθρο </w:t>
      </w:r>
      <w:r w:rsidR="009B4649">
        <w:fldChar w:fldCharType="begin"/>
      </w:r>
      <w:r w:rsidR="009B4649">
        <w:instrText xml:space="preserve"> SEQ Figure \* ARABIC </w:instrText>
      </w:r>
      <w:r w:rsidR="009B4649">
        <w:fldChar w:fldCharType="separate"/>
      </w:r>
      <w:r w:rsidRPr="00E6252D">
        <w:t>9</w:t>
      </w:r>
      <w:r w:rsidR="009B4649">
        <w:fldChar w:fldCharType="end"/>
      </w:r>
      <w:r w:rsidRPr="00E6252D">
        <w:br/>
        <w:t>Συχνότητα δημοσιοποίησης και ημερομηνίες δημοσιοποίησης</w:t>
      </w:r>
    </w:p>
    <w:p w14:paraId="30497442" w14:textId="1688CF64" w:rsidR="00911C0D" w:rsidRPr="00E6252D" w:rsidRDefault="00911C0D" w:rsidP="009B4649">
      <w:pPr>
        <w:pStyle w:val="NumPar1"/>
        <w:numPr>
          <w:ilvl w:val="0"/>
          <w:numId w:val="12"/>
        </w:numPr>
        <w:rPr>
          <w:noProof/>
        </w:rPr>
      </w:pPr>
      <w:r w:rsidRPr="00E6252D">
        <w:t>Οι δημοσιοποιήσεις που αναφέρονται στο άρθρο 10 παράγραφος 1 πραγματοποιούνται σε τριμηνιαία βάση. Οι δημοσιοποιήσεις που αναφέρονται στο άρθρο 10 παράγραφος 2 πραγματοποιούνται σε εξαμηνιαία βάση.</w:t>
      </w:r>
    </w:p>
    <w:p w14:paraId="0CFDDF92" w14:textId="77777777" w:rsidR="00911C0D" w:rsidRPr="00E6252D" w:rsidRDefault="00911C0D" w:rsidP="00146633">
      <w:pPr>
        <w:pStyle w:val="NumPar1"/>
        <w:rPr>
          <w:noProof/>
        </w:rPr>
      </w:pPr>
      <w:r w:rsidRPr="00E6252D">
        <w:t>Οι δημοσιοποιήσεις που αναφέρονται στο άρθρο </w:t>
      </w:r>
      <w:r w:rsidRPr="00E6252D">
        <w:fldChar w:fldCharType="begin"/>
      </w:r>
      <w:r w:rsidRPr="00E6252D">
        <w:instrText xml:space="preserve"> REF _Ref21450145 \# 0 \h  \* MERGEFORMAT </w:instrText>
      </w:r>
      <w:r w:rsidRPr="00E6252D">
        <w:fldChar w:fldCharType="separate"/>
      </w:r>
      <w:r w:rsidRPr="00E6252D">
        <w:t>11</w:t>
      </w:r>
      <w:r w:rsidRPr="00E6252D">
        <w:fldChar w:fldCharType="end"/>
      </w:r>
      <w:r w:rsidRPr="00E6252D">
        <w:t xml:space="preserve"> παράγραφος 1 και στο άρθρο </w:t>
      </w:r>
      <w:r w:rsidRPr="00E6252D">
        <w:fldChar w:fldCharType="begin"/>
      </w:r>
      <w:r w:rsidRPr="00E6252D">
        <w:instrText xml:space="preserve"> REF _Ref21087242 \# 0 \h  \* MERGEFORMAT </w:instrText>
      </w:r>
      <w:r w:rsidRPr="00E6252D">
        <w:fldChar w:fldCharType="separate"/>
      </w:r>
      <w:r w:rsidRPr="00E6252D">
        <w:t>14</w:t>
      </w:r>
      <w:r w:rsidRPr="00E6252D">
        <w:fldChar w:fldCharType="end"/>
      </w:r>
      <w:r w:rsidRPr="00E6252D">
        <w:t xml:space="preserve"> παράγραφος 1 πραγματοποιούνται σε εξαμηνιαία βάση. Οι δημοσιοποιήσεις που αναφέρονται στο άρθρο </w:t>
      </w:r>
      <w:r w:rsidRPr="00E6252D">
        <w:fldChar w:fldCharType="begin"/>
      </w:r>
      <w:r w:rsidRPr="00E6252D">
        <w:instrText xml:space="preserve"> REF _Ref21450145 \# 0 \h  \* MERGEFORMAT </w:instrText>
      </w:r>
      <w:r w:rsidRPr="00E6252D">
        <w:fldChar w:fldCharType="separate"/>
      </w:r>
      <w:r w:rsidRPr="00E6252D">
        <w:t>11</w:t>
      </w:r>
      <w:r w:rsidRPr="00E6252D">
        <w:fldChar w:fldCharType="end"/>
      </w:r>
      <w:r w:rsidRPr="00E6252D">
        <w:t xml:space="preserve"> παράγραφος 2 και στο άρθρο 14 παράγραφος 2 πραγματοποιούνται σε ετήσια βάση.</w:t>
      </w:r>
    </w:p>
    <w:p w14:paraId="0276A47B" w14:textId="59C6BE0E" w:rsidR="00911C0D" w:rsidRPr="00E6252D" w:rsidRDefault="00911C0D" w:rsidP="00146633">
      <w:pPr>
        <w:pStyle w:val="NumPar1"/>
        <w:rPr>
          <w:noProof/>
        </w:rPr>
      </w:pPr>
      <w:r w:rsidRPr="00E6252D">
        <w:t>Οι δημοσιοποιήσεις που αναφέρονται στο άρθρο 12 παράγραφος 1 πραγματοποιούνται σε τριμηνιαία βάση. Οι δημοσιοποιήσεις που αναφέρονται στο άρθρο 12 παράγραφος 2 πραγματοποιούνται σε εξαμηνιαία βάση.</w:t>
      </w:r>
    </w:p>
    <w:p w14:paraId="1C90BE41" w14:textId="77777777" w:rsidR="00911C0D" w:rsidRPr="00E6252D" w:rsidRDefault="00911C0D" w:rsidP="00146633">
      <w:pPr>
        <w:pStyle w:val="NumPar1"/>
        <w:rPr>
          <w:noProof/>
        </w:rPr>
      </w:pPr>
      <w:r w:rsidRPr="00E6252D">
        <w:t>Οι δημοσιοποιήσεις που αναφέρονται στο άρθρο 13 παράγραφος 1 πραγματοποιούνται σε εξαμηνιαία βάση. Οι δημοσιοποιήσεις που αναφέρονται στο άρθρο 13 παράγραφος 2 πραγματοποιούνται σε ετήσια βάση.</w:t>
      </w:r>
    </w:p>
    <w:p w14:paraId="77DF8699" w14:textId="77777777" w:rsidR="00911C0D" w:rsidRPr="00E6252D" w:rsidRDefault="00911C0D" w:rsidP="00146633">
      <w:pPr>
        <w:pStyle w:val="NumPar1"/>
        <w:rPr>
          <w:noProof/>
        </w:rPr>
      </w:pPr>
      <w:r w:rsidRPr="00E6252D">
        <w:t xml:space="preserve">Οι δημοσιοποιήσεις που αναφέρονται στο άρθρο </w:t>
      </w:r>
      <w:r w:rsidRPr="00E6252D">
        <w:fldChar w:fldCharType="begin"/>
      </w:r>
      <w:r w:rsidRPr="00E6252D">
        <w:instrText xml:space="preserve"> REF _Ref21087218 \# 0 \h  \* MERGEFORMAT </w:instrText>
      </w:r>
      <w:r w:rsidRPr="00E6252D">
        <w:fldChar w:fldCharType="separate"/>
      </w:r>
      <w:r w:rsidRPr="00E6252D">
        <w:t>15</w:t>
      </w:r>
      <w:r w:rsidRPr="00E6252D">
        <w:fldChar w:fldCharType="end"/>
      </w:r>
      <w:r w:rsidRPr="00E6252D">
        <w:t xml:space="preserve"> πραγματοποιούνται ως εξής:</w:t>
      </w:r>
    </w:p>
    <w:p w14:paraId="553B9B42" w14:textId="7FBE0416" w:rsidR="00911C0D" w:rsidRPr="00E6252D" w:rsidRDefault="00997897" w:rsidP="00997897">
      <w:pPr>
        <w:pStyle w:val="Point1"/>
        <w:rPr>
          <w:noProof/>
        </w:rPr>
      </w:pPr>
      <w:r>
        <w:t>α)</w:t>
      </w:r>
      <w:r w:rsidRPr="00997897">
        <w:tab/>
      </w:r>
      <w:r w:rsidR="00911C0D" w:rsidRPr="00E6252D">
        <w:t>σε εξαμηνιαία βάση, όταν η οντότητα που προβαίνει στη δημοσιοποίηση είναι μεγάλο ίδρυμα·</w:t>
      </w:r>
    </w:p>
    <w:p w14:paraId="6AC02098" w14:textId="6B7E7A91" w:rsidR="00911C0D" w:rsidRPr="00E6252D" w:rsidRDefault="00997897" w:rsidP="00997897">
      <w:pPr>
        <w:pStyle w:val="Point1"/>
        <w:rPr>
          <w:noProof/>
        </w:rPr>
      </w:pPr>
      <w:r>
        <w:t>β)</w:t>
      </w:r>
      <w:r w:rsidRPr="00997897">
        <w:tab/>
      </w:r>
      <w:r w:rsidR="00146633" w:rsidRPr="00E6252D">
        <w:t xml:space="preserve">σε ετήσια βάση, όταν η οντότητα που προβαίνει στη δημοσιοποίηση δεν είναι ούτε μεγάλο ίδρυμα ούτε μικρό και μη πολύπλοκο ίδρυμα. </w:t>
      </w:r>
    </w:p>
    <w:p w14:paraId="67AF5D74" w14:textId="77777777" w:rsidR="00911C0D" w:rsidRPr="00E6252D" w:rsidRDefault="00911C0D" w:rsidP="00911C0D">
      <w:pPr>
        <w:pStyle w:val="Point0"/>
        <w:rPr>
          <w:noProof/>
        </w:rPr>
      </w:pPr>
      <w:r w:rsidRPr="00E6252D">
        <w:t>6.</w:t>
      </w:r>
      <w:r w:rsidRPr="00E6252D">
        <w:tab/>
        <w:t>Για τους σκοπούς της δημοσιοποίησης πληροφοριών, οι οντότητες που προβαίνουν στη δημοσιοποίηση τηρούν τα ακόλουθα:</w:t>
      </w:r>
    </w:p>
    <w:p w14:paraId="4DA11D1B" w14:textId="2AE64403" w:rsidR="00911C0D" w:rsidRPr="00E6252D" w:rsidRDefault="00997897" w:rsidP="00997897">
      <w:pPr>
        <w:pStyle w:val="Point1"/>
        <w:rPr>
          <w:noProof/>
        </w:rPr>
      </w:pPr>
      <w:r>
        <w:t>α)</w:t>
      </w:r>
      <w:r w:rsidRPr="00997897">
        <w:tab/>
      </w:r>
      <w:r w:rsidR="00911C0D" w:rsidRPr="00E6252D">
        <w:t xml:space="preserve">οι ετήσιες δημοσιοποιήσεις γίνονται την ίδια ημερομηνία με την ημερομηνία κατά την οποία τα ιδρύματα δημοσιεύουν τις οικονομικές τους καταστάσεις ή το συντομότερο δυνατόν μετά την ημερομηνία αυτή· </w:t>
      </w:r>
    </w:p>
    <w:p w14:paraId="38E67937" w14:textId="4F86A796" w:rsidR="00911C0D" w:rsidRPr="00E6252D" w:rsidRDefault="00997897" w:rsidP="00997897">
      <w:pPr>
        <w:pStyle w:val="Point1"/>
        <w:rPr>
          <w:noProof/>
        </w:rPr>
      </w:pPr>
      <w:r>
        <w:t>β)</w:t>
      </w:r>
      <w:r w:rsidRPr="00997897">
        <w:tab/>
      </w:r>
      <w:r w:rsidR="00911C0D" w:rsidRPr="00E6252D">
        <w:t xml:space="preserve">οι εξαμηνιαίες και τριμηνιαίες δημοσιοποιήσεις γίνονται την ίδια ημερομηνία με την ημερομηνία κατά την οποία τα ιδρύματα δημοσιεύουν τις οικονομικές εκθέσεις τους για την αντίστοιχη περίοδο, ανάλογα με την περίπτωση, ή το συντομότερο δυνατόν μετά την ημερομηνία αυτή· </w:t>
      </w:r>
    </w:p>
    <w:p w14:paraId="7CC4F5BD" w14:textId="28E3EC1F" w:rsidR="00911C0D" w:rsidRPr="00E6252D" w:rsidRDefault="00997897" w:rsidP="00997897">
      <w:pPr>
        <w:pStyle w:val="Point1"/>
        <w:rPr>
          <w:noProof/>
        </w:rPr>
      </w:pPr>
      <w:r>
        <w:t>γ)</w:t>
      </w:r>
      <w:r w:rsidRPr="00997897">
        <w:tab/>
      </w:r>
      <w:r w:rsidR="00911C0D" w:rsidRPr="00E6252D">
        <w:t>κάθε καθυστέρηση που μεσολαβεί μεταξύ της ημερομηνίας των δημοσιοποιήσεων που απαιτούνται σύμφωνα με τον παρόντα τίτλο και των σχετικών οικονομικών καταστάσεων είναι εύλογη και, σε κάθε περίπτωση, δεν υπερβαίνει το χρονικό όριο που καθορίζεται από τις αρμόδιες αρχές σύμφωνα με το άρθρο 106 της οδηγίας 2013/36/ΕΕ του Ευρωπαϊκού Κοινοβουλίου και του Συμβουλίου</w:t>
      </w:r>
      <w:r w:rsidR="00911C0D" w:rsidRPr="00E6252D">
        <w:rPr>
          <w:rStyle w:val="FootnoteReference"/>
          <w:noProof/>
        </w:rPr>
        <w:footnoteReference w:id="6"/>
      </w:r>
      <w:r w:rsidR="00911C0D" w:rsidRPr="00E6252D">
        <w:t>.</w:t>
      </w:r>
    </w:p>
    <w:p w14:paraId="2B144DCB" w14:textId="77777777" w:rsidR="00911C0D" w:rsidRPr="00E6252D" w:rsidRDefault="00911C0D" w:rsidP="00911C0D">
      <w:pPr>
        <w:pStyle w:val="Titrearticle"/>
      </w:pPr>
      <w:bookmarkStart w:id="1" w:name="_Ref21085297"/>
      <w:r w:rsidRPr="00E6252D">
        <w:lastRenderedPageBreak/>
        <w:t xml:space="preserve">Άρθρο </w:t>
      </w:r>
      <w:r w:rsidR="009B4649">
        <w:fldChar w:fldCharType="begin"/>
      </w:r>
      <w:r w:rsidR="009B4649">
        <w:instrText xml:space="preserve"> SEQ Figure \* ARABIC </w:instrText>
      </w:r>
      <w:r w:rsidR="009B4649">
        <w:fldChar w:fldCharType="separate"/>
      </w:r>
      <w:r w:rsidRPr="00E6252D">
        <w:t>10</w:t>
      </w:r>
      <w:r w:rsidR="009B4649">
        <w:fldChar w:fldCharType="end"/>
      </w:r>
      <w:bookmarkEnd w:id="1"/>
      <w:r w:rsidRPr="00E6252D">
        <w:br/>
        <w:t>Δημοσιοποίηση των βασικών μετρήσεων για τα ίδια κεφάλαια και τις επιλέξιμες υποχρεώσεις και για τις απαιτήσεις ιδίων κεφαλαίων και επιλέξιμων υποχρεώσεων από τις οντότητες εξυγίανσης</w:t>
      </w:r>
    </w:p>
    <w:p w14:paraId="44F94195" w14:textId="77777777" w:rsidR="00911C0D" w:rsidRPr="00E6252D" w:rsidRDefault="00911C0D" w:rsidP="009B4649">
      <w:pPr>
        <w:pStyle w:val="NumPar1"/>
        <w:numPr>
          <w:ilvl w:val="0"/>
          <w:numId w:val="10"/>
        </w:numPr>
        <w:rPr>
          <w:noProof/>
        </w:rPr>
      </w:pPr>
      <w:r w:rsidRPr="00E6252D">
        <w:t xml:space="preserve">Οι οντότητες που προσδιορίζονται ως οντότητες εξυγίανσης και είναι G-SII ή μέρος ενός G-SII προβαίνουν στις δημοσιοποιήσεις που απαιτούνται βάσει του άρθρου 447 στοιχείο η) του κανονισμού (ΕΕ) αριθ. 575/2013 και του άρθρου 45θ παράγραφος 3 στοιχεία α) και γ) της οδηγίας 2014/59/ΕΕ, σύμφωνα με το υπόδειγμα EU KM2 του παραρτήματος V του παρόντος κανονισμού και τις σχετικές οδηγίες που παρατίθενται στο παράρτημα VI του παρόντος κανονισμού. </w:t>
      </w:r>
    </w:p>
    <w:p w14:paraId="2955CCFE" w14:textId="77777777" w:rsidR="00911C0D" w:rsidRPr="00E6252D" w:rsidRDefault="00911C0D" w:rsidP="009B4649">
      <w:pPr>
        <w:pStyle w:val="NumPar1"/>
        <w:numPr>
          <w:ilvl w:val="0"/>
          <w:numId w:val="10"/>
        </w:numPr>
        <w:rPr>
          <w:noProof/>
        </w:rPr>
      </w:pPr>
      <w:r w:rsidRPr="00E6252D">
        <w:t>Οι οντότητες που προσδιορίζονται ως οντότητες εξυγίανσης και δεν είναι G-SII ούτε μέρος ενός G-SII προβαίνουν στις δημοσιοποιήσεις που απαιτούνται βάσει του άρθρου 45θ παράγραφος 3 στοιχεία α) και γ) της οδηγίας 2014/59/ΕΕ, σύμφωνα με το υπόδειγμα EU KM2 του παραρτήματος V του παρόντος κανονισμού και τις σχετικές οδηγίες που παρατίθενται στο παράρτημα VI του παρόντος κανονισμού.</w:t>
      </w:r>
    </w:p>
    <w:p w14:paraId="5BA5FA46" w14:textId="77777777" w:rsidR="00911C0D" w:rsidRPr="00E6252D" w:rsidRDefault="00911C0D" w:rsidP="00911C0D">
      <w:pPr>
        <w:pStyle w:val="Titrearticle"/>
      </w:pPr>
      <w:bookmarkStart w:id="2" w:name="_Ref21450145"/>
      <w:r w:rsidRPr="00E6252D">
        <w:t xml:space="preserve">Άρθρο </w:t>
      </w:r>
      <w:r w:rsidR="009B4649">
        <w:fldChar w:fldCharType="begin"/>
      </w:r>
      <w:r w:rsidR="009B4649">
        <w:instrText xml:space="preserve"> SEQ Figure \* ARABIC </w:instrText>
      </w:r>
      <w:r w:rsidR="009B4649">
        <w:fldChar w:fldCharType="separate"/>
      </w:r>
      <w:r w:rsidRPr="00E6252D">
        <w:t>11</w:t>
      </w:r>
      <w:r w:rsidR="009B4649">
        <w:fldChar w:fldCharType="end"/>
      </w:r>
      <w:bookmarkEnd w:id="2"/>
      <w:r w:rsidRPr="00E6252D">
        <w:t xml:space="preserve"> </w:t>
      </w:r>
      <w:r w:rsidRPr="00E6252D">
        <w:br/>
        <w:t>Δημοσιοποίηση της σύνθεσης των ιδίων κεφαλαίων και των επιλέξιμων υποχρεώσεων από τις οντότητες εξυγίανσης</w:t>
      </w:r>
    </w:p>
    <w:p w14:paraId="097F2CA5" w14:textId="77777777" w:rsidR="00911C0D" w:rsidRPr="00E6252D" w:rsidRDefault="00911C0D" w:rsidP="009B4649">
      <w:pPr>
        <w:pStyle w:val="NumPar1"/>
        <w:numPr>
          <w:ilvl w:val="0"/>
          <w:numId w:val="9"/>
        </w:numPr>
        <w:rPr>
          <w:noProof/>
        </w:rPr>
      </w:pPr>
      <w:r w:rsidRPr="00E6252D">
        <w:t>Οι οντότητες που προσδιορίζονται ως οντότητες εξυγίανσης και είναι G-SII ή μέρος ενός G-SII προβαίνουν στις δημοσιοποιήσεις που απαιτούνται βάσει του άρθρου 437α στοιχεία α), γ) και δ) του κανονισμού (ΕΕ) αριθ. 575/2013 και στη δημοσιοποίηση σχετικά με τη σύνθεση των ιδίων κεφαλαίων και επιλέξιμων υποχρεώσεων που απαιτείται βάσει του άρθρου 45θ παράγραφος 3 στοιχείο β) της οδηγίας 2014/59/ΕΕ, σύμφωνα με το υπόδειγμα EU TLAC1 του παραρτήματος V του παρόντος κανονισμού και τις σχετικές οδηγίες που παρατίθενται στο παράρτημα VI του παρόντος κανονισμού.</w:t>
      </w:r>
    </w:p>
    <w:p w14:paraId="6EE067EB" w14:textId="77777777" w:rsidR="00911C0D" w:rsidRPr="00E6252D" w:rsidRDefault="00911C0D" w:rsidP="009B4649">
      <w:pPr>
        <w:pStyle w:val="NumPar1"/>
        <w:numPr>
          <w:ilvl w:val="0"/>
          <w:numId w:val="9"/>
        </w:numPr>
        <w:rPr>
          <w:noProof/>
        </w:rPr>
      </w:pPr>
      <w:r w:rsidRPr="00E6252D">
        <w:t>Οι οντότητες που προσδιορίζονται ως οντότητες εξυγίανσης και δεν είναι G-SII ούτε μέρος ενός G-SII προβαίνουν στη δημοσιοποίηση που απαιτείται σχετικά με τη σύνθεση των ιδίων κεφαλαίων και επιλέξιμων υποχρεώσεων σύμφωνα με το άρθρο 45θ παράγραφος 3 στοιχείο β) της οδηγίας 2014/59/ΕΕ, σύμφωνα με το υπόδειγμα EU TLAC1 του παραρτήματος V του παρόντος κανονισμού και τις σχετικές οδηγίες που παρατίθενται στο παράρτημα VI του παρόντος κανονισμού.</w:t>
      </w:r>
    </w:p>
    <w:p w14:paraId="31FF8221" w14:textId="77777777" w:rsidR="00911C0D" w:rsidRPr="00E6252D" w:rsidRDefault="00911C0D" w:rsidP="00911C0D">
      <w:pPr>
        <w:pStyle w:val="Titrearticle"/>
      </w:pPr>
      <w:bookmarkStart w:id="3" w:name="_Ref21087987"/>
      <w:r w:rsidRPr="00E6252D">
        <w:t xml:space="preserve">Άρθρο </w:t>
      </w:r>
      <w:r w:rsidR="009B4649">
        <w:fldChar w:fldCharType="begin"/>
      </w:r>
      <w:r w:rsidR="009B4649">
        <w:instrText xml:space="preserve"> SEQ Figure \* ARABIC </w:instrText>
      </w:r>
      <w:r w:rsidR="009B4649">
        <w:fldChar w:fldCharType="separate"/>
      </w:r>
      <w:r w:rsidRPr="00E6252D">
        <w:t>12</w:t>
      </w:r>
      <w:r w:rsidR="009B4649">
        <w:fldChar w:fldCharType="end"/>
      </w:r>
      <w:bookmarkEnd w:id="3"/>
      <w:r w:rsidRPr="00E6252D">
        <w:br/>
        <w:t>Δημοσιοποίηση των βασικών μετρήσεων και της εσωτερικής ικανότητας απορρόφησης ζημιών από οντότητες που δεν είναι οι ίδιες οντότητες εξυγίανσης</w:t>
      </w:r>
    </w:p>
    <w:p w14:paraId="32300B39" w14:textId="77777777" w:rsidR="00911C0D" w:rsidRPr="00E6252D" w:rsidRDefault="00911C0D" w:rsidP="009B4649">
      <w:pPr>
        <w:pStyle w:val="NumPar1"/>
        <w:numPr>
          <w:ilvl w:val="0"/>
          <w:numId w:val="8"/>
        </w:numPr>
        <w:rPr>
          <w:noProof/>
        </w:rPr>
      </w:pPr>
      <w:r w:rsidRPr="00E6252D">
        <w:t>Οι οντότητες που είναι σημαντικές θυγατρικές G-SII εκτός ΕΕ και δεν είναι οι ίδιες οντότητες εξυγίανσης προβαίνουν στις ακόλουθες δημοσιοποιήσεις σύμφωνα με το υπόδειγμα EU ILAC του παραρτήματος V του παρόντος κανονισμού και τις σχετικές οδηγίες που παρατίθενται στο παράρτημα VI του παρόντος κανονισμού:</w:t>
      </w:r>
    </w:p>
    <w:p w14:paraId="782B5E5F" w14:textId="76BC2F73" w:rsidR="00911C0D" w:rsidRPr="00E6252D" w:rsidRDefault="00997897" w:rsidP="00997897">
      <w:pPr>
        <w:pStyle w:val="Point1"/>
        <w:rPr>
          <w:noProof/>
        </w:rPr>
      </w:pPr>
      <w:r>
        <w:t>α)</w:t>
      </w:r>
      <w:r w:rsidRPr="00997897">
        <w:tab/>
      </w:r>
      <w:r w:rsidR="00911C0D" w:rsidRPr="00E6252D">
        <w:t>δημοσιοποιήσεις που απαιτούνται σύμφωνα με το άρθρο 437α στοιχεία α), γ) και δ) του κανονισμού (ΕΕ) αριθ. 575/2013·</w:t>
      </w:r>
    </w:p>
    <w:p w14:paraId="32D06C75" w14:textId="29E85601" w:rsidR="00911C0D" w:rsidRPr="00E6252D" w:rsidRDefault="00997897" w:rsidP="00997897">
      <w:pPr>
        <w:pStyle w:val="Point1"/>
        <w:rPr>
          <w:noProof/>
        </w:rPr>
      </w:pPr>
      <w:r>
        <w:t>β)</w:t>
      </w:r>
      <w:r w:rsidRPr="00997897">
        <w:tab/>
      </w:r>
      <w:r w:rsidR="00911C0D" w:rsidRPr="00E6252D">
        <w:t>δημοσιοποιήσεις που απαιτούνται σύμφωνα με το άρθρο 447 στοιχείο η) του κανονισμού (ΕΕ) αριθ. 575/2013·</w:t>
      </w:r>
    </w:p>
    <w:p w14:paraId="00DD876B" w14:textId="71F9EDA0" w:rsidR="00911C0D" w:rsidRPr="00E6252D" w:rsidRDefault="00997897" w:rsidP="00997897">
      <w:pPr>
        <w:pStyle w:val="Point1"/>
        <w:rPr>
          <w:noProof/>
        </w:rPr>
      </w:pPr>
      <w:r>
        <w:lastRenderedPageBreak/>
        <w:t>γ)</w:t>
      </w:r>
      <w:r w:rsidRPr="00997897">
        <w:tab/>
      </w:r>
      <w:r w:rsidR="00911C0D" w:rsidRPr="00E6252D">
        <w:t>δημοσιοποιήσεις που απαιτούνται σύμφωνα με το άρθρο 45θ παράγραφος 3 στοιχεία α) και γ) της οδηγίας 2014/59/ΕΕ·</w:t>
      </w:r>
    </w:p>
    <w:p w14:paraId="4DA0CF37" w14:textId="4776BF18" w:rsidR="00911C0D" w:rsidRPr="00E6252D" w:rsidRDefault="00997897" w:rsidP="00997897">
      <w:pPr>
        <w:pStyle w:val="Point1"/>
        <w:rPr>
          <w:noProof/>
        </w:rPr>
      </w:pPr>
      <w:r>
        <w:t>δ)</w:t>
      </w:r>
      <w:r w:rsidRPr="00997897">
        <w:tab/>
      </w:r>
      <w:r w:rsidR="00911C0D" w:rsidRPr="00E6252D">
        <w:t>δημοσιοποιήσεις σχετικά με τη σύνθεση των ιδίων κεφαλαίων και επιλέξιμων υποχρεώσεων που απαιτούνται σύμφωνα με το άρθρο 45θ παράγραφος 3 στοιχείο β) της οδηγίας 2014/59/ΕΕ.</w:t>
      </w:r>
    </w:p>
    <w:p w14:paraId="2D3A456D" w14:textId="77777777" w:rsidR="00911C0D" w:rsidRPr="00E6252D" w:rsidRDefault="00911C0D" w:rsidP="00911C0D">
      <w:pPr>
        <w:pStyle w:val="Point0"/>
        <w:rPr>
          <w:noProof/>
        </w:rPr>
      </w:pPr>
      <w:r w:rsidRPr="00E6252D">
        <w:t>2.</w:t>
      </w:r>
      <w:r w:rsidRPr="00E6252D">
        <w:tab/>
        <w:t>Οι οντότητες πλην των σημαντικών θυγατρικών G-SII εκτός ΕΕ που δεν είναι οι ίδιες οντότητες εξυγίανσης προβαίνουν στις ακόλουθες δημοσιοποιήσεις σύμφωνα με το υπόδειγμα EU ILAC του παραρτήματος V του παρόντος κανονισμού και τις σχετικές οδηγίες που παρατίθενται στο παράρτημα VI του παρόντος κανονισμού:</w:t>
      </w:r>
    </w:p>
    <w:p w14:paraId="2F8640BD" w14:textId="3FC00241" w:rsidR="00911C0D" w:rsidRPr="00E6252D" w:rsidRDefault="00997897" w:rsidP="00997897">
      <w:pPr>
        <w:pStyle w:val="Point1"/>
        <w:rPr>
          <w:noProof/>
        </w:rPr>
      </w:pPr>
      <w:r>
        <w:t>α)</w:t>
      </w:r>
      <w:r w:rsidRPr="00997897">
        <w:tab/>
      </w:r>
      <w:r w:rsidR="00911C0D" w:rsidRPr="00E6252D">
        <w:t>δημοσιοποιήσεις που απαιτούνται σύμφωνα με το άρθρο 45θ παράγραφος 3 στοιχεία α) και γ) της οδηγίας 2014/59/ΕΕ·</w:t>
      </w:r>
    </w:p>
    <w:p w14:paraId="4C6E59D7" w14:textId="1BB90CA4" w:rsidR="00911C0D" w:rsidRPr="00E6252D" w:rsidRDefault="00997897" w:rsidP="00997897">
      <w:pPr>
        <w:pStyle w:val="Point1"/>
        <w:rPr>
          <w:noProof/>
        </w:rPr>
      </w:pPr>
      <w:r>
        <w:t>β)</w:t>
      </w:r>
      <w:r w:rsidRPr="00997897">
        <w:tab/>
      </w:r>
      <w:r w:rsidR="00911C0D" w:rsidRPr="00E6252D">
        <w:t>δημοσιοποιήσεις σχετικά με τη σύνθεση των ιδίων κεφαλαίων και επιλέξιμων υποχρεώσεων που απαιτούνται σύμφωνα με το άρθρο 45θ παράγραφος 3 στοιχείο β) της οδηγίας 2014/59/ΕΕ.</w:t>
      </w:r>
    </w:p>
    <w:p w14:paraId="40797C60" w14:textId="77777777" w:rsidR="00911C0D" w:rsidRPr="00E6252D" w:rsidRDefault="00911C0D" w:rsidP="00911C0D">
      <w:pPr>
        <w:pStyle w:val="Titrearticle"/>
      </w:pPr>
      <w:bookmarkStart w:id="4" w:name="_Ref21088028"/>
      <w:r w:rsidRPr="00E6252D">
        <w:t xml:space="preserve">Άρθρο </w:t>
      </w:r>
      <w:bookmarkEnd w:id="4"/>
      <w:r w:rsidRPr="00E6252D">
        <w:fldChar w:fldCharType="begin"/>
      </w:r>
      <w:r w:rsidRPr="00E6252D">
        <w:instrText xml:space="preserve"> SEQ Figure \* ARABIC </w:instrText>
      </w:r>
      <w:r w:rsidRPr="00E6252D">
        <w:fldChar w:fldCharType="separate"/>
      </w:r>
      <w:r w:rsidRPr="00E6252D">
        <w:t>13</w:t>
      </w:r>
      <w:r w:rsidRPr="00E6252D">
        <w:fldChar w:fldCharType="end"/>
      </w:r>
      <w:r w:rsidRPr="00E6252D">
        <w:t xml:space="preserve"> </w:t>
      </w:r>
      <w:r w:rsidRPr="00E6252D">
        <w:br/>
        <w:t>Δημοσιοποίηση της κατάταξης των πιστωτών από οντότητες που δεν είναι οντότητες εξυγίανσης</w:t>
      </w:r>
    </w:p>
    <w:p w14:paraId="0FA53E9A" w14:textId="16A22625" w:rsidR="00911C0D" w:rsidRPr="00E6252D" w:rsidRDefault="00911C0D" w:rsidP="009B4649">
      <w:pPr>
        <w:pStyle w:val="NumPar1"/>
        <w:numPr>
          <w:ilvl w:val="0"/>
          <w:numId w:val="7"/>
        </w:numPr>
        <w:rPr>
          <w:noProof/>
        </w:rPr>
      </w:pPr>
      <w:r w:rsidRPr="00E6252D">
        <w:t xml:space="preserve">Οι οντότητες που είναι σημαντικές θυγατρικές G-SII εκτός ΕΕ και δεν είναι οι ίδιες οντότητες εξυγίανσης προβαίνουν στις δημοσιοποιήσεις σχετικά με το προφίλ ληκτότητας και την κατάταξη σε κανονικές διαδικασίες αφερεγγυότητας όπως καθορίζονται στο άρθρο 437α στοιχεία α) και β) του κανονισμού (ΕΕ) αριθ. 575/2013 και στο άρθρο 45θ παράγραφος 3 στοιχείο β) της οδηγίας 2014/59/ΕΕ, σύμφωνα με το υπόδειγμα EU TLAC2a του παραρτήματος V του παρόντος κανονισμού και τις σχετικές οδηγίες που παρατίθενται στο παράρτημα VI του παρόντος κανονισμού. </w:t>
      </w:r>
    </w:p>
    <w:p w14:paraId="515F579C" w14:textId="77777777" w:rsidR="00911C0D" w:rsidRPr="00E6252D" w:rsidRDefault="00911C0D" w:rsidP="009B4649">
      <w:pPr>
        <w:pStyle w:val="NumPar1"/>
        <w:numPr>
          <w:ilvl w:val="0"/>
          <w:numId w:val="7"/>
        </w:numPr>
        <w:rPr>
          <w:noProof/>
        </w:rPr>
      </w:pPr>
      <w:r w:rsidRPr="00E6252D">
        <w:t xml:space="preserve">Οι οντότητες πλην των σημαντικών θυγατρικών G-SII εκτός ΕΕ που δεν είναι οι ίδιες οντότητες εξυγίανσης προβαίνουν στις δημοσιοποιήσεις σχετικά με το προφίλ ληκτότητας και την κατάταξη σε κανονικές διαδικασίες αφερεγγυότητας όπως καθορίζονται στο άρθρο 45θ παράγραφος 3 στοιχείο β) της οδηγίας 2014/59/ΕΕ, σύμφωνα με το υπόδειγμα EU TLAC2b του παραρτήματος V του παρόντος κανονισμού και τις σχετικές οδηγίες που παρατίθενται στο παράρτημα VI του παρόντος κανονισμού. </w:t>
      </w:r>
    </w:p>
    <w:p w14:paraId="51B0E851" w14:textId="32AD2F70" w:rsidR="00911C0D" w:rsidRPr="00E6252D" w:rsidRDefault="00911C0D" w:rsidP="00B129CF">
      <w:pPr>
        <w:pStyle w:val="Text1"/>
        <w:rPr>
          <w:noProof/>
        </w:rPr>
      </w:pPr>
      <w:r w:rsidRPr="00E6252D">
        <w:t>Οι οντότητες που αναφέρονται στο πρώτο εδάφιο της παρούσας παραγράφου μπορούν να επιλέξουν να χρησιμοποιήσουν το υπόδειγμα EU TLAC2a αντί του υποδείγματος EU TLAC2b για τη δημοσιοποίηση πληροφοριών σχετικά με το προφίλ ληκτότητας και την κατάταξη σε κανονικές διαδικασίες αφερεγγυότητας που απαιτούνται σύμφωνα με το άρθρο 45θ παράγραφος 3 στοιχείο β) της οδηγίας 2014/59/ΕΕ.</w:t>
      </w:r>
    </w:p>
    <w:p w14:paraId="0ACD53CE" w14:textId="77777777" w:rsidR="00911C0D" w:rsidRPr="00E6252D" w:rsidRDefault="00911C0D" w:rsidP="00911C0D">
      <w:pPr>
        <w:pStyle w:val="Titrearticle"/>
      </w:pPr>
      <w:bookmarkStart w:id="5" w:name="_Ref21087242"/>
      <w:r w:rsidRPr="00E6252D">
        <w:t>Άρθρο</w:t>
      </w:r>
      <w:bookmarkEnd w:id="5"/>
      <w:r w:rsidRPr="00E6252D">
        <w:t xml:space="preserve"> </w:t>
      </w:r>
      <w:r w:rsidR="009B4649">
        <w:fldChar w:fldCharType="begin"/>
      </w:r>
      <w:r w:rsidR="009B4649">
        <w:instrText xml:space="preserve"> SEQ Figure \* ARABIC </w:instrText>
      </w:r>
      <w:r w:rsidR="009B4649">
        <w:fldChar w:fldCharType="separate"/>
      </w:r>
      <w:r w:rsidRPr="00E6252D">
        <w:t>14</w:t>
      </w:r>
      <w:r w:rsidR="009B4649">
        <w:fldChar w:fldCharType="end"/>
      </w:r>
      <w:r w:rsidRPr="00E6252D">
        <w:br/>
        <w:t>Δημοσιοποίηση της κατάταξης των πιστωτών από οντότητες εξυγίανσης</w:t>
      </w:r>
    </w:p>
    <w:p w14:paraId="0214BA4A" w14:textId="4F8B03D6" w:rsidR="00911C0D" w:rsidRPr="00E6252D" w:rsidRDefault="00911C0D" w:rsidP="009B4649">
      <w:pPr>
        <w:pStyle w:val="NumPar1"/>
        <w:numPr>
          <w:ilvl w:val="0"/>
          <w:numId w:val="13"/>
        </w:numPr>
        <w:rPr>
          <w:noProof/>
        </w:rPr>
      </w:pPr>
      <w:r w:rsidRPr="00E6252D">
        <w:t xml:space="preserve">Οι οντότητες που προσδιορίζονται ως οντότητες εξυγίανσης και είναι G-SII ή μέρος ενός G-SII προβαίνουν στις δημοσιοποιήσεις σχετικά με το προφίλ ληκτότητας και την κατάταξη σε κανονικές διαδικασίες αφερεγγυότητας που καθορίζονται στο άρθρο 437α στοιχεία α) και β) του κανονισμού (ΕΕ) αριθ. 575/2013 και στο άρθρο 45θ παράγραφος 3 στοιχείο β) της οδηγίας 2014/59/ΕΕ, σύμφωνα με το </w:t>
      </w:r>
      <w:r w:rsidRPr="00E6252D">
        <w:lastRenderedPageBreak/>
        <w:t xml:space="preserve">υπόδειγμα EU TLAC3a του παραρτήματος V του παρόντος κανονισμού και τις σχετικές οδηγίες που παρατίθενται στο παράρτημα VI του παρόντος κανονισμού. </w:t>
      </w:r>
    </w:p>
    <w:p w14:paraId="703B620D" w14:textId="18C45AB4" w:rsidR="00911C0D" w:rsidRPr="00E6252D" w:rsidRDefault="00911C0D" w:rsidP="009B4649">
      <w:pPr>
        <w:pStyle w:val="NumPar1"/>
        <w:numPr>
          <w:ilvl w:val="0"/>
          <w:numId w:val="13"/>
        </w:numPr>
        <w:rPr>
          <w:noProof/>
        </w:rPr>
      </w:pPr>
      <w:r w:rsidRPr="00E6252D">
        <w:t xml:space="preserve">Οι οντότητες που προσδιορίζονται ως οντότητες εξυγίανσης και δεν είναι G-SII ούτε μέρος ενός G-SII προβαίνουν στις δημοσιοποιήσεις σχετικά με το προφίλ ληκτότητας και την κατάταξη σε κανονικές διαδικασίες αφερεγγυότητας που καθορίζονται στο άρθρο 45θ παράγραφος 3 στοιχείο β) της οδηγίας 2014/59/ΕΕ, σύμφωνα με το υπόδειγμα EU TLAC3b του παραρτήματος V του παρόντος κανονισμού και τις σχετικές οδηγίες που παρατίθενται στο παράρτημα VI του παρόντος κανονισμού. </w:t>
      </w:r>
    </w:p>
    <w:p w14:paraId="312D7D45" w14:textId="0EC96E4F" w:rsidR="00911C0D" w:rsidRPr="00E6252D" w:rsidRDefault="00911C0D" w:rsidP="008E17B7">
      <w:pPr>
        <w:pStyle w:val="Text1"/>
        <w:rPr>
          <w:noProof/>
        </w:rPr>
      </w:pPr>
      <w:r w:rsidRPr="00E6252D">
        <w:t>Οι οντότητες που αναφέρονται στο πρώτο εδάφιο της παρούσας παραγράφου μπορούν να επιλέξουν να χρησιμοποιήσουν το υπόδειγμα EU TLAC3a αντί του υποδείγματος EU TLAC3b για τη δημοσιοποίηση πληροφοριών σχετικά με το προφίλ ληκτότητας και την κατάταξη σε κανονικές διαδικασίες αφερεγγυότητας που απαιτούνται σύμφωνα με το άρθρο 45θ παράγραφος 3 στοιχείο β) της οδηγίας 2014/59/ΕΕ.</w:t>
      </w:r>
    </w:p>
    <w:p w14:paraId="392B83E1" w14:textId="0ED4F921" w:rsidR="00911C0D" w:rsidRPr="00E6252D" w:rsidRDefault="00911C0D" w:rsidP="00911C0D">
      <w:pPr>
        <w:pStyle w:val="Titrearticle"/>
      </w:pPr>
      <w:bookmarkStart w:id="6" w:name="_Ref21087218"/>
      <w:r w:rsidRPr="00E6252D">
        <w:t xml:space="preserve">Άρθρο </w:t>
      </w:r>
      <w:r w:rsidR="009B4649">
        <w:fldChar w:fldCharType="begin"/>
      </w:r>
      <w:r w:rsidR="009B4649">
        <w:instrText xml:space="preserve"> SEQ Figure \* ARABIC </w:instrText>
      </w:r>
      <w:r w:rsidR="009B4649">
        <w:fldChar w:fldCharType="separate"/>
      </w:r>
      <w:r w:rsidRPr="00E6252D">
        <w:t>15</w:t>
      </w:r>
      <w:r w:rsidR="009B4649">
        <w:fldChar w:fldCharType="end"/>
      </w:r>
      <w:bookmarkEnd w:id="6"/>
      <w:r w:rsidRPr="00E6252D">
        <w:br/>
        <w:t>Δημοσιοποίηση των κύριων χαρακτηριστικών των ιδίων κεφαλαίων και των επιλέξιμων υποχρεώσεων</w:t>
      </w:r>
    </w:p>
    <w:p w14:paraId="556F10F9" w14:textId="77777777" w:rsidR="00911C0D" w:rsidRPr="00E6252D" w:rsidRDefault="00911C0D" w:rsidP="00911C0D">
      <w:pPr>
        <w:keepNext/>
        <w:keepLines/>
        <w:spacing w:before="360"/>
      </w:pPr>
      <w:r w:rsidRPr="00E6252D">
        <w:t xml:space="preserve">Οι οντότητες που προσδιορίζονται ως οντότητες εξυγίανσης και είναι G-SII ή μέρος ενός G-SII και οι οντότητες που είναι σημαντικές θυγατρικές G-SII εκτός ΕΕ και δεν είναι οι ίδιες οντότητες εξυγίανσης προβαίνουν στις δημοσιοποιήσεις που καθορίζονται στο άρθρο 437α στοιχείο α) του κανονισμού (ΕΕ) αριθ. 575/2013, σύμφωνα με την εκτελεστική πράξη που αναφέρεται στο άρθρο 434α του εν λόγω κανονισμού. </w:t>
      </w:r>
    </w:p>
    <w:p w14:paraId="20EB102D" w14:textId="77777777" w:rsidR="00911C0D" w:rsidRPr="00E6252D" w:rsidRDefault="00911C0D" w:rsidP="00146633">
      <w:pPr>
        <w:pStyle w:val="Titrearticle"/>
      </w:pPr>
      <w:r w:rsidRPr="00E6252D">
        <w:t xml:space="preserve">Άρθρο </w:t>
      </w:r>
      <w:r w:rsidR="009B4649">
        <w:fldChar w:fldCharType="begin"/>
      </w:r>
      <w:r w:rsidR="009B4649">
        <w:instrText xml:space="preserve"> SEQ Figure \* ARABIC </w:instrText>
      </w:r>
      <w:r w:rsidR="009B4649">
        <w:fldChar w:fldCharType="separate"/>
      </w:r>
      <w:r w:rsidRPr="00E6252D">
        <w:t>16</w:t>
      </w:r>
      <w:r w:rsidR="009B4649">
        <w:fldChar w:fldCharType="end"/>
      </w:r>
      <w:r w:rsidRPr="00E6252D">
        <w:t xml:space="preserve"> </w:t>
      </w:r>
      <w:r w:rsidRPr="00E6252D">
        <w:br/>
        <w:t>Γενικοί κανόνες για τη δημοσιοποίηση</w:t>
      </w:r>
    </w:p>
    <w:p w14:paraId="74D86184" w14:textId="77777777" w:rsidR="00911C0D" w:rsidRPr="00E6252D" w:rsidRDefault="00911C0D" w:rsidP="009B4649">
      <w:pPr>
        <w:pStyle w:val="NumPar1"/>
        <w:numPr>
          <w:ilvl w:val="0"/>
          <w:numId w:val="14"/>
        </w:numPr>
        <w:rPr>
          <w:noProof/>
        </w:rPr>
      </w:pPr>
      <w:r w:rsidRPr="00E6252D">
        <w:t xml:space="preserve">Όταν οι οντότητες που προβαίνουν στη δημοσιοποίηση δύνανται να παραλείπουν μία ή περισσότερες από τις δημοσιοποιήσεις σύμφωνα με το άρθρο 432 του κανονισμού (ΕΕ) αριθ. 575/2013, οι σχετικές γραμμές ή στήλες των υποδειγμάτων ή των πινάκων που προβλέπονται στον παρόντα κανονισμό μπορούν να παραμείνουν κενές και η αρίθμηση των επόμενων γραμμών ή στηλών δεν μεταβάλλεται. </w:t>
      </w:r>
    </w:p>
    <w:p w14:paraId="2C21F69F" w14:textId="77777777" w:rsidR="00911C0D" w:rsidRPr="00E6252D" w:rsidRDefault="00911C0D" w:rsidP="009B4649">
      <w:pPr>
        <w:pStyle w:val="NumPar1"/>
        <w:numPr>
          <w:ilvl w:val="0"/>
          <w:numId w:val="14"/>
        </w:numPr>
        <w:rPr>
          <w:noProof/>
        </w:rPr>
      </w:pPr>
      <w:r w:rsidRPr="00E6252D">
        <w:t xml:space="preserve">Οι οντότητες που προβαίνουν στη δημοσιοποίηση σημειώνουν σαφώς στο σχετικό υπόδειγμα ή πίνακα τις κενές γραμμές ή στήλες και τον λόγο της παράλειψης της σχετικής δημοσιοποίησης. </w:t>
      </w:r>
    </w:p>
    <w:p w14:paraId="2DFEFA5E" w14:textId="77777777" w:rsidR="00911C0D" w:rsidRPr="00E6252D" w:rsidRDefault="00911C0D" w:rsidP="009B4649">
      <w:pPr>
        <w:pStyle w:val="NumPar1"/>
        <w:numPr>
          <w:ilvl w:val="0"/>
          <w:numId w:val="14"/>
        </w:numPr>
        <w:rPr>
          <w:noProof/>
        </w:rPr>
      </w:pPr>
      <w:r w:rsidRPr="00E6252D">
        <w:t>Το ποιοτικό αφηγηματικό κείμενο και οποιεσδήποτε άλλες απαραίτητες συμπληρωματικές πληροφορίες που συνοδεύουν τις ποσοτικές δημοσιοποιήσεις σύμφωνα με το άρθρο 431 του κανονισμού (ΕΕ) αριθ. 575/2013 είναι επαρκώς σαφείς και περιεκτικές, ώστε να μπορούν οι χρήστες των εν λόγω πληροφοριών να κατανοήσουν τις ποσοτικές δημοσιοποιήσεις, και τοποθετούνται δίπλα στα υποδείγματα τα οποία περιγράφουν.</w:t>
      </w:r>
    </w:p>
    <w:p w14:paraId="29D7C25D" w14:textId="77777777" w:rsidR="00911C0D" w:rsidRPr="00E6252D" w:rsidRDefault="00911C0D" w:rsidP="009B4649">
      <w:pPr>
        <w:pStyle w:val="NumPar1"/>
        <w:numPr>
          <w:ilvl w:val="0"/>
          <w:numId w:val="14"/>
        </w:numPr>
        <w:rPr>
          <w:noProof/>
        </w:rPr>
      </w:pPr>
      <w:r w:rsidRPr="00E6252D">
        <w:t>Οι οντότητες που προβαίνουν στη δημοσιοποίηση τηρούν τα ακόλουθα όσον αφορά τη δημοσιοποίηση αριθμητικών τιμών:</w:t>
      </w:r>
    </w:p>
    <w:p w14:paraId="554837EF" w14:textId="5854C7A9" w:rsidR="00911C0D" w:rsidRPr="00E6252D" w:rsidRDefault="00997897" w:rsidP="00997897">
      <w:pPr>
        <w:pStyle w:val="Point1"/>
        <w:rPr>
          <w:noProof/>
        </w:rPr>
      </w:pPr>
      <w:r>
        <w:t>α)</w:t>
      </w:r>
      <w:r w:rsidRPr="00997897">
        <w:tab/>
      </w:r>
      <w:r w:rsidR="00911C0D" w:rsidRPr="00E6252D">
        <w:t>τα ποσοτικά νομισματικά δεδομένα δημοσιοποιούνται με τη χρήση ελάχιστης ακρίβειας που αντιστοιχεί σε εκατομμύρια μονάδες·</w:t>
      </w:r>
    </w:p>
    <w:p w14:paraId="4E96B6F9" w14:textId="0DD83F11" w:rsidR="00911C0D" w:rsidRPr="00E6252D" w:rsidRDefault="00997897" w:rsidP="00997897">
      <w:pPr>
        <w:pStyle w:val="Point1"/>
        <w:rPr>
          <w:noProof/>
        </w:rPr>
      </w:pPr>
      <w:r>
        <w:lastRenderedPageBreak/>
        <w:t>β)</w:t>
      </w:r>
      <w:r w:rsidRPr="00997897">
        <w:tab/>
      </w:r>
      <w:r w:rsidR="00911C0D" w:rsidRPr="00E6252D">
        <w:t>τα ποσοτικά δεδομένα που δημοσιοποιούνται ως «Ποσοστά» εκφράζονται ανά μονάδα, με ελάχιστη ακρίβεια που αντιστοιχεί σε τέσσερα δεκαδικά ψηφία.</w:t>
      </w:r>
    </w:p>
    <w:p w14:paraId="06F63E8F" w14:textId="77777777" w:rsidR="00911C0D" w:rsidRPr="00E6252D" w:rsidRDefault="00911C0D" w:rsidP="00146633">
      <w:pPr>
        <w:pStyle w:val="NumPar1"/>
        <w:rPr>
          <w:noProof/>
        </w:rPr>
      </w:pPr>
      <w:r w:rsidRPr="00E6252D">
        <w:t>Οι οντότητες που προβαίνουν στη δημοσιοποίηση συνοδεύουν τις πληροφορίες που δημοσιοποιούνται με τα ακόλουθα στοιχεία:</w:t>
      </w:r>
    </w:p>
    <w:p w14:paraId="2FCAAE18" w14:textId="22B25874" w:rsidR="00911C0D" w:rsidRPr="00E6252D" w:rsidRDefault="00997897" w:rsidP="00997897">
      <w:pPr>
        <w:pStyle w:val="Point1"/>
        <w:rPr>
          <w:noProof/>
        </w:rPr>
      </w:pPr>
      <w:r>
        <w:t>α)</w:t>
      </w:r>
      <w:r w:rsidRPr="00997897">
        <w:tab/>
      </w:r>
      <w:r w:rsidR="00911C0D" w:rsidRPr="00E6252D">
        <w:t xml:space="preserve">την ημερομηνία αναφοράς για τη δημοσιοποίηση και την περίοδο αναφοράς· </w:t>
      </w:r>
    </w:p>
    <w:p w14:paraId="0D85A6C3" w14:textId="7F236190" w:rsidR="00911C0D" w:rsidRPr="00E6252D" w:rsidRDefault="00997897" w:rsidP="00997897">
      <w:pPr>
        <w:pStyle w:val="Point1"/>
        <w:rPr>
          <w:noProof/>
        </w:rPr>
      </w:pPr>
      <w:r>
        <w:t>β)</w:t>
      </w:r>
      <w:r w:rsidRPr="00997897">
        <w:tab/>
      </w:r>
      <w:r w:rsidR="00911C0D" w:rsidRPr="00E6252D">
        <w:t xml:space="preserve">το νόμισμα στο οποίο πραγματοποιείται η δημοσιοποίηση· </w:t>
      </w:r>
    </w:p>
    <w:p w14:paraId="5B5B4AB9" w14:textId="6AC1730A" w:rsidR="00911C0D" w:rsidRPr="00E6252D" w:rsidRDefault="00997897" w:rsidP="00997897">
      <w:pPr>
        <w:pStyle w:val="Point1"/>
        <w:rPr>
          <w:noProof/>
        </w:rPr>
      </w:pPr>
      <w:r>
        <w:t>γ)</w:t>
      </w:r>
      <w:r w:rsidRPr="00997897">
        <w:tab/>
      </w:r>
      <w:r w:rsidR="00911C0D" w:rsidRPr="00E6252D">
        <w:t>την επωνυμία και, κατά περίπτωση, τον αναγνωριστικό κωδικό νομικής οντότητας (LEI) της οντότητας που προβαίνει στη δημοσιοποίηση·</w:t>
      </w:r>
    </w:p>
    <w:p w14:paraId="584E8AC6" w14:textId="062C7BE5" w:rsidR="00911C0D" w:rsidRPr="00E6252D" w:rsidRDefault="00997897" w:rsidP="00997897">
      <w:pPr>
        <w:pStyle w:val="Point1"/>
        <w:rPr>
          <w:noProof/>
        </w:rPr>
      </w:pPr>
      <w:r>
        <w:t>δ)</w:t>
      </w:r>
      <w:r w:rsidRPr="00997897">
        <w:tab/>
      </w:r>
      <w:r w:rsidR="00911C0D" w:rsidRPr="00E6252D">
        <w:t xml:space="preserve">κατά περίπτωση, το λογιστικό πρότυπο· και </w:t>
      </w:r>
    </w:p>
    <w:p w14:paraId="582EB987" w14:textId="68C56D5B" w:rsidR="00911C0D" w:rsidRPr="00E6252D" w:rsidRDefault="00997897" w:rsidP="00997897">
      <w:pPr>
        <w:pStyle w:val="Point1"/>
        <w:rPr>
          <w:noProof/>
        </w:rPr>
      </w:pPr>
      <w:r>
        <w:t>ε)</w:t>
      </w:r>
      <w:r w:rsidRPr="00997897">
        <w:tab/>
      </w:r>
      <w:r w:rsidR="00911C0D" w:rsidRPr="00E6252D">
        <w:t>κατά περίπτωση, το πεδίο εφαρμογής της ενοποίησης.</w:t>
      </w:r>
    </w:p>
    <w:p w14:paraId="13904397" w14:textId="6E48D9B3" w:rsidR="00911C0D" w:rsidRPr="00E6252D" w:rsidRDefault="00911C0D" w:rsidP="00911C0D">
      <w:pPr>
        <w:pStyle w:val="SectionTitle"/>
        <w:rPr>
          <w:b w:val="0"/>
          <w:i/>
        </w:rPr>
      </w:pPr>
      <w:r w:rsidRPr="00E6252D">
        <w:rPr>
          <w:b w:val="0"/>
          <w:i/>
        </w:rPr>
        <w:t>ΤΙΤΛΟΣ III</w:t>
      </w:r>
      <w:r w:rsidRPr="00E6252D">
        <w:t xml:space="preserve"> </w:t>
      </w:r>
      <w:r w:rsidRPr="00E6252D">
        <w:br/>
      </w:r>
      <w:r w:rsidRPr="00E6252D">
        <w:rPr>
          <w:b w:val="0"/>
          <w:i/>
        </w:rPr>
        <w:t>ΤΕΛΙΚΕΣ ΔΙΑΤΑΞΕΙΣ</w:t>
      </w:r>
    </w:p>
    <w:p w14:paraId="207DBFA4" w14:textId="6A156BA8" w:rsidR="00911C0D" w:rsidRPr="00E6252D" w:rsidRDefault="00911C0D" w:rsidP="00146633">
      <w:pPr>
        <w:pStyle w:val="Titrearticle"/>
      </w:pPr>
      <w:r w:rsidRPr="00E6252D">
        <w:t xml:space="preserve">Άρθρο </w:t>
      </w:r>
      <w:r w:rsidR="009B4649">
        <w:fldChar w:fldCharType="begin"/>
      </w:r>
      <w:r w:rsidR="009B4649">
        <w:instrText xml:space="preserve"> SEQ Figure \* ARABIC </w:instrText>
      </w:r>
      <w:r w:rsidR="009B4649">
        <w:fldChar w:fldCharType="separate"/>
      </w:r>
      <w:r w:rsidRPr="00E6252D">
        <w:t>17</w:t>
      </w:r>
      <w:r w:rsidR="009B4649">
        <w:fldChar w:fldCharType="end"/>
      </w:r>
      <w:r w:rsidRPr="00E6252D">
        <w:t xml:space="preserve"> </w:t>
      </w:r>
      <w:r w:rsidRPr="00E6252D">
        <w:br/>
        <w:t>Έναρξη ισχύος και εφαρμογή</w:t>
      </w:r>
    </w:p>
    <w:p w14:paraId="132DAA82" w14:textId="4F13BF1D" w:rsidR="00911C0D" w:rsidRPr="00E6252D" w:rsidRDefault="00911C0D" w:rsidP="00911C0D">
      <w:r w:rsidRPr="00E6252D">
        <w:t xml:space="preserve">Ο παρών κανονισμός αρχίζει να ισχύει την εικοστή ημέρα από τη δημοσίευσή του στην </w:t>
      </w:r>
      <w:r w:rsidRPr="00E6252D">
        <w:rPr>
          <w:i/>
        </w:rPr>
        <w:t>Επίσημη Εφημερίδα της Ευρωπαϊκής Ένωσης</w:t>
      </w:r>
      <w:r w:rsidRPr="00E6252D">
        <w:t>.</w:t>
      </w:r>
    </w:p>
    <w:p w14:paraId="59F2EBFB" w14:textId="5F28E1E6" w:rsidR="00911C0D" w:rsidRPr="00E6252D" w:rsidRDefault="00911C0D" w:rsidP="00911C0D">
      <w:pPr>
        <w:widowControl w:val="0"/>
        <w:autoSpaceDE w:val="0"/>
        <w:autoSpaceDN w:val="0"/>
        <w:rPr>
          <w:rFonts w:eastAsia="Times New Roman"/>
        </w:rPr>
      </w:pPr>
      <w:r w:rsidRPr="00E6252D">
        <w:t>Ο τίτλος Ι εφαρμόζεται από τις 28 Ιουνίου 2021.</w:t>
      </w:r>
    </w:p>
    <w:p w14:paraId="2F7214D1" w14:textId="64BF67D1" w:rsidR="00F82D09" w:rsidRPr="00E6252D" w:rsidRDefault="00911C0D" w:rsidP="00911C0D">
      <w:pPr>
        <w:widowControl w:val="0"/>
        <w:autoSpaceDE w:val="0"/>
        <w:autoSpaceDN w:val="0"/>
        <w:rPr>
          <w:rFonts w:eastAsia="Times New Roman"/>
        </w:rPr>
      </w:pPr>
      <w:r w:rsidRPr="00E6252D">
        <w:t xml:space="preserve">Ο τίτλος II εφαρμόζεται από </w:t>
      </w:r>
      <w:r w:rsidRPr="00E6252D">
        <w:rPr>
          <w:i/>
        </w:rPr>
        <w:t>[να εισαχθεί η ημερομηνία έναρξης ισχύος του παρόντος κανονισμού]</w:t>
      </w:r>
      <w:r w:rsidRPr="00E6252D">
        <w:t xml:space="preserve"> όσον αφορά τις δημοσιοποιήσεις σύμφωνα με το άρθρο 437α και το άρθρο 447 στοιχείο η) του κανονισμού (ΕΕ) αριθ. 575/2013, και από την ημερομηνία εφαρμογής των απαιτήσεων δημοσιοποίησης σύμφωνα με το άρθρο 3 παράγραφος 1 τρίτο εδάφιο της οδηγίας (ΕΕ) 2019/879, όσον αφορά τις δημοσιοποιήσεις σύμφωνα με το άρθρο 45θ παράγραφος 3 της οδηγίας 2014/59/ΕΕ.</w:t>
      </w:r>
    </w:p>
    <w:p w14:paraId="48405F17" w14:textId="52DE1662" w:rsidR="00911C0D" w:rsidRPr="00E6252D" w:rsidRDefault="00911C0D" w:rsidP="00911C0D">
      <w:pPr>
        <w:pStyle w:val="Applicationdirecte"/>
        <w:keepNext/>
        <w:keepLines/>
      </w:pPr>
      <w:r w:rsidRPr="00E6252D">
        <w:t>Ο παρών κανονισμός είναι δεσμευτικός ως προς όλα τα μέρη του και ισχύει άμεσα σε κάθε κράτος μέλος.</w:t>
      </w:r>
    </w:p>
    <w:p w14:paraId="688CD257" w14:textId="77777777" w:rsidR="00911C0D" w:rsidRPr="00E6252D" w:rsidRDefault="00DD5153" w:rsidP="00DD5153">
      <w:pPr>
        <w:pStyle w:val="Fait"/>
      </w:pPr>
      <w:r w:rsidRPr="00E6252D">
        <w:t>Βρυξέλλες,</w:t>
      </w:r>
    </w:p>
    <w:p w14:paraId="7D6E3D67" w14:textId="77777777" w:rsidR="00911C0D" w:rsidRPr="00E6252D" w:rsidRDefault="00911C0D" w:rsidP="00911C0D">
      <w:pPr>
        <w:pStyle w:val="Institutionquisigne"/>
      </w:pPr>
      <w:r w:rsidRPr="00E6252D">
        <w:tab/>
        <w:t>Για την Επιτροπή</w:t>
      </w:r>
    </w:p>
    <w:p w14:paraId="0936848B" w14:textId="77777777" w:rsidR="00911C0D" w:rsidRPr="00E6252D" w:rsidRDefault="00911C0D" w:rsidP="00911C0D">
      <w:pPr>
        <w:pStyle w:val="Personnequisigne"/>
      </w:pPr>
      <w:r w:rsidRPr="00E6252D">
        <w:tab/>
        <w:t xml:space="preserve">Η πρόεδρος </w:t>
      </w:r>
      <w:r w:rsidRPr="00E6252D">
        <w:br/>
      </w:r>
      <w:r w:rsidRPr="00E6252D">
        <w:tab/>
        <w:t>Ursula VON DER LEYEN</w:t>
      </w:r>
    </w:p>
    <w:sectPr w:rsidR="00911C0D" w:rsidRPr="00E6252D" w:rsidSect="00997897">
      <w:footerReference w:type="default" r:id="rId9"/>
      <w:footerReference w:type="first" r:id="rId10"/>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0968E8" w14:textId="77777777" w:rsidR="00911C0D" w:rsidRDefault="00911C0D" w:rsidP="00911C0D">
      <w:pPr>
        <w:spacing w:before="0" w:after="0"/>
      </w:pPr>
      <w:r>
        <w:separator/>
      </w:r>
    </w:p>
  </w:endnote>
  <w:endnote w:type="continuationSeparator" w:id="0">
    <w:p w14:paraId="285C3A38" w14:textId="77777777" w:rsidR="00911C0D" w:rsidRDefault="00911C0D" w:rsidP="00911C0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E55EAB" w14:textId="4AD011D0" w:rsidR="00911C0D" w:rsidRPr="00997897" w:rsidRDefault="00997897" w:rsidP="00997897">
    <w:pPr>
      <w:pStyle w:val="Footer"/>
      <w:rPr>
        <w:rFonts w:ascii="Arial" w:hAnsi="Arial" w:cs="Arial"/>
        <w:b/>
        <w:sz w:val="48"/>
      </w:rPr>
    </w:pPr>
    <w:r w:rsidRPr="00997897">
      <w:rPr>
        <w:rFonts w:ascii="Arial" w:hAnsi="Arial" w:cs="Arial"/>
        <w:b/>
        <w:sz w:val="48"/>
      </w:rPr>
      <w:t>EL</w:t>
    </w:r>
    <w:r w:rsidRPr="00997897">
      <w:rPr>
        <w:rFonts w:ascii="Arial" w:hAnsi="Arial" w:cs="Arial"/>
        <w:b/>
        <w:sz w:val="48"/>
      </w:rPr>
      <w:tab/>
    </w:r>
    <w:r w:rsidRPr="00997897">
      <w:rPr>
        <w:rFonts w:ascii="Arial" w:hAnsi="Arial" w:cs="Arial"/>
        <w:b/>
        <w:sz w:val="48"/>
      </w:rPr>
      <w:tab/>
    </w:r>
    <w:r w:rsidRPr="00997897">
      <w:tab/>
    </w:r>
    <w:r w:rsidRPr="00997897">
      <w:rPr>
        <w:rFonts w:ascii="Arial" w:hAnsi="Arial" w:cs="Arial"/>
        <w:b/>
        <w:sz w:val="48"/>
      </w:rPr>
      <w:t>EL</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AFD9F6" w14:textId="35CB3BC1" w:rsidR="00997897" w:rsidRPr="00997897" w:rsidRDefault="00997897" w:rsidP="00997897">
    <w:pPr>
      <w:pStyle w:val="Footer"/>
      <w:rPr>
        <w:rFonts w:ascii="Arial" w:hAnsi="Arial" w:cs="Arial"/>
        <w:b/>
        <w:sz w:val="48"/>
      </w:rPr>
    </w:pPr>
    <w:r w:rsidRPr="00997897">
      <w:rPr>
        <w:rFonts w:ascii="Arial" w:hAnsi="Arial" w:cs="Arial"/>
        <w:b/>
        <w:sz w:val="48"/>
      </w:rPr>
      <w:t>EL</w:t>
    </w:r>
    <w:r w:rsidRPr="00997897">
      <w:rPr>
        <w:rFonts w:ascii="Arial" w:hAnsi="Arial" w:cs="Arial"/>
        <w:b/>
        <w:sz w:val="48"/>
      </w:rPr>
      <w:tab/>
    </w:r>
    <w:r>
      <w:fldChar w:fldCharType="begin"/>
    </w:r>
    <w:r>
      <w:instrText xml:space="preserve"> PAGE  \* MERGEFORMAT </w:instrText>
    </w:r>
    <w:r>
      <w:fldChar w:fldCharType="separate"/>
    </w:r>
    <w:r w:rsidR="00006A2D">
      <w:rPr>
        <w:noProof/>
      </w:rPr>
      <w:t>14</w:t>
    </w:r>
    <w:r>
      <w:fldChar w:fldCharType="end"/>
    </w:r>
    <w:r>
      <w:tab/>
    </w:r>
    <w:r w:rsidRPr="00997897">
      <w:tab/>
    </w:r>
    <w:r w:rsidRPr="00997897">
      <w:rPr>
        <w:rFonts w:ascii="Arial" w:hAnsi="Arial" w:cs="Arial"/>
        <w:b/>
        <w:sz w:val="48"/>
      </w:rPr>
      <w:t>EL</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77E04D" w14:textId="77777777" w:rsidR="00997897" w:rsidRPr="00997897" w:rsidRDefault="00997897" w:rsidP="009978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A0D0A5" w14:textId="77777777" w:rsidR="00911C0D" w:rsidRDefault="00911C0D" w:rsidP="00911C0D">
      <w:pPr>
        <w:spacing w:before="0" w:after="0"/>
      </w:pPr>
      <w:r>
        <w:separator/>
      </w:r>
    </w:p>
  </w:footnote>
  <w:footnote w:type="continuationSeparator" w:id="0">
    <w:p w14:paraId="21B25C16" w14:textId="77777777" w:rsidR="00911C0D" w:rsidRDefault="00911C0D" w:rsidP="00911C0D">
      <w:pPr>
        <w:spacing w:before="0" w:after="0"/>
      </w:pPr>
      <w:r>
        <w:continuationSeparator/>
      </w:r>
    </w:p>
  </w:footnote>
  <w:footnote w:id="1">
    <w:p w14:paraId="78DD0AC2" w14:textId="77777777" w:rsidR="00911C0D" w:rsidRPr="00464C90" w:rsidRDefault="00911C0D" w:rsidP="00911C0D">
      <w:pPr>
        <w:pStyle w:val="FootnoteText"/>
      </w:pPr>
      <w:r>
        <w:rPr>
          <w:rStyle w:val="FootnoteReference"/>
        </w:rPr>
        <w:footnoteRef/>
      </w:r>
      <w:r>
        <w:tab/>
        <w:t>ΕΕ L 176 της 27.6.2013, σ. 1.</w:t>
      </w:r>
    </w:p>
  </w:footnote>
  <w:footnote w:id="2">
    <w:p w14:paraId="52F29A01" w14:textId="77777777" w:rsidR="00911C0D" w:rsidRDefault="00911C0D" w:rsidP="00911C0D">
      <w:pPr>
        <w:pStyle w:val="FootnoteText"/>
      </w:pPr>
      <w:r>
        <w:rPr>
          <w:rStyle w:val="FootnoteReference"/>
        </w:rPr>
        <w:footnoteRef/>
      </w:r>
      <w:r>
        <w:tab/>
        <w:t>ΕΕ L 173 της 12.6.2014, σ. 190.</w:t>
      </w:r>
    </w:p>
  </w:footnote>
  <w:footnote w:id="3">
    <w:p w14:paraId="400AF6FF" w14:textId="77777777" w:rsidR="00911C0D" w:rsidRPr="007A7954" w:rsidRDefault="00911C0D" w:rsidP="00911C0D">
      <w:pPr>
        <w:pStyle w:val="FootnoteText"/>
      </w:pPr>
      <w:r>
        <w:rPr>
          <w:rStyle w:val="FootnoteReference"/>
        </w:rPr>
        <w:footnoteRef/>
      </w:r>
      <w:r>
        <w:tab/>
        <w:t>Κανονισμός (ΕΕ) 2019/876 του Ευρωπαϊκού Κοινοβουλίου και του Συμβουλίου, της 20ής Μαΐου 2019, για την τροποποίηση του κανονισμού (ΕΕ) αριθ. 575/2013 όσον αφορά τον δείκτη μόχλευσης, τον δείκτη καθαρής σταθερής χρηματοδότησης, τις απαιτήσεις ιδίων κεφαλαίων και επιλέξιμων υποχρεώσεων, τον πιστωτικό κίνδυνο αντισυμβαλλομένου, τον κίνδυνο αγοράς, τα ανοίγματα έναντι κεντρικών αντισυμβαλλομένων, τα ανοίγματα έναντι οργανισμών συλλογικών επενδύσεων, τα μεγάλα χρηματοδοτικά ανοίγματα και τις υποχρεώσεις υποβολής αναφορών και δημοσιοποίησης, καθώς και του κανονισμού (ΕΕ) αριθ. 648/2012 (ΕΕ L 150 της 7.6.2019, σ. 1).</w:t>
      </w:r>
    </w:p>
  </w:footnote>
  <w:footnote w:id="4">
    <w:p w14:paraId="7FB27E48" w14:textId="77777777" w:rsidR="00911C0D" w:rsidRPr="00520ABD" w:rsidRDefault="00911C0D" w:rsidP="00911C0D">
      <w:pPr>
        <w:pStyle w:val="FootnoteText"/>
      </w:pPr>
      <w:r>
        <w:rPr>
          <w:rStyle w:val="FootnoteReference"/>
        </w:rPr>
        <w:footnoteRef/>
      </w:r>
      <w:r>
        <w:tab/>
        <w:t>Οδηγία (ΕΕ) 2019/879 του Ευρωπαϊκού Κοινοβουλίου και του Συμβουλίου, της 20ής Μαΐου 2019, για την τροποποίηση της οδηγίας 2014/59/ΕΕ σχετικά με την ικανότητα απορρόφησης των ζημιών και ανακεφαλαιοποίησης των πιστωτικών ιδρυμάτων και επιχειρήσεων επενδύσεων και της οδηγίας 98/26/ΕΚ (ΕΕ L 150 της 7.6.2019, σ. 296).</w:t>
      </w:r>
    </w:p>
  </w:footnote>
  <w:footnote w:id="5">
    <w:p w14:paraId="7DA394B3" w14:textId="02D3CC85" w:rsidR="00911C0D" w:rsidRPr="006D7393" w:rsidRDefault="00911C0D" w:rsidP="00911C0D">
      <w:pPr>
        <w:pStyle w:val="FootnoteText"/>
      </w:pPr>
      <w:r>
        <w:rPr>
          <w:rStyle w:val="FootnoteReference"/>
        </w:rPr>
        <w:footnoteRef/>
      </w:r>
      <w:r>
        <w:tab/>
        <w:t>Κανονισμός (ΕΕ) αριθ. 1093/2010 του Ευρωπαϊκού Κοινοβουλίου και του Συμβουλίου, της 24ης Νοεμβρίου 2010, σχετικά με τη σύσταση Ευρωπαϊκής Εποπτικής Αρχής (Ευρωπαϊκή Αρχή Τραπεζών), την τροποποίηση της απόφασης αριθ. 716/2009/ΕΚ και την κατάργηση της απόφασης 2009/78/ΕΚ της Επιτροπής (ΕΕ L 331 της 15.12.2010, σ. 12).</w:t>
      </w:r>
    </w:p>
  </w:footnote>
  <w:footnote w:id="6">
    <w:p w14:paraId="078CA3AC" w14:textId="77777777" w:rsidR="00911C0D" w:rsidRDefault="00911C0D" w:rsidP="00911C0D">
      <w:pPr>
        <w:pStyle w:val="FootnoteText"/>
      </w:pPr>
      <w:r>
        <w:rPr>
          <w:rStyle w:val="FootnoteReference"/>
        </w:rPr>
        <w:footnoteRef/>
      </w:r>
      <w:r>
        <w:tab/>
        <w:t>Οδηγία 2013/36/ΕΕ του Ευρωπαϊκού Κοινοβουλίου και του Συμβουλίου, της 26ης Ιουνίου 2013, σχετικά με την πρόσβαση στη δραστηριότητα πιστωτικών ιδρυμάτων και την προληπτική εποπτεία πιστωτικών ιδρυμάτων και επιχειρήσεων επενδύσεων, για την τροποποίηση της οδηγίας 2002/87/ΕΚ και για την κατάργηση των οδηγιών 2006/48/ΕΚ και 2006/49/ΕΚ (ΕΕ L 176 της 27.6.2013, σ. 338).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0BAAEF04"/>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2120D8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5CFA453C"/>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91BA0BC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7B644312"/>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2025328"/>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61E0D2E"/>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8A72C0B2"/>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5"/>
  </w:num>
  <w:num w:numId="17">
    <w:abstractNumId w:val="4"/>
  </w:num>
  <w:num w:numId="18">
    <w:abstractNumId w:val="3"/>
  </w:num>
  <w:num w:numId="19">
    <w:abstractNumId w:val="6"/>
  </w:num>
  <w:num w:numId="20">
    <w:abstractNumId w:val="2"/>
  </w:num>
  <w:num w:numId="21">
    <w:abstractNumId w:val="1"/>
  </w:num>
  <w:num w:numId="22">
    <w:abstractNumId w:val="0"/>
  </w:num>
  <w:num w:numId="23">
    <w:abstractNumId w:val="21"/>
    <w:lvlOverride w:ilvl="0">
      <w:startOverride w:val="1"/>
    </w:lvlOverride>
  </w:num>
  <w:num w:numId="24">
    <w:abstractNumId w:val="18"/>
  </w:num>
  <w:num w:numId="25">
    <w:abstractNumId w:val="12"/>
  </w:num>
  <w:num w:numId="26">
    <w:abstractNumId w:val="20"/>
  </w:num>
  <w:num w:numId="27">
    <w:abstractNumId w:val="11"/>
  </w:num>
  <w:num w:numId="28">
    <w:abstractNumId w:val="13"/>
  </w:num>
  <w:num w:numId="29">
    <w:abstractNumId w:val="9"/>
  </w:num>
  <w:num w:numId="30">
    <w:abstractNumId w:val="19"/>
  </w:num>
  <w:num w:numId="31">
    <w:abstractNumId w:val="8"/>
  </w:num>
  <w:num w:numId="32">
    <w:abstractNumId w:val="14"/>
  </w:num>
  <w:num w:numId="33">
    <w:abstractNumId w:val="16"/>
  </w:num>
  <w:num w:numId="34">
    <w:abstractNumId w:val="17"/>
  </w:num>
  <w:num w:numId="35">
    <w:abstractNumId w:val="10"/>
  </w:num>
  <w:num w:numId="36">
    <w:abstractNumId w:val="15"/>
  </w:num>
  <w:num w:numId="37">
    <w:abstractNumId w:val="2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movePersonalInformation/>
  <w:removeDateAndTime/>
  <w:attachedTemplate r:id="rId1"/>
  <w:defaultTabStop w:val="720"/>
  <w:hyphenationZone w:val="425"/>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DQCDateTime" w:val="2021-03-30 17:08:43"/>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1"/>
    <w:docVar w:name="DQCResult_UnknownFonts" w:val="0;0"/>
    <w:docVar w:name="DQCResult_UnknownStyles" w:val="0;0"/>
    <w:docVar w:name="DQCStatus" w:val="Green"/>
    <w:docVar w:name="DQCVersion" w:val="3"/>
    <w:docVar w:name="DQCWithWarnings" w:val="0"/>
    <w:docVar w:name="LW_COVERPAGE_EXISTS" w:val="True"/>
    <w:docVar w:name="LW_COVERPAGE_GUID" w:val="870E9E24-305D-473F-AE1A-CE1AF8FC3961"/>
    <w:docVar w:name="LW_COVERPAGE_TYPE" w:val="1"/>
    <w:docVar w:name="LW_CROSSREFERENCE" w:val="&lt;UNUSED&gt;"/>
    <w:docVar w:name="LW_DATE.ADOPT.CP" w:val="\u964?\u951?\u962? XXX"/>
    <w:docVar w:name="LW_DATE.ADOPT.CP_DATEFORMAT" w:val="\u964?\u951?\u962? %DATE%"/>
    <w:docVar w:name="LW_DATE.ADOPT.CP_ISODATE" w:val="&lt;EMPTY&gt;"/>
    <w:docVar w:name="LW_DocType" w:val="COM"/>
    <w:docVar w:name="LW_EMISSION" w:val="&lt;EMPTY&gt;"/>
    <w:docVar w:name="LW_EMISSION_ISODATE" w:val="&lt;EMPTY&gt;"/>
    <w:docVar w:name="LW_EMISSION_LOCATION" w:val="BRX"/>
    <w:docVar w:name="LW_EMISSION_PREFIX" w:val="\u914?\u961?\u965?\u958?\u941?\u955?\u955?\u949?\u962?, "/>
    <w:docVar w:name="LW_EMISSION_SUFFIX" w:val=" "/>
    <w:docVar w:name="LW_ID_DOCMODEL" w:val="SJ-004"/>
    <w:docVar w:name="LW_ID_DOCSIGNATURE" w:val="SJ-004"/>
    <w:docVar w:name="LW_ID_DOCSTRUCTURE" w:val="COM/AA"/>
    <w:docVar w:name="LW_ID_DOCTYPE" w:val="SJ-004"/>
    <w:docVar w:name="LW_INTERETEEE" w:val="(\u922?\u949?\u943?\u956?\u949?\u957?\u959? \u960?\u959?\u965? \u960?\u945?\u961?\u959?\u965?\u963?\u953?\u940?\u950?\u949?\u953? \u949?\u957?\u948?\u953?\u945?\u966?\u941?\u961?\u959?\u957? \u947?\u953?\u945? \u964?\u959?\u957? \u917?\u927?\u935?)"/>
    <w:docVar w:name="LW_INTERETEEE.CP" w:val="(\u922?\u949?\u943?\u956?\u949?\u957?\u959? \u960?\u959?\u965? \u960?\u945?\u961?\u959?\u965?\u963?\u953?\u940?\u950?\u949?\u953? \u949?\u957?\u948?\u953?\u945?\u966?\u941?\u961?\u959?\u957? \u947?\u953?\u945? \u964?\u959?\u957? \u917?\u927?\u935?)"/>
    <w:docVar w:name="LW_LANGUE" w:val="EL"/>
    <w:docVar w:name="LW_LANGUESFAISANTFOI.CP" w:val="&lt;UNUSED&gt;"/>
    <w:docVar w:name="LW_LEVEL_OF_SENSITIVITY" w:val="Standard treatment"/>
    <w:docVar w:name="LW_NOM.INST" w:val="\u917?\u933?\u929?\u937?\u928?\u913?\u938?\u922?\u919? \u917?\u928?\u921?\u932?\u929?\u927?\u928?\u919?"/>
    <w:docVar w:name="LW_NOM.INST_JOINTDOC" w:val="&lt;EMPTY&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 w:val="\u963?\u967?\u949?\u964?\u953?\u954?\u940? \u956?\u949? \u964?\u951? \u952?\u941?\u963?\u960?\u953?\u963?\u951? \u949?\u954?\u964?\u949?\u955?\u949?\u963?\u964?\u953?\u954?\u974?\u957? \u964?\u949?\u967?\u957?\u953?\u954?\u974?\u957? \u960?\u961?\u959?\u964?\u973?\u960?\u969?\u957? \u947?\u953?\u945? \u964?\u951?\u957? \u949?\u966?\u945?\u961?\u956?\u959?\u947?\u942? \u964?\u959?\u965? \u954?\u945?\u957?\u959?\u957?\u953?\u963?\u956?\u959?\u973? (\u917?\u917?) \u945?\u961?\u953?\u952?. 575/2013 \u964?\u959?\u965? \u917?\u965?\u961?\u969?\u960?\u945?\u970?\u954?\u959?\u973? \u922?\u959?\u953?\u957?\u959?\u946?\u959?\u965?\u955?\u943?\u959?\u965? \u954?\u945?\u953? \u964?\u959?\u965? \u931?\u965?\u956?\u946?\u959?\u965?\u955?\u943?\u959?\u965? \u954?\u945?\u953? \u964?\u951?\u962? \u959?\u948?\u951?\u947?\u943?\u945?\u962? 2014/59/\u917?\u917? \u964?\u959?\u965? \u917?\u965?\u961?\u969?\u960?\u945?\u970?\u954?\u959?\u973? \u922?\u959?\u953?\u957?\u959?\u946?\u959?\u965?\u955?\u943?\u959?\u965? \u954?\u945?\u953? \u964?\u959?\u965? \u931?\u965?\u956?\u946?\u959?\u965?\u955?\u943?\u959?\u965? \u972?\u963?\u959?\u957? \u945?\u966?\u959?\u961?\u940? \u964?\u951?\u957? \u965?\u960?\u959?\u946?\u959?\u955?\u942? \u949?\u960?\u959?\u960?\u964?\u953?\u954?\u974?\u957? \u945?\u957?\u945?\u966?\u959?\u961?\u974?\u957? \u954?\u945?\u953? \u964?\u951? \u948?\u951?\u956?\u959?\u963?\u953?\u959?\u960?\u959?\u943?\u951?\u963?\u951? \u964?\u951?\u962? \u949?\u955?\u940?\u967?\u953?\u963?\u964?\u951?\u962? \u945?\u960?\u945?\u943?\u964?\u951?\u963?\u951?\u962? \u953?\u948?\u943?\u969?\u957? \u954?\u949?\u966?\u945?\u955?\u945?\u943?\u969?\u957? \u954?\u945?\u953? \u949?\u960?\u953?\u955?\u941?\u958?\u953?\u956?\u969?\u957? \u965?\u960?\u959?\u967?\u961?\u949?\u974?\u963?\u949?\u969?\u957?"/>
    <w:docVar w:name="LW_TITRE.OBJ.CP" w:val="\u963?\u967?\u949?\u964?\u953?\u954?\u940? \u956?\u949? \u964?\u951? \u952?\u941?\u963?\u960?\u953?\u963?\u951? \u949?\u954?\u964?\u949?\u955?\u949?\u963?\u964?\u953?\u954?\u974?\u957? \u964?\u949?\u967?\u957?\u953?\u954?\u974?\u957? \u960?\u961?\u959?\u964?\u973?\u960?\u969?\u957? \u947?\u953?\u945? \u964?\u951?\u957? \u949?\u966?\u945?\u961?\u956?\u959?\u947?\u942? \u964?\u959?\u965? \u954?\u945?\u957?\u959?\u957?\u953?\u963?\u956?\u959?\u973? (\u917?\u917?) \u945?\u961?\u953?\u952?. 575/2013 \u964?\u959?\u965? \u917?\u965?\u961?\u969?\u960?\u945?\u970?\u954?\u959?\u973? \u922?\u959?\u953?\u957?\u959?\u946?\u959?\u965?\u955?\u943?\u959?\u965? \u954?\u945?\u953? \u964?\u959?\u965? \u931?\u965?\u956?\u946?\u959?\u965?\u955?\u943?\u959?\u965? \u954?\u945?\u953? \u964?\u951?\u962? \u959?\u948?\u951?\u947?\u943?\u945?\u962? 2014/59/\u917?\u917? \u964?\u959?\u965? \u917?\u965?\u961?\u969?\u960?\u945?\u970?\u954?\u959?\u973? \u922?\u959?\u953?\u957?\u959?\u946?\u959?\u965?\u955?\u943?\u959?\u965? \u954?\u945?\u953? \u964?\u959?\u965? \u931?\u965?\u956?\u946?\u959?\u965?\u955?\u943?\u959?\u965? \u972?\u963?\u959?\u957? \u945?\u966?\u959?\u961?\u940? \u964?\u951?\u957? \u965?\u960?\u959?\u946?\u959?\u955?\u942? \u949?\u960?\u959?\u960?\u964?\u953?\u954?\u974?\u957? \u945?\u957?\u945?\u966?\u959?\u961?\u974?\u957? \u954?\u945?\u953? \u964?\u951? \u948?\u951?\u956?\u959?\u963?\u953?\u959?\u960?\u959?\u943?\u951?\u963?\u951? \u964?\u951?\u962? \u949?\u955?\u940?\u967?\u953?\u963?\u964?\u951?\u962? \u945?\u960?\u945?\u943?\u964?\u951?\u963?\u951?\u962? \u953?\u948?\u943?\u969?\u957? \u954?\u949?\u966?\u945?\u955?\u945?\u943?\u969?\u957? \u954?\u945?\u953? \u949?\u960?\u953?\u955?\u941?\u958?\u953?\u956?\u969?\u957? \u965?\u960?\u959?\u967?\u961?\u949?\u974?\u963?\u949?\u969?\u957?"/>
    <w:docVar w:name="LW_TYPE.DOC" w:val="\u917?\u922?\u932?\u917?\u923?\u917?\u931?\u932?\u921?\u922?\u927?\u931? \u922?\u913?\u925?\u927?\u925?\u921?\u931?\u924?\u927?\u931? (\u917?\u917?) \u8230?/... \u932?\u919?\u931? \u917?\u928?\u921?\u932?\u929?\u927?\u928?\u919?\u931?"/>
    <w:docVar w:name="LW_TYPE.DOC.CP" w:val="\u917?\u922?\u932?\u917?\u923?\u917?\u931?\u932?\u921?\u922?\u927?\u931? \u922?\u913?\u925?\u927?\u925?\u921?\u931?\u924?\u927?\u931? (\u917?\u917?) \u8230?/... \u932?\u919?\u931? \u917?\u928?\u921?\u932?\u929?\u927?\u928?\u919?\u931?"/>
  </w:docVars>
  <w:rsids>
    <w:rsidRoot w:val="00911C0D"/>
    <w:rsid w:val="00006A2D"/>
    <w:rsid w:val="00022330"/>
    <w:rsid w:val="00050379"/>
    <w:rsid w:val="00080A21"/>
    <w:rsid w:val="000A7517"/>
    <w:rsid w:val="000E198E"/>
    <w:rsid w:val="000F730F"/>
    <w:rsid w:val="00114389"/>
    <w:rsid w:val="00144CAD"/>
    <w:rsid w:val="00146633"/>
    <w:rsid w:val="0017105F"/>
    <w:rsid w:val="001B26AE"/>
    <w:rsid w:val="001C2816"/>
    <w:rsid w:val="001D50FA"/>
    <w:rsid w:val="001E0321"/>
    <w:rsid w:val="001F6393"/>
    <w:rsid w:val="00213D10"/>
    <w:rsid w:val="00221C95"/>
    <w:rsid w:val="00223BDA"/>
    <w:rsid w:val="00232E98"/>
    <w:rsid w:val="00252F49"/>
    <w:rsid w:val="00273AFD"/>
    <w:rsid w:val="002A6E40"/>
    <w:rsid w:val="0038586F"/>
    <w:rsid w:val="003D1FF4"/>
    <w:rsid w:val="00403FFA"/>
    <w:rsid w:val="004D75CF"/>
    <w:rsid w:val="00501159"/>
    <w:rsid w:val="00515FD9"/>
    <w:rsid w:val="00534AD8"/>
    <w:rsid w:val="00576101"/>
    <w:rsid w:val="00595F73"/>
    <w:rsid w:val="005A470A"/>
    <w:rsid w:val="005F390A"/>
    <w:rsid w:val="0060509B"/>
    <w:rsid w:val="006142ED"/>
    <w:rsid w:val="006601FC"/>
    <w:rsid w:val="00693D6D"/>
    <w:rsid w:val="0069401E"/>
    <w:rsid w:val="006E792A"/>
    <w:rsid w:val="0070128F"/>
    <w:rsid w:val="007325DF"/>
    <w:rsid w:val="00786D48"/>
    <w:rsid w:val="007B47A6"/>
    <w:rsid w:val="007C06F6"/>
    <w:rsid w:val="007D06B9"/>
    <w:rsid w:val="007D3252"/>
    <w:rsid w:val="00867BAC"/>
    <w:rsid w:val="008E0D6D"/>
    <w:rsid w:val="008E17B7"/>
    <w:rsid w:val="008F166D"/>
    <w:rsid w:val="00911C0D"/>
    <w:rsid w:val="00936C22"/>
    <w:rsid w:val="00947623"/>
    <w:rsid w:val="009606FE"/>
    <w:rsid w:val="00986B33"/>
    <w:rsid w:val="00987AD5"/>
    <w:rsid w:val="00991B60"/>
    <w:rsid w:val="00997897"/>
    <w:rsid w:val="009B4649"/>
    <w:rsid w:val="009B7138"/>
    <w:rsid w:val="009F1589"/>
    <w:rsid w:val="00A242DE"/>
    <w:rsid w:val="00A25281"/>
    <w:rsid w:val="00A72CC5"/>
    <w:rsid w:val="00A92F78"/>
    <w:rsid w:val="00AA2E8A"/>
    <w:rsid w:val="00AC0214"/>
    <w:rsid w:val="00AD067C"/>
    <w:rsid w:val="00B076B3"/>
    <w:rsid w:val="00B1066F"/>
    <w:rsid w:val="00B129CF"/>
    <w:rsid w:val="00B15ABD"/>
    <w:rsid w:val="00B26F22"/>
    <w:rsid w:val="00B378A2"/>
    <w:rsid w:val="00B51552"/>
    <w:rsid w:val="00BE246D"/>
    <w:rsid w:val="00BF17AA"/>
    <w:rsid w:val="00C13087"/>
    <w:rsid w:val="00C20744"/>
    <w:rsid w:val="00C24556"/>
    <w:rsid w:val="00C86532"/>
    <w:rsid w:val="00C9260D"/>
    <w:rsid w:val="00C95437"/>
    <w:rsid w:val="00CD7950"/>
    <w:rsid w:val="00D05552"/>
    <w:rsid w:val="00D104BF"/>
    <w:rsid w:val="00D4070C"/>
    <w:rsid w:val="00D56ED7"/>
    <w:rsid w:val="00D653C4"/>
    <w:rsid w:val="00D80CBF"/>
    <w:rsid w:val="00DB7093"/>
    <w:rsid w:val="00DC0EF5"/>
    <w:rsid w:val="00DC7D9F"/>
    <w:rsid w:val="00DD5153"/>
    <w:rsid w:val="00E0465B"/>
    <w:rsid w:val="00E31F5B"/>
    <w:rsid w:val="00E34FF4"/>
    <w:rsid w:val="00E6252D"/>
    <w:rsid w:val="00E65C7F"/>
    <w:rsid w:val="00EA09E4"/>
    <w:rsid w:val="00EE12E2"/>
    <w:rsid w:val="00EF62B3"/>
    <w:rsid w:val="00F20062"/>
    <w:rsid w:val="00F45263"/>
    <w:rsid w:val="00F82D09"/>
    <w:rsid w:val="00FB396C"/>
    <w:rsid w:val="00FB639E"/>
    <w:rsid w:val="00FC55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4D75B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el-GR"/>
    </w:rPr>
  </w:style>
  <w:style w:type="paragraph" w:styleId="Heading1">
    <w:name w:val="heading 1"/>
    <w:basedOn w:val="Normal"/>
    <w:next w:val="Text1"/>
    <w:link w:val="Heading1Char"/>
    <w:uiPriority w:val="9"/>
    <w:qFormat/>
    <w:rsid w:val="009B7138"/>
    <w:pPr>
      <w:keepNext/>
      <w:numPr>
        <w:numId w:val="30"/>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30"/>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30"/>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30"/>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semiHidden/>
    <w:unhideWhenUsed/>
    <w:qFormat/>
    <w:rsid w:val="001B26AE"/>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1B26AE"/>
    <w:pPr>
      <w:spacing w:after="0"/>
    </w:pPr>
  </w:style>
  <w:style w:type="paragraph" w:styleId="ListBullet">
    <w:name w:val="List Bullet"/>
    <w:basedOn w:val="Normal"/>
    <w:uiPriority w:val="99"/>
    <w:semiHidden/>
    <w:unhideWhenUsed/>
    <w:rsid w:val="001B26AE"/>
    <w:pPr>
      <w:numPr>
        <w:numId w:val="15"/>
      </w:numPr>
      <w:contextualSpacing/>
    </w:pPr>
  </w:style>
  <w:style w:type="paragraph" w:styleId="ListBullet2">
    <w:name w:val="List Bullet 2"/>
    <w:basedOn w:val="Normal"/>
    <w:uiPriority w:val="99"/>
    <w:semiHidden/>
    <w:unhideWhenUsed/>
    <w:rsid w:val="001B26AE"/>
    <w:pPr>
      <w:numPr>
        <w:numId w:val="16"/>
      </w:numPr>
      <w:contextualSpacing/>
    </w:pPr>
  </w:style>
  <w:style w:type="paragraph" w:styleId="ListBullet3">
    <w:name w:val="List Bullet 3"/>
    <w:basedOn w:val="Normal"/>
    <w:uiPriority w:val="99"/>
    <w:semiHidden/>
    <w:unhideWhenUsed/>
    <w:rsid w:val="001B26AE"/>
    <w:pPr>
      <w:numPr>
        <w:numId w:val="17"/>
      </w:numPr>
      <w:contextualSpacing/>
    </w:pPr>
  </w:style>
  <w:style w:type="paragraph" w:styleId="ListBullet4">
    <w:name w:val="List Bullet 4"/>
    <w:basedOn w:val="Normal"/>
    <w:uiPriority w:val="99"/>
    <w:semiHidden/>
    <w:unhideWhenUsed/>
    <w:rsid w:val="001B26AE"/>
    <w:pPr>
      <w:numPr>
        <w:numId w:val="18"/>
      </w:numPr>
      <w:contextualSpacing/>
    </w:pPr>
  </w:style>
  <w:style w:type="paragraph" w:styleId="ListNumber">
    <w:name w:val="List Number"/>
    <w:basedOn w:val="Normal"/>
    <w:uiPriority w:val="99"/>
    <w:semiHidden/>
    <w:unhideWhenUsed/>
    <w:rsid w:val="001B26AE"/>
    <w:pPr>
      <w:numPr>
        <w:numId w:val="19"/>
      </w:numPr>
      <w:contextualSpacing/>
    </w:pPr>
  </w:style>
  <w:style w:type="paragraph" w:styleId="ListNumber2">
    <w:name w:val="List Number 2"/>
    <w:basedOn w:val="Normal"/>
    <w:uiPriority w:val="99"/>
    <w:semiHidden/>
    <w:unhideWhenUsed/>
    <w:rsid w:val="001B26AE"/>
    <w:pPr>
      <w:numPr>
        <w:numId w:val="20"/>
      </w:numPr>
      <w:contextualSpacing/>
    </w:pPr>
  </w:style>
  <w:style w:type="paragraph" w:styleId="ListNumber3">
    <w:name w:val="List Number 3"/>
    <w:basedOn w:val="Normal"/>
    <w:uiPriority w:val="99"/>
    <w:semiHidden/>
    <w:unhideWhenUsed/>
    <w:rsid w:val="001B26AE"/>
    <w:pPr>
      <w:numPr>
        <w:numId w:val="21"/>
      </w:numPr>
      <w:contextualSpacing/>
    </w:pPr>
  </w:style>
  <w:style w:type="paragraph" w:styleId="ListNumber4">
    <w:name w:val="List Number 4"/>
    <w:basedOn w:val="Normal"/>
    <w:uiPriority w:val="99"/>
    <w:semiHidden/>
    <w:unhideWhenUsed/>
    <w:rsid w:val="001B26AE"/>
    <w:pPr>
      <w:numPr>
        <w:numId w:val="22"/>
      </w:numPr>
      <w:contextualSpacing/>
    </w:pPr>
  </w:style>
  <w:style w:type="character" w:styleId="CommentReference">
    <w:name w:val="annotation reference"/>
    <w:basedOn w:val="DefaultParagraphFont"/>
    <w:uiPriority w:val="99"/>
    <w:semiHidden/>
    <w:unhideWhenUsed/>
    <w:rsid w:val="00403FFA"/>
    <w:rPr>
      <w:sz w:val="16"/>
      <w:szCs w:val="16"/>
    </w:rPr>
  </w:style>
  <w:style w:type="paragraph" w:styleId="CommentText">
    <w:name w:val="annotation text"/>
    <w:basedOn w:val="Normal"/>
    <w:link w:val="CommentTextChar"/>
    <w:uiPriority w:val="99"/>
    <w:unhideWhenUsed/>
    <w:rsid w:val="00403FFA"/>
    <w:rPr>
      <w:sz w:val="20"/>
      <w:szCs w:val="20"/>
    </w:rPr>
  </w:style>
  <w:style w:type="character" w:customStyle="1" w:styleId="CommentTextChar">
    <w:name w:val="Comment Text Char"/>
    <w:basedOn w:val="DefaultParagraphFont"/>
    <w:link w:val="CommentText"/>
    <w:uiPriority w:val="99"/>
    <w:rsid w:val="00403FFA"/>
    <w:rPr>
      <w:rFonts w:ascii="Times New Roman" w:hAnsi="Times New Roman" w:cs="Times New Roman"/>
      <w:sz w:val="20"/>
      <w:szCs w:val="20"/>
      <w:lang w:val="el-GR"/>
    </w:rPr>
  </w:style>
  <w:style w:type="paragraph" w:styleId="CommentSubject">
    <w:name w:val="annotation subject"/>
    <w:basedOn w:val="CommentText"/>
    <w:next w:val="CommentText"/>
    <w:link w:val="CommentSubjectChar"/>
    <w:uiPriority w:val="99"/>
    <w:semiHidden/>
    <w:unhideWhenUsed/>
    <w:rsid w:val="00403FFA"/>
    <w:rPr>
      <w:b/>
      <w:bCs/>
    </w:rPr>
  </w:style>
  <w:style w:type="character" w:customStyle="1" w:styleId="CommentSubjectChar">
    <w:name w:val="Comment Subject Char"/>
    <w:basedOn w:val="CommentTextChar"/>
    <w:link w:val="CommentSubject"/>
    <w:uiPriority w:val="99"/>
    <w:semiHidden/>
    <w:rsid w:val="00403FFA"/>
    <w:rPr>
      <w:rFonts w:ascii="Times New Roman" w:hAnsi="Times New Roman" w:cs="Times New Roman"/>
      <w:b/>
      <w:bCs/>
      <w:sz w:val="20"/>
      <w:szCs w:val="20"/>
      <w:lang w:val="el-GR"/>
    </w:rPr>
  </w:style>
  <w:style w:type="paragraph" w:styleId="BalloonText">
    <w:name w:val="Balloon Text"/>
    <w:basedOn w:val="Normal"/>
    <w:link w:val="BalloonTextChar"/>
    <w:uiPriority w:val="99"/>
    <w:semiHidden/>
    <w:unhideWhenUsed/>
    <w:rsid w:val="00403FFA"/>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3FFA"/>
    <w:rPr>
      <w:rFonts w:ascii="Segoe UI" w:hAnsi="Segoe UI" w:cs="Segoe UI"/>
      <w:sz w:val="18"/>
      <w:szCs w:val="18"/>
      <w:lang w:val="el-GR"/>
    </w:rPr>
  </w:style>
  <w:style w:type="character" w:styleId="Hyperlink">
    <w:name w:val="Hyperlink"/>
    <w:basedOn w:val="DefaultParagraphFont"/>
    <w:uiPriority w:val="99"/>
    <w:unhideWhenUsed/>
    <w:rsid w:val="00403FFA"/>
    <w:rPr>
      <w:color w:val="0000FF" w:themeColor="hyperlink"/>
      <w:u w:val="single"/>
    </w:rPr>
  </w:style>
  <w:style w:type="paragraph" w:styleId="Revision">
    <w:name w:val="Revision"/>
    <w:hidden/>
    <w:uiPriority w:val="99"/>
    <w:semiHidden/>
    <w:rsid w:val="00DB7093"/>
    <w:pPr>
      <w:spacing w:after="0" w:line="240" w:lineRule="auto"/>
    </w:pPr>
    <w:rPr>
      <w:rFonts w:ascii="Times New Roman" w:hAnsi="Times New Roman" w:cs="Times New Roman"/>
      <w:sz w:val="24"/>
    </w:rPr>
  </w:style>
  <w:style w:type="paragraph" w:styleId="ListParagraph">
    <w:name w:val="List Paragraph"/>
    <w:basedOn w:val="Normal"/>
    <w:uiPriority w:val="34"/>
    <w:qFormat/>
    <w:rsid w:val="00B076B3"/>
    <w:pPr>
      <w:ind w:left="720"/>
      <w:contextualSpacing/>
    </w:p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24"/>
      </w:numPr>
    </w:pPr>
  </w:style>
  <w:style w:type="paragraph" w:customStyle="1" w:styleId="Tiret1">
    <w:name w:val="Tiret 1"/>
    <w:basedOn w:val="Point1"/>
    <w:rsid w:val="009B7138"/>
    <w:pPr>
      <w:numPr>
        <w:numId w:val="25"/>
      </w:numPr>
    </w:pPr>
  </w:style>
  <w:style w:type="paragraph" w:customStyle="1" w:styleId="Tiret2">
    <w:name w:val="Tiret 2"/>
    <w:basedOn w:val="Point2"/>
    <w:rsid w:val="009B7138"/>
    <w:pPr>
      <w:numPr>
        <w:numId w:val="26"/>
      </w:numPr>
    </w:pPr>
  </w:style>
  <w:style w:type="paragraph" w:customStyle="1" w:styleId="Tiret3">
    <w:name w:val="Tiret 3"/>
    <w:basedOn w:val="Point3"/>
    <w:rsid w:val="009B7138"/>
    <w:pPr>
      <w:numPr>
        <w:numId w:val="27"/>
      </w:numPr>
    </w:pPr>
  </w:style>
  <w:style w:type="paragraph" w:customStyle="1" w:styleId="Tiret4">
    <w:name w:val="Tiret 4"/>
    <w:basedOn w:val="Point4"/>
    <w:rsid w:val="009B7138"/>
    <w:pPr>
      <w:numPr>
        <w:numId w:val="28"/>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29"/>
      </w:numPr>
    </w:pPr>
  </w:style>
  <w:style w:type="paragraph" w:customStyle="1" w:styleId="NumPar2">
    <w:name w:val="NumPar 2"/>
    <w:basedOn w:val="Normal"/>
    <w:next w:val="Text1"/>
    <w:rsid w:val="009B7138"/>
    <w:pPr>
      <w:numPr>
        <w:ilvl w:val="1"/>
        <w:numId w:val="29"/>
      </w:numPr>
    </w:pPr>
  </w:style>
  <w:style w:type="paragraph" w:customStyle="1" w:styleId="NumPar3">
    <w:name w:val="NumPar 3"/>
    <w:basedOn w:val="Normal"/>
    <w:next w:val="Text1"/>
    <w:rsid w:val="009B7138"/>
    <w:pPr>
      <w:numPr>
        <w:ilvl w:val="2"/>
        <w:numId w:val="29"/>
      </w:numPr>
    </w:pPr>
  </w:style>
  <w:style w:type="paragraph" w:customStyle="1" w:styleId="NumPar4">
    <w:name w:val="NumPar 4"/>
    <w:basedOn w:val="Normal"/>
    <w:next w:val="Text1"/>
    <w:rsid w:val="009B7138"/>
    <w:pPr>
      <w:numPr>
        <w:ilvl w:val="3"/>
        <w:numId w:val="29"/>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31"/>
      </w:numPr>
    </w:pPr>
  </w:style>
  <w:style w:type="paragraph" w:customStyle="1" w:styleId="Point1number">
    <w:name w:val="Point 1 (number)"/>
    <w:basedOn w:val="Normal"/>
    <w:rsid w:val="009B7138"/>
    <w:pPr>
      <w:numPr>
        <w:ilvl w:val="2"/>
        <w:numId w:val="31"/>
      </w:numPr>
    </w:pPr>
  </w:style>
  <w:style w:type="paragraph" w:customStyle="1" w:styleId="Point2number">
    <w:name w:val="Point 2 (number)"/>
    <w:basedOn w:val="Normal"/>
    <w:rsid w:val="009B7138"/>
    <w:pPr>
      <w:numPr>
        <w:ilvl w:val="4"/>
        <w:numId w:val="31"/>
      </w:numPr>
    </w:pPr>
  </w:style>
  <w:style w:type="paragraph" w:customStyle="1" w:styleId="Point3number">
    <w:name w:val="Point 3 (number)"/>
    <w:basedOn w:val="Normal"/>
    <w:rsid w:val="009B7138"/>
    <w:pPr>
      <w:numPr>
        <w:ilvl w:val="6"/>
        <w:numId w:val="31"/>
      </w:numPr>
    </w:pPr>
  </w:style>
  <w:style w:type="paragraph" w:customStyle="1" w:styleId="Point0letter">
    <w:name w:val="Point 0 (letter)"/>
    <w:basedOn w:val="Normal"/>
    <w:rsid w:val="009B7138"/>
    <w:pPr>
      <w:numPr>
        <w:ilvl w:val="1"/>
        <w:numId w:val="31"/>
      </w:numPr>
    </w:pPr>
  </w:style>
  <w:style w:type="paragraph" w:customStyle="1" w:styleId="Point1letter">
    <w:name w:val="Point 1 (letter)"/>
    <w:basedOn w:val="Normal"/>
    <w:rsid w:val="009B7138"/>
    <w:pPr>
      <w:numPr>
        <w:ilvl w:val="3"/>
        <w:numId w:val="31"/>
      </w:numPr>
    </w:pPr>
  </w:style>
  <w:style w:type="paragraph" w:customStyle="1" w:styleId="Point2letter">
    <w:name w:val="Point 2 (letter)"/>
    <w:basedOn w:val="Normal"/>
    <w:rsid w:val="009B7138"/>
    <w:pPr>
      <w:numPr>
        <w:ilvl w:val="5"/>
        <w:numId w:val="31"/>
      </w:numPr>
    </w:pPr>
  </w:style>
  <w:style w:type="paragraph" w:customStyle="1" w:styleId="Point3letter">
    <w:name w:val="Point 3 (letter)"/>
    <w:basedOn w:val="Normal"/>
    <w:rsid w:val="009B7138"/>
    <w:pPr>
      <w:numPr>
        <w:ilvl w:val="7"/>
        <w:numId w:val="31"/>
      </w:numPr>
    </w:pPr>
  </w:style>
  <w:style w:type="paragraph" w:customStyle="1" w:styleId="Point4letter">
    <w:name w:val="Point 4 (letter)"/>
    <w:basedOn w:val="Normal"/>
    <w:rsid w:val="009B7138"/>
    <w:pPr>
      <w:numPr>
        <w:ilvl w:val="8"/>
        <w:numId w:val="31"/>
      </w:numPr>
    </w:pPr>
  </w:style>
  <w:style w:type="paragraph" w:customStyle="1" w:styleId="Bullet0">
    <w:name w:val="Bullet 0"/>
    <w:basedOn w:val="Normal"/>
    <w:rsid w:val="009B7138"/>
    <w:pPr>
      <w:numPr>
        <w:numId w:val="32"/>
      </w:numPr>
    </w:pPr>
  </w:style>
  <w:style w:type="paragraph" w:customStyle="1" w:styleId="Bullet1">
    <w:name w:val="Bullet 1"/>
    <w:basedOn w:val="Normal"/>
    <w:rsid w:val="009B7138"/>
    <w:pPr>
      <w:numPr>
        <w:numId w:val="33"/>
      </w:numPr>
    </w:pPr>
  </w:style>
  <w:style w:type="paragraph" w:customStyle="1" w:styleId="Bullet2">
    <w:name w:val="Bullet 2"/>
    <w:basedOn w:val="Normal"/>
    <w:rsid w:val="009B7138"/>
    <w:pPr>
      <w:numPr>
        <w:numId w:val="34"/>
      </w:numPr>
    </w:pPr>
  </w:style>
  <w:style w:type="paragraph" w:customStyle="1" w:styleId="Bullet3">
    <w:name w:val="Bullet 3"/>
    <w:basedOn w:val="Normal"/>
    <w:rsid w:val="009B7138"/>
    <w:pPr>
      <w:numPr>
        <w:numId w:val="35"/>
      </w:numPr>
    </w:pPr>
  </w:style>
  <w:style w:type="paragraph" w:customStyle="1" w:styleId="Bullet4">
    <w:name w:val="Bullet 4"/>
    <w:basedOn w:val="Normal"/>
    <w:rsid w:val="009B7138"/>
    <w:pPr>
      <w:numPr>
        <w:numId w:val="36"/>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37"/>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441092">
      <w:bodyDiv w:val="1"/>
      <w:marLeft w:val="0"/>
      <w:marRight w:val="0"/>
      <w:marTop w:val="0"/>
      <w:marBottom w:val="0"/>
      <w:divBdr>
        <w:top w:val="none" w:sz="0" w:space="0" w:color="auto"/>
        <w:left w:val="none" w:sz="0" w:space="0" w:color="auto"/>
        <w:bottom w:val="none" w:sz="0" w:space="0" w:color="auto"/>
        <w:right w:val="none" w:sz="0" w:space="0" w:color="auto"/>
      </w:divBdr>
      <w:divsChild>
        <w:div w:id="3379302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COM.dotm</Template>
  <TotalTime>0</TotalTime>
  <Pages>15</Pages>
  <Words>5551</Words>
  <Characters>32201</Characters>
  <Application>Microsoft Office Word</Application>
  <DocSecurity>0</DocSecurity>
  <Lines>585</Lines>
  <Paragraphs>173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2021-05-18T10:53:00Z</dcterms:created>
  <dcterms:modified xsi:type="dcterms:W3CDTF">2021-05-18T10:53:00Z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7.0.1, Build 20190916</vt:lpwstr>
  </property>
  <property fmtid="{D5CDD505-2E9C-101B-9397-08002B2CF9AE}" pid="4" name="Part">
    <vt:lpwstr>1</vt:lpwstr>
  </property>
  <property fmtid="{D5CDD505-2E9C-101B-9397-08002B2CF9AE}" pid="5" name="Total parts">
    <vt:lpwstr>1</vt:lpwstr>
  </property>
  <property fmtid="{D5CDD505-2E9C-101B-9397-08002B2CF9AE}" pid="6" name="LWTemplateID">
    <vt:lpwstr>SJ-004</vt:lpwstr>
  </property>
  <property fmtid="{D5CDD505-2E9C-101B-9397-08002B2CF9AE}" pid="7" name="DQCStatus">
    <vt:lpwstr>Green (DQC version 03)</vt:lpwstr>
  </property>
</Properties>
</file>