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HU</w:t>
      </w:r>
      <w:r>
        <w:rPr>
          <w:rFonts w:ascii="Times New Roman" w:hAnsi="Times New Roman"/>
          <w:b/>
          <w:sz w:val="24"/>
          <w:szCs w:val="24"/>
        </w:rPr>
        <w:br/>
      </w:r>
      <w:r>
        <w:rPr>
          <w:rFonts w:ascii="Times New Roman" w:hAnsi="Times New Roman"/>
          <w:b/>
          <w:sz w:val="24"/>
        </w:rPr>
        <w:t>III. MELLÉKLET</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V. MELLÉKLET</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A PÉNZÜGYI INFORMÁCIÓKRA VONATKOZÓ ADATSZOLGÁLTATÁS</w:t>
      </w:r>
    </w:p>
    <w:p w:rsidR="009569C7" w:rsidRPr="00EC4FA2" w:rsidRDefault="00A834F1">
      <w:pPr>
        <w:spacing w:after="0"/>
        <w:rPr>
          <w:rFonts w:ascii="Times New Roman" w:hAnsi="Times New Roman"/>
          <w:sz w:val="24"/>
          <w:szCs w:val="24"/>
        </w:rPr>
      </w:pPr>
      <w:r>
        <w:rPr>
          <w:rFonts w:ascii="Times New Roman" w:hAnsi="Times New Roman"/>
          <w:sz w:val="24"/>
        </w:rPr>
        <w:t>Tartalomjegyzék</w:t>
      </w:r>
    </w:p>
    <w:p w:rsidR="00E4414B" w:rsidRDefault="0087024E">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sidR="00E4414B">
        <w:rPr>
          <w:noProof/>
        </w:rPr>
        <w:t>Általános útmutató</w:t>
      </w:r>
      <w:r w:rsidR="00E4414B">
        <w:rPr>
          <w:noProof/>
        </w:rPr>
        <w:tab/>
      </w:r>
      <w:r w:rsidR="00E4414B">
        <w:rPr>
          <w:noProof/>
        </w:rPr>
        <w:fldChar w:fldCharType="begin"/>
      </w:r>
      <w:r w:rsidR="00E4414B">
        <w:rPr>
          <w:noProof/>
        </w:rPr>
        <w:instrText xml:space="preserve"> PAGEREF _Toc524094008 \h </w:instrText>
      </w:r>
      <w:r w:rsidR="00E4414B">
        <w:rPr>
          <w:noProof/>
        </w:rPr>
      </w:r>
      <w:r w:rsidR="00E4414B">
        <w:rPr>
          <w:noProof/>
        </w:rPr>
        <w:fldChar w:fldCharType="separate"/>
      </w:r>
      <w:r w:rsidR="00E4414B">
        <w:rPr>
          <w:noProof/>
        </w:rPr>
        <w:t>4</w:t>
      </w:r>
      <w:r w:rsidR="00E4414B">
        <w:rPr>
          <w:noProof/>
        </w:rPr>
        <w:fldChar w:fldCharType="end"/>
      </w:r>
    </w:p>
    <w:p w:rsidR="00E4414B" w:rsidRDefault="00E4414B">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Hivatkozások</w:t>
      </w:r>
      <w:r>
        <w:tab/>
      </w:r>
      <w:r>
        <w:fldChar w:fldCharType="begin"/>
      </w:r>
      <w:r>
        <w:instrText xml:space="preserve"> PAGEREF _Toc524094009 \h </w:instrText>
      </w:r>
      <w:r>
        <w:fldChar w:fldCharType="separate"/>
      </w:r>
      <w:r>
        <w:t>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Jelölési szabályok</w:t>
      </w:r>
      <w:r>
        <w:tab/>
      </w:r>
      <w:r>
        <w:fldChar w:fldCharType="begin"/>
      </w:r>
      <w:r>
        <w:instrText xml:space="preserve"> PAGEREF _Toc524094010 \h </w:instrText>
      </w:r>
      <w:r>
        <w:fldChar w:fldCharType="separate"/>
      </w:r>
      <w:r>
        <w:t>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Konszolidáció</w:t>
      </w:r>
      <w:r>
        <w:tab/>
      </w:r>
      <w:r>
        <w:fldChar w:fldCharType="begin"/>
      </w:r>
      <w:r>
        <w:instrText xml:space="preserve"> PAGEREF _Toc524094011 \h </w:instrText>
      </w:r>
      <w:r>
        <w:fldChar w:fldCharType="separate"/>
      </w:r>
      <w:r>
        <w:t>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Pénzügyi instrumentumok számviteli portfóliói</w:t>
      </w:r>
      <w:r>
        <w:tab/>
      </w:r>
      <w:r>
        <w:fldChar w:fldCharType="begin"/>
      </w:r>
      <w:r>
        <w:instrText xml:space="preserve"> PAGEREF _Toc524094012 \h </w:instrText>
      </w:r>
      <w:r>
        <w:fldChar w:fldCharType="separate"/>
      </w:r>
      <w:r>
        <w:t>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Pénzügyi eszközök</w:t>
      </w:r>
      <w:r>
        <w:tab/>
      </w:r>
      <w:r>
        <w:fldChar w:fldCharType="begin"/>
      </w:r>
      <w:r>
        <w:instrText xml:space="preserve"> PAGEREF _Toc524094013 \h </w:instrText>
      </w:r>
      <w:r>
        <w:fldChar w:fldCharType="separate"/>
      </w:r>
      <w:r>
        <w:t>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Pénzügyi kötelezettségek</w:t>
      </w:r>
      <w:r>
        <w:tab/>
      </w:r>
      <w:r>
        <w:fldChar w:fldCharType="begin"/>
      </w:r>
      <w:r>
        <w:instrText xml:space="preserve"> PAGEREF _Toc524094014 \h </w:instrText>
      </w:r>
      <w:r>
        <w:fldChar w:fldCharType="separate"/>
      </w:r>
      <w:r>
        <w:t>10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Pénzügyi instrumentumok</w:t>
      </w:r>
      <w:r>
        <w:tab/>
      </w:r>
      <w:r>
        <w:fldChar w:fldCharType="begin"/>
      </w:r>
      <w:r>
        <w:instrText xml:space="preserve"> PAGEREF _Toc524094015 \h </w:instrText>
      </w:r>
      <w:r>
        <w:fldChar w:fldCharType="separate"/>
      </w:r>
      <w:r>
        <w:t>11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Pénzügyi eszközök</w:t>
      </w:r>
      <w:r>
        <w:tab/>
      </w:r>
      <w:r>
        <w:fldChar w:fldCharType="begin"/>
      </w:r>
      <w:r>
        <w:instrText xml:space="preserve"> PAGEREF _Toc524094016 \h </w:instrText>
      </w:r>
      <w:r>
        <w:fldChar w:fldCharType="separate"/>
      </w:r>
      <w:r>
        <w:t>11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Bruttó könyv szerinti érték</w:t>
      </w:r>
      <w:r>
        <w:tab/>
      </w:r>
      <w:r>
        <w:fldChar w:fldCharType="begin"/>
      </w:r>
      <w:r>
        <w:instrText xml:space="preserve"> PAGEREF _Toc524094017 \h </w:instrText>
      </w:r>
      <w:r>
        <w:fldChar w:fldCharType="separate"/>
      </w:r>
      <w:r>
        <w:t>12</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Pénzügyi kötelezettségek</w:t>
      </w:r>
      <w:r>
        <w:tab/>
      </w:r>
      <w:r>
        <w:fldChar w:fldCharType="begin"/>
      </w:r>
      <w:r>
        <w:instrText xml:space="preserve"> PAGEREF _Toc524094018 \h </w:instrText>
      </w:r>
      <w:r>
        <w:fldChar w:fldCharType="separate"/>
      </w:r>
      <w:r>
        <w:t>13</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Ügyfél szerinti részletezés</w:t>
      </w:r>
      <w:r>
        <w:tab/>
      </w:r>
      <w:r>
        <w:fldChar w:fldCharType="begin"/>
      </w:r>
      <w:r>
        <w:instrText xml:space="preserve"> PAGEREF _Toc524094019 \h </w:instrText>
      </w:r>
      <w:r>
        <w:fldChar w:fldCharType="separate"/>
      </w:r>
      <w:r>
        <w:t>14</w:t>
      </w:r>
      <w:r>
        <w:fldChar w:fldCharType="end"/>
      </w:r>
    </w:p>
    <w:p w:rsidR="00E4414B" w:rsidRDefault="00E4414B">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A táblához kapcsolódó útmutató</w:t>
      </w:r>
      <w:r>
        <w:rPr>
          <w:noProof/>
        </w:rPr>
        <w:tab/>
      </w:r>
      <w:r>
        <w:rPr>
          <w:noProof/>
        </w:rPr>
        <w:fldChar w:fldCharType="begin"/>
      </w:r>
      <w:r>
        <w:rPr>
          <w:noProof/>
        </w:rPr>
        <w:instrText xml:space="preserve"> PAGEREF _Toc524094020 \h </w:instrText>
      </w:r>
      <w:r>
        <w:rPr>
          <w:noProof/>
        </w:rPr>
      </w:r>
      <w:r>
        <w:rPr>
          <w:noProof/>
        </w:rPr>
        <w:fldChar w:fldCharType="separate"/>
      </w:r>
      <w:r>
        <w:rPr>
          <w:noProof/>
        </w:rPr>
        <w:t>16</w:t>
      </w:r>
      <w:r>
        <w:rPr>
          <w:noProof/>
        </w:rPr>
        <w:fldChar w:fldCharType="end"/>
      </w:r>
    </w:p>
    <w:p w:rsidR="00E4414B" w:rsidRDefault="00E4414B">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Mérleg</w:t>
      </w:r>
      <w:r>
        <w:tab/>
      </w:r>
      <w:r>
        <w:fldChar w:fldCharType="begin"/>
      </w:r>
      <w:r>
        <w:instrText xml:space="preserve"> PAGEREF _Toc524094021 \h </w:instrText>
      </w:r>
      <w:r>
        <w:fldChar w:fldCharType="separate"/>
      </w:r>
      <w:r>
        <w:t>16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Eszközök (1.1.)</w:t>
      </w:r>
      <w:r>
        <w:tab/>
      </w:r>
      <w:r>
        <w:fldChar w:fldCharType="begin"/>
      </w:r>
      <w:r>
        <w:instrText xml:space="preserve"> PAGEREF _Toc524094022 \h </w:instrText>
      </w:r>
      <w:r>
        <w:fldChar w:fldCharType="separate"/>
      </w:r>
      <w:r>
        <w:t>16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Kötelezettségek (1.2.)</w:t>
      </w:r>
      <w:r>
        <w:tab/>
      </w:r>
      <w:r>
        <w:fldChar w:fldCharType="begin"/>
      </w:r>
      <w:r>
        <w:instrText xml:space="preserve"> PAGEREF _Toc524094023 \h </w:instrText>
      </w:r>
      <w:r>
        <w:fldChar w:fldCharType="separate"/>
      </w:r>
      <w:r>
        <w:t>17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Saját tőke (1.3.)</w:t>
      </w:r>
      <w:r>
        <w:tab/>
      </w:r>
      <w:r>
        <w:fldChar w:fldCharType="begin"/>
      </w:r>
      <w:r>
        <w:instrText xml:space="preserve"> PAGEREF _Toc524094024 \h </w:instrText>
      </w:r>
      <w:r>
        <w:fldChar w:fldCharType="separate"/>
      </w:r>
      <w:r>
        <w:t>18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Eredménykimutatás (2.)</w:t>
      </w:r>
      <w:r>
        <w:tab/>
      </w:r>
      <w:r>
        <w:fldChar w:fldCharType="begin"/>
      </w:r>
      <w:r>
        <w:instrText xml:space="preserve"> PAGEREF _Toc524094025 \h </w:instrText>
      </w:r>
      <w:r>
        <w:fldChar w:fldCharType="separate"/>
      </w:r>
      <w:r>
        <w:t>21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Átfogó jövedelemkimutatás (3.)</w:t>
      </w:r>
      <w:r>
        <w:tab/>
      </w:r>
      <w:r>
        <w:fldChar w:fldCharType="begin"/>
      </w:r>
      <w:r>
        <w:instrText xml:space="preserve"> PAGEREF _Toc524094026 \h </w:instrText>
      </w:r>
      <w:r>
        <w:fldChar w:fldCharType="separate"/>
      </w:r>
      <w:r>
        <w:t>26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Pénzügyi eszközök instrumentum és ügyfélszektor szerinti részletezése (4.)</w:t>
      </w:r>
      <w:r>
        <w:tab/>
      </w:r>
      <w:r>
        <w:fldChar w:fldCharType="begin"/>
      </w:r>
      <w:r>
        <w:instrText xml:space="preserve"> PAGEREF _Toc524094027 \h </w:instrText>
      </w:r>
      <w:r>
        <w:fldChar w:fldCharType="separate"/>
      </w:r>
      <w:r>
        <w:t>28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Nem kereskedési célú hitelek és előlegek termék szerinti részletezése (5.)</w:t>
      </w:r>
      <w:r>
        <w:tab/>
      </w:r>
      <w:r>
        <w:fldChar w:fldCharType="begin"/>
      </w:r>
      <w:r>
        <w:instrText xml:space="preserve"> PAGEREF _Toc524094028 \h </w:instrText>
      </w:r>
      <w:r>
        <w:fldChar w:fldCharType="separate"/>
      </w:r>
      <w:r>
        <w:t>31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rsidRPr="00D770D2">
        <w:rPr>
          <w:kern w:val="32"/>
        </w:rPr>
        <w:t>6.</w:t>
      </w:r>
      <w:r>
        <w:rPr>
          <w:rFonts w:asciiTheme="minorHAnsi" w:eastAsiaTheme="minorEastAsia" w:hAnsiTheme="minorHAnsi" w:cstheme="minorBidi"/>
          <w:sz w:val="22"/>
          <w:szCs w:val="22"/>
          <w:lang w:val="en-GB" w:eastAsia="en-GB" w:bidi="ar-SA"/>
        </w:rPr>
        <w:tab/>
      </w:r>
      <w:r>
        <w:t>Nem pénzügyi vállalatoknak nyújtott nem kereskedési célú hitelek és előlegek részletezése NACE-kódok szerint (6.)</w:t>
      </w:r>
      <w:r>
        <w:tab/>
      </w:r>
      <w:r>
        <w:fldChar w:fldCharType="begin"/>
      </w:r>
      <w:r>
        <w:instrText xml:space="preserve"> PAGEREF _Toc524094029 \h </w:instrText>
      </w:r>
      <w:r>
        <w:fldChar w:fldCharType="separate"/>
      </w:r>
      <w:r>
        <w:t>33</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rsidRPr="00D770D2">
        <w:rPr>
          <w:kern w:val="32"/>
        </w:rPr>
        <w:t>7.</w:t>
      </w:r>
      <w:r>
        <w:rPr>
          <w:rFonts w:asciiTheme="minorHAnsi" w:eastAsiaTheme="minorEastAsia" w:hAnsiTheme="minorHAnsi" w:cstheme="minorBidi"/>
          <w:sz w:val="22"/>
          <w:szCs w:val="22"/>
          <w:lang w:val="en-GB" w:eastAsia="en-GB" w:bidi="ar-SA"/>
        </w:rPr>
        <w:tab/>
      </w:r>
      <w:r>
        <w:t>Értékvesztés-elszámolási kötelezettség alá tartozó késedelmes pénzügyi eszközök (7.)</w:t>
      </w:r>
      <w:r>
        <w:tab/>
      </w:r>
      <w:r>
        <w:fldChar w:fldCharType="begin"/>
      </w:r>
      <w:r>
        <w:instrText xml:space="preserve"> PAGEREF _Toc524094030 \h </w:instrText>
      </w:r>
      <w:r>
        <w:fldChar w:fldCharType="separate"/>
      </w:r>
      <w:r>
        <w:t>34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Pénzügyi kötelezettségek részletezése (8.)</w:t>
      </w:r>
      <w:r>
        <w:tab/>
      </w:r>
      <w:r>
        <w:fldChar w:fldCharType="begin"/>
      </w:r>
      <w:r>
        <w:instrText xml:space="preserve"> PAGEREF _Toc524094031 \h </w:instrText>
      </w:r>
      <w:r>
        <w:fldChar w:fldCharType="separate"/>
      </w:r>
      <w:r>
        <w:t>34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Hitelnyújtási elkötelezettségek, pénzügyi garanciák és egyéb elkötelezettségek (9.)</w:t>
      </w:r>
      <w:r>
        <w:tab/>
      </w:r>
      <w:r>
        <w:fldChar w:fldCharType="begin"/>
      </w:r>
      <w:r>
        <w:instrText xml:space="preserve"> PAGEREF _Toc524094032 \h </w:instrText>
      </w:r>
      <w:r>
        <w:fldChar w:fldCharType="separate"/>
      </w:r>
      <w:r>
        <w:t>35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Származtatott ügyletek és fedezeti elszámolások (10. és 11.)</w:t>
      </w:r>
      <w:r>
        <w:tab/>
      </w:r>
      <w:r>
        <w:fldChar w:fldCharType="begin"/>
      </w:r>
      <w:r>
        <w:instrText xml:space="preserve"> PAGEREF _Toc524094033 \h </w:instrText>
      </w:r>
      <w:r>
        <w:fldChar w:fldCharType="separate"/>
      </w:r>
      <w:r>
        <w:t>39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Származtatott ügyletek kockázattípus szerinti besorolása</w:t>
      </w:r>
      <w:r>
        <w:tab/>
      </w:r>
      <w:r>
        <w:fldChar w:fldCharType="begin"/>
      </w:r>
      <w:r>
        <w:instrText xml:space="preserve"> PAGEREF _Toc524094034 \h </w:instrText>
      </w:r>
      <w:r>
        <w:fldChar w:fldCharType="separate"/>
      </w:r>
      <w:r>
        <w:t>41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A származtatott ügyletek esetében feltüntetendő értékek</w:t>
      </w:r>
      <w:r>
        <w:tab/>
      </w:r>
      <w:r>
        <w:fldChar w:fldCharType="begin"/>
      </w:r>
      <w:r>
        <w:instrText xml:space="preserve"> PAGEREF _Toc524094035 \h </w:instrText>
      </w:r>
      <w:r>
        <w:fldChar w:fldCharType="separate"/>
      </w:r>
      <w:r>
        <w:t>42</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„Gazdasági fedezeti ügylet”-nek minősített származtatott ügyletek</w:t>
      </w:r>
      <w:r>
        <w:tab/>
      </w:r>
      <w:r>
        <w:fldChar w:fldCharType="begin"/>
      </w:r>
      <w:r>
        <w:instrText xml:space="preserve"> PAGEREF _Toc524094036 \h </w:instrText>
      </w:r>
      <w:r>
        <w:fldChar w:fldCharType="separate"/>
      </w:r>
      <w:r>
        <w:t>44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Származtatott ügyletek ügyfélszektor szerinti részletezése</w:t>
      </w:r>
      <w:r>
        <w:tab/>
      </w:r>
      <w:r>
        <w:fldChar w:fldCharType="begin"/>
      </w:r>
      <w:r>
        <w:instrText xml:space="preserve"> PAGEREF _Toc524094037 \h </w:instrText>
      </w:r>
      <w:r>
        <w:fldChar w:fldCharType="separate"/>
      </w:r>
      <w:r>
        <w:t>45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Fedezeti elszámolások a nemzeti GAAP szerint (11.2.)</w:t>
      </w:r>
      <w:r>
        <w:tab/>
      </w:r>
      <w:r>
        <w:fldChar w:fldCharType="begin"/>
      </w:r>
      <w:r>
        <w:instrText xml:space="preserve"> PAGEREF _Toc524094038 \h </w:instrText>
      </w:r>
      <w:r>
        <w:fldChar w:fldCharType="separate"/>
      </w:r>
      <w:r>
        <w:t>45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lastRenderedPageBreak/>
        <w:t>10.6.</w:t>
      </w:r>
      <w:r>
        <w:rPr>
          <w:rFonts w:asciiTheme="minorHAnsi" w:eastAsiaTheme="minorEastAsia" w:hAnsiTheme="minorHAnsi" w:cstheme="minorBidi"/>
          <w:sz w:val="22"/>
          <w:szCs w:val="22"/>
          <w:lang w:val="en-GB" w:eastAsia="en-GB" w:bidi="ar-SA"/>
        </w:rPr>
        <w:tab/>
      </w:r>
      <w:r>
        <w:t>A nem származtatott fedezeti instrumentumokra vonatkozóan feltüntetendő összeg (11.3. és 11.3.1.)</w:t>
      </w:r>
      <w:r>
        <w:tab/>
      </w:r>
      <w:r>
        <w:fldChar w:fldCharType="begin"/>
      </w:r>
      <w:r>
        <w:instrText xml:space="preserve"> PAGEREF _Toc524094039 \h </w:instrText>
      </w:r>
      <w:r>
        <w:fldChar w:fldCharType="separate"/>
      </w:r>
      <w:r>
        <w:t>46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Fedezett tételek valósérték-fedezeti ügyletekben (11.4.)</w:t>
      </w:r>
      <w:r>
        <w:tab/>
      </w:r>
      <w:r>
        <w:fldChar w:fldCharType="begin"/>
      </w:r>
      <w:r>
        <w:instrText xml:space="preserve"> PAGEREF _Toc524094040 \h </w:instrText>
      </w:r>
      <w:r>
        <w:fldChar w:fldCharType="separate"/>
      </w:r>
      <w:r>
        <w:t>46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rsidRPr="00D770D2">
        <w:rPr>
          <w:kern w:val="32"/>
        </w:rPr>
        <w:t>11.</w:t>
      </w:r>
      <w:r>
        <w:rPr>
          <w:rFonts w:asciiTheme="minorHAnsi" w:eastAsiaTheme="minorEastAsia" w:hAnsiTheme="minorHAnsi" w:cstheme="minorBidi"/>
          <w:sz w:val="22"/>
          <w:szCs w:val="22"/>
          <w:lang w:val="en-GB" w:eastAsia="en-GB" w:bidi="ar-SA"/>
        </w:rPr>
        <w:tab/>
      </w:r>
      <w:r>
        <w:t>Hitelezési veszteségekre képzett értékvesztés és céltartalékok változása (12.)</w:t>
      </w:r>
      <w:r>
        <w:tab/>
      </w:r>
      <w:r>
        <w:fldChar w:fldCharType="begin"/>
      </w:r>
      <w:r>
        <w:instrText xml:space="preserve"> PAGEREF _Toc524094041 \h </w:instrText>
      </w:r>
      <w:r>
        <w:fldChar w:fldCharType="separate"/>
      </w:r>
      <w:r>
        <w:t>47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11.1.</w:t>
      </w:r>
      <w:r>
        <w:rPr>
          <w:rFonts w:asciiTheme="minorHAnsi" w:eastAsiaTheme="minorEastAsia" w:hAnsiTheme="minorHAnsi" w:cstheme="minorBidi"/>
          <w:sz w:val="22"/>
          <w:szCs w:val="22"/>
          <w:lang w:val="en-GB" w:eastAsia="en-GB" w:bidi="ar-SA"/>
        </w:rPr>
        <w:tab/>
      </w:r>
      <w:r>
        <w:t>Hitelezési veszteségekre képzett értékvesztés változása és tulajdoni részesedést megtestesítő instrumentumok értékvesztése a BAD alapján kidolgozott nemzeti GAAP szerint (12.0.)</w:t>
      </w:r>
      <w:r>
        <w:tab/>
      </w:r>
      <w:r>
        <w:fldChar w:fldCharType="begin"/>
      </w:r>
      <w:r>
        <w:instrText xml:space="preserve"> PAGEREF _Toc524094042 \h </w:instrText>
      </w:r>
      <w:r>
        <w:fldChar w:fldCharType="separate"/>
      </w:r>
      <w:r>
        <w:t>47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Hitelezési veszteségekre képzett értékvesztés és céltartalékok változása az IFRS szerint (12.1.)</w:t>
      </w:r>
      <w:r>
        <w:tab/>
      </w:r>
      <w:r>
        <w:fldChar w:fldCharType="begin"/>
      </w:r>
      <w:r>
        <w:instrText xml:space="preserve"> PAGEREF _Toc524094043 \h </w:instrText>
      </w:r>
      <w:r>
        <w:fldChar w:fldCharType="separate"/>
      </w:r>
      <w:r>
        <w:t>47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Értékvesztési szakaszok közötti átvezetések (bruttó alapú megjelenítés) (12.2.)</w:t>
      </w:r>
      <w:r>
        <w:tab/>
      </w:r>
      <w:r>
        <w:fldChar w:fldCharType="begin"/>
      </w:r>
      <w:r>
        <w:instrText xml:space="preserve"> PAGEREF _Toc524094044 \h </w:instrText>
      </w:r>
      <w:r>
        <w:fldChar w:fldCharType="separate"/>
      </w:r>
      <w:r>
        <w:t>50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Kapott biztosítékok és garanciák (13.)</w:t>
      </w:r>
      <w:r>
        <w:tab/>
      </w:r>
      <w:r>
        <w:fldChar w:fldCharType="begin"/>
      </w:r>
      <w:r>
        <w:instrText xml:space="preserve"> PAGEREF _Toc524094045 \h </w:instrText>
      </w:r>
      <w:r>
        <w:fldChar w:fldCharType="separate"/>
      </w:r>
      <w:r>
        <w:t>51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Biztosítékok és garanciák nem kereskedési céllal tartott hitelek és előlegek szerinti részletezése (13.1.)</w:t>
      </w:r>
      <w:r>
        <w:tab/>
      </w:r>
      <w:r>
        <w:fldChar w:fldCharType="begin"/>
      </w:r>
      <w:r>
        <w:instrText xml:space="preserve"> PAGEREF _Toc524094046 \h </w:instrText>
      </w:r>
      <w:r>
        <w:fldChar w:fldCharType="separate"/>
      </w:r>
      <w:r>
        <w:t>51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Az időszak alatt birtokbavétellel megszerzett biztosíték [az adatszolgáltatás vonatkozási időpontjában tartott] (13.2.)</w:t>
      </w:r>
      <w:r>
        <w:tab/>
      </w:r>
      <w:r>
        <w:fldChar w:fldCharType="begin"/>
      </w:r>
      <w:r>
        <w:instrText xml:space="preserve"> PAGEREF _Toc524094047 \h </w:instrText>
      </w:r>
      <w:r>
        <w:fldChar w:fldCharType="separate"/>
      </w:r>
      <w:r>
        <w:t>52</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Birtokbavétellel megszerzett biztosíték [tárgyi eszközök] halmozott (13.3.)</w:t>
      </w:r>
      <w:r>
        <w:tab/>
      </w:r>
      <w:r>
        <w:fldChar w:fldCharType="begin"/>
      </w:r>
      <w:r>
        <w:instrText xml:space="preserve"> PAGEREF _Toc524094048 \h </w:instrText>
      </w:r>
      <w:r>
        <w:fldChar w:fldCharType="separate"/>
      </w:r>
      <w:r>
        <w:t>52</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rsidRPr="00D770D2">
        <w:rPr>
          <w:kern w:val="32"/>
        </w:rPr>
        <w:t>13.</w:t>
      </w:r>
      <w:r>
        <w:rPr>
          <w:rFonts w:asciiTheme="minorHAnsi" w:eastAsiaTheme="minorEastAsia" w:hAnsiTheme="minorHAnsi" w:cstheme="minorBidi"/>
          <w:sz w:val="22"/>
          <w:szCs w:val="22"/>
          <w:lang w:val="en-GB" w:eastAsia="en-GB" w:bidi="ar-SA"/>
        </w:rPr>
        <w:tab/>
      </w:r>
      <w:r>
        <w:t>Valósérték-hierarchia: Valós értéken értékelt pénzügyi instrumentumok (14.)</w:t>
      </w:r>
      <w:r>
        <w:tab/>
      </w:r>
      <w:r>
        <w:fldChar w:fldCharType="begin"/>
      </w:r>
      <w:r>
        <w:instrText xml:space="preserve"> PAGEREF _Toc524094049 \h </w:instrText>
      </w:r>
      <w:r>
        <w:fldChar w:fldCharType="separate"/>
      </w:r>
      <w:r>
        <w:t>52</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rsidRPr="00D770D2">
        <w:rPr>
          <w:kern w:val="32"/>
        </w:rPr>
        <w:t>14.</w:t>
      </w:r>
      <w:r>
        <w:rPr>
          <w:rFonts w:asciiTheme="minorHAnsi" w:eastAsiaTheme="minorEastAsia" w:hAnsiTheme="minorHAnsi" w:cstheme="minorBidi"/>
          <w:sz w:val="22"/>
          <w:szCs w:val="22"/>
          <w:lang w:val="en-GB" w:eastAsia="en-GB" w:bidi="ar-SA"/>
        </w:rPr>
        <w:tab/>
      </w:r>
      <w:r>
        <w:t>Pénzügyi eszközök átadásával összefüggő kivezetés és pénzügyi kötelezettségek (15.)</w:t>
      </w:r>
      <w:r>
        <w:tab/>
      </w:r>
      <w:r>
        <w:fldChar w:fldCharType="begin"/>
      </w:r>
      <w:r>
        <w:instrText xml:space="preserve"> PAGEREF _Toc524094050 \h </w:instrText>
      </w:r>
      <w:r>
        <w:fldChar w:fldCharType="separate"/>
      </w:r>
      <w:r>
        <w:t>53</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Az eredménykimutatás kiválasztott tételeinek részletezése (16.)</w:t>
      </w:r>
      <w:r>
        <w:tab/>
      </w:r>
      <w:r>
        <w:fldChar w:fldCharType="begin"/>
      </w:r>
      <w:r>
        <w:instrText xml:space="preserve"> PAGEREF _Toc524094051 \h </w:instrText>
      </w:r>
      <w:r>
        <w:fldChar w:fldCharType="separate"/>
      </w:r>
      <w:r>
        <w:t>54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Kamatbevételek és -ráfordítások instrumentum és ügyfélszektor szerint (16.1.)</w:t>
      </w:r>
      <w:r>
        <w:tab/>
      </w:r>
      <w:r>
        <w:fldChar w:fldCharType="begin"/>
      </w:r>
      <w:r>
        <w:instrText xml:space="preserve"> PAGEREF _Toc524094052 \h </w:instrText>
      </w:r>
      <w:r>
        <w:fldChar w:fldCharType="separate"/>
      </w:r>
      <w:r>
        <w:t>54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Az eredménnyel szemben valós értéken értékelt kategóriába nem tartozó pénzügyi eszközök és kötelezettségek kivezetéséből származó nyereség vagy veszteség instrumentum szerint (16.2.)</w:t>
      </w:r>
      <w:r>
        <w:tab/>
      </w:r>
      <w:r>
        <w:fldChar w:fldCharType="begin"/>
      </w:r>
      <w:r>
        <w:instrText xml:space="preserve"> PAGEREF _Toc524094053 \h </w:instrText>
      </w:r>
      <w:r>
        <w:fldChar w:fldCharType="separate"/>
      </w:r>
      <w:r>
        <w:t>55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Kereskedési céllal tartott és kereskedési célú pénzügyi eszközökből és kötelezettségekből származó nyereség vagy veszteség instrumentum szerint (16.3.)</w:t>
      </w:r>
      <w:r>
        <w:tab/>
      </w:r>
      <w:r>
        <w:fldChar w:fldCharType="begin"/>
      </w:r>
      <w:r>
        <w:instrText xml:space="preserve"> PAGEREF _Toc524094054 \h </w:instrText>
      </w:r>
      <w:r>
        <w:fldChar w:fldCharType="separate"/>
      </w:r>
      <w:r>
        <w:t>56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Kereskedési céllal tartott és kereskedési célú pénzügyi eszközökből és kötelezettségekből származó nyereség vagy veszteség kockázat szerint (16.4.)</w:t>
      </w:r>
      <w:r>
        <w:tab/>
      </w:r>
      <w:r>
        <w:fldChar w:fldCharType="begin"/>
      </w:r>
      <w:r>
        <w:instrText xml:space="preserve"> PAGEREF _Toc524094055 \h </w:instrText>
      </w:r>
      <w:r>
        <w:fldChar w:fldCharType="separate"/>
      </w:r>
      <w:r>
        <w:t>56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Kötelezően az eredménnyel szemben valós értéken értékelt nem kereskedési célú pénzügyi eszközök nyeresége vagy vesztesége instrumentum szerint (16.4.1.)</w:t>
      </w:r>
      <w:r>
        <w:tab/>
      </w:r>
      <w:r>
        <w:fldChar w:fldCharType="begin"/>
      </w:r>
      <w:r>
        <w:instrText xml:space="preserve"> PAGEREF _Toc524094056 \h </w:instrText>
      </w:r>
      <w:r>
        <w:fldChar w:fldCharType="separate"/>
      </w:r>
      <w:r>
        <w:t>57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Az eredménnyel szemben valós értéken értékeltnek megjelölt pénzügyi eszközök és kötelezettségek nyeresége vagy vesztesége instrumentum szerint (16.5.)</w:t>
      </w:r>
      <w:r>
        <w:tab/>
      </w:r>
      <w:r>
        <w:fldChar w:fldCharType="begin"/>
      </w:r>
      <w:r>
        <w:instrText xml:space="preserve"> PAGEREF _Toc524094057 \h </w:instrText>
      </w:r>
      <w:r>
        <w:fldChar w:fldCharType="separate"/>
      </w:r>
      <w:r>
        <w:t>57</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Fedezeti elszámolásokból eredő nyereségek vagy veszteségek (16.6.)</w:t>
      </w:r>
      <w:r>
        <w:tab/>
      </w:r>
      <w:r>
        <w:fldChar w:fldCharType="begin"/>
      </w:r>
      <w:r>
        <w:instrText xml:space="preserve"> PAGEREF _Toc524094058 \h </w:instrText>
      </w:r>
      <w:r>
        <w:fldChar w:fldCharType="separate"/>
      </w:r>
      <w:r>
        <w:t>58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rsidRPr="00D770D2">
        <w:rPr>
          <w:caps/>
        </w:rPr>
        <w:t>N</w:t>
      </w:r>
      <w:r>
        <w:t>em pénzügyi eszközök értékvesztése (16.7.)</w:t>
      </w:r>
      <w:r>
        <w:tab/>
      </w:r>
      <w:r>
        <w:fldChar w:fldCharType="begin"/>
      </w:r>
      <w:r>
        <w:instrText xml:space="preserve"> PAGEREF _Toc524094059 \h </w:instrText>
      </w:r>
      <w:r>
        <w:fldChar w:fldCharType="separate"/>
      </w:r>
      <w:r>
        <w:t>58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A konszolidáció számviteli és CRR szerinti körének egyeztetése (17.)</w:t>
      </w:r>
      <w:r>
        <w:tab/>
      </w:r>
      <w:r>
        <w:fldChar w:fldCharType="begin"/>
      </w:r>
      <w:r>
        <w:instrText xml:space="preserve"> PAGEREF _Toc524094060 \h </w:instrText>
      </w:r>
      <w:r>
        <w:fldChar w:fldCharType="separate"/>
      </w:r>
      <w:r>
        <w:t>59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Nemteljesítő kitettségek (18.)</w:t>
      </w:r>
      <w:r>
        <w:tab/>
      </w:r>
      <w:r>
        <w:fldChar w:fldCharType="begin"/>
      </w:r>
      <w:r>
        <w:instrText xml:space="preserve"> PAGEREF _Toc524094061 \h </w:instrText>
      </w:r>
      <w:r>
        <w:fldChar w:fldCharType="separate"/>
      </w:r>
      <w:r>
        <w:t>59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Átstrukturált kitettségek (19.)</w:t>
      </w:r>
      <w:r>
        <w:tab/>
      </w:r>
      <w:r>
        <w:fldChar w:fldCharType="begin"/>
      </w:r>
      <w:r>
        <w:instrText xml:space="preserve"> PAGEREF _Toc524094062 \h </w:instrText>
      </w:r>
      <w:r>
        <w:fldChar w:fldCharType="separate"/>
      </w:r>
      <w:r>
        <w:t>65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Földrajzi megoszlás (20.)</w:t>
      </w:r>
      <w:r>
        <w:tab/>
      </w:r>
      <w:r>
        <w:fldChar w:fldCharType="begin"/>
      </w:r>
      <w:r>
        <w:instrText xml:space="preserve"> PAGEREF _Toc524094063 \h </w:instrText>
      </w:r>
      <w:r>
        <w:fldChar w:fldCharType="separate"/>
      </w:r>
      <w:r>
        <w:t>69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Földrajzi megoszlás a tevékenység helye szerint (20.1-20.3.)</w:t>
      </w:r>
      <w:r>
        <w:tab/>
      </w:r>
      <w:r>
        <w:fldChar w:fldCharType="begin"/>
      </w:r>
      <w:r>
        <w:instrText xml:space="preserve"> PAGEREF _Toc524094064 \h </w:instrText>
      </w:r>
      <w:r>
        <w:fldChar w:fldCharType="separate"/>
      </w:r>
      <w:r>
        <w:t>70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Földrajzi megoszlás az ügyfél székhelye szerint (20.4-20.7.)</w:t>
      </w:r>
      <w:r>
        <w:tab/>
      </w:r>
      <w:r>
        <w:fldChar w:fldCharType="begin"/>
      </w:r>
      <w:r>
        <w:instrText xml:space="preserve"> PAGEREF _Toc524094065 \h </w:instrText>
      </w:r>
      <w:r>
        <w:fldChar w:fldCharType="separate"/>
      </w:r>
      <w:r>
        <w:t>70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Tárgyi eszközök és immateriális javak: operatív lízingbe adott eszközök (21.)</w:t>
      </w:r>
      <w:r>
        <w:tab/>
      </w:r>
      <w:r>
        <w:fldChar w:fldCharType="begin"/>
      </w:r>
      <w:r>
        <w:instrText xml:space="preserve"> PAGEREF _Toc524094066 \h </w:instrText>
      </w:r>
      <w:r>
        <w:fldChar w:fldCharType="separate"/>
      </w:r>
      <w:r>
        <w:t>71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Vagyonkezelés, letétkezelés és egyéb szolgáltatások (22.)</w:t>
      </w:r>
      <w:r>
        <w:tab/>
      </w:r>
      <w:r>
        <w:fldChar w:fldCharType="begin"/>
      </w:r>
      <w:r>
        <w:instrText xml:space="preserve"> PAGEREF _Toc524094067 \h </w:instrText>
      </w:r>
      <w:r>
        <w:fldChar w:fldCharType="separate"/>
      </w:r>
      <w:r>
        <w:t>71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Díj- és jutalékbevételek és díj- és jutalékráfordítások tevékenység szerint (22.1.)</w:t>
      </w:r>
      <w:r>
        <w:tab/>
      </w:r>
      <w:r>
        <w:fldChar w:fldCharType="begin"/>
      </w:r>
      <w:r>
        <w:instrText xml:space="preserve"> PAGEREF _Toc524094068 \h </w:instrText>
      </w:r>
      <w:r>
        <w:fldChar w:fldCharType="separate"/>
      </w:r>
      <w:r>
        <w:t>71</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A nyújtott szolgáltatásokban érintett eszközök (22.2.)</w:t>
      </w:r>
      <w:r>
        <w:tab/>
      </w:r>
      <w:r>
        <w:fldChar w:fldCharType="begin"/>
      </w:r>
      <w:r>
        <w:instrText xml:space="preserve"> PAGEREF _Toc524094069 \h </w:instrText>
      </w:r>
      <w:r>
        <w:fldChar w:fldCharType="separate"/>
      </w:r>
      <w:r>
        <w:t>73</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Érdekeltségek nem konszolidált strukturált gazdálkodó egységekben (30.)</w:t>
      </w:r>
      <w:r>
        <w:tab/>
      </w:r>
      <w:r>
        <w:fldChar w:fldCharType="begin"/>
      </w:r>
      <w:r>
        <w:instrText xml:space="preserve"> PAGEREF _Toc524094070 \h </w:instrText>
      </w:r>
      <w:r>
        <w:fldChar w:fldCharType="separate"/>
      </w:r>
      <w:r>
        <w:t>74</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Kapcsolt felek (31.)</w:t>
      </w:r>
      <w:r>
        <w:tab/>
      </w:r>
      <w:r>
        <w:fldChar w:fldCharType="begin"/>
      </w:r>
      <w:r>
        <w:instrText xml:space="preserve"> PAGEREF _Toc524094071 \h </w:instrText>
      </w:r>
      <w:r>
        <w:fldChar w:fldCharType="separate"/>
      </w:r>
      <w:r>
        <w:t>75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lastRenderedPageBreak/>
        <w:t>23.1.</w:t>
      </w:r>
      <w:r>
        <w:rPr>
          <w:rFonts w:asciiTheme="minorHAnsi" w:eastAsiaTheme="minorEastAsia" w:hAnsiTheme="minorHAnsi" w:cstheme="minorBidi"/>
          <w:sz w:val="22"/>
          <w:szCs w:val="22"/>
          <w:lang w:val="en-GB" w:eastAsia="en-GB" w:bidi="ar-SA"/>
        </w:rPr>
        <w:tab/>
      </w:r>
      <w:r>
        <w:t>Kapcsolt felek: kötelezettségek és követelések kapcsolt felekkel szemben (31.1.)</w:t>
      </w:r>
      <w:r>
        <w:tab/>
      </w:r>
      <w:r>
        <w:fldChar w:fldCharType="begin"/>
      </w:r>
      <w:r>
        <w:instrText xml:space="preserve"> PAGEREF _Toc524094072 \h </w:instrText>
      </w:r>
      <w:r>
        <w:fldChar w:fldCharType="separate"/>
      </w:r>
      <w:r>
        <w:t>75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Kapcsolt felek: kapcsolt felekkel történt ügyletkötésekből származó kiadások és bevételek (31.2.)</w:t>
      </w:r>
      <w:r>
        <w:tab/>
      </w:r>
      <w:r>
        <w:fldChar w:fldCharType="begin"/>
      </w:r>
      <w:r>
        <w:instrText xml:space="preserve"> PAGEREF _Toc524094073 \h </w:instrText>
      </w:r>
      <w:r>
        <w:fldChar w:fldCharType="separate"/>
      </w:r>
      <w:r>
        <w:t>75</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Csoportszerkezet (40.)</w:t>
      </w:r>
      <w:r>
        <w:tab/>
      </w:r>
      <w:r>
        <w:fldChar w:fldCharType="begin"/>
      </w:r>
      <w:r>
        <w:instrText xml:space="preserve"> PAGEREF _Toc524094074 \h </w:instrText>
      </w:r>
      <w:r>
        <w:fldChar w:fldCharType="separate"/>
      </w:r>
      <w:r>
        <w:t>76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24.1.</w:t>
      </w:r>
      <w:r>
        <w:rPr>
          <w:rFonts w:asciiTheme="minorHAnsi" w:eastAsiaTheme="minorEastAsia" w:hAnsiTheme="minorHAnsi" w:cstheme="minorBidi"/>
          <w:sz w:val="22"/>
          <w:szCs w:val="22"/>
          <w:lang w:val="en-GB" w:eastAsia="en-GB" w:bidi="ar-SA"/>
        </w:rPr>
        <w:tab/>
      </w:r>
      <w:r>
        <w:t>Csoportszerkezet: „intézményenként” (40.1.)</w:t>
      </w:r>
      <w:r>
        <w:tab/>
      </w:r>
      <w:r>
        <w:fldChar w:fldCharType="begin"/>
      </w:r>
      <w:r>
        <w:instrText xml:space="preserve"> PAGEREF _Toc524094075 \h </w:instrText>
      </w:r>
      <w:r>
        <w:fldChar w:fldCharType="separate"/>
      </w:r>
      <w:r>
        <w:t>76</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Csoportszerkezet: „instrumentumonként” (40.2.)</w:t>
      </w:r>
      <w:r>
        <w:tab/>
      </w:r>
      <w:r>
        <w:fldChar w:fldCharType="begin"/>
      </w:r>
      <w:r>
        <w:instrText xml:space="preserve"> PAGEREF _Toc524094076 \h </w:instrText>
      </w:r>
      <w:r>
        <w:fldChar w:fldCharType="separate"/>
      </w:r>
      <w:r>
        <w:t>78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Valós érték (41.)</w:t>
      </w:r>
      <w:r>
        <w:tab/>
      </w:r>
      <w:r>
        <w:fldChar w:fldCharType="begin"/>
      </w:r>
      <w:r>
        <w:instrText xml:space="preserve"> PAGEREF _Toc524094077 \h </w:instrText>
      </w:r>
      <w:r>
        <w:fldChar w:fldCharType="separate"/>
      </w:r>
      <w:r>
        <w:t>78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Valósérték-hierarchia: amortizált bekerülési értéken értékelt pénzügyi instrumentumok (41.1.)</w:t>
      </w:r>
      <w:r>
        <w:tab/>
      </w:r>
      <w:r>
        <w:fldChar w:fldCharType="begin"/>
      </w:r>
      <w:r>
        <w:instrText xml:space="preserve"> PAGEREF _Toc524094078 \h </w:instrText>
      </w:r>
      <w:r>
        <w:fldChar w:fldCharType="separate"/>
      </w:r>
      <w:r>
        <w:t>78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A valós érték opció alkalmazása (41.2.)</w:t>
      </w:r>
      <w:r>
        <w:tab/>
      </w:r>
      <w:r>
        <w:fldChar w:fldCharType="begin"/>
      </w:r>
      <w:r>
        <w:instrText xml:space="preserve"> PAGEREF _Toc524094079 \h </w:instrText>
      </w:r>
      <w:r>
        <w:fldChar w:fldCharType="separate"/>
      </w:r>
      <w:r>
        <w:t>78</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Tárgyi eszközök és immateriális javak: könyv szerinti érték értékelési módszer szerint (42.)</w:t>
      </w:r>
      <w:r>
        <w:tab/>
      </w:r>
      <w:r>
        <w:fldChar w:fldCharType="begin"/>
      </w:r>
      <w:r>
        <w:instrText xml:space="preserve"> PAGEREF _Toc524094080 \h </w:instrText>
      </w:r>
      <w:r>
        <w:fldChar w:fldCharType="separate"/>
      </w:r>
      <w:r>
        <w:t>79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Céltartalékok (43.)</w:t>
      </w:r>
      <w:r>
        <w:tab/>
      </w:r>
      <w:r>
        <w:fldChar w:fldCharType="begin"/>
      </w:r>
      <w:r>
        <w:instrText xml:space="preserve"> PAGEREF _Toc524094081 \h </w:instrText>
      </w:r>
      <w:r>
        <w:fldChar w:fldCharType="separate"/>
      </w:r>
      <w:r>
        <w:t>79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Meghatározott juttatási programok és munkavállalói juttatások (44.)</w:t>
      </w:r>
      <w:r>
        <w:tab/>
      </w:r>
      <w:r>
        <w:fldChar w:fldCharType="begin"/>
      </w:r>
      <w:r>
        <w:instrText xml:space="preserve"> PAGEREF _Toc524094082 \h </w:instrText>
      </w:r>
      <w:r>
        <w:fldChar w:fldCharType="separate"/>
      </w:r>
      <w:r>
        <w:t>79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A meghatározott juttatási programok nettó eszközeinek és kötelezettségeinek összetevői (44.1.)</w:t>
      </w:r>
      <w:r>
        <w:tab/>
      </w:r>
      <w:r>
        <w:fldChar w:fldCharType="begin"/>
      </w:r>
      <w:r>
        <w:instrText xml:space="preserve"> PAGEREF _Toc524094083 \h </w:instrText>
      </w:r>
      <w:r>
        <w:fldChar w:fldCharType="separate"/>
      </w:r>
      <w:r>
        <w:t>79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A meghatározott juttatási programban vállalt kötelmek változásai (44.2.)</w:t>
      </w:r>
      <w:r>
        <w:tab/>
      </w:r>
      <w:r>
        <w:fldChar w:fldCharType="begin"/>
      </w:r>
      <w:r>
        <w:instrText xml:space="preserve"> PAGEREF _Toc524094084 \h </w:instrText>
      </w:r>
      <w:r>
        <w:fldChar w:fldCharType="separate"/>
      </w:r>
      <w:r>
        <w:t>79</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Tájékoztató adatok [személyi jellegű ráfordításokhoz kapcsolódó] (44.3.)</w:t>
      </w:r>
      <w:r>
        <w:tab/>
      </w:r>
      <w:r>
        <w:fldChar w:fldCharType="begin"/>
      </w:r>
      <w:r>
        <w:instrText xml:space="preserve"> PAGEREF _Toc524094085 \h </w:instrText>
      </w:r>
      <w:r>
        <w:fldChar w:fldCharType="separate"/>
      </w:r>
      <w:r>
        <w:t>80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Az eredménykimutatás kiválasztott tételeinek részletezése (45.)</w:t>
      </w:r>
      <w:r>
        <w:tab/>
      </w:r>
      <w:r>
        <w:fldChar w:fldCharType="begin"/>
      </w:r>
      <w:r>
        <w:instrText xml:space="preserve"> PAGEREF _Toc524094086 \h </w:instrText>
      </w:r>
      <w:r>
        <w:fldChar w:fldCharType="separate"/>
      </w:r>
      <w:r>
        <w:t>80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Az eredménnyel szemben valós értéken értékeltnek megjelölt pénzügyi eszközök és kötelezettségek nyeresége vagy vesztesége számviteli portfólió szerint (45.1.)</w:t>
      </w:r>
      <w:r>
        <w:tab/>
      </w:r>
      <w:r>
        <w:fldChar w:fldCharType="begin"/>
      </w:r>
      <w:r>
        <w:instrText xml:space="preserve"> PAGEREF _Toc524094087 \h </w:instrText>
      </w:r>
      <w:r>
        <w:fldChar w:fldCharType="separate"/>
      </w:r>
      <w:r>
        <w:t>80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Nem pénzügyi eszközök kivezetéséből származó nyereség vagy veszteség (45.2.)</w:t>
      </w:r>
      <w:r>
        <w:tab/>
      </w:r>
      <w:r>
        <w:fldChar w:fldCharType="begin"/>
      </w:r>
      <w:r>
        <w:instrText xml:space="preserve"> PAGEREF _Toc524094088 \h </w:instrText>
      </w:r>
      <w:r>
        <w:fldChar w:fldCharType="separate"/>
      </w:r>
      <w:r>
        <w:t>80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Egyéb működési bevételek és ráfordítások (45.3.)</w:t>
      </w:r>
      <w:r>
        <w:tab/>
      </w:r>
      <w:r>
        <w:fldChar w:fldCharType="begin"/>
      </w:r>
      <w:r>
        <w:instrText xml:space="preserve"> PAGEREF _Toc524094089 \h </w:instrText>
      </w:r>
      <w:r>
        <w:fldChar w:fldCharType="separate"/>
      </w:r>
      <w:r>
        <w:t>80</w:t>
      </w:r>
      <w:r>
        <w:fldChar w:fldCharType="end"/>
      </w:r>
    </w:p>
    <w:p w:rsidR="00E4414B" w:rsidRDefault="00E4414B">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A sajáttőke-változások kimutatása (46.)</w:t>
      </w:r>
      <w:r>
        <w:tab/>
      </w:r>
      <w:r>
        <w:fldChar w:fldCharType="begin"/>
      </w:r>
      <w:r>
        <w:instrText xml:space="preserve"> PAGEREF _Toc524094090 \h </w:instrText>
      </w:r>
      <w:r>
        <w:fldChar w:fldCharType="separate"/>
      </w:r>
      <w:r>
        <w:t>81</w:t>
      </w:r>
      <w:r>
        <w:fldChar w:fldCharType="end"/>
      </w:r>
    </w:p>
    <w:p w:rsidR="00E4414B" w:rsidRDefault="00E4414B">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A kitettségi osztályok és ügyfélszektorok megfeleltetése</w:t>
      </w:r>
      <w:r>
        <w:rPr>
          <w:noProof/>
        </w:rPr>
        <w:tab/>
      </w:r>
      <w:r>
        <w:rPr>
          <w:noProof/>
        </w:rPr>
        <w:fldChar w:fldCharType="begin"/>
      </w:r>
      <w:r>
        <w:rPr>
          <w:noProof/>
        </w:rPr>
        <w:instrText xml:space="preserve"> PAGEREF _Toc524094091 \h </w:instrText>
      </w:r>
      <w:r>
        <w:rPr>
          <w:noProof/>
        </w:rPr>
      </w:r>
      <w:r>
        <w:rPr>
          <w:noProof/>
        </w:rPr>
        <w:fldChar w:fldCharType="separate"/>
      </w:r>
      <w:r>
        <w:rPr>
          <w:noProof/>
        </w:rPr>
        <w:t>81</w:t>
      </w:r>
      <w:r>
        <w:rPr>
          <w:noProof/>
        </w:rPr>
        <w:fldChar w:fldCharType="end"/>
      </w:r>
    </w:p>
    <w:p w:rsidR="00706EB1" w:rsidRDefault="0087024E">
      <w:pPr>
        <w:spacing w:after="0"/>
        <w:rPr>
          <w:rFonts w:asciiTheme="minorHAnsi" w:eastAsiaTheme="minorEastAsia" w:hAnsiTheme="minorHAnsi" w:cstheme="minorBidi"/>
          <w:noProof/>
          <w:szCs w:val="22"/>
        </w:rPr>
        <w:sectPr w:rsidR="00706EB1"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1. RÉSZ</w:t>
      </w:r>
      <w:bookmarkEnd w:id="2"/>
    </w:p>
    <w:p w:rsidR="009569C7" w:rsidRPr="00EC4FA2" w:rsidRDefault="00A834F1" w:rsidP="009569C7">
      <w:pPr>
        <w:pStyle w:val="Heading1"/>
      </w:pPr>
      <w:bookmarkStart w:id="3" w:name="_Toc362359270"/>
      <w:bookmarkStart w:id="4" w:name="_Toc467855193"/>
      <w:bookmarkStart w:id="5" w:name="_Toc524094008"/>
      <w:r>
        <w:t>Általános útmutató</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524094009"/>
      <w:r>
        <w:t>Hivatkozások</w:t>
      </w:r>
      <w:bookmarkEnd w:id="6"/>
      <w:bookmarkEnd w:id="7"/>
      <w:bookmarkEnd w:id="9"/>
    </w:p>
    <w:bookmarkEnd w:id="8"/>
    <w:p w:rsidR="009569C7" w:rsidRPr="00EC4FA2" w:rsidRDefault="00A834F1" w:rsidP="009569C7">
      <w:pPr>
        <w:pStyle w:val="Baseparagraphnumbered"/>
      </w:pPr>
      <w:r>
        <w:t xml:space="preserve">Ez a melléklet a jelen rendelet III. és IV. mellékletében szereplő pénzügyi információkra vonatkozó táblákkal (a továbbiakban: FINREP) kapcsolatos további útmutatást tartalmaz. Ez a melléklet kiegészíti a III. és IV. melléklet tábláiban hivatkozások formájában szereplő útmutatást. </w:t>
      </w:r>
    </w:p>
    <w:p w:rsidR="009569C7" w:rsidRPr="00EC4FA2" w:rsidRDefault="00A834F1" w:rsidP="009569C7">
      <w:pPr>
        <w:pStyle w:val="Baseparagraphnumbered"/>
      </w:pPr>
      <w:r>
        <w:t xml:space="preserve">Azon intézményeknek, amelyek az </w:t>
      </w:r>
      <w:proofErr w:type="spellStart"/>
      <w:r>
        <w:t>IFRS-sel</w:t>
      </w:r>
      <w:proofErr w:type="spellEnd"/>
      <w:r>
        <w:t xml:space="preserve"> kompatibilis nemzeti számviteli standardokat használnak (a továbbiakban: kompatibilis nemzeti GAAP), eltérő rendelkezés hiányában az e mellékletben ismertetett közös útmutatásokat és az </w:t>
      </w:r>
      <w:proofErr w:type="spellStart"/>
      <w:r>
        <w:t>IFRS-útmutatásokat</w:t>
      </w:r>
      <w:proofErr w:type="spellEnd"/>
      <w:r>
        <w:t xml:space="preserve"> kell alkalmazniuk. Ez nem érinti a kompatibilis nemzeti GAAP előírásainak a BAD előírásaival való összhangját. Azon intézményeknek, amelyek az </w:t>
      </w:r>
      <w:proofErr w:type="spellStart"/>
      <w:r>
        <w:t>IFRS-sel</w:t>
      </w:r>
      <w:proofErr w:type="spellEnd"/>
      <w:r>
        <w:t xml:space="preserve"> nem kompatibilis </w:t>
      </w:r>
      <w:proofErr w:type="spellStart"/>
      <w:r>
        <w:t>GAAP-ot</w:t>
      </w:r>
      <w:proofErr w:type="spellEnd"/>
      <w:r>
        <w:t xml:space="preserve"> használnak vagy azt még nem hangolták össze az IFRS 9 előírásaival, eltérő rendelkezés hiányában az e mellékletben ismertetett közös útmutatásokat és a </w:t>
      </w:r>
      <w:proofErr w:type="spellStart"/>
      <w:r>
        <w:t>BAD-útmutatásokat</w:t>
      </w:r>
      <w:proofErr w:type="spellEnd"/>
      <w:r>
        <w:t xml:space="preserve"> kell alkalmazniuk.</w:t>
      </w:r>
    </w:p>
    <w:p w:rsidR="009569C7" w:rsidRPr="00EC4FA2" w:rsidRDefault="00A834F1" w:rsidP="009569C7">
      <w:pPr>
        <w:pStyle w:val="Baseparagraphnumbered"/>
      </w:pPr>
      <w:r>
        <w:t>A táblákban meghatározott adatpontokat az 575/2013/EU rendelet 4. cikke (1) bekezdésének 77. pontja szerint alkalmazandó számviteli szabályozás megjelenítésre, beszámításra és értékelésre vonatkozó szabályaival összhangban kell előállítani.</w:t>
      </w:r>
    </w:p>
    <w:p w:rsidR="009569C7" w:rsidRPr="00EC4FA2" w:rsidRDefault="00A834F1" w:rsidP="009569C7">
      <w:pPr>
        <w:pStyle w:val="Baseparagraphnumbered"/>
      </w:pPr>
      <w:r>
        <w:t>Az intézményeknek a tábláknak csak a következőkre vonatkozó részeit kell benyújtaniuk:</w:t>
      </w:r>
    </w:p>
    <w:p w:rsidR="009569C7" w:rsidRPr="00EC4FA2" w:rsidRDefault="00A834F1" w:rsidP="009569C7">
      <w:pPr>
        <w:pStyle w:val="Baseparagraphnumbered"/>
        <w:numPr>
          <w:ilvl w:val="0"/>
          <w:numId w:val="29"/>
        </w:numPr>
        <w:ind w:left="1134" w:hanging="426"/>
      </w:pPr>
      <w:r>
        <w:t>az intézmény által megjelenített eszközök, kötelezettségek, saját tőke, bevételek és kiadások;</w:t>
      </w:r>
    </w:p>
    <w:p w:rsidR="009569C7" w:rsidRPr="00EC4FA2" w:rsidRDefault="00A834F1" w:rsidP="009569C7">
      <w:pPr>
        <w:pStyle w:val="Baseparagraphnumbered"/>
        <w:numPr>
          <w:ilvl w:val="0"/>
          <w:numId w:val="29"/>
        </w:numPr>
        <w:ind w:left="1134" w:hanging="426"/>
      </w:pPr>
      <w:r>
        <w:t>mérlegen kívüli kitettségek és olyan tevékenységek, amelyekben az intézmény érintett;</w:t>
      </w:r>
    </w:p>
    <w:p w:rsidR="009569C7" w:rsidRPr="00EC4FA2" w:rsidRDefault="00A834F1" w:rsidP="009569C7">
      <w:pPr>
        <w:pStyle w:val="Baseparagraphnumbered"/>
        <w:numPr>
          <w:ilvl w:val="0"/>
          <w:numId w:val="29"/>
        </w:numPr>
        <w:ind w:left="1134" w:hanging="426"/>
      </w:pPr>
      <w:r>
        <w:t>az intézmény által végrehajtott tranzakciók;</w:t>
      </w:r>
    </w:p>
    <w:p w:rsidR="009569C7" w:rsidRPr="00EC4FA2" w:rsidRDefault="00A834F1" w:rsidP="009569C7">
      <w:pPr>
        <w:pStyle w:val="Baseparagraphnumbered"/>
        <w:numPr>
          <w:ilvl w:val="0"/>
          <w:numId w:val="29"/>
        </w:numPr>
        <w:ind w:left="1134" w:hanging="425"/>
      </w:pPr>
      <w:r>
        <w:t>értékelési előírások, beleértve a hitelkockázat után elszámolt értékvesztés becslésére az intézmény által alkalmazott módszert.</w:t>
      </w:r>
    </w:p>
    <w:p w:rsidR="009569C7" w:rsidRPr="00EC4FA2" w:rsidRDefault="00A834F1" w:rsidP="009569C7">
      <w:pPr>
        <w:pStyle w:val="Baseparagraphnumbered"/>
        <w:ind w:left="1134"/>
      </w:pPr>
      <w:r>
        <w:t>A III. és a IV. melléklet, valamint a jelen melléklet alkalmazásában is a következő rövidítések kerülnek alkalmazásra:</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az 575/2013/EU rendelet;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vagy „IFRS”: az 1606/2002/EK rendelet</w:t>
      </w:r>
      <w:r>
        <w:rPr>
          <w:rStyle w:val="FootnoteReference"/>
          <w:rFonts w:ascii="Times New Roman" w:hAnsi="Times New Roman"/>
          <w:sz w:val="24"/>
        </w:rPr>
        <w:footnoteReference w:id="2"/>
      </w:r>
      <w:r>
        <w:rPr>
          <w:rFonts w:ascii="Times New Roman" w:hAnsi="Times New Roman"/>
          <w:sz w:val="24"/>
        </w:rPr>
        <w:t xml:space="preserve"> (IAS rendelet) 2. cikkében meghatározott, a Bizottság által elfogadott nemzetközi számviteli standardok;</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„EKB BSI rendelet” vagy „EKB/2013/33”: </w:t>
      </w:r>
      <w:bookmarkStart w:id="10" w:name="OLE_LINK2"/>
      <w:r>
        <w:rPr>
          <w:rFonts w:ascii="Times New Roman" w:hAnsi="Times New Roman"/>
          <w:sz w:val="24"/>
        </w:rPr>
        <w:t>az Európai Központi Bank 1071/2013/EU rendelete</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NACE-rendelet</w:t>
      </w:r>
      <w:proofErr w:type="spellEnd"/>
      <w:r>
        <w:rPr>
          <w:rFonts w:ascii="Times New Roman" w:hAnsi="Times New Roman"/>
          <w:sz w:val="24"/>
        </w:rPr>
        <w:t>”: az Európai Parlament és a Tanács 1893/2006/EK rendelete</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NACE-kódok</w:t>
      </w:r>
      <w:proofErr w:type="spellEnd"/>
      <w:r>
        <w:rPr>
          <w:rFonts w:ascii="Times New Roman" w:hAnsi="Times New Roman"/>
          <w:sz w:val="24"/>
        </w:rPr>
        <w:t xml:space="preserve">”: a </w:t>
      </w:r>
      <w:proofErr w:type="spellStart"/>
      <w:r>
        <w:rPr>
          <w:rFonts w:ascii="Times New Roman" w:hAnsi="Times New Roman"/>
          <w:sz w:val="24"/>
        </w:rPr>
        <w:t>NACE-rendelet</w:t>
      </w:r>
      <w:proofErr w:type="spellEnd"/>
      <w:r>
        <w:rPr>
          <w:rFonts w:ascii="Times New Roman" w:hAnsi="Times New Roman"/>
          <w:sz w:val="24"/>
        </w:rPr>
        <w:t xml:space="preserve"> szerinti kódok;</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a 86/635/EGK tanácsi irányelv</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„Számviteli irányelv”: a 2013/34/EU irányelv</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„nemzeti GAAP”: a BAD alapján kidolgozott, általánosan elfogadott nemzeti számviteli szabályozás;</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„KKV”: a C(2003)1422 bizottsági ajánlásban</w:t>
      </w:r>
      <w:r>
        <w:rPr>
          <w:rFonts w:ascii="Times New Roman" w:hAnsi="Times New Roman"/>
          <w:sz w:val="24"/>
          <w:vertAlign w:val="superscript"/>
        </w:rPr>
        <w:footnoteReference w:id="7"/>
      </w:r>
      <w:r>
        <w:rPr>
          <w:rFonts w:ascii="Times New Roman" w:hAnsi="Times New Roman"/>
          <w:sz w:val="24"/>
        </w:rPr>
        <w:t xml:space="preserve"> meghatározott mikro-, kis- és középvállalkozások;</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ISIN-kód</w:t>
      </w:r>
      <w:proofErr w:type="spellEnd"/>
      <w:r>
        <w:rPr>
          <w:rFonts w:ascii="Times New Roman" w:hAnsi="Times New Roman"/>
          <w:sz w:val="24"/>
        </w:rPr>
        <w:t xml:space="preserve">”. az értékpapírokhoz rendelt 12 alfanumerikus karakterből álló nemzetközi értékpapírkód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amely egyedileg azonosítja a forgalomban lévő értékpapírokat;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LEI-kód</w:t>
      </w:r>
      <w:proofErr w:type="spellEnd"/>
      <w:r>
        <w:rPr>
          <w:rFonts w:ascii="Times New Roman" w:hAnsi="Times New Roman"/>
          <w:sz w:val="24"/>
        </w:rPr>
        <w:t>”: az intézményekhez rendelt globális jogalany-azonosító, amely egyedileg azonosítja a pénzügyi tranzakciókban részt vevő feleket;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lastRenderedPageBreak/>
        <w:t>„Értékvesztési szakaszok”: 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524094010"/>
      <w:r>
        <w:t>Jelölési szabály</w:t>
      </w:r>
      <w:bookmarkEnd w:id="12"/>
      <w:r>
        <w:t>ok</w:t>
      </w:r>
      <w:bookmarkEnd w:id="13"/>
      <w:bookmarkEnd w:id="14"/>
    </w:p>
    <w:bookmarkEnd w:id="11"/>
    <w:p w:rsidR="009569C7" w:rsidRPr="00EC4FA2" w:rsidRDefault="00A834F1" w:rsidP="009569C7">
      <w:pPr>
        <w:pStyle w:val="Baseparagraphnumbered"/>
      </w:pPr>
      <w:r>
        <w:t>A III. melléklet és a IV. melléklet alkalmazásában a szürke háttérszínnel jelölt adatpont (cella) azt jelenti, hogy az adott adatpont (cella) kitöltése nem szükséges, vagy arra vonatkozóan nem lehet adatot szolgáltatni. A IV. mellékletben fekete háttérszínű hivatkozásokkal jelölt sor vagy oszlop azt jelenti, hogy a kapcsolódó adatpontokat nem kell jelenteniük azoknak az intézményeknek, amelyek az adott sorban vagy oszlopban feltüntetett hivatkozásokat követik.</w:t>
      </w:r>
    </w:p>
    <w:p w:rsidR="009569C7" w:rsidRPr="00EC4FA2" w:rsidRDefault="00A834F1" w:rsidP="009569C7">
      <w:pPr>
        <w:pStyle w:val="Baseparagraphnumbered"/>
      </w:pPr>
      <w:r>
        <w:t>A III. és IV. mellékletben szereplő táblák implicit ellenőrzési szabályokat tartalmaznak, amelyek magukban a táblákban a jelölési szabályok használatán keresztül kerülnek meghatározásra.</w:t>
      </w:r>
    </w:p>
    <w:p w:rsidR="009569C7" w:rsidRPr="00EC4FA2" w:rsidRDefault="00A834F1" w:rsidP="009569C7">
      <w:pPr>
        <w:pStyle w:val="Baseparagraphnumbered"/>
      </w:pPr>
      <w:r>
        <w:t>Egy táblában szereplő valamely tétel megnevezésében a zárójelek használata azt jelenti, hogy az adott tételt le kell vonni ahhoz, hogy megkapjuk az „összesen” értéket, de nem jelenti azt, hogy az adott tételt negatív értékként kell megjeleníteni.</w:t>
      </w:r>
    </w:p>
    <w:p w:rsidR="009569C7" w:rsidRPr="00EC4FA2" w:rsidRDefault="00A834F1" w:rsidP="009569C7">
      <w:pPr>
        <w:pStyle w:val="Baseparagraphnumbered"/>
      </w:pPr>
      <w:r>
        <w:t>A negatív értékként megjelenítendő tételeket a táblák a megnevezés előtt „(–)” jellel jelölik, például „(–) Saját részvények”.</w:t>
      </w:r>
    </w:p>
    <w:p w:rsidR="009569C7" w:rsidRPr="00EC4FA2" w:rsidRDefault="00A834F1" w:rsidP="009569C7">
      <w:pPr>
        <w:pStyle w:val="Baseparagraphnumbered"/>
      </w:pPr>
      <w:r>
        <w:t xml:space="preserve">A III. és IV. melléklet pénzügyi információk jelentésére szolgáló tábláihoz tartozó „Adatmodellben” (a továbbiakban: DPM – Data </w:t>
      </w:r>
      <w:proofErr w:type="spellStart"/>
      <w:r>
        <w:t>Point</w:t>
      </w:r>
      <w:proofErr w:type="spellEnd"/>
      <w:r>
        <w:t xml:space="preserve"> </w:t>
      </w:r>
      <w:proofErr w:type="spellStart"/>
      <w:r>
        <w:t>Model</w:t>
      </w:r>
      <w:proofErr w:type="spellEnd"/>
      <w:r>
        <w:t xml:space="preserve">) minden adatpont (cella) rendelkezik egy „bázis tétellel”, amelyhez a „tartozik/követel” jellemző kerül hozzárendelésre. Ez a hozzárendelés biztosítja, hogy az összes adatszolgáltató intézmény kövesse az előjelekre vonatkozó szabályokat, és segítségével megismerhető az egyes adatokhoz rendelt „követel/tartozik” jellemző. </w:t>
      </w:r>
    </w:p>
    <w:p w:rsidR="009569C7" w:rsidRPr="00EC4FA2" w:rsidRDefault="00A834F1" w:rsidP="009569C7">
      <w:pPr>
        <w:pStyle w:val="Baseparagraphnumbered"/>
      </w:pPr>
      <w:r>
        <w:t>Sematikusan ez a jelölési mód az 1. táblázatban bemutatottak szerint működik.</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1. táblázat „Követel/tartozik” jelölés, pozitív és negatív előjelek</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Követel</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/Tartozik</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Egyenleg</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/Változás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Jelentett adat</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Tartozik</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Követel</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Kötelezettségek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Saját tőke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524094011"/>
      <w:r>
        <w:t>Konszolidáció</w:t>
      </w:r>
      <w:bookmarkEnd w:id="15"/>
      <w:bookmarkEnd w:id="16"/>
      <w:bookmarkEnd w:id="17"/>
    </w:p>
    <w:p w:rsidR="009569C7" w:rsidRPr="00EC4FA2" w:rsidRDefault="00A834F1" w:rsidP="009569C7">
      <w:pPr>
        <w:pStyle w:val="Baseparagraphnumbered"/>
      </w:pPr>
      <w:r>
        <w:t xml:space="preserve">E melléklet eltérő rendelkezésének hiányában a </w:t>
      </w:r>
      <w:proofErr w:type="spellStart"/>
      <w:r>
        <w:t>FINREP-táblákat</w:t>
      </w:r>
      <w:proofErr w:type="spellEnd"/>
      <w:r>
        <w:t xml:space="preserve"> a </w:t>
      </w:r>
      <w:proofErr w:type="spellStart"/>
      <w:r>
        <w:t>prudenciális</w:t>
      </w:r>
      <w:proofErr w:type="spellEnd"/>
      <w:r>
        <w:t xml:space="preserve"> konszolidáció körének alkalmazásával kell kitölteni a CRR 1. része II. címe 2. fejezetének 2. szakaszával összhangban. Az intézményeknek leányvállalataikra, közös vállalkozásaikra valamint társult vállalkozásaikra vonatkozóan a </w:t>
      </w:r>
      <w:proofErr w:type="spellStart"/>
      <w:r>
        <w:t>prudenciális</w:t>
      </w:r>
      <w:proofErr w:type="spellEnd"/>
      <w:r>
        <w:t xml:space="preserve"> konszolidációnál használt módszerekkel azonos módszerek segítségével kell adatot szolgáltatniuk: </w:t>
      </w:r>
    </w:p>
    <w:p w:rsidR="009569C7" w:rsidRPr="00EC4FA2" w:rsidRDefault="00A834F1" w:rsidP="009569C7">
      <w:pPr>
        <w:pStyle w:val="Baseparagraphnumbered"/>
        <w:numPr>
          <w:ilvl w:val="1"/>
          <w:numId w:val="27"/>
        </w:numPr>
        <w:ind w:left="993"/>
      </w:pPr>
      <w:r>
        <w:lastRenderedPageBreak/>
        <w:t xml:space="preserve">az intézmények számára engedélyezhetik vagy előírhatják a tőkemódszer alkalmazását a biztosítókba vagy nem pénzügyi leányvállalatokba történt befektetések vonatkozásában a CRR 18. cikkének (5) bekezdésével összhangban;  </w:t>
      </w:r>
    </w:p>
    <w:p w:rsidR="009569C7" w:rsidRPr="00EC4FA2" w:rsidRDefault="00A834F1" w:rsidP="009569C7">
      <w:pPr>
        <w:pStyle w:val="Baseparagraphnumbered"/>
        <w:numPr>
          <w:ilvl w:val="1"/>
          <w:numId w:val="27"/>
        </w:numPr>
        <w:ind w:left="993"/>
      </w:pPr>
      <w:r>
        <w:t>az intézmények számára engedélyezhetik az arányos konszolidálás módszerének alkalmazását a pénzügyi leányvállalatokra vonatkozóan a CRR 18. cikkének (2) bekezdésével összhangban;</w:t>
      </w:r>
    </w:p>
    <w:p w:rsidR="009569C7" w:rsidRPr="00EC4FA2" w:rsidRDefault="00A834F1" w:rsidP="009569C7">
      <w:pPr>
        <w:pStyle w:val="Baseparagraphnumbered"/>
        <w:numPr>
          <w:ilvl w:val="1"/>
          <w:numId w:val="27"/>
        </w:numPr>
        <w:ind w:left="993"/>
      </w:pPr>
      <w:r>
        <w:t>az intézmények számára előírhatják az arányos konszolidálás módszerének alkalmazását a közös vállalatokba történt befektetésekre vonatkozóan a CRR 18. cikkének (4) bekezdésével összhangban.</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524094012"/>
      <w:r>
        <w:t>Pénzügyi instrumentumok számviteli portfóliói</w:t>
      </w:r>
      <w:bookmarkEnd w:id="18"/>
      <w:bookmarkEnd w:id="19"/>
      <w:bookmarkEnd w:id="20"/>
      <w:bookmarkEnd w:id="21"/>
      <w:r>
        <w:t xml:space="preserve"> </w:t>
      </w:r>
    </w:p>
    <w:p w:rsidR="009569C7" w:rsidRPr="00EC4FA2" w:rsidRDefault="00A834F1" w:rsidP="009569C7">
      <w:pPr>
        <w:pStyle w:val="Baseparagraphnumbered"/>
      </w:pPr>
      <w:r>
        <w:t>A III. és a IV. melléklet, valamint jelen melléklet alkalmazásában a „számviteli portfóliók” kifejezés az értékelési előírások szerint csoportosított pénzügyi instrumentumokat jelenti. Ezek a csoportok nem tartalmazzák a leányvállalatokban, közös vállalkozásokban és társult vállalkozásokban lévő befektetéseket, a „Készpénz, számlakövetelések a központi bankokkal szemben és egyéb látra szóló betétek” tételbe sorolt látra szóló követel egyenlegeket, valamint az „Értékesítésre tartottá minősített befektetett eszközök és elidegenítési csoportok”, valamint az „Értékesítésre tartottá minősített elidegenítési csoportba tartozó kötelezettségek” között megjelenített „Értékesítésre tartott”</w:t>
      </w:r>
      <w:proofErr w:type="spellStart"/>
      <w:r>
        <w:t>-á</w:t>
      </w:r>
      <w:proofErr w:type="spellEnd"/>
      <w:r>
        <w:t xml:space="preserve"> minősített pénzügyi instrumentumokat.</w:t>
      </w:r>
    </w:p>
    <w:p w:rsidR="009569C7" w:rsidRPr="00EC4FA2" w:rsidRDefault="00A834F1" w:rsidP="009569C7">
      <w:pPr>
        <w:pStyle w:val="Baseparagraphnumbered"/>
      </w:pPr>
      <w:r>
        <w:t xml:space="preserve">A nemzeti GAAP szerinti elszámolás esetén azoknak az intézményeknek, amelyek számára engedélyezték vagy előírták, hogy bizonyos értékelési előírásokat az </w:t>
      </w:r>
      <w:proofErr w:type="spellStart"/>
      <w:r>
        <w:t>IFRS-nek</w:t>
      </w:r>
      <w:proofErr w:type="spellEnd"/>
      <w:r>
        <w:t xml:space="preserve"> megfelelően alkalmazzanak a pénzügyi instrumentumokra, a vonatkozó IFRS számviteli portfóliókról kell adatot szolgáltatniuk, amennyiben ilyen szabályokat alkalmaznak. Amennyiben a pénzügyi instrumentumokra vonatkozó azon értékelési előírások, amelyek alkalmazása a BAD alapján kidolgozott nemzeti GAAP szerint az intézmények számára engedélyezett vagy előírt, az IAS 39 értékelési előírásaira hivatkoznak, az intézményeknek mindaddig – valamennyi pénzügyi instrumentumuk tekintetében – a </w:t>
      </w:r>
      <w:proofErr w:type="spellStart"/>
      <w:r>
        <w:t>BAD-on</w:t>
      </w:r>
      <w:proofErr w:type="spellEnd"/>
      <w:r>
        <w:t xml:space="preserve"> alapuló számviteli portfólióikról kell adatot szolgáltatniuk, amíg az általuk alkalmazott értékelési előírások az IFRS 9 értékelési előírásaira nem hivatkoznak.</w:t>
      </w:r>
    </w:p>
    <w:p w:rsidR="009569C7" w:rsidRPr="00EC4FA2" w:rsidRDefault="00A834F1" w:rsidP="009569C7">
      <w:pPr>
        <w:pStyle w:val="sub-subtitlenumbered"/>
      </w:pPr>
      <w:bookmarkStart w:id="22" w:name="_Toc467855198"/>
      <w:bookmarkStart w:id="23" w:name="_Toc524094013"/>
      <w:r>
        <w:t>Pénzügyi eszközök</w:t>
      </w:r>
      <w:bookmarkEnd w:id="22"/>
      <w:bookmarkEnd w:id="23"/>
    </w:p>
    <w:p w:rsidR="009569C7" w:rsidRPr="00EC4FA2" w:rsidRDefault="00A834F1" w:rsidP="009569C7">
      <w:pPr>
        <w:pStyle w:val="Baseparagraphnumbered"/>
      </w:pPr>
      <w:r>
        <w:t>A pénzügyi eszközök vonatkozásában a következő számviteli portfóliók használandók az IFRS alapján:</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„Kereskedési céllal tartott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„Kötelezően az eredménnyel szemben valós értéken értékelt, nem kereskedési célú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„Az eredménnyel szemben valós értéken értékeltnek megjelölt pénzügyi eszközök”;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„Az egyéb átfogó jövedelemmel szemben valós értéken értékelt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„Amortizált bekerülési értéken értékelt pénzügyi eszközök”. </w:t>
      </w:r>
    </w:p>
    <w:p w:rsidR="009569C7" w:rsidRPr="00EC4FA2" w:rsidRDefault="00A834F1" w:rsidP="009569C7">
      <w:pPr>
        <w:pStyle w:val="Baseparagraphnumbered"/>
      </w:pPr>
      <w:r>
        <w:t>A pénzügyi eszközök vonatkozásában a következő számviteli portfóliók használandók a nemzeti GAAP alapján:</w:t>
      </w:r>
    </w:p>
    <w:p w:rsidR="009569C7" w:rsidRPr="00EC4FA2" w:rsidRDefault="00A834F1" w:rsidP="00E4414B">
      <w:pPr>
        <w:pStyle w:val="Baseparagraphnumbered"/>
        <w:numPr>
          <w:ilvl w:val="0"/>
          <w:numId w:val="76"/>
        </w:numPr>
      </w:pPr>
      <w:r>
        <w:t xml:space="preserve">„Kereskedési célú pénzügyi eszközök”; </w:t>
      </w:r>
    </w:p>
    <w:p w:rsidR="009569C7" w:rsidRPr="00EC4FA2" w:rsidRDefault="00A834F1" w:rsidP="00E4414B">
      <w:pPr>
        <w:pStyle w:val="Baseparagraphnumbered"/>
        <w:numPr>
          <w:ilvl w:val="0"/>
          <w:numId w:val="76"/>
        </w:numPr>
      </w:pPr>
      <w:r>
        <w:t xml:space="preserve">„Az eredménnyel szemben valós értéken értékelt, nem kereskedési célú, nem származtatott pénzügyi eszközök”; </w:t>
      </w:r>
    </w:p>
    <w:p w:rsidR="009569C7" w:rsidRPr="00EC4FA2" w:rsidRDefault="00A834F1" w:rsidP="00E4414B">
      <w:pPr>
        <w:pStyle w:val="Baseparagraphnumbered"/>
        <w:numPr>
          <w:ilvl w:val="0"/>
          <w:numId w:val="76"/>
        </w:numPr>
      </w:pPr>
      <w:r>
        <w:t>„A saját tőkével szemben valós értéken értékelt, nem kereskedési célú, nem származtatott pénzügyi eszközök”;</w:t>
      </w:r>
    </w:p>
    <w:p w:rsidR="009569C7" w:rsidRPr="00EC4FA2" w:rsidRDefault="00A834F1" w:rsidP="00E4414B">
      <w:pPr>
        <w:pStyle w:val="Baseparagraphnumbered"/>
        <w:numPr>
          <w:ilvl w:val="0"/>
          <w:numId w:val="76"/>
        </w:numPr>
      </w:pPr>
      <w:r>
        <w:t>„</w:t>
      </w:r>
      <w:proofErr w:type="spellStart"/>
      <w:r>
        <w:t>Bekerülésiérték-módszerrel</w:t>
      </w:r>
      <w:proofErr w:type="spellEnd"/>
      <w:r>
        <w:t xml:space="preserve"> értékelt nem kereskedési célú, nem származtatott pénzügyi eszközök”; valamint </w:t>
      </w:r>
    </w:p>
    <w:p w:rsidR="009569C7" w:rsidRPr="00EC4FA2" w:rsidRDefault="00A834F1" w:rsidP="00E4414B">
      <w:pPr>
        <w:pStyle w:val="Baseparagraphnumbered"/>
        <w:numPr>
          <w:ilvl w:val="0"/>
          <w:numId w:val="76"/>
        </w:numPr>
      </w:pPr>
      <w:r>
        <w:t>„Egyéb nem kereskedési célú, nem származtatott pénzügyi eszközök”.</w:t>
      </w:r>
    </w:p>
    <w:p w:rsidR="009569C7" w:rsidRPr="00EC4FA2" w:rsidRDefault="00A834F1" w:rsidP="009569C7">
      <w:pPr>
        <w:pStyle w:val="Baseparagraphnumbered"/>
      </w:pPr>
      <w:r>
        <w:t>A „Kereskedési célú pénzügyi eszközök” magukban foglalják a BAD alapján kidolgozott vonatkozó nemzeti GAAP szerint kereskedési célúként besorolt valamennyi pénzügyi eszközt. A BAD alapján kidolgozott vonatkozó nemzeti GAAP szerint alkalmazott értékelési módszertantól függetlenül valamennyi olyan származtatott ügyletet, amely az adatszolgáltató intézmény vonatkozásában pozitív egyenlegű, és nincs e rész 22. bekezdésének megfelelően fedezeti elszámolásként besorolva, kereskedési célú pénzügyi eszközként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9569C7" w:rsidRPr="00EC4FA2" w:rsidRDefault="00A834F1" w:rsidP="009569C7">
      <w:pPr>
        <w:pStyle w:val="Baseparagraphnumbered"/>
      </w:pPr>
      <w:r>
        <w:t>A BAD alapján kidolgozott nemzeti GAAP szerinti elszámolás esetén a pénzügyi eszközök tekintetében a „</w:t>
      </w:r>
      <w:proofErr w:type="spellStart"/>
      <w:r>
        <w:t>bekerülésiérték-módszerek</w:t>
      </w:r>
      <w:proofErr w:type="spellEnd"/>
      <w:r>
        <w:t xml:space="preserve">” közé azon értékelési előírások tartoznak, amelyekkel a hitelviszonyt megtestesítő instrumentum értékelése a felhalmozott kamatokkal növelt és az értékvesztés miatti veszteségekkel csökkentett bekerülési értéken történik. </w:t>
      </w:r>
    </w:p>
    <w:p w:rsidR="009569C7" w:rsidRPr="00EC4FA2" w:rsidRDefault="00A834F1" w:rsidP="009569C7">
      <w:pPr>
        <w:pStyle w:val="Baseparagraphnumbered"/>
      </w:pPr>
      <w:r>
        <w:t>A BAD alapján kidolgozott nemzeti GAAP szerinti elszámolás esetén a „</w:t>
      </w:r>
      <w:proofErr w:type="spellStart"/>
      <w:r>
        <w:t>Bekerülésiérték-módszerrel</w:t>
      </w:r>
      <w:proofErr w:type="spellEnd"/>
      <w:r>
        <w:t xml:space="preserve"> értékelt nem kereskedési célú, nem származtatott pénzügyi eszközök” magukban foglalják a </w:t>
      </w:r>
      <w:proofErr w:type="spellStart"/>
      <w:r>
        <w:t>bekerülésiérték-módszerrel</w:t>
      </w:r>
      <w:proofErr w:type="spellEnd"/>
      <w:r>
        <w:t xml:space="preserve"> értékelt pénzügyi instrumentumokat, valamint azokat az instrumentumokat, amelyeket a „bekerülési vagy piaci ár közül az alacsonyabb” értéken („</w:t>
      </w:r>
      <w:proofErr w:type="spellStart"/>
      <w:r>
        <w:t>LOCOM-módszer</w:t>
      </w:r>
      <w:proofErr w:type="spellEnd"/>
      <w:r>
        <w:t xml:space="preserve">”) értékelnek nem folyamatos alapon (mérsékelt LOCOM), függetlenül az adatszolgáltatási vonatkozási időpontban végrehajtott aktuális értékelésüktől. A mérsékelt </w:t>
      </w:r>
      <w:proofErr w:type="spellStart"/>
      <w:r>
        <w:t>LOCOM-módszer</w:t>
      </w:r>
      <w:proofErr w:type="spellEnd"/>
      <w:r>
        <w:t xml:space="preserve"> szerint értékelt eszközök olyan eszközök, amelyek esetében a </w:t>
      </w:r>
      <w:proofErr w:type="spellStart"/>
      <w:r>
        <w:t>LOCOM-módszert</w:t>
      </w:r>
      <w:proofErr w:type="spellEnd"/>
      <w:r>
        <w:t xml:space="preserve"> csak meghatározott körülmények között alkalmazzák. Az </w:t>
      </w:r>
      <w:r>
        <w:lastRenderedPageBreak/>
        <w:t xml:space="preserve">alkalmazandó számviteli keret előírja ezeket a körülményeket, ilyen például az értékvesztés, a bekerülési értékhez képest a valós értékben bekövetkező tartós csökkenés vagy a vezetés szándékának megváltozása. </w:t>
      </w:r>
    </w:p>
    <w:p w:rsidR="009569C7" w:rsidRPr="00EC4FA2" w:rsidRDefault="00A834F1" w:rsidP="009569C7">
      <w:pPr>
        <w:pStyle w:val="Baseparagraphnumbered"/>
      </w:pPr>
      <w:r>
        <w:t xml:space="preserve">A BAD alapján kidolgozott nemzeti GAAP szerinti elszámolás esetén az „Egyéb nem kereskedési célú, nem származtatott pénzügyi eszközök” közé azok a pénzügyi eszközök tartoznak, amelyek nem sorolhatók be egyéb számviteli portfóliókba. Ez a számviteli portfólió többek között azokat a pénzügyi eszközöket tartalmazza, amelyeket folyamatos alapon a </w:t>
      </w:r>
      <w:proofErr w:type="spellStart"/>
      <w:r>
        <w:t>LOCOM-módszer</w:t>
      </w:r>
      <w:proofErr w:type="spellEnd"/>
      <w:r>
        <w:t xml:space="preserve"> szerint értékelnek (szigorú </w:t>
      </w:r>
      <w:proofErr w:type="spellStart"/>
      <w:r>
        <w:t>LOCOM-módszer</w:t>
      </w:r>
      <w:proofErr w:type="spellEnd"/>
      <w:r>
        <w:t xml:space="preserve">). A szigorú </w:t>
      </w:r>
      <w:proofErr w:type="spellStart"/>
      <w:r>
        <w:t>LOCOM-módszer</w:t>
      </w:r>
      <w:proofErr w:type="spellEnd"/>
      <w:r>
        <w:t xml:space="preserve"> szerint értékelt eszközök olyan eszközök, amelyek esetében az alkalmazandó számviteli keret </w:t>
      </w:r>
      <w:proofErr w:type="spellStart"/>
      <w:r>
        <w:t>LOCOM-módszer</w:t>
      </w:r>
      <w:proofErr w:type="spellEnd"/>
      <w:r>
        <w:t xml:space="preserve"> szerinti kezdeti vagy későbbi értékelést vagy bekerülési értéken történő kezdeti és </w:t>
      </w:r>
      <w:proofErr w:type="spellStart"/>
      <w:r>
        <w:t>LOCOM-módszer</w:t>
      </w:r>
      <w:proofErr w:type="spellEnd"/>
      <w:r>
        <w:t xml:space="preserve"> szerinti későbbi értékelést ír elő.</w:t>
      </w:r>
    </w:p>
    <w:p w:rsidR="009569C7" w:rsidRPr="00EC4FA2" w:rsidRDefault="00A834F1" w:rsidP="009569C7">
      <w:pPr>
        <w:pStyle w:val="Baseparagraphnumbered"/>
      </w:pPr>
      <w:r>
        <w:t xml:space="preserve">Értékelési módszerüktől függetlenül a „Leányvállalatokba, közös vállalkozásokba, valamint társult vállalkozásokba történt befektetések” tételben kell feltüntetni a </w:t>
      </w:r>
      <w:proofErr w:type="spellStart"/>
      <w:r>
        <w:t>prudenciális</w:t>
      </w:r>
      <w:proofErr w:type="spellEnd"/>
      <w:r>
        <w:t xml:space="preserve"> konszolidáció keretében nem </w:t>
      </w:r>
      <w:proofErr w:type="spellStart"/>
      <w:r>
        <w:t>teljeskörűen</w:t>
      </w:r>
      <w:proofErr w:type="spellEnd"/>
      <w:r>
        <w:t xml:space="preserve"> vagy arányosan konszolidált leányvállalatokba, közös vállalkozásokba és társult vállalkozásokba történt befektetéseket, kivéve, ha azok az IFRS 5 szerint értékesítésre tartottnak minősülnek.</w:t>
      </w:r>
    </w:p>
    <w:p w:rsidR="009569C7" w:rsidRPr="00EC4FA2" w:rsidRDefault="00A834F1" w:rsidP="009569C7">
      <w:pPr>
        <w:pStyle w:val="Baseparagraphnumbered"/>
      </w:pPr>
      <w:r>
        <w:t xml:space="preserve"> A „Származtatott ügyletek – Fedezeti elszámolások” az adatszolgáltató intézmény vonatkozásában pozitív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 céljából tartott származtatott ügyletként,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524094014"/>
      <w:r>
        <w:t>Pénzügyi kötelezettségek</w:t>
      </w:r>
      <w:bookmarkEnd w:id="24"/>
      <w:bookmarkEnd w:id="25"/>
      <w:bookmarkEnd w:id="26"/>
      <w:bookmarkEnd w:id="27"/>
    </w:p>
    <w:p w:rsidR="009569C7" w:rsidRPr="00EC4FA2" w:rsidRDefault="00A834F1" w:rsidP="009569C7">
      <w:pPr>
        <w:pStyle w:val="Baseparagraphnumbered"/>
      </w:pPr>
      <w:r>
        <w:t xml:space="preserve">A pénzügyi kötelezettségek vonatkozásában a következő számviteli portfóliók használandók az IFRS alapján: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„Kereskedési céllal tartott pénzügyi kötelezettségek”;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„Az eredménnyel szemben valós értéken értékeltnek megjelölt pénzügyi kötelezettségek”;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„Amortizált bekerülési értéken értékelt pénzügyi kötelezettségek”.</w:t>
      </w:r>
    </w:p>
    <w:p w:rsidR="009569C7" w:rsidRPr="00EC4FA2" w:rsidRDefault="00A834F1" w:rsidP="009569C7">
      <w:pPr>
        <w:pStyle w:val="Baseparagraphnumbered"/>
      </w:pPr>
      <w:r>
        <w:t xml:space="preserve">A pénzügyi kötelezettségek vonatkozásában a következő számviteli portfóliók használandók a nemzeti GAAP alapján: </w:t>
      </w:r>
    </w:p>
    <w:p w:rsidR="009569C7" w:rsidRPr="00EC4FA2" w:rsidRDefault="00A834F1" w:rsidP="009569C7">
      <w:pPr>
        <w:pStyle w:val="Baseparagraphnumbered"/>
        <w:numPr>
          <w:ilvl w:val="0"/>
          <w:numId w:val="0"/>
        </w:numPr>
        <w:ind w:left="1134" w:hanging="283"/>
      </w:pPr>
      <w:r>
        <w:t xml:space="preserve">a) „Kereskedési célú pénzügyi kötelezettségek”; </w:t>
      </w:r>
    </w:p>
    <w:p w:rsidR="009569C7" w:rsidRPr="00EC4FA2" w:rsidRDefault="00A834F1" w:rsidP="009569C7">
      <w:pPr>
        <w:pStyle w:val="Baseparagraphnumbered"/>
        <w:numPr>
          <w:ilvl w:val="0"/>
          <w:numId w:val="0"/>
        </w:numPr>
        <w:ind w:left="1134" w:hanging="283"/>
      </w:pPr>
      <w:r>
        <w:lastRenderedPageBreak/>
        <w:t>b) „</w:t>
      </w:r>
      <w:proofErr w:type="spellStart"/>
      <w:r>
        <w:t>Bekerülésiérték-módszerrel</w:t>
      </w:r>
      <w:proofErr w:type="spellEnd"/>
      <w:r>
        <w:t xml:space="preserve"> értékelt nem kereskedési célú, nem származtatott pénzügyi kötelezettségek”.</w:t>
      </w:r>
    </w:p>
    <w:p w:rsidR="009569C7" w:rsidRPr="00EC4FA2" w:rsidRDefault="00A834F1" w:rsidP="009569C7">
      <w:pPr>
        <w:pStyle w:val="Baseparagraphnumbered"/>
      </w:pPr>
      <w:r>
        <w:t>A „Kereskedési célú pénzügyi kötelezettségek” magukban foglalják a BAD alapján kidolgozott vonatkozó nemzeti GAAP szerint kereskedési célúként besorolt valamennyi pénzügyi kötelezettséget. A BAD alapján kidolgozott vonatkozó nemzeti GAAP szerint alkalmazott értékelési módszertantól függetlenül az adatszolgáltató intézmény vonatkozásában negatív egyenlegű valamennyi olyan származtatott ügyletet, amely nem az e rész 26. bekezdése szerinti fedezeti elszámolásként besorolt, kereskedési célú pénzügyi kötelezettségként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9569C7" w:rsidRPr="00EC4FA2" w:rsidRDefault="00A834F1" w:rsidP="009569C7">
      <w:pPr>
        <w:pStyle w:val="Baseparagraphnumbered"/>
      </w:pPr>
      <w:r>
        <w:t xml:space="preserve">A „Származtatott ügyletek – Fedezeti elszámolások” az adatszolgáltató intézmény vonatkozásában negatív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524094015"/>
      <w:r>
        <w:t>Pénzügyi instrumentumok</w:t>
      </w:r>
      <w:bookmarkEnd w:id="28"/>
      <w:bookmarkEnd w:id="29"/>
      <w:bookmarkEnd w:id="30"/>
    </w:p>
    <w:p w:rsidR="009569C7" w:rsidRPr="00EC4FA2" w:rsidRDefault="00A834F1" w:rsidP="009569C7">
      <w:pPr>
        <w:pStyle w:val="Baseparagraphnumbered"/>
      </w:pPr>
      <w:r>
        <w:t>A III. melléklet és a IV. melléklet, valamint jelen melléklet alkalmazásában a „könyv szerinti érték” a mérlegben feltüntetendő összeg. A pénzügyi instrumentumok könyv szerinti értékének tartalmaznia kell a felhalmozott kamatokat. A BAD alapján kidolgozott vonatkozó nemzeti GAAP szerinti elszámolás esetén a származtatott ügyletek könyv szerinti értéke a nemzeti GAAP szerinti, adott esetben az időbeli elhatárolásokat, a prémiumokat és a céltartalékokat magában foglaló könyv szerinti érték, illetve nullával egyenlő, ha származtatott ügyletek nincsenek megjelenítve a mérlegben.</w:t>
      </w:r>
    </w:p>
    <w:p w:rsidR="009569C7" w:rsidRPr="00EC4FA2" w:rsidRDefault="00A834F1" w:rsidP="009569C7">
      <w:pPr>
        <w:pStyle w:val="Baseparagraphnumbered"/>
      </w:pPr>
      <w:r>
        <w:t xml:space="preserve">A pénzügyi instrumentumok időbeli elhatárolásait, ideértve az elhatárolt kamatokat, prémiumokat és diszkontokat vagy tranzakciós költségeket – amennyiben megjelenítésük a BAD alapján kidolgozott vonatkozó nemzeti GAAP szerint történik – az instrumentummal együtt, és nem egyéb eszközként vagy egyéb kötelezettségként kell megadni. </w:t>
      </w:r>
    </w:p>
    <w:p w:rsidR="009569C7" w:rsidRPr="00EC4FA2" w:rsidRDefault="00A834F1" w:rsidP="009569C7">
      <w:pPr>
        <w:pStyle w:val="Baseparagraphnumbered"/>
      </w:pPr>
      <w:r>
        <w:t xml:space="preserve">Adott esetben a BAD alapján kidolgozott nemzeti GAAP szerinti „Valós értéken értékelt, kereskedési célú pozíciókra vonatkozó </w:t>
      </w:r>
      <w:proofErr w:type="spellStart"/>
      <w:r>
        <w:t>haircutok</w:t>
      </w:r>
      <w:proofErr w:type="spellEnd"/>
      <w:r>
        <w:t>”</w:t>
      </w:r>
      <w:proofErr w:type="spellStart"/>
      <w:r>
        <w:t>-at</w:t>
      </w:r>
      <w:proofErr w:type="spellEnd"/>
      <w:r>
        <w:t xml:space="preserve"> kell jelenteni. A </w:t>
      </w:r>
      <w:proofErr w:type="spellStart"/>
      <w:r>
        <w:t>haircutok</w:t>
      </w:r>
      <w:proofErr w:type="spellEnd"/>
      <w:r>
        <w:t xml:space="preserve"> a kereskedési célú eszközök értékét csökkentik, a kereskedési célú kötelezettségek értékét pedig növelik.</w:t>
      </w:r>
    </w:p>
    <w:p w:rsidR="009569C7" w:rsidRPr="00EC4FA2" w:rsidRDefault="00A834F1" w:rsidP="009569C7">
      <w:pPr>
        <w:pStyle w:val="sub-subtitlenumbered"/>
        <w:jc w:val="both"/>
      </w:pPr>
      <w:bookmarkStart w:id="31" w:name="_Toc467855201"/>
      <w:bookmarkStart w:id="32" w:name="_Toc524094016"/>
      <w:r>
        <w:t>Pénzügyi eszközök</w:t>
      </w:r>
      <w:bookmarkEnd w:id="31"/>
      <w:bookmarkEnd w:id="32"/>
      <w:r>
        <w:t xml:space="preserve"> </w:t>
      </w:r>
    </w:p>
    <w:p w:rsidR="009569C7" w:rsidRPr="00EC4FA2" w:rsidRDefault="00A834F1" w:rsidP="009569C7">
      <w:pPr>
        <w:pStyle w:val="Baseparagraphnumbered"/>
      </w:pPr>
      <w:r>
        <w:lastRenderedPageBreak/>
        <w:t>A pénzügyi eszközöket a következő instrumentumosztályokba kell besorolni: „Készpénz”, „Származtatott ügyletek”, „Tulajdoni részesedést megtestesítő instrumentumok”, „Hitelviszonyt megtestesítő értékpapírok” és „Hitelek és előlegek”.</w:t>
      </w:r>
    </w:p>
    <w:p w:rsidR="009569C7" w:rsidRPr="00EC4FA2" w:rsidRDefault="00A834F1" w:rsidP="009569C7">
      <w:pPr>
        <w:pStyle w:val="Baseparagraphnumbered"/>
      </w:pPr>
      <w:r>
        <w:t>A „Hitelviszonyt megtestesítő értékpapírok” az intézmény által tartott, értékpapírként kibocsátott hitelviszonyt megtestesítő instrumentumok, amelyek nem az EKB BSI rendelet szerinti hitelek.</w:t>
      </w:r>
    </w:p>
    <w:p w:rsidR="009569C7" w:rsidRPr="00EC4FA2" w:rsidRDefault="00A834F1" w:rsidP="009569C7">
      <w:pPr>
        <w:pStyle w:val="Baseparagraphnumbered"/>
      </w:pPr>
      <w:r>
        <w:t xml:space="preserve">A „Hitelek és előlegek” az intézmény által tartott hitelviszonyt megtestesítő instrumentumok, amelyek nem értékpapírok;  ez a tétel tartalmazza az EKB BSI rendelet szerinti hiteleket, valamint azokat az előlegeket, amelyek az EKB BSI rendelet szerint nem sorolhatók a hitelek közé. Az „Előlegek, kivéve hitelek” részletesebb leírását e melléklet 2. része 85. bekezdésének g) pontja tartalmazza. </w:t>
      </w:r>
    </w:p>
    <w:p w:rsidR="009569C7" w:rsidRPr="00EC4FA2" w:rsidRDefault="00A834F1" w:rsidP="009569C7">
      <w:pPr>
        <w:pStyle w:val="Baseparagraphnumbered"/>
      </w:pPr>
      <w:r>
        <w:t xml:space="preserve">A </w:t>
      </w:r>
      <w:proofErr w:type="spellStart"/>
      <w:r>
        <w:t>FINREP-ben</w:t>
      </w:r>
      <w:proofErr w:type="spellEnd"/>
      <w:r>
        <w:t xml:space="preserve"> a hitelviszonyt megtestesítő instrumentumok tartalmazzák a hiteleket és előlegeket és a hitelviszonyt megtestesítő értékpapírokat.</w:t>
      </w:r>
    </w:p>
    <w:p w:rsidR="009569C7" w:rsidRPr="00EC4FA2" w:rsidRDefault="00A834F1" w:rsidP="009569C7">
      <w:pPr>
        <w:pStyle w:val="sub-subtitlenumbered"/>
        <w:jc w:val="both"/>
      </w:pPr>
      <w:bookmarkStart w:id="33" w:name="_Toc467855202"/>
      <w:bookmarkStart w:id="34" w:name="_Toc524094017"/>
      <w:r>
        <w:t>Bruttó könyv szerinti érték</w:t>
      </w:r>
      <w:bookmarkEnd w:id="33"/>
      <w:bookmarkEnd w:id="34"/>
    </w:p>
    <w:p w:rsidR="009569C7" w:rsidRPr="00EC4FA2" w:rsidRDefault="00A834F1" w:rsidP="009569C7">
      <w:pPr>
        <w:pStyle w:val="Baseparagraphnumbered"/>
      </w:pPr>
      <w:r>
        <w:t>A hitelviszonyt megtestesítő instrumentumok bruttó könyv szerinti értéke a következő:</w:t>
      </w:r>
    </w:p>
    <w:p w:rsidR="009569C7" w:rsidRPr="00EC4FA2" w:rsidRDefault="00A834F1" w:rsidP="00152278">
      <w:pPr>
        <w:pStyle w:val="Baseparagraphnumbered"/>
        <w:numPr>
          <w:ilvl w:val="1"/>
          <w:numId w:val="27"/>
        </w:numPr>
      </w:pPr>
      <w:r>
        <w:t xml:space="preserve"> az IFRS szerinti elszámolás esetén és a BAD alapján kidolgozott nemzeti GAAP szerinti elszámolás esetén az eredménnyel szemben valós értéken értékelt olyan hitelviszonyt megtestesítő instrumentumok vonatkozásában, amelyek nem tartoznak a kereskedési céllal tartott vagy kereskedési célú portfólióba, a bruttó könyv szerinti érték attól függ, hogy azokat teljesítőként vagy </w:t>
      </w:r>
      <w:proofErr w:type="spellStart"/>
      <w:r>
        <w:t>nemteljesítőként</w:t>
      </w:r>
      <w:proofErr w:type="spellEnd"/>
      <w:r>
        <w:t xml:space="preserve"> sorolják be. A teljesítő, hitelviszonyt megtestesítő instrumentumok bruttó könyv szerinti értéke a valós érték. A </w:t>
      </w:r>
      <w:proofErr w:type="spellStart"/>
      <w:r>
        <w:t>nemteljesítő</w:t>
      </w:r>
      <w:proofErr w:type="spellEnd"/>
      <w:r>
        <w:t>, hitelviszonyt megtestesítő instrumentumok bruttó könyv szerinti értéke az e melléklet 2. részének 69. bekezdése szerinti, hitelkockázatból eredő negatív valósérték-korrekció halmozott összegével megnövelt valós érték. A bruttó könyv szerinti érték értékelése céljából a hitelviszonyt megtestesítő instrumentumok értékelését az egyes pénzügyi instrumentumok szintjén kell végrehajtani;</w:t>
      </w:r>
    </w:p>
    <w:p w:rsidR="009569C7" w:rsidRPr="00EC4FA2" w:rsidRDefault="00A834F1" w:rsidP="009569C7">
      <w:pPr>
        <w:pStyle w:val="Baseparagraphnumbered"/>
        <w:numPr>
          <w:ilvl w:val="1"/>
          <w:numId w:val="27"/>
        </w:numPr>
        <w:ind w:left="1134" w:hanging="425"/>
      </w:pPr>
      <w:r>
        <w:t>az IFRS szerinti elszámolás esetén az amortizált bekerülési értéken vagy az egyéb átfogó jövedelemmel szemben valós értéken értékelt hitelviszonyt megtestesítő instrumentumok tekintetében a bruttó könyv szerinti érték az értékvesztés-elszámolás korrekciója előtti könyv szerinti értéket jelenti.</w:t>
      </w:r>
    </w:p>
    <w:p w:rsidR="009569C7" w:rsidRPr="00EC4FA2" w:rsidRDefault="00A834F1" w:rsidP="009569C7">
      <w:pPr>
        <w:pStyle w:val="Baseparagraphnumbered"/>
        <w:numPr>
          <w:ilvl w:val="1"/>
          <w:numId w:val="27"/>
        </w:numPr>
        <w:ind w:left="1134" w:hanging="425"/>
      </w:pPr>
      <w:r>
        <w:t>a BAD alapján kidolgozott nemzeti GAAP szerinti elszámolás esetén a „</w:t>
      </w:r>
      <w:proofErr w:type="spellStart"/>
      <w:r>
        <w:t>Bekerülésiérték-módszerrel</w:t>
      </w:r>
      <w:proofErr w:type="spellEnd"/>
      <w:r>
        <w:t xml:space="preserve"> értékelt nem kereskedési célú, nem származtatott pénzügyi eszközök” tételbe besorolt hitelviszonyt megtestesítő instrumentumok vonatkozásában az értékvesztett eszközök bruttó könyv szerinti értéke egyenlő a hitelkockázat után elszámolt egyedi </w:t>
      </w:r>
      <w:r>
        <w:lastRenderedPageBreak/>
        <w:t xml:space="preserve">értékvesztéssel való korrekció előtti könyv szerinti értékkel. A nem értékvesztett eszközök bruttó könyv szerinti értéke az általános hitelkockázati tartalékokkal és az általános banki kockázatokra képzett tartalékokkal való korrekció előtti könyv szerinti értéket jelenti, amennyiben az befolyásolja a könyv szerinti értéket; </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 saját tőkével szemben valós értéken értékelt, nem kereskedési célú, nem származtatott pénzügyi eszközök” tételbe besorolt hitelviszonyt megtestesítő instrumentumok bruttó könyv szerinti értéke attól függ, hogy ezek a pénzügyi eszközök értékvesztés-elszámolási kötelezettség hatálya alá tartoznak-e. Amennyiben ezek értékvesztés-elszámolási kötelezettség hatálya alá tartoznak, a bruttó könyv szerinti érték a halmozott értékvesztéssel való korrekció előtti könyv szerinti érték az értékvesztett és nem értékvesztett eszközökre vonatkozó fenti c) pont szerinti követelményeknek megfelelően, vagy az értékvesztés miatti veszteségnek tekintett valósérték-korrekció bármely halmozott összegével való kiigazítás előtti könyv szerinti érték. Amennyiben ezek a pénzügyi eszközök nem tartoznak értékvesztés-elszámolási kötelezettség hatálya alá, ezen eszközök bruttó könyv szerinti értéke a teljesítő kitettségek esetében a valós érték, a </w:t>
      </w:r>
      <w:proofErr w:type="spellStart"/>
      <w:r>
        <w:t>nemteljesítő</w:t>
      </w:r>
      <w:proofErr w:type="spellEnd"/>
      <w:r>
        <w:t xml:space="preserve"> kitettségek esetében pedig a hitelkockázatból eredő negatív valósérték-korrekció halmozott összegével megnövelt valós érték.</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 szigorú vagy mérsékelt </w:t>
      </w:r>
      <w:proofErr w:type="spellStart"/>
      <w:r>
        <w:t>LOCOM-módszerrel</w:t>
      </w:r>
      <w:proofErr w:type="spellEnd"/>
      <w:r>
        <w:t xml:space="preserve"> értékelt hitelviszonyt megtestesítő instrumentumok bruttó könyv szerinti értéke a bekerülési érték, amennyiben az adatszolgáltatási időszakban az instrumentumot </w:t>
      </w:r>
      <w:proofErr w:type="spellStart"/>
      <w:r>
        <w:t>bekerülésiérték-módszerrel</w:t>
      </w:r>
      <w:proofErr w:type="spellEnd"/>
      <w:r>
        <w:t xml:space="preserve"> értékelik. Amennyiben ezeket a hitelviszonyt megtestesítő instrumentumokat piaci értéken értékelik, a bruttó könyv szerinti érték a hitelkockázatból származó értékelési korrekcióval való kiigazítást megelőző piaci érték; </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az „Egyéb nem kereskedési célú, nem származtatott pénzügyi eszközök” között feltüntetett, a </w:t>
      </w:r>
      <w:proofErr w:type="spellStart"/>
      <w:r>
        <w:t>LOCOM-módszertől</w:t>
      </w:r>
      <w:proofErr w:type="spellEnd"/>
      <w:r>
        <w:t xml:space="preserve"> eltérő értékelési módszerrel értékelt hitelviszonyt megtestesítő instrumentumok vonatkozásában a bruttó könyv szerinti érték az értékvesztésnek minősülő értékelési korrekció figyelembevétele előtti könyv szerinti érték;</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 kereskedési célú pénzügyi eszközök vonatkozásában, illetőleg az IFRS szerinti elszámolás esetén a kereskedési céllal tartott pénzügyi eszközök vonatkozásában a bruttó könyv szerinti érték a valós érték. Amennyiben a BAD alapján kidolgozott nemzeti GAAP </w:t>
      </w:r>
      <w:proofErr w:type="spellStart"/>
      <w:r>
        <w:t>haircutot</w:t>
      </w:r>
      <w:proofErr w:type="spellEnd"/>
      <w:r>
        <w:t xml:space="preserve"> ír elő a kereskedési célú és a valós értéken értékelt instrumentumokra, a pénzügyi instrumentum könyv szerinti értéke a szóban forgó </w:t>
      </w:r>
      <w:proofErr w:type="spellStart"/>
      <w:r>
        <w:t>haircutok</w:t>
      </w:r>
      <w:proofErr w:type="spellEnd"/>
      <w:r>
        <w:t xml:space="preserve"> előtti valós érték.</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524094018"/>
      <w:r>
        <w:t>Pénzügyi kötelezettségek</w:t>
      </w:r>
      <w:bookmarkEnd w:id="35"/>
      <w:bookmarkEnd w:id="36"/>
      <w:bookmarkEnd w:id="37"/>
      <w:bookmarkEnd w:id="38"/>
    </w:p>
    <w:p w:rsidR="009569C7" w:rsidRPr="00EC4FA2" w:rsidRDefault="00A834F1" w:rsidP="009569C7">
      <w:pPr>
        <w:pStyle w:val="Baseparagraphnumbered"/>
      </w:pPr>
      <w:r>
        <w:lastRenderedPageBreak/>
        <w:t>A pénzügyi kötelezettségeket a következő instrumentumosztályokba kell besorolni: „Származtatott ügyletek”, „Rövid pozíciók”, „Betétek”, „Kibocsátott hitelviszonyt megtestesítő értékpapírok” és „Egyéb pénzügyi kötelezettségek”.</w:t>
      </w:r>
    </w:p>
    <w:p w:rsidR="009569C7" w:rsidRPr="00EC4FA2" w:rsidRDefault="00A834F1" w:rsidP="009569C7">
      <w:pPr>
        <w:pStyle w:val="Baseparagraphnumbered"/>
      </w:pPr>
      <w:r>
        <w:t xml:space="preserve">A III. és a IV. melléklet, valamint e melléklet alkalmazásában az EKB BSI rendelet 2. részének II. mellékletében meghatározott „betétek” fogalom alkalmazandó. </w:t>
      </w:r>
    </w:p>
    <w:p w:rsidR="009569C7" w:rsidRPr="00EC4FA2" w:rsidRDefault="00A834F1" w:rsidP="009569C7">
      <w:pPr>
        <w:pStyle w:val="Baseparagraphnumbered"/>
      </w:pPr>
      <w:r>
        <w:t xml:space="preserve"> A „Kibocsátott hitelviszonyt megtestesítő értékpapírok” az intézmény által értékpapírként kibocsátott hitelviszonyt megtestesítő instrumentumok, amelyek az EKB BSI rendelet szerint nem betétek.</w:t>
      </w:r>
    </w:p>
    <w:p w:rsidR="009569C7" w:rsidRPr="00EC4FA2" w:rsidRDefault="00A834F1" w:rsidP="009569C7">
      <w:pPr>
        <w:pStyle w:val="Baseparagraphnumbered"/>
      </w:pPr>
      <w:r>
        <w:t xml:space="preserve">Az „Egyéb pénzügyi kötelezettségek” tartalmaznak minden olyan pénzügyi kötelezettséget, amely nem származtatott ügylet, rövid pozíció, betét vagy kibocsátott, hitelviszonyt megtestesítő értékpapír. </w:t>
      </w:r>
    </w:p>
    <w:p w:rsidR="009569C7" w:rsidRPr="00EC4FA2" w:rsidRDefault="00A834F1" w:rsidP="009569C7">
      <w:pPr>
        <w:pStyle w:val="Baseparagraphnumbered"/>
      </w:pPr>
      <w:r>
        <w:t xml:space="preserve">Az IFRS szerinti elszámolás esetén az „Egyéb pénzügyi kötelezettségek” tartalmazzák a pénzügyi garanciákat, ha azok értékelése vagy az eredménnyel szemben valós értéken [az IFRS 9 4.2.1. bekezdésének a) pontja] vagy a halmozott amortizációval csökkentett, kezdetben megjelenített összegen [az IFRS 9 4.2.1. bekezdése c) pontjának </w:t>
      </w:r>
      <w:proofErr w:type="spellStart"/>
      <w:r>
        <w:t>ii</w:t>
      </w:r>
      <w:proofErr w:type="spellEnd"/>
      <w:r>
        <w:t xml:space="preserve">. alpontja] történik. A hitelnyújtási elkötelezettségeket akkor kell az „Egyéb pénzügyi kötelezettségek” között szerepeltetni, ha azok az eredménnyel szemben valós értéken értékeltnek megjelölt pénzügyi kötelezettségek [az IFRS 9 4.2.1. bekezdésének a) pontja], vagy azok a piaci kamatlábnál alacsonyabb kamatláb melletti hitelnyújtásra vonatkozó elkötelezettségek [az IFRS 9 2.3. bekezdésének c) pontja, 4.2.1. bekezdésének d) pontja]. </w:t>
      </w:r>
    </w:p>
    <w:p w:rsidR="009569C7" w:rsidRPr="00EC4FA2" w:rsidRDefault="00A834F1" w:rsidP="009569C7">
      <w:pPr>
        <w:pStyle w:val="Baseparagraphnumbered"/>
      </w:pPr>
      <w:r>
        <w:t>Ha a hitelnyújtási elkötelezettségek, pénzügyi garanciák vagy egyéb adott elkötelezettségek értékelése eredménnyel szemben valós értéken történik, a valós értékben bekövetkező változást, ideértve a hitelkockázat változása miatti változásokat az „Egyéb pénzügyi kötelezettségek” között kell feltüntetni, és nem az „Adott elkötelezettségek és garanciák”</w:t>
      </w:r>
      <w:proofErr w:type="spellStart"/>
      <w:r>
        <w:t>-ra</w:t>
      </w:r>
      <w:proofErr w:type="spellEnd"/>
      <w:r>
        <w:t xml:space="preserve"> képzett céltartalékként. </w:t>
      </w:r>
    </w:p>
    <w:p w:rsidR="009569C7" w:rsidRPr="00EC4FA2" w:rsidRDefault="00A834F1" w:rsidP="009569C7">
      <w:pPr>
        <w:pStyle w:val="Baseparagraphnumbered"/>
      </w:pPr>
      <w:r>
        <w:t xml:space="preserve">Az „Egyéb pénzügyi kötelezettségek” emellett tartalmaznak fizetendő osztalékot, függő és átvezetési tételek tekintetében fizetendő összegeket és értékpapír-tranzakciók vagy </w:t>
      </w:r>
      <w:proofErr w:type="spellStart"/>
      <w:r>
        <w:t>devizatranzakciók</w:t>
      </w:r>
      <w:proofErr w:type="spellEnd"/>
      <w:r>
        <w:t xml:space="preserve"> jövőbeli elszámolása tekintetében fizetendő összegeket (a fizetési határidő előtt megjelenített, tranzakciókra vonatkozó fizetési kötelezettségek).</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524094019"/>
      <w:r>
        <w:t>Ügyfél szerinti részletezés</w:t>
      </w:r>
      <w:bookmarkEnd w:id="39"/>
      <w:bookmarkEnd w:id="40"/>
      <w:bookmarkEnd w:id="41"/>
      <w:bookmarkEnd w:id="42"/>
    </w:p>
    <w:p w:rsidR="009569C7" w:rsidRPr="00EC4FA2" w:rsidRDefault="00A834F1" w:rsidP="009569C7">
      <w:pPr>
        <w:pStyle w:val="Baseparagraphnumbered"/>
      </w:pPr>
      <w:r>
        <w:t>Az ügyfél szerinti részletezés előírásakor a következő ügyfélszektorok használandók: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központi bankok;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államháztartások: központi kormányzatok, tartományi vagy regionális kormányzatok és helyi önkormányzatok, ideértve a közigazgatási </w:t>
      </w:r>
      <w:r>
        <w:rPr>
          <w:rFonts w:ascii="Times New Roman" w:hAnsi="Times New Roman"/>
          <w:sz w:val="24"/>
        </w:rPr>
        <w:lastRenderedPageBreak/>
        <w:t>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intézményei, a Nemzetközi Valutaalap és a Nemzetközi Fizetések Bankja;</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hitelintézetek: a CRR 4. cikke (1) bekezdésének 1. pontja szerinti </w:t>
      </w:r>
      <w:proofErr w:type="spellStart"/>
      <w:r>
        <w:rPr>
          <w:rFonts w:ascii="Times New Roman" w:hAnsi="Times New Roman"/>
          <w:sz w:val="24"/>
        </w:rPr>
        <w:t>fogalommeghatározásnak</w:t>
      </w:r>
      <w:proofErr w:type="spellEnd"/>
      <w:r>
        <w:rPr>
          <w:rFonts w:ascii="Times New Roman" w:hAnsi="Times New Roman"/>
          <w:sz w:val="24"/>
        </w:rPr>
        <w:t xml:space="preserve"> megfelelő intézmények („olyan vállalkozás, amely a nyilvánosságtól betéteket vagy más visszafizetendő pénzeszközöket fogad el, valamint saját számlára hiteleket nyújt”) és multilaterális fejlesztési bankok;</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egyéb pénzügyi vállalatok: az összes olyan pénzügyi vállalkozás és </w:t>
      </w:r>
      <w:proofErr w:type="spellStart"/>
      <w:r>
        <w:rPr>
          <w:rFonts w:ascii="Times New Roman" w:hAnsi="Times New Roman"/>
          <w:sz w:val="24"/>
        </w:rPr>
        <w:t>kvázivállalkozás</w:t>
      </w:r>
      <w:proofErr w:type="spellEnd"/>
      <w:r>
        <w:rPr>
          <w:rFonts w:ascii="Times New Roman" w:hAnsi="Times New Roman"/>
          <w:sz w:val="24"/>
        </w:rPr>
        <w:t xml:space="preserve">, amely nem hitelintézet, mint például a befektetési vállalkozások, befektetési alapok, biztosítók, nyugdíjalapok, kollektív befektetési vállalkozások és </w:t>
      </w:r>
      <w:proofErr w:type="spellStart"/>
      <w:r>
        <w:rPr>
          <w:rFonts w:ascii="Times New Roman" w:hAnsi="Times New Roman"/>
          <w:sz w:val="24"/>
        </w:rPr>
        <w:t>elszámolóházak</w:t>
      </w:r>
      <w:proofErr w:type="spellEnd"/>
      <w:r>
        <w:rPr>
          <w:rFonts w:ascii="Times New Roman" w:hAnsi="Times New Roman"/>
          <w:sz w:val="24"/>
        </w:rPr>
        <w:t xml:space="preserve">, valamint a többi pénzügyi közvetítő és pénzügyi kiegészítő tevékenységet végzők, továbbá </w:t>
      </w:r>
      <w:proofErr w:type="spellStart"/>
      <w:r>
        <w:rPr>
          <w:rFonts w:ascii="Times New Roman" w:hAnsi="Times New Roman"/>
          <w:sz w:val="24"/>
        </w:rPr>
        <w:t>captive</w:t>
      </w:r>
      <w:proofErr w:type="spellEnd"/>
      <w:r>
        <w:rPr>
          <w:rFonts w:ascii="Times New Roman" w:hAnsi="Times New Roman"/>
          <w:sz w:val="24"/>
        </w:rPr>
        <w:t xml:space="preserve"> finanszírozók és pénzkölcsönzők;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nem pénzügyi vállalatok: olyan vállalkozások és </w:t>
      </w:r>
      <w:proofErr w:type="spellStart"/>
      <w:r>
        <w:rPr>
          <w:rFonts w:ascii="Times New Roman" w:hAnsi="Times New Roman"/>
          <w:sz w:val="24"/>
        </w:rPr>
        <w:t>kvázivállalkozások</w:t>
      </w:r>
      <w:proofErr w:type="spellEnd"/>
      <w:r>
        <w:rPr>
          <w:rFonts w:ascii="Times New Roman" w:hAnsi="Times New Roman"/>
          <w:sz w:val="24"/>
        </w:rPr>
        <w:t xml:space="preserve">, amelyek nem a pénzügyi közvetítésben, hanem elsősorban a piaci javak előállításában és nem pénzügyi szolgáltatások nyújtásában vesznek részt az EKB BSI rendelettel összhangban;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háztartások: magánszemélyek vagy magánszemélyek egy csoportja fogyasztóként, kizárólag saját fogyasztásra előállított áruk és nem pénzügyi szolgáltatások előállítóiként, valamint piaci javak, nem pénzügyi és pénzügyi szolgáltatások előállítóiként, feltéve, hogy tevékenységük nem azonos a </w:t>
      </w:r>
      <w:proofErr w:type="spellStart"/>
      <w:r>
        <w:rPr>
          <w:rFonts w:ascii="Times New Roman" w:hAnsi="Times New Roman"/>
          <w:sz w:val="24"/>
        </w:rPr>
        <w:t>kvázivállalkozások</w:t>
      </w:r>
      <w:proofErr w:type="spellEnd"/>
      <w:r>
        <w:rPr>
          <w:rFonts w:ascii="Times New Roman" w:hAnsi="Times New Roman"/>
          <w:sz w:val="24"/>
        </w:rPr>
        <w:t xml:space="preserve"> tevékenységével. Idetartoznak még azok a nonprofit intézmények, amelyek háztartásokat szolgálnak ki, és amelyek elsősorban nem piaci javak és szolgáltatások előállításával foglalkoznak háztartások meghatározott csoportjai számára. </w:t>
      </w:r>
    </w:p>
    <w:p w:rsidR="009569C7" w:rsidRPr="00EC4FA2" w:rsidRDefault="00A834F1" w:rsidP="009569C7">
      <w:pPr>
        <w:pStyle w:val="Baseparagraphnumbered"/>
      </w:pPr>
      <w:r>
        <w:t xml:space="preserve">Az ügyfélszektor meghatározása kizárólag a közvetlen partner jellegén alapul. Az egynél több kötelezett által együttesen vállalt kitettség besorolásának azon kötelezett jellemzői alapján kell történnie, amelyik az intézmény szempontjából relevánsabb vagy meghatározóbb volt a kitettségek vállalásában. Az együttesen vállalt kitettségek ügyfélszektor, székhely szerinti ország vagy </w:t>
      </w:r>
      <w:proofErr w:type="spellStart"/>
      <w:r>
        <w:t>NACE-kódok</w:t>
      </w:r>
      <w:proofErr w:type="spellEnd"/>
      <w:r>
        <w:t xml:space="preserve"> szerint besorolásánál a relevánsabb vagy meghatározóbb kötelezett jellemzőit kell figyelembe venni.</w:t>
      </w:r>
    </w:p>
    <w:p w:rsidR="009569C7" w:rsidRPr="00EC4FA2" w:rsidRDefault="00A834F1" w:rsidP="009569C7">
      <w:pPr>
        <w:pStyle w:val="Baseparagraphnumbered"/>
      </w:pPr>
      <w:r>
        <w:t>Az alábbi tranzakciókban a közvetlen partnerek a következők: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hitelek és előlegek vonatkozásában a közvetlen hitelfelvevő.</w:t>
      </w:r>
      <w:r>
        <w:t xml:space="preserve"> </w:t>
      </w:r>
      <w:r>
        <w:rPr>
          <w:rFonts w:ascii="Times New Roman" w:hAnsi="Times New Roman"/>
          <w:sz w:val="24"/>
        </w:rPr>
        <w:t>A kereskedelemfinanszírozás vonatkozásában a közvetlen hitelfelvevő az a partner, amely a követelés megfizetésére kötelezett, kivéve a visszkereseti joggal kötött ügyletekben, amelyekben a közvetlen hitelfelvevő a követelések átadója,</w:t>
      </w:r>
      <w:r>
        <w:t xml:space="preserve"> </w:t>
      </w:r>
      <w:r>
        <w:rPr>
          <w:rFonts w:ascii="Times New Roman" w:hAnsi="Times New Roman"/>
          <w:sz w:val="24"/>
        </w:rPr>
        <w:t xml:space="preserve">és amelyekben az adatszolgáltató intézmény nem </w:t>
      </w:r>
      <w:r>
        <w:rPr>
          <w:rFonts w:ascii="Times New Roman" w:hAnsi="Times New Roman"/>
          <w:sz w:val="24"/>
        </w:rPr>
        <w:lastRenderedPageBreak/>
        <w:t>szerzi meg lényegében az átadott követelések tulajdonlásával járó összes kockázatot és hasznot;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hitelviszonyt megtestesítő értékpapírok és a tulajdoni részesedést megtestesítő instrumentumok vonatkozásában az értékpapírok kibocsátója;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betétek vonatkozásában a betétes;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rövid pozíciók vonatkozásában az értékpapír-kölcsönvételi ügyletben vagy a fordított </w:t>
      </w:r>
      <w:proofErr w:type="spellStart"/>
      <w:r>
        <w:rPr>
          <w:rFonts w:ascii="Times New Roman" w:hAnsi="Times New Roman"/>
          <w:sz w:val="24"/>
        </w:rPr>
        <w:t>repomegállapodásban</w:t>
      </w:r>
      <w:proofErr w:type="spellEnd"/>
      <w:r>
        <w:rPr>
          <w:rFonts w:ascii="Times New Roman" w:hAnsi="Times New Roman"/>
          <w:sz w:val="24"/>
        </w:rPr>
        <w:t xml:space="preserve"> részt vevő partner;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származtatott ügyletek vonatkozásában a származtatott ügyletben közvetlenül részt vevő partner. A központilag elszámolt tőzsdén kívüli származtatott ügyletek vonatkozásában a közvetlen partner a központi szerződő félként eljáró </w:t>
      </w:r>
      <w:proofErr w:type="spellStart"/>
      <w:r>
        <w:rPr>
          <w:rFonts w:ascii="Times New Roman" w:hAnsi="Times New Roman"/>
          <w:sz w:val="24"/>
        </w:rPr>
        <w:t>elszámolóház</w:t>
      </w:r>
      <w:proofErr w:type="spellEnd"/>
      <w:r>
        <w:rPr>
          <w:rFonts w:ascii="Times New Roman" w:hAnsi="Times New Roman"/>
          <w:sz w:val="24"/>
        </w:rPr>
        <w:t>. A hitelkockázati származtatott ügyletek esetében a partner szerinti részletezés arra a szektorra vonatkozik, amelyhez a szerződéses partner (a védelem vásárlója vagy eladója) tartozik;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az adott pénzügyi garanciák vonatkozásában a partner a garantált hitelviszonyt megtestesítő instrumentum közvetlen partnere;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az adott hitelnyújtási elkötelezettségek és az egyéb adott elkötelezettségek vonatkozásában a partner az a fél, amelynek a hitelkockázatát az adatszolgáltató intézmény viseli;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kapott hitelnyújtási elkötelezettségek, pénzügyi garanciák és egyéb elkötelezettségek vonatkozásában a </w:t>
      </w:r>
      <w:proofErr w:type="spellStart"/>
      <w:r>
        <w:rPr>
          <w:rFonts w:ascii="Times New Roman" w:hAnsi="Times New Roman"/>
          <w:sz w:val="24"/>
        </w:rPr>
        <w:t>garantőr</w:t>
      </w:r>
      <w:proofErr w:type="spellEnd"/>
      <w:r>
        <w:rPr>
          <w:rFonts w:ascii="Times New Roman" w:hAnsi="Times New Roman"/>
          <w:sz w:val="24"/>
        </w:rPr>
        <w:t xml:space="preserve"> vagy a partner az a fél, amely az elkötelezettséget nyújtja az adatszolgáltató intézménynek.</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2. RÉSZ</w:t>
      </w:r>
      <w:bookmarkEnd w:id="43"/>
    </w:p>
    <w:p w:rsidR="009569C7" w:rsidRPr="00EC4FA2" w:rsidRDefault="00A834F1" w:rsidP="009569C7">
      <w:pPr>
        <w:pStyle w:val="Heading1"/>
        <w:jc w:val="both"/>
      </w:pPr>
      <w:bookmarkStart w:id="44" w:name="_Toc362359281"/>
      <w:bookmarkStart w:id="45" w:name="_Toc467855205"/>
      <w:bookmarkStart w:id="46" w:name="_Toc524094020"/>
      <w:r>
        <w:t>A táblához kapcsolódó útmutató</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524094021"/>
      <w:r>
        <w:t>Mérleg</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524094022"/>
      <w:r>
        <w:t>Eszközök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A „Készpénz” magában foglalja a forgalomban lévő, általánosan fizetésre használt nemzeti és külföldi bankjegyek és érmék állományait.</w:t>
      </w:r>
    </w:p>
    <w:p w:rsidR="009569C7" w:rsidRPr="00EC4FA2" w:rsidRDefault="00A834F1" w:rsidP="009569C7">
      <w:pPr>
        <w:pStyle w:val="Baseparagraphnumbered"/>
      </w:pPr>
      <w:r>
        <w:t>A „Számlakövetelések központi bankokkal szemben” közé tartoznak a központi bankoknál tartott látra szóló követel egyenlegek.</w:t>
      </w:r>
    </w:p>
    <w:p w:rsidR="009569C7" w:rsidRPr="00EC4FA2" w:rsidRDefault="00A834F1" w:rsidP="009569C7">
      <w:pPr>
        <w:pStyle w:val="Baseparagraphnumbered"/>
      </w:pPr>
      <w:r>
        <w:t xml:space="preserve">Az „Egyéb látra szóló betétek” tartalmazza a hitelintézeteknél tartott látra szóló követelések egyenlegét. </w:t>
      </w:r>
    </w:p>
    <w:p w:rsidR="009569C7" w:rsidRPr="00EC4FA2" w:rsidRDefault="00A834F1" w:rsidP="009569C7">
      <w:pPr>
        <w:pStyle w:val="Baseparagraphnumbered"/>
      </w:pPr>
      <w:r>
        <w:t xml:space="preserve">A „Leányvállalatokban, közös vállalkozásokban valamint társult vállalkozásokban lévő befektetések” közé tartoznak a társult vállalkozásokba, </w:t>
      </w:r>
      <w:r>
        <w:lastRenderedPageBreak/>
        <w:t xml:space="preserve">közös vállalkozásokba és leányvállalatokba történt olyan befektetések, amelyek a </w:t>
      </w:r>
      <w:proofErr w:type="spellStart"/>
      <w:r>
        <w:t>prudenciális</w:t>
      </w:r>
      <w:proofErr w:type="spellEnd"/>
      <w:r>
        <w:t xml:space="preserve"> konszolidáció keretében nem teljesen, vagy arányosan konszolidáltak, kivéve, ha azok az IFRS 5 standardnak megfelelően értékesítésre tartottnak minősülnek, függetlenül értékelésük módjától, ideértve, ha a számviteli standardok lehetővé teszik bevonásukat a pénzügyi instrumentumokhoz használt különböző számviteli portfóliókba. A tőkemódszerrel értékelt befektetések könyv szerinti értéke tartalmazza a kapcsolódó cégértéket. </w:t>
      </w:r>
    </w:p>
    <w:p w:rsidR="009569C7" w:rsidRPr="00EC4FA2" w:rsidRDefault="00A834F1" w:rsidP="009569C7">
      <w:pPr>
        <w:pStyle w:val="Baseparagraphnumbered"/>
      </w:pPr>
      <w:r>
        <w:t xml:space="preserve">Azokat az eszközöket, amelyek nem pénzügyi eszközök, és amelyek jellegüknél fogva nem sorolhatók be a mérleg meghatározott tételei közé, az „Egyéb eszközök” között kell feltüntetni. Az egyéb eszközök magukban foglalják többek között a következőket: arany, ezüst és egyéb áru, még akkor is, ha azokat kereskedési szándékkal tartják. </w:t>
      </w:r>
    </w:p>
    <w:p w:rsidR="009569C7" w:rsidRPr="00EC4FA2" w:rsidRDefault="00A834F1" w:rsidP="009569C7">
      <w:pPr>
        <w:pStyle w:val="Baseparagraphnumbered"/>
      </w:pPr>
      <w:r>
        <w:t xml:space="preserve">A BAD alapján kidolgozott vonatkozó nemzeti GAAP szerinti elszámolás esetén a visszavásárolt saját részvények könyv szerinti értékét az „egyéb eszközök” között kell feltüntetni, ha a vonatkozó nemzeti GAAP értelmében az eszközként történő bemutatás megengedett. </w:t>
      </w:r>
    </w:p>
    <w:p w:rsidR="009569C7" w:rsidRPr="00EC4FA2" w:rsidRDefault="00A834F1" w:rsidP="009569C7">
      <w:pPr>
        <w:pStyle w:val="Baseparagraphnumbered"/>
      </w:pPr>
      <w:r>
        <w:t xml:space="preserve">Az „Értékesítésre tartottá minősített befektetett eszközök és elidegenítési csoportok” jelentése ugyanaz, mint az IFRS 5 alapján.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524094023"/>
      <w:r>
        <w:t>Kötelezettségek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A BAD alapján kidolgozott nemzeti GAAP szerinti elszámolás esetén a </w:t>
      </w:r>
      <w:proofErr w:type="spellStart"/>
      <w:r>
        <w:t>portfóliófedezeti</w:t>
      </w:r>
      <w:proofErr w:type="spellEnd"/>
      <w:r>
        <w:t xml:space="preserve"> kapcsolat nem hatékony részéből eredő függő veszteségekre képzett céltartalékokat a „Származtatott ügyletek – Fedezeti elszámolások” sorban kell feltüntetni, ha a veszteség a származtatott fedezeti ügylet értékeléséből ered, vagy a „Fedezett tételek valós értékének változása kamatlábkockázatok </w:t>
      </w:r>
      <w:proofErr w:type="spellStart"/>
      <w:r>
        <w:t>portfóliófedezeti</w:t>
      </w:r>
      <w:proofErr w:type="spellEnd"/>
      <w:r>
        <w:t xml:space="preserve"> ügylete során” sorban, ha a veszteség a fedezett pozíció értékeléséből ered. Ha nem lehet különbséget tenni a származtatott fedezeti ügylet értékeléséből eredő veszteség és a fedezett pozíció értékeléséből eredő veszteség között, a </w:t>
      </w:r>
      <w:proofErr w:type="spellStart"/>
      <w:r>
        <w:t>portfóliófedezeti</w:t>
      </w:r>
      <w:proofErr w:type="spellEnd"/>
      <w:r>
        <w:t xml:space="preserve"> kapcsolat nem hatékony részéből eredő függő veszteségekre képzett valamennyi céltartalékot a „Származtatott ügyletek – Fedezeti elszámolások” sorban kell feltüntetni.</w:t>
      </w:r>
    </w:p>
    <w:p w:rsidR="009569C7" w:rsidRPr="00EC4FA2" w:rsidRDefault="00A834F1" w:rsidP="009569C7">
      <w:pPr>
        <w:pStyle w:val="Baseparagraphnumbered"/>
      </w:pPr>
      <w:r>
        <w:t xml:space="preserve">A „Nyugdíjra és egyéb munkaviszony megszűnése utáni meghatározott juttatási kötelmekre képzett céltartalék” alá tartozik a meghatározott juttatásra vonatkozó nettó kötelezettségek összege. </w:t>
      </w:r>
    </w:p>
    <w:p w:rsidR="009569C7" w:rsidRPr="00EC4FA2" w:rsidRDefault="00A834F1" w:rsidP="009569C7">
      <w:pPr>
        <w:pStyle w:val="Baseparagraphnumbered"/>
      </w:pPr>
      <w:r>
        <w:t>Az IFRS szerinti elszámolás esetén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bekezdésének a) pontja], a meghatározott hozzájárulási programokból [IAS 19 51. bekezdésének a) pontja] és a végkielégítésekből [IAS 19 169. bekezdésének a) pontja] származó elhatárolt kiadásokat az „Egyéb kötelezettségek” között kell szerepeltetni.</w:t>
      </w:r>
    </w:p>
    <w:p w:rsidR="009569C7" w:rsidRPr="00EC4FA2" w:rsidRDefault="00A834F1" w:rsidP="009569C7">
      <w:pPr>
        <w:pStyle w:val="Baseparagraphnumbered"/>
      </w:pPr>
      <w:r>
        <w:lastRenderedPageBreak/>
        <w:t xml:space="preserve">Az IFRS szerinti elszámolás esetén az „Adott elkötelezettségekre és garanciákra képzett céltartalék” tartalmazza az elkötelezettséghez és garanciához kapcsolódó valamennyi céltartalékot, függetlenül attól, hogy értékvesztésüket az IFRS 9 szerint határozzák-e meg vagy </w:t>
      </w:r>
      <w:proofErr w:type="spellStart"/>
      <w:r>
        <w:t>céltartalékképzésük</w:t>
      </w:r>
      <w:proofErr w:type="spellEnd"/>
      <w:r>
        <w:t xml:space="preserve"> az IAS 37-nek megfelelően történik, illetőleg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 melléklet 1. részének 40. bekezdése szerint „Egyéb pénzügyi kötelezettségek”</w:t>
      </w:r>
      <w:proofErr w:type="spellStart"/>
      <w:r>
        <w:t>-ként</w:t>
      </w:r>
      <w:proofErr w:type="spellEnd"/>
      <w:r>
        <w:t xml:space="preserve"> kell feltüntetni. A BAD alapján kidolgozott nemzeti GAAP szerinti elszámolás esetén az „Adott elkötelezettségekre és garanciákra képzett céltartalék” valamennyi elkötelezettséghez és garanciához kapcsolódó céltartalékot tartalmazza.</w:t>
      </w:r>
    </w:p>
    <w:p w:rsidR="009569C7" w:rsidRPr="00EC4FA2" w:rsidRDefault="00A834F1" w:rsidP="009569C7">
      <w:pPr>
        <w:pStyle w:val="Baseparagraphnumbered"/>
      </w:pPr>
      <w:r>
        <w:t>A „Kérésre visszafizetendő jegyzett tőke” tartalmazza azokat az intézmény által kibocsátott, tulajdoni részesedést megtestesítő instrumentumokat, amelyek nem felelnek meg a saját tőkébe való besorolás feltételeinek. Ebben a tételben kell az intézményeknek feltüntetniük azokat a szövetkezeti részjegyeket, amelyek nem felelnek meg a saját tőkébe való besorolás feltételeinek.</w:t>
      </w:r>
    </w:p>
    <w:p w:rsidR="009569C7" w:rsidRPr="00EC4FA2" w:rsidRDefault="00A834F1" w:rsidP="009569C7">
      <w:pPr>
        <w:pStyle w:val="Baseparagraphnumbered"/>
      </w:pPr>
      <w:r>
        <w:t xml:space="preserve">Azokat a kötelezettségeket, amelyek nem pénzügyi kötelezettségek, és amelyek jellegüknél fogva nem sorolhatók be a mérleg meghatározott tételei közé, az „Egyéb kötelezettségek” között kell feltüntetni. </w:t>
      </w:r>
    </w:p>
    <w:p w:rsidR="009569C7" w:rsidRPr="00EC4FA2" w:rsidRDefault="00A834F1" w:rsidP="009569C7">
      <w:pPr>
        <w:pStyle w:val="Baseparagraphnumbered"/>
      </w:pPr>
      <w:r>
        <w:t xml:space="preserve">Az „Értékesítésre tartottá minősített elidegenítési csoportba tartozó kötelezettségek” jelentése ugyanaz, mint az IFRS 5 alapján. </w:t>
      </w:r>
    </w:p>
    <w:p w:rsidR="009569C7" w:rsidRPr="00EC4FA2" w:rsidRDefault="00A834F1" w:rsidP="009569C7">
      <w:pPr>
        <w:pStyle w:val="Baseparagraphnumbered"/>
      </w:pPr>
      <w:r>
        <w:t xml:space="preserve">A BAD alapján kidolgozott nemzeti GAAP szerinti elszámolás esetén az „Általános banki kockázatok fedezetére képzett tartalékok” olyan összegek, amelyeket a BAD 38. cikkével összhangban határoztak meg. Megjelenítésükkor ezeket kötelezettségként a „céltartalékok” között vagy saját tőkeként az „egyéb tartalékok” között, külön kell feltüntetni, a vonatkozó nemzeti </w:t>
      </w:r>
      <w:proofErr w:type="spellStart"/>
      <w:r>
        <w:t>GAAP-nak</w:t>
      </w:r>
      <w:proofErr w:type="spellEnd"/>
      <w:r>
        <w:t xml:space="preserve"> megfelelően.</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524094024"/>
      <w:r>
        <w:t>Saját tőke (1.3.)</w:t>
      </w:r>
      <w:bookmarkEnd w:id="65"/>
      <w:bookmarkEnd w:id="66"/>
      <w:bookmarkEnd w:id="67"/>
      <w:bookmarkEnd w:id="68"/>
    </w:p>
    <w:p w:rsidR="009569C7" w:rsidRPr="00EC4FA2" w:rsidRDefault="00A834F1" w:rsidP="009569C7">
      <w:pPr>
        <w:pStyle w:val="Baseparagraphnumbered"/>
      </w:pPr>
      <w:r>
        <w:t xml:space="preserve">Az IFRS szerinti elszámolás esetén a tulajdoni részesedést megtestesítő instrumentumok azok a pénzügyi instrumentumok, amelyek az IAS 32 hatóköre alapján meghatározott szerződéseket tartalmazzák. </w:t>
      </w:r>
    </w:p>
    <w:p w:rsidR="009569C7" w:rsidRPr="00EC4FA2" w:rsidRDefault="00A834F1" w:rsidP="009569C7">
      <w:pPr>
        <w:pStyle w:val="Baseparagraphnumbered"/>
      </w:pPr>
      <w:r>
        <w:t>A BAD alapján kidolgozott vonatkozó nemzeti GAAP szerinti elszámolás esetén a „Jegyzett, de még be nem fizetett tőke” tartalmazza annak az intézmény által kibocsátott tőkének a könyv szerinti értékét, amelyet a részvényesek már lejegyeztek, de az adatszolgáltatás időpontjában még nem fizettek be. Amennyiben a még be nem fizetett tőkenövekedés a részvénytőke növekedéseként kerül feltüntetésre, a jegyzett, de még be nem fizetett tőkét az 1.3. táblában kell feltüntetni „Jegyzett, de még be nem fizetett tőke”</w:t>
      </w:r>
      <w:proofErr w:type="spellStart"/>
      <w:r>
        <w:t>-ként</w:t>
      </w:r>
      <w:proofErr w:type="spellEnd"/>
      <w:r>
        <w:t>, valamint az 1.1. táblában „Egyéb eszköz”</w:t>
      </w:r>
      <w:proofErr w:type="spellStart"/>
      <w:r>
        <w:t>-ként</w:t>
      </w:r>
      <w:proofErr w:type="spellEnd"/>
      <w:r>
        <w:t xml:space="preserve">. A BAD alapján kidolgozott vonatkozó nemzeti GAAP szerinti elszámolás esetén, ha a tőkenövekedés </w:t>
      </w:r>
      <w:r>
        <w:lastRenderedPageBreak/>
        <w:t>csak a részvényesektől kapott kifizetéseket követően tüntethető fel, a be nem fizetett tőkét nem kell megadni az 1.3. táblában.</w:t>
      </w:r>
    </w:p>
    <w:p w:rsidR="009569C7" w:rsidRPr="00EC4FA2" w:rsidRDefault="00A834F1" w:rsidP="009569C7">
      <w:pPr>
        <w:pStyle w:val="Baseparagraphnumbered"/>
      </w:pPr>
      <w:r>
        <w:t>Az „Összetett pénzügyi instrumentumok sajáttőke-eleme” tartalmazza az intézmény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származtatott termékeket tartalmazó összetett pénzügyi instrumentumokat).</w:t>
      </w:r>
    </w:p>
    <w:p w:rsidR="009569C7" w:rsidRPr="00EC4FA2" w:rsidRDefault="00A834F1" w:rsidP="009569C7">
      <w:pPr>
        <w:pStyle w:val="Baseparagraphnumbered"/>
      </w:pPr>
      <w:r>
        <w:t xml:space="preserve">Az „Egyéb kibocsátott tulajdoni részesedést megtestesítő instrumentumok” közé tartoznak azok a tulajdoni részesedést megtestesítő instrumentumok, amelyek pénzügyi instrumentumok, a „Jegyzett tőke” és az „Összetett pénzügyi instrumentumok sajáttőke-eleme” kivételével. </w:t>
      </w:r>
    </w:p>
    <w:p w:rsidR="009569C7" w:rsidRPr="00EC4FA2" w:rsidRDefault="00A834F1" w:rsidP="009569C7">
      <w:pPr>
        <w:pStyle w:val="Baseparagraphnumbered"/>
      </w:pPr>
      <w:r>
        <w:t xml:space="preserve">Az „Egyéb tőke” magában foglalja az összes olyan tulajdoni részesedést megtestesítő instrumentumot, amely nem pénzügyi instrumentum, ideértve többek között a tulajdoni részesedést megtestesítő instrumentumban teljesített részvényalapú kifizetési ügyleteket [IFRS 2 10. bekezdése]. </w:t>
      </w:r>
    </w:p>
    <w:p w:rsidR="009569C7" w:rsidRPr="00EC4FA2" w:rsidRDefault="00A834F1" w:rsidP="009569C7">
      <w:pPr>
        <w:pStyle w:val="Baseparagraphnumbered"/>
      </w:pPr>
      <w:r>
        <w:t xml:space="preserve">Az „Egyéb átfogó jövedelemmel szemben valós értéken értékelt, tulajdoni részesedést megtestesítő instrumentumok valós értékének változásai”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rsidR="009569C7" w:rsidRPr="00EC4FA2" w:rsidRDefault="00A834F1" w:rsidP="009569C7">
      <w:pPr>
        <w:pStyle w:val="Baseparagraphnumbered"/>
      </w:pPr>
      <w:r>
        <w:t xml:space="preserve">Az „Egyéb átfogó jövedelemmel szemben valós értéken értékelt, tulajdoni részesedést megtestesítő instrumentumok valósérték-fedezeti ügyleteinek fedezeti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változásai [fedezett tétel]” tételben feltüntetett halmozott változása és a származtatott fedezeti ügylet valós értékének „Az egyéb átfogó jövedelemmel szemben valós értéken értékelt, tulajdoni részesedést megtestesítő instrumentumok valós értékének változásai [fedezeti instrumentum]” tételben feltüntetett halmozott változásai közötti különbség [az IFRS 9 6.5.3. bekezdése és az IFRS 9 6.5.8. bekezdése]. </w:t>
      </w:r>
    </w:p>
    <w:p w:rsidR="009569C7" w:rsidRPr="00EC4FA2" w:rsidRDefault="00A834F1" w:rsidP="009569C7">
      <w:pPr>
        <w:pStyle w:val="Baseparagraphnumbered"/>
      </w:pPr>
      <w:r>
        <w:t xml:space="preserve">„Az eredménnyel szemben valós értéken értékelt pénzügyi kötelezettségek hitelezési kockázat változásából származó valósérték-változásai” az egyéb átfogó jövedelemben megjelenített és az eredménnyel szemben valós értéken értékeltnek megjelölt kötelezettségek saját hitelkockázatához kapcsolódó </w:t>
      </w:r>
      <w:r>
        <w:lastRenderedPageBreak/>
        <w:t xml:space="preserve">halmozott nyereséget és veszteséget tartalmazza, függetlenül attól, hogy a megjelölésre a kezdeti megjelenítéskor vagy később kerül sor. </w:t>
      </w:r>
    </w:p>
    <w:p w:rsidR="009569C7" w:rsidRPr="00EC4FA2" w:rsidRDefault="00A834F1" w:rsidP="009569C7">
      <w:pPr>
        <w:pStyle w:val="Baseparagraphnumbered"/>
      </w:pPr>
      <w:r>
        <w:t xml:space="preserve">A „Külföldi érdekeltségekbe történt nettó befektetések fedezeti ügyletei [hatékony rész]” tartalmazza a külföldi érdekeltségekbe történt nettó befektetések folyamatban lévő fedezeti ügyleteinek, valamint a külföldi érdekeltségekbe történt nettó befektetések azon fedezeti ügyleteinek hatékony részére képzett devizaátszámítási tartalékot, melyek már nem állnak fenn, miközben a külföldi érdekeltségek a mérlegben megjelenítettek maradnak. </w:t>
      </w:r>
    </w:p>
    <w:p w:rsidR="009569C7" w:rsidRPr="00EC4FA2" w:rsidRDefault="00A834F1" w:rsidP="009569C7">
      <w:pPr>
        <w:pStyle w:val="Baseparagraphnumbered"/>
      </w:pPr>
      <w: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rsidR="009569C7" w:rsidRPr="00EC4FA2" w:rsidRDefault="00A834F1" w:rsidP="009569C7">
      <w:pPr>
        <w:pStyle w:val="Baseparagraphnumbered"/>
      </w:pPr>
      <w:r>
        <w:t>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az adatszolgáltatás vonatkozási időpontjában értékelt értékvesztéssel csökkentett halmozott nyereségeket vagy veszteségeket.</w:t>
      </w:r>
    </w:p>
    <w:p w:rsidR="009569C7" w:rsidRPr="00EC4FA2" w:rsidRDefault="00A834F1" w:rsidP="009569C7">
      <w:pPr>
        <w:pStyle w:val="Baseparagraphnumbered"/>
      </w:pPr>
      <w:r>
        <w:t>A „Fedezeti instrumentumok [nem megjelölt elemek]” tartalmazza a következők valós értékében bekövetkezett halmozott változásokat:</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az opció időértéke, ahol a szóban forgó opció időértékében és belső értékében bekövetkezett változásait elkülönítik, és csak az opció belső értékének változását jelölik meg fedezeti instrumentumként [az IFRS 9 6.5.15. bekezdése];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 </w:t>
      </w:r>
      <w:proofErr w:type="spellStart"/>
      <w:r>
        <w:rPr>
          <w:rFonts w:ascii="Times New Roman" w:hAnsi="Times New Roman"/>
          <w:sz w:val="24"/>
        </w:rPr>
        <w:t>forwardszerződés</w:t>
      </w:r>
      <w:proofErr w:type="spellEnd"/>
      <w:r>
        <w:rPr>
          <w:rFonts w:ascii="Times New Roman" w:hAnsi="Times New Roman"/>
          <w:sz w:val="24"/>
        </w:rPr>
        <w:t xml:space="preserve"> határidős eleme, ahol a szóban forgó </w:t>
      </w:r>
      <w:proofErr w:type="spellStart"/>
      <w:r>
        <w:rPr>
          <w:rFonts w:ascii="Times New Roman" w:hAnsi="Times New Roman"/>
          <w:sz w:val="24"/>
        </w:rPr>
        <w:t>forwardszerződés</w:t>
      </w:r>
      <w:proofErr w:type="spellEnd"/>
      <w:r>
        <w:rPr>
          <w:rFonts w:ascii="Times New Roman" w:hAnsi="Times New Roman"/>
          <w:sz w:val="24"/>
        </w:rPr>
        <w:t xml:space="preserve"> határidős elemét és azonnali elemét elkülönítik, és csak a </w:t>
      </w:r>
      <w:proofErr w:type="spellStart"/>
      <w:r>
        <w:rPr>
          <w:rFonts w:ascii="Times New Roman" w:hAnsi="Times New Roman"/>
          <w:sz w:val="24"/>
        </w:rPr>
        <w:t>forwardszerződés</w:t>
      </w:r>
      <w:proofErr w:type="spellEnd"/>
      <w:r>
        <w:rPr>
          <w:rFonts w:ascii="Times New Roman" w:hAnsi="Times New Roman"/>
          <w:sz w:val="24"/>
        </w:rPr>
        <w:t xml:space="preserve"> azonnali elemében bekövetkező változást jelölik meg fedezeti instrumentumként;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 pénzügyi instrumentum devizafelára, ha ezt a felárat kizárják a szóban forgó pénzügyi instrumentum fedezeti instrumentumként való megjelöléséből [az IFRS 9 6.5.15. bekezdése és 6.5.16. bekezdése].</w:t>
      </w:r>
    </w:p>
    <w:p w:rsidR="009569C7" w:rsidRPr="00EC4FA2" w:rsidRDefault="00A834F1" w:rsidP="009569C7">
      <w:pPr>
        <w:pStyle w:val="Baseparagraphnumbered"/>
      </w:pPr>
      <w:r>
        <w:t xml:space="preserve">Az IFRS szerinti elszámolás esetén az „Átértékelési tartalék” az IAS első alkalmazásából eredő tartalékok összegét tartalmazza, amelyeket nem oldottak fel más típusú tartalékok javára. </w:t>
      </w:r>
    </w:p>
    <w:p w:rsidR="009569C7" w:rsidRPr="00EC4FA2" w:rsidRDefault="00A834F1" w:rsidP="009569C7">
      <w:pPr>
        <w:pStyle w:val="Baseparagraphnumbered"/>
      </w:pPr>
      <w:r>
        <w:t xml:space="preserve">Az „Egyéb tartalékok” a „Tőkemódszerrel értékelt, leányvállalatokba, közös vállalkozásokba, valamint társult vállalkozásokba történt befektetések tartalékai vagy halmozott veszteségei” és az „Egyéb” között oszlanak meg. A „Tőkemódszerrel értékelt, leányvállalatokba, közös vállalkozásokba, valamint társult vállalkozásokba történt befektetések tartalékai vagy halmozott </w:t>
      </w:r>
      <w:r>
        <w:lastRenderedPageBreak/>
        <w:t>veszteségei” tartalmazza az előbb említett befektetésekből nyereség vagy veszteség révén származó, az elmúlt évek során felhalmozódott bevételek és ráfordítások összegét, amennyiben azokat a tőkemódszerrel számolják el. Az „Egyéb” tétel tartalmazza a más tételekben külön közzétett tartalékoktól eltérő tartalékokat, és tartalmazhat törvény és jogszabály által előírt tartalékot.</w:t>
      </w:r>
    </w:p>
    <w:p w:rsidR="009569C7" w:rsidRPr="00EC4FA2" w:rsidRDefault="00A834F1" w:rsidP="009569C7">
      <w:pPr>
        <w:pStyle w:val="Baseparagraphnumbered"/>
      </w:pPr>
      <w:r>
        <w:t xml:space="preserve">A „Saját részvények” tétel minden olyan – nem értékesített vagy amortizált – pénzügyi instrumentumot magában foglal, amely rendelkezik azoknak a sajáttőke-instrumentumoknak a jellemzőivel, amelyeket az intézmény visszavásárolt, kivéve, ha a BAD alapján kidolgozott vonatkozó nemzeti GAAP értelmében azt az „egyéb eszközök” között kell feltüntetni.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524094025"/>
      <w:bookmarkEnd w:id="69"/>
      <w:bookmarkEnd w:id="70"/>
      <w:bookmarkEnd w:id="71"/>
      <w:r>
        <w:t>Eredménykimutatás (2.)</w:t>
      </w:r>
      <w:bookmarkEnd w:id="72"/>
      <w:bookmarkEnd w:id="73"/>
      <w:bookmarkEnd w:id="74"/>
      <w:bookmarkEnd w:id="75"/>
    </w:p>
    <w:p w:rsidR="009569C7" w:rsidRPr="00EC4FA2" w:rsidRDefault="00A834F1" w:rsidP="009569C7">
      <w:pPr>
        <w:pStyle w:val="Baseparagraphnumbered"/>
      </w:pPr>
      <w:r>
        <w:t>Az eredménnyel szemben valós értéken értékelt pénzügyi instrumentumokból és a fedezeti elszámolások kategóriájához sorolt származtatott fedezeti ügyletekből eredő kamatbevételeket és kamatráfordításokat vagy az egyéb nyereségtől és veszteségtől elkülönülten kell feltüntetni a „Kamatbevétel” és „Kamatráfordítások” („tiszta ár” [nettó ár]) tételek alatt,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rsidR="009569C7" w:rsidRPr="00EC4FA2" w:rsidRDefault="00A834F1" w:rsidP="009569C7">
      <w:pPr>
        <w:pStyle w:val="Baseparagraphnumbered"/>
      </w:pPr>
      <w:r>
        <w:t xml:space="preserve">Az intézményeknek számviteli portfóliók szerinti bontásban kell megadniuk a kapcsolt felekkel összefüggő, a </w:t>
      </w:r>
      <w:proofErr w:type="spellStart"/>
      <w:r>
        <w:t>prudenciális</w:t>
      </w:r>
      <w:proofErr w:type="spellEnd"/>
      <w:r>
        <w:t xml:space="preserve"> konszolidáció keretében nem teljes mértékben vagy arányosan konszolidált következő bevételeket és ráfordításokat is tartalmazó tételeket:</w:t>
      </w:r>
    </w:p>
    <w:p w:rsidR="009569C7" w:rsidRPr="00EC4FA2" w:rsidRDefault="00A834F1" w:rsidP="009569C7">
      <w:pPr>
        <w:pStyle w:val="Baseparagraphnumbered"/>
        <w:numPr>
          <w:ilvl w:val="0"/>
          <w:numId w:val="30"/>
        </w:numPr>
        <w:ind w:left="1134" w:hanging="425"/>
      </w:pPr>
      <w:r>
        <w:t>„Kamatbevétel”;</w:t>
      </w:r>
    </w:p>
    <w:p w:rsidR="009569C7" w:rsidRPr="00EC4FA2" w:rsidRDefault="00A834F1" w:rsidP="009569C7">
      <w:pPr>
        <w:pStyle w:val="Baseparagraphnumbered"/>
        <w:numPr>
          <w:ilvl w:val="0"/>
          <w:numId w:val="30"/>
        </w:numPr>
        <w:ind w:left="1134" w:hanging="425"/>
      </w:pPr>
      <w:r>
        <w:t>„Kamatráfordítások”;</w:t>
      </w:r>
    </w:p>
    <w:p w:rsidR="009569C7" w:rsidRPr="00EC4FA2" w:rsidRDefault="00A834F1" w:rsidP="009569C7">
      <w:pPr>
        <w:pStyle w:val="Baseparagraphnumbered"/>
        <w:numPr>
          <w:ilvl w:val="0"/>
          <w:numId w:val="30"/>
        </w:numPr>
        <w:ind w:left="1134" w:hanging="425"/>
      </w:pPr>
      <w:r>
        <w:t>„Osztalékbevétel”;</w:t>
      </w:r>
    </w:p>
    <w:p w:rsidR="009569C7" w:rsidRPr="00EC4FA2" w:rsidRDefault="00A834F1" w:rsidP="009569C7">
      <w:pPr>
        <w:pStyle w:val="Baseparagraphnumbered"/>
        <w:numPr>
          <w:ilvl w:val="0"/>
          <w:numId w:val="30"/>
        </w:numPr>
        <w:ind w:left="1134" w:hanging="425"/>
      </w:pPr>
      <w:r>
        <w:t>„Az eredménnyel szemben valós értéken értékelt kategóriába nem tartozó pénzügyi eszközök és kötelezettségek kivezetéséből származó nyeresége vagy veszteség, nettó”;</w:t>
      </w:r>
    </w:p>
    <w:p w:rsidR="009569C7" w:rsidRPr="00EC4FA2" w:rsidRDefault="00A834F1" w:rsidP="009569C7">
      <w:pPr>
        <w:pStyle w:val="Baseparagraphnumbered"/>
        <w:numPr>
          <w:ilvl w:val="0"/>
          <w:numId w:val="30"/>
        </w:numPr>
        <w:ind w:left="1134" w:hanging="425"/>
      </w:pPr>
      <w:r>
        <w:t>„Módosításból származó nyereség vagy veszteség, nettó”;</w:t>
      </w:r>
    </w:p>
    <w:p w:rsidR="009569C7" w:rsidRPr="00EC4FA2" w:rsidRDefault="00A834F1" w:rsidP="009569C7">
      <w:pPr>
        <w:pStyle w:val="Baseparagraphnumbered"/>
        <w:numPr>
          <w:ilvl w:val="0"/>
          <w:numId w:val="30"/>
        </w:numPr>
        <w:ind w:left="1134" w:hanging="425"/>
      </w:pPr>
      <w:r>
        <w:t>(Eredménnyel szemben valós értéken értékelt kategóriába nem tartozó pénzügyi eszközök értékvesztése vagy (–) értékvesztésének visszaírása)</w:t>
      </w:r>
    </w:p>
    <w:p w:rsidR="009569C7" w:rsidRPr="00EC4FA2"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a fedezett pénzügyi instrumentumokból származó pontos kamatbevételek és kamatráfordítások bemutatása érdekében tartalmazza a „kereskedési céllal tartott” kategóriába besorolt azon származtatott ügyletekhez kapcsolódó összegeket, amelyek gazdasági </w:t>
      </w:r>
      <w:r>
        <w:lastRenderedPageBreak/>
        <w:t xml:space="preserve">szempontból fedezett instrumentumnak minősülnek, azonban számviteli szempontból nem minősülnek annak. </w:t>
      </w:r>
    </w:p>
    <w:p w:rsidR="009569C7" w:rsidRPr="00EC4FA2"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t>hitelderivatívához</w:t>
      </w:r>
      <w:proofErr w:type="spellEnd"/>
      <w:r>
        <w:t xml:space="preserve"> kapcsolódó időarányos díjakat és egyenlegfizetéseket [az IFRS 9 6.7. bekezdése]. </w:t>
      </w:r>
    </w:p>
    <w:p w:rsidR="009569C7" w:rsidRPr="00EC4FA2" w:rsidRDefault="00A834F1" w:rsidP="009569C7">
      <w:pPr>
        <w:pStyle w:val="Baseparagraphnumbered"/>
      </w:pPr>
      <w:r>
        <w:t xml:space="preserve">A „Kamatbevétel. Származtatott ügyletek — Fedezeti elszámolások, kamatlábkockázat” és a „Kamatráfordítások. Származtatott ügyletek — Fedezeti elszámolások, kamatlábkockázat” tiszta ár alkalmazása esetén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w:t>
      </w:r>
      <w:proofErr w:type="spellStart"/>
      <w:r>
        <w:t>eredménykimutatás</w:t>
      </w:r>
      <w:proofErr w:type="spellEnd"/>
      <w:r>
        <w:t xml:space="preserve"> különböző sorain levő tételeket érint. Tiszta ár használata esetén ezeket az összegeket bruttó kamatbevételként és kamatráfordításként kell jelenteni azon fedezett tételekből származó pontos kamatbevétel és kamatráfordítások bemutatásához, amelyekhez kapcsolódnak. Tiszta áron számítva, amennyiben a fedezett tételek kamatbevételt (</w:t>
      </w:r>
      <w:proofErr w:type="spellStart"/>
      <w:r>
        <w:t>-ráfordítást</w:t>
      </w:r>
      <w:proofErr w:type="spellEnd"/>
      <w:r>
        <w:t>) generálnak, ezeket az összegeket kamatbevételként (</w:t>
      </w:r>
      <w:proofErr w:type="spellStart"/>
      <w:r>
        <w:t>-ráfordításként</w:t>
      </w:r>
      <w:proofErr w:type="spellEnd"/>
      <w:r>
        <w:t>) kell feltüntetni akkor is, ha negatív (pozitív) összegről van szó.</w:t>
      </w:r>
    </w:p>
    <w:p w:rsidR="009569C7" w:rsidRPr="00EC4FA2" w:rsidRDefault="00A834F1" w:rsidP="009569C7">
      <w:pPr>
        <w:pStyle w:val="Baseparagraphnumbered"/>
      </w:pPr>
      <w:r>
        <w:t>A „Kamatbevétel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tartottá minősített befektetett eszközök és elidegenítési csoportok kategóriákhoz kapcsolódnak, továbbá a meghatározott juttatási program nettó eszközeiből származó nettó kamatbevételeket.</w:t>
      </w:r>
    </w:p>
    <w:p w:rsidR="009569C7" w:rsidRPr="00EC4FA2" w:rsidRDefault="00A834F1" w:rsidP="009569C7">
      <w:pPr>
        <w:pStyle w:val="Baseparagraphnumbered"/>
      </w:pPr>
      <w:r>
        <w:t xml:space="preserve">Az IFRS szerinti elszámolás esetén, és amennyiben a nemzeti GAAP máshogy nem rendelkezik, a pénzügyi kötelezettségekkel összefüggő, negatív effektív kamatlábú kamatokat a „Kötelezettségeken képződött kamatbevétel” tételben kell feltüntetni. Ezek a kötelezettségek és kamataik pozitív hozamot jelentenek az intézménynek.  </w:t>
      </w:r>
    </w:p>
    <w:p w:rsidR="009569C7" w:rsidRPr="00EC4FA2" w:rsidRDefault="00A834F1" w:rsidP="009569C7">
      <w:pPr>
        <w:pStyle w:val="Baseparagraphnumbered"/>
      </w:pPr>
      <w:r>
        <w:t xml:space="preserve"> A „Kamatráfordítások – egyéb kötelezettségek” az egyéb tételek közé nem tartozó kamatráfordítások összegét tartalmazza, például az értékesítésre tartottá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rsidR="009569C7" w:rsidRPr="00EC4FA2" w:rsidRDefault="00A834F1" w:rsidP="009569C7">
      <w:pPr>
        <w:pStyle w:val="Baseparagraphnumbered"/>
      </w:pPr>
      <w:r>
        <w:lastRenderedPageBreak/>
        <w:t xml:space="preserve">Az IFRS szerinti elszámolás esetén, és amennyiben a nemzeti GAAP máshogy nem rendelkezik, a pénzügyi eszközökkel összefüggő, negatív effektív kamatlábú kamatokat az „Eszközök kamatráfordításai” tételben kell feltüntetni. Ezek a kötelezettségek és kamataik negatív hozamot jelentenek az intézménynek. </w:t>
      </w:r>
    </w:p>
    <w:p w:rsidR="009569C7" w:rsidRPr="00EC4FA2" w:rsidRDefault="00A834F1" w:rsidP="009569C7">
      <w:pPr>
        <w:pStyle w:val="Baseparagraphnumbered"/>
      </w:pPr>
      <w:r>
        <w:t>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w:t>
      </w:r>
      <w:proofErr w:type="spellStart"/>
      <w:r>
        <w:t>-ként</w:t>
      </w:r>
      <w:proofErr w:type="spellEnd"/>
      <w:r>
        <w:t xml:space="preserve">, vagy – piszkos ár alkalmazása esetén – az ezen instrumentumkategóriákból származó nyereség vagy veszteség részeként kell feltüntetni. </w:t>
      </w:r>
    </w:p>
    <w:p w:rsidR="009569C7" w:rsidRPr="00EC4FA2" w:rsidRDefault="00A834F1" w:rsidP="009569C7">
      <w:pPr>
        <w:pStyle w:val="Baseparagraphnumbered"/>
      </w:pPr>
      <w: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rsidR="009569C7" w:rsidRPr="00EC4FA2" w:rsidRDefault="00A834F1" w:rsidP="009569C7">
      <w:pPr>
        <w:pStyle w:val="Baseparagraphnumbered"/>
      </w:pPr>
      <w: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rsidR="009569C7" w:rsidRPr="00EC4FA2" w:rsidRDefault="00A834F1" w:rsidP="009569C7">
      <w:pPr>
        <w:pStyle w:val="Baseparagraphnumbered"/>
      </w:pPr>
      <w: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t>hitelderivatívákon</w:t>
      </w:r>
      <w:proofErr w:type="spellEnd"/>
      <w:r>
        <w:t xml:space="preserve"> keletkezett nyereséget és veszteséget, valamint a kereskedési céllal tartott pénzügyi eszközökön és pénzügyi kötelezettségeken keletkezett osztalékot, valamint kamatbevételt és </w:t>
      </w:r>
      <w:proofErr w:type="spellStart"/>
      <w:r>
        <w:t>-ráfordítást</w:t>
      </w:r>
      <w:proofErr w:type="spellEnd"/>
      <w:r>
        <w:t xml:space="preserve">, piszkos ár alkalmazása esetén. </w:t>
      </w:r>
    </w:p>
    <w:p w:rsidR="009569C7" w:rsidRPr="00EC4FA2" w:rsidRDefault="00A834F1" w:rsidP="009569C7">
      <w:pPr>
        <w:pStyle w:val="Baseparagraphnumbered"/>
      </w:pPr>
      <w:r>
        <w:t xml:space="preserve">„Az eredménnyel szemben valós értéken értékeltnek megjelölt pénzügyi eszközök és kötelezettségek nyeresége vagy vesztesége” tartalmazza az </w:t>
      </w:r>
      <w:proofErr w:type="spellStart"/>
      <w:r>
        <w:t>eredménykimutatásban</w:t>
      </w:r>
      <w:proofErr w:type="spellEnd"/>
      <w:r>
        <w:t xml:space="preserve">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[az IFRS 9 5.7.8. bekezdése].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w:t>
      </w:r>
      <w:proofErr w:type="spellStart"/>
      <w:r>
        <w:t>-ráfordítását</w:t>
      </w:r>
      <w:proofErr w:type="spellEnd"/>
      <w:r>
        <w:t>, piszkos ár használata esetén.</w:t>
      </w:r>
    </w:p>
    <w:p w:rsidR="009569C7" w:rsidRPr="00EC4FA2" w:rsidRDefault="00A834F1" w:rsidP="009569C7">
      <w:pPr>
        <w:pStyle w:val="Baseparagraphnumbered"/>
      </w:pPr>
      <w:r>
        <w:t xml:space="preserve">„Az eredménnyel szemben valós értéken értékelt kategóriába nem tartozó pénzügyi eszközök és kötelezettségek kivezetéséből származó nyereség vagy </w:t>
      </w:r>
      <w:r>
        <w:lastRenderedPageBreak/>
        <w:t>(–) veszteség” nem tartalmazza az olyan tulajdoni részesedést megtestesítő instrumentumokon keletkező nyereséget, amelyek esetében az adatszolgáltató intézmény úgy döntött, hogy azokat az egyéb átfogó jövedelemmel szemben valós értéken értékeli [az IFRS 9 5.7.1. bekezdésének b) pontja].</w:t>
      </w:r>
    </w:p>
    <w:p w:rsidR="009569C7" w:rsidRPr="00EC4FA2" w:rsidRDefault="00A834F1" w:rsidP="009569C7">
      <w:pPr>
        <w:pStyle w:val="Baseparagraphnumbered"/>
      </w:pPr>
      <w: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amennyiben egy pénzügyi eszközt az amortizált bekerülési érték értékelési kategóriából az eredménnyel szemben valós értéken értékelt számviteli portfólióba sorolnak át [az IFRS 9 5.6.2. bekezdése],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amennyiben egy pénzügyi eszközt az egyéb átfogó jövedelemmel szemben valós értéken értékelt kategóriából az eredménnyel szemben valós értéken értékelt kategóriába sorolnak át [az IFRS 9 5.6.7. bekezdése],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rsidR="009569C7" w:rsidRPr="00EC4FA2" w:rsidRDefault="00A834F1" w:rsidP="009569C7">
      <w:pPr>
        <w:pStyle w:val="Baseparagraphnumbered"/>
      </w:pPr>
      <w:r>
        <w:t>A „Fedezeti elszámolásokból eredő nyereségek vagy (–) veszteségek, nettó”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 Tartalmazza továbbá valamely cash flow-fedezeti ügyletben a fedezeti instrumentumok valósérték-változásának nem hatékony részét. A cash flow-fedezeti ügyletek tartalékának vagy a külföldi érdekeltségbe történt nettó befektetés fedezeti ügyletére képzett tartaléknak az átsorolását az „</w:t>
      </w:r>
      <w:proofErr w:type="spellStart"/>
      <w:r>
        <w:t>Eredménykimutatás</w:t>
      </w:r>
      <w:proofErr w:type="spellEnd"/>
      <w:r>
        <w:t>” ugyanazon soraiban kell megjeleníteni, mint a fedezett tételekből eredő cash flow által eredményezetteket. A „Fedezeti elszámolásokból eredő nyereségek vagy (–) veszteségek, nettó” tartalmazza továbbá a külföldi érdekeltségbe történt nettó befektetés fedezeti ügyletéből eredő nyereségeket és veszteségeket. Ez a tétel magában foglalja a nettó pozíciók fedezeti ügyletéből eredő nyereségeket is.</w:t>
      </w:r>
    </w:p>
    <w:p w:rsidR="009569C7" w:rsidRPr="00EC4FA2" w:rsidRDefault="00A834F1" w:rsidP="009569C7">
      <w:pPr>
        <w:pStyle w:val="Baseparagraphnumbered"/>
      </w:pPr>
      <w:r>
        <w:t xml:space="preserve"> A „Nem pénzügyi eszközök kivezetéséből származó nyereség vagy (–) veszteség” tartalmazza a nem pénzügyi eszközök kivezetéséből származó </w:t>
      </w:r>
      <w:r>
        <w:lastRenderedPageBreak/>
        <w:t>nyereségeket és veszteségeket, kivéve ha az eszközök értékesítésre tartottnak vagy leányvállalatokba, társult vállalkozásokba, valamint közös vállalkozásokba történt befektetéseknek minősülnek.</w:t>
      </w:r>
    </w:p>
    <w:p w:rsidR="009569C7" w:rsidRPr="00EC4FA2" w:rsidRDefault="00A834F1" w:rsidP="009569C7">
      <w:pPr>
        <w:pStyle w:val="Baseparagraphnumbered"/>
      </w:pPr>
      <w:r>
        <w:t>A „Módosítás miatti nyereség vagy (–) veszteség, nettó” tartalmazza a pénzügyi eszközök bruttó könyv szerinti értékének az újratárgyalt vagy módosított szerződéses cash flow-k tükrözése céljából történő korrekciójából eredő összegeket [IFRS 9 5.4.3. bekezdése és az A. függelék].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rsidR="009569C7" w:rsidRPr="00EC4FA2" w:rsidRDefault="00A834F1" w:rsidP="009569C7">
      <w:pPr>
        <w:pStyle w:val="Baseparagraphnumbered"/>
      </w:pPr>
      <w:r>
        <w:t>A „</w:t>
      </w:r>
      <w:proofErr w:type="spellStart"/>
      <w:r>
        <w:t>Céltartalékképzés</w:t>
      </w:r>
      <w:proofErr w:type="spellEnd"/>
      <w:r>
        <w:t xml:space="preserve"> vagy (–) céltartalékok visszaírása. Adott elkötelezettségek és garanciák” tartalmazza az </w:t>
      </w:r>
      <w:proofErr w:type="spellStart"/>
      <w:r>
        <w:t>eredménykimutatásban</w:t>
      </w:r>
      <w:proofErr w:type="spellEnd"/>
      <w:r>
        <w:t xml:space="preserve"> szereplő nettó költségeket az e rész 11. bekezdésének megfelelően az IFRS 9, az IAS 37 vagy az IFRS 4 hatókörébe tartozó valamennyi elkötelezettségre és garanciára képzett céltartalékok, vagy a BAD alapján kidolgozott nemzeti GAAP szerinti céltartalékok tekintetében. Az IFRS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tételben kell feltüntetni. Következésképpen a céltartalékok magukban foglalják azon elkötelezettségek és garanciák értékvesztésének összegét, amelyek esetében az értékvesztés meghatározása az IFRS 9 szerint történik, vagy a </w:t>
      </w:r>
      <w:proofErr w:type="spellStart"/>
      <w:r>
        <w:t>céltartalékképzés</w:t>
      </w:r>
      <w:proofErr w:type="spellEnd"/>
      <w:r>
        <w:t xml:space="preserve"> megfelel az IAS 37-nek, illetőleg amelyeket az IFRS 4 értelmében biztosítási szerződésként kezelnek.</w:t>
      </w:r>
    </w:p>
    <w:p w:rsidR="009569C7" w:rsidRPr="00EC4FA2" w:rsidRDefault="00A834F1" w:rsidP="009569C7">
      <w:pPr>
        <w:pStyle w:val="Baseparagraphnumbered"/>
      </w:pPr>
      <w:r>
        <w:t xml:space="preserve">Az IFRS szerinti elszámolás esetén az „Eredménnyel szemben valós értéken értékelt kategóriába nem tartozó pénzügyi eszközök értékvesztése vagy (–) értékvesztésének visszaírása” tartalmazza a hitelviszonyt megtestesítő instrumentumok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kereskedelemfinanszírozáson, szerződéses eszközökön és lízingből származó követeléseken keletkező értékvesztési nyereséget vagy veszteséget [az IFRS 9 5.5.15. bekezdése]. </w:t>
      </w:r>
    </w:p>
    <w:p w:rsidR="009569C7" w:rsidRPr="00EC4FA2" w:rsidRDefault="00A834F1" w:rsidP="009569C7">
      <w:pPr>
        <w:pStyle w:val="Baseparagraphnumbered"/>
      </w:pPr>
      <w:r>
        <w:t xml:space="preserve">A BAD alapján kidolgozott nemzeti GAAP szerinti elszámolás esetén az „Eredménnyel szemben valós értéken értékelt kategóriába nem tartozó pénzügyi eszközök értékvesztése vagy (–) értékvesztésének visszaírása” magában foglalja a </w:t>
      </w:r>
      <w:proofErr w:type="spellStart"/>
      <w:r>
        <w:t>bekerülésiérték-módszerrel</w:t>
      </w:r>
      <w:proofErr w:type="spellEnd"/>
      <w:r>
        <w:t xml:space="preserve"> értékelt pénzügyi instrumentumokban az adós vagy a kibocsátó hitelképességének változása miatt bekövetkezett valamennyi értékvesztést vagy az értékvesztések visszaírását, valamint a nemzeti GAAP előírásaitól függően a saját tőkével szemben valós értéken vagy más értékelési módszerrel, többek között a </w:t>
      </w:r>
      <w:proofErr w:type="spellStart"/>
      <w:r>
        <w:t>LOCOM-módszerrel</w:t>
      </w:r>
      <w:proofErr w:type="spellEnd"/>
      <w:r>
        <w:t xml:space="preserve"> értékelt pénzügyi instrumentumok értékvesztését. </w:t>
      </w:r>
    </w:p>
    <w:p w:rsidR="009569C7" w:rsidRPr="00EC4FA2" w:rsidRDefault="00A834F1" w:rsidP="009569C7">
      <w:pPr>
        <w:pStyle w:val="Baseparagraphnumbered"/>
      </w:pPr>
      <w:r>
        <w:lastRenderedPageBreak/>
        <w:t xml:space="preserve"> Az „Eredménnyel szemben valós értéken értékelt kategóriába nem tartozó pénzügyi eszközök értékvesztése vagy (–) értékvesztésének visszaírása” tartalmazza továbbá az e melléklet jelen része 72., 74. bekezdésében és 165. bekezdésének b) pontjában meghatározott azon leírt összegeket, amelyek a leírás időpontjában meghaladják az értékvesztés összegét, és ezért közvetlenül az eredményben kerülnek megjelenítésre veszteségként, valamint a korábban leírt, közvetlenül az </w:t>
      </w:r>
      <w:proofErr w:type="spellStart"/>
      <w:r>
        <w:t>eredménykimutatásban</w:t>
      </w:r>
      <w:proofErr w:type="spellEnd"/>
      <w:r>
        <w:t xml:space="preserve"> rögzített összegek megtérülését. </w:t>
      </w:r>
    </w:p>
    <w:p w:rsidR="009569C7" w:rsidRPr="00EC4FA2" w:rsidRDefault="00A834F1" w:rsidP="009569C7">
      <w:pPr>
        <w:pStyle w:val="Baseparagraphnumbered"/>
      </w:pPr>
      <w:r>
        <w:t xml:space="preserve">A leányvállalatok, társult vállalkozások és közös vállalkozások eredményből való azon részesedését, amelyet a </w:t>
      </w:r>
      <w:proofErr w:type="spellStart"/>
      <w:r>
        <w:t>prudenciális</w:t>
      </w:r>
      <w:proofErr w:type="spellEnd"/>
      <w:r>
        <w:t xml:space="preserve"> konszolidáció keretében a tőkemódszerrel értékelnek, a „Tőkemódszerrel értékelt, leányvállalatokba, közös vállalkozásokba, valamint társult vállalkozásokba történt befektetések nyereségéből vagy (–) veszteségéből való részesedés” tételben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tételben kell feltüntetni. Az e befektetések kivezetéséből származó nyereséget vagy veszteséget e rész 55. és 56. bekezdésével összhangban kell feltüntetni. </w:t>
      </w:r>
    </w:p>
    <w:p w:rsidR="009569C7" w:rsidRPr="00EC4FA2" w:rsidRDefault="00A834F1" w:rsidP="009569C7">
      <w:pPr>
        <w:pStyle w:val="Baseparagraphnumbered"/>
      </w:pPr>
      <w:r>
        <w:t>A „Megszűnt tevékenységeknek nem minősülő, értékesítésre tartottá minősített befektetett eszközökből és elidegenítési csoportokból származó nyereség vagy (–) veszteség” a megszűnt tevékenységeknek nem minősülő, értékesítésre tartottá minősített befektetett eszközökből és elidegenítési csoportokból származó eredményt tartalmazza.</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Az IFRS szerinti elszámolás esetén a leányvállalatokba, közös vállalkozásokba, valamint társult vállalkozásokba történt befektetések kivezetéséből származó nyereséget vagy veszteséget a „Megszűnt tevékenységek nyeresége vagy (–) vesztesége adófizetés előtt” tételben kell megadni, amennyiben az IFRS 5 szerinti megszűnt tevékenységről van szó. A BAD alapján kidolgozott nemzeti GAAP szerinti elszámolás esetén ezeket a nyereségeket és veszteségeket a „Leányvállalatokba, közös vállalkozásokba és társult vállalkozásokba történt befektetések kivezetéséből származó nyereség vagy (–) veszteség, nettó” tételben kell feltüntetni.</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246770619"/>
      <w:bookmarkStart w:id="95" w:name="_Toc524094026"/>
      <w:bookmarkEnd w:id="79"/>
      <w:bookmarkEnd w:id="80"/>
      <w:bookmarkEnd w:id="81"/>
      <w:bookmarkEnd w:id="82"/>
      <w:bookmarkEnd w:id="83"/>
      <w:bookmarkEnd w:id="84"/>
      <w:bookmarkEnd w:id="85"/>
      <w:bookmarkEnd w:id="86"/>
      <w:bookmarkEnd w:id="87"/>
      <w:bookmarkEnd w:id="88"/>
      <w:bookmarkEnd w:id="89"/>
      <w:bookmarkEnd w:id="90"/>
      <w:r>
        <w:t>Átfogó jövedelemkimutatás (3.)</w:t>
      </w:r>
      <w:bookmarkEnd w:id="91"/>
      <w:bookmarkEnd w:id="92"/>
      <w:bookmarkEnd w:id="93"/>
      <w:bookmarkEnd w:id="95"/>
    </w:p>
    <w:p w:rsidR="009569C7" w:rsidRPr="00EC4FA2" w:rsidRDefault="00A834F1" w:rsidP="009569C7">
      <w:pPr>
        <w:pStyle w:val="Baseparagraphnumbered"/>
      </w:pPr>
      <w:r>
        <w:t xml:space="preserve">„Az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w:t>
      </w:r>
      <w:r>
        <w:lastRenderedPageBreak/>
        <w:t>[fedezett tétel]” tételben feltüntetett változásai és a származtatott fedezeti ügylet valós értékének „Az egyéb átfogó jövedelemmel szemben valós értéken értékelt, tulajdoni részesedést megtestesítő instrumentumok valós értékének változásai [fedezeti instrumentum]” tételben feltüntetett változásainak különbsége.</w:t>
      </w:r>
    </w:p>
    <w:p w:rsidR="009569C7" w:rsidRPr="00EC4FA2" w:rsidRDefault="00A834F1" w:rsidP="009569C7">
      <w:pPr>
        <w:pStyle w:val="Baseparagraphnumbered"/>
      </w:pPr>
      <w:r>
        <w:t xml:space="preserve"> A „Külföldi érdekeltségekbe történt nettó befektetések fedezeti ügyletei [hatékony rész]” tartalmazza a külföldi érdekeltségekbe történt nettó befektetések folyamatos és megszüntetett fedezeti ügyleteinek hatékony részére képzett, halmozott devizaátszámítási tartalék változását. </w:t>
      </w:r>
    </w:p>
    <w:p w:rsidR="009569C7" w:rsidRPr="00EC4FA2" w:rsidRDefault="00A834F1" w:rsidP="009569C7">
      <w:pPr>
        <w:pStyle w:val="Baseparagraphnumbered"/>
      </w:pPr>
      <w:r>
        <w:t xml:space="preserve">A külföldi érdekeltségekbe történt nettó befektetések fedezeti ügyletei és a cash flow-fedezeti ügyletek vonatkozásában az „Eredménybe átvezetett” tételben feltüntetett megfelelő összegek tartalmazzák azokat az összegeket, amelyeknek az átvezetésére azért került sor, mert a fedezett pénzmozgás megtörtént és bekövetkezése már nem várható. </w:t>
      </w:r>
    </w:p>
    <w:p w:rsidR="009569C7" w:rsidRPr="00EC4FA2" w:rsidRDefault="00A834F1" w:rsidP="009569C7">
      <w:pPr>
        <w:pStyle w:val="Baseparagraphnumbered"/>
      </w:pPr>
      <w:r>
        <w:t xml:space="preserve">A „Fedezeti instrumentumok [nem megjelölt elemek]” tartalmazza a következőkben felsoroltak halmozott valósérték-változásaiban bekövetkező változásokat, amennyiben a felsorolt tételek nem fedezeti komponensként megjelöltek: </w:t>
      </w:r>
    </w:p>
    <w:p w:rsidR="009569C7" w:rsidRPr="00EC4FA2" w:rsidRDefault="00A834F1" w:rsidP="009569C7">
      <w:pPr>
        <w:pStyle w:val="Baseparagraphnumbered"/>
        <w:numPr>
          <w:ilvl w:val="0"/>
          <w:numId w:val="57"/>
        </w:numPr>
        <w:ind w:left="1134" w:hanging="425"/>
      </w:pPr>
      <w:r>
        <w:t xml:space="preserve">opciók időértéke; </w:t>
      </w:r>
    </w:p>
    <w:p w:rsidR="009569C7" w:rsidRPr="00EC4FA2" w:rsidRDefault="00A834F1" w:rsidP="009569C7">
      <w:pPr>
        <w:pStyle w:val="Baseparagraphnumbered"/>
        <w:numPr>
          <w:ilvl w:val="0"/>
          <w:numId w:val="57"/>
        </w:numPr>
        <w:ind w:left="1134" w:hanging="425"/>
      </w:pPr>
      <w:proofErr w:type="spellStart"/>
      <w:r>
        <w:t>forwardszerződések</w:t>
      </w:r>
      <w:proofErr w:type="spellEnd"/>
      <w:r>
        <w:t xml:space="preserve"> határidős elemei; </w:t>
      </w:r>
    </w:p>
    <w:p w:rsidR="009569C7" w:rsidRPr="00EC4FA2" w:rsidRDefault="00A834F1" w:rsidP="009569C7">
      <w:pPr>
        <w:pStyle w:val="Baseparagraphnumbered"/>
        <w:numPr>
          <w:ilvl w:val="0"/>
          <w:numId w:val="57"/>
        </w:numPr>
        <w:ind w:left="1134" w:hanging="425"/>
      </w:pPr>
      <w:r>
        <w:t xml:space="preserve">pénzügyi instrumentumok devizafelára. </w:t>
      </w:r>
    </w:p>
    <w:p w:rsidR="009569C7" w:rsidRPr="00EC4FA2" w:rsidRDefault="00A834F1" w:rsidP="009569C7">
      <w:pPr>
        <w:pStyle w:val="Baseparagraphnumbered"/>
      </w:pPr>
      <w:r>
        <w:t>Az opciók vonatkozásában az eredménybe átsorolt és az „Eredménybe átvezetett” tételben feltüntetett összegek tartalmazzák az olyan opciók miatti átsorolásokat, amelyek egy ügylethez kapcsolódó fedezett tételt fedeznek, továbbá az olyan opciók miatti átsorolásokat, amelyek egy időszakhoz kapcsolódó fedezett tételt fedeznek.</w:t>
      </w:r>
    </w:p>
    <w:p w:rsidR="009569C7" w:rsidRPr="00EC4FA2" w:rsidRDefault="00A834F1" w:rsidP="009569C7">
      <w:pPr>
        <w:pStyle w:val="Baseparagraphnumbered"/>
      </w:pPr>
      <w:r>
        <w:t xml:space="preserve">„Az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 2. táblában az „Eredménnyel szemben valós értéken értékelt kategóriába nem tartozó pénzügyi eszközök értékvesztése vagy (–) értékvesztésének visszaírása” tételben feltüntetendő, értékvesztés miatti nyereségtől vagy veszteségtől és az „Árfolyam-különbözet [nyereség vagy (–) veszteség], nettó” tételben feltüntetendő árfolyamnyereségtől és </w:t>
      </w:r>
      <w:proofErr w:type="spellStart"/>
      <w:r>
        <w:t>-veszteségtől</w:t>
      </w:r>
      <w:proofErr w:type="spellEnd"/>
      <w:r>
        <w:t>. Az „Eredménybe átvezetett” tétel tartalmazza mindenekelőtt az eredménnyel szemben valós értéken értékelt kategóriából való kivezetés vagy az ebbe a kategóriába való átsorolás miatt az eredménybe történő átvezetést.</w:t>
      </w:r>
    </w:p>
    <w:p w:rsidR="009569C7" w:rsidRPr="00EC4FA2" w:rsidRDefault="00A834F1" w:rsidP="009569C7">
      <w:pPr>
        <w:pStyle w:val="Baseparagraphnumbered"/>
      </w:pPr>
      <w:r>
        <w:t xml:space="preserve">Amennyiben egy pénzügyi eszközt az amortizált bekerülési érték értékelési kategóriából az egyéb átfogó jövedelemmel szemben valós értéken értékelt kategóriába sorolnak át [az IFRS 9 5.6.4. bekezdése], az átsorolás </w:t>
      </w:r>
      <w:r>
        <w:lastRenderedPageBreak/>
        <w:t>következtében keletkező nyereséget vagy veszteséget „Az egyéb átfogó jövedelemmel szemben valós értéken értékelt hitelviszonyt megtestesítő instrumentumok” között kell feltüntetni.</w:t>
      </w:r>
    </w:p>
    <w:p w:rsidR="009569C7" w:rsidRPr="00EC4FA2" w:rsidRDefault="00A834F1" w:rsidP="009569C7">
      <w:pPr>
        <w:pStyle w:val="Baseparagraphnumbered"/>
      </w:pPr>
      <w:r>
        <w:t>Amennyiben egy pénzügyi eszközt az egyéb átfogó jövedelemmel szemben valós értéken értékelt értékelési kategóriából az eredménnyel szemben valós értéken értékelt értékelési kategóriába [az IFRS 9 5.6.7. bekezdése], vagy az amortizált bekerülési érték értékelési kategóriába [az IFRS 9 5.6.5. bekezdése] sorolnak át, a korábban az egyéb átfogó jövedelemben megjelenített átsorolt halmozott nyereséget és veszteséget az „Eredménybe átvezetett” tételben és az „Egyéb átsorolás” tételben kell feltüntetni, az utóbbi esetben a pénzügyi eszköz könyv szerinti értékét kiigazítva.</w:t>
      </w:r>
    </w:p>
    <w:p w:rsidR="009569C7" w:rsidRPr="00EC4FA2" w:rsidRDefault="00A834F1" w:rsidP="009569C7">
      <w:pPr>
        <w:pStyle w:val="Baseparagraphnumbered"/>
      </w:pPr>
      <w: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rsidR="009569C7" w:rsidRPr="00EC4FA2" w:rsidRDefault="00A834F1" w:rsidP="009569C7">
      <w:pPr>
        <w:pStyle w:val="Baseparagraphnumbered"/>
      </w:pPr>
      <w:r>
        <w:t>Az IFRS szerinti elszámolás esetén a „Nem átsorolandó tételekhez kapcsolódó nyereségadó”</w:t>
      </w:r>
      <w:proofErr w:type="spellStart"/>
      <w:r>
        <w:t>-t</w:t>
      </w:r>
      <w:proofErr w:type="spellEnd"/>
      <w:r>
        <w:t xml:space="preserve"> és a „Nyereségbe vagy (–) veszteségbe átsorolható tételekhez kapcsolódó nyereségadó”</w:t>
      </w:r>
      <w:proofErr w:type="spellStart"/>
      <w:r>
        <w:t>-t</w:t>
      </w:r>
      <w:proofErr w:type="spellEnd"/>
      <w:r>
        <w:t xml:space="preserve"> [az IAS 1 91. bekezdésének b) pontja, IG6] külön sorokban kell feltüntetni.</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524094027"/>
      <w:r>
        <w:t>Pénzügyi eszközök instrumentum és ügyfélszektor szerinti részletezése (4.)</w:t>
      </w:r>
      <w:bookmarkEnd w:id="96"/>
      <w:bookmarkEnd w:id="97"/>
      <w:bookmarkEnd w:id="98"/>
      <w:bookmarkEnd w:id="99"/>
    </w:p>
    <w:p w:rsidR="009569C7" w:rsidRPr="00EC4FA2" w:rsidRDefault="00A834F1" w:rsidP="009569C7">
      <w:pPr>
        <w:pStyle w:val="Baseparagraphnumbered"/>
      </w:pPr>
      <w:r>
        <w:t>A pénzügyi eszközöket számviteli portfóliónként és instrumentumonként – valamint szükség esetén – ügyfélszektor szerinti bontásban kell megadni. Az egyéb átfogó jövedelemmel szemben valós értéken értékelt és az amortizált bekerülési értéken értékelt hitelviszonyt megtestesítő instrumentumok tekintetében az eszközök bruttó könyv szerinti értékét és a halmozott értékvesztéseket értékvesztési szakaszok szerinti bontásban kell megadni.</w:t>
      </w:r>
    </w:p>
    <w:p w:rsidR="009569C7" w:rsidRPr="00EC4FA2" w:rsidRDefault="00A834F1" w:rsidP="009569C7">
      <w:pPr>
        <w:pStyle w:val="Baseparagraphnumbered"/>
      </w:pPr>
      <w:r>
        <w:t xml:space="preserve">A BAD alapján kidolgozott GAAP szerinti elszámolás esetén a kereskedési célú pénzügyi eszközként feltüntetett származtatott eszközök valós értéken értékelt instrumentumokat, valamint </w:t>
      </w:r>
      <w:proofErr w:type="spellStart"/>
      <w:r>
        <w:t>bekerülésiérték-módszerrel</w:t>
      </w:r>
      <w:proofErr w:type="spellEnd"/>
      <w:r>
        <w:t xml:space="preserve"> vagy </w:t>
      </w:r>
      <w:proofErr w:type="spellStart"/>
      <w:r>
        <w:t>LOCOM-módszerrel</w:t>
      </w:r>
      <w:proofErr w:type="spellEnd"/>
      <w:r>
        <w:t xml:space="preserve"> értékelt instrumentumokat tartalmaznak.</w:t>
      </w:r>
    </w:p>
    <w:p w:rsidR="009569C7" w:rsidRPr="00EC4FA2" w:rsidRDefault="00A834F1" w:rsidP="009569C7">
      <w:pPr>
        <w:pStyle w:val="Baseparagraphnumbered"/>
      </w:pPr>
      <w:r>
        <w:t xml:space="preserve">A III. és a IV. melléklet, valamint a jelen melléklet alkalmazásában „A hitelkockázat-változásból származó negatív valósérték-változás halmozott összege” a </w:t>
      </w:r>
      <w:proofErr w:type="spellStart"/>
      <w:r>
        <w:t>nemteljesítő</w:t>
      </w:r>
      <w:proofErr w:type="spellEnd"/>
      <w:r>
        <w:t xml:space="preserve"> kitettségek esetében a valós érték hitelkockázat-változásból származó halmozott változását jelenti, ahol a halmozott nettó változás negatív. A hitelkockázat-változásból származó nettó valósérték-változás halmozott összegét úgy kell kiszámítani,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w:t>
      </w:r>
      <w:r>
        <w:lastRenderedPageBreak/>
        <w:t>halmozott összege” minden egyes hitelviszonyt megtestesítő instrumentum esetében az instrumentum kivezetéséig jelentendő.</w:t>
      </w:r>
    </w:p>
    <w:p w:rsidR="009569C7" w:rsidRPr="00EC4FA2" w:rsidRDefault="00A834F1" w:rsidP="009569C7">
      <w:pPr>
        <w:pStyle w:val="Baseparagraphnumbered"/>
      </w:pPr>
      <w:r>
        <w:t>A III. és a IV. melléklet, valamint a jelen melléklet alkalmazásában a „halmozott értékvesztés”: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amortizált </w:t>
      </w:r>
      <w:proofErr w:type="spellStart"/>
      <w:r>
        <w:rPr>
          <w:rFonts w:ascii="Times New Roman" w:hAnsi="Times New Roman"/>
          <w:sz w:val="24"/>
        </w:rPr>
        <w:t>bekerülésiérték-</w:t>
      </w:r>
      <w:proofErr w:type="spellEnd"/>
      <w:r>
        <w:rPr>
          <w:rFonts w:ascii="Times New Roman" w:hAnsi="Times New Roman"/>
          <w:sz w:val="24"/>
        </w:rPr>
        <w:t xml:space="preserve"> vagy </w:t>
      </w:r>
      <w:proofErr w:type="spellStart"/>
      <w:r>
        <w:rPr>
          <w:rFonts w:ascii="Times New Roman" w:hAnsi="Times New Roman"/>
          <w:sz w:val="24"/>
        </w:rPr>
        <w:t>bekerülésiérték-módszerrel</w:t>
      </w:r>
      <w:proofErr w:type="spellEnd"/>
      <w:r>
        <w:rPr>
          <w:rFonts w:ascii="Times New Roman" w:hAnsi="Times New Roman"/>
          <w:sz w:val="24"/>
        </w:rPr>
        <w:t xml:space="preserve"> értékelt hitelviszonyt megtestesítő instrumentumok esetében a halmozott értékvesztés az értékvesztés miatti veszteségek felhasználásokkal és visszaírásokkal csökkentett kumulatív összege, adott esetben értékvesztési szakaszonként. Az IFRS szerinti elszámolás esetén és a BAD alapján kidolgozott nemzeti GAAP szerinti elszámolás esetén a halmozott értékvesztés értékvesztési számla használata révén vagy a BAD alapján kidolgozott nemzeti GAAP értelmében kivezetési eseménynek nem minősülő közvetlen csökkentés útján csökkenti a hitelviszonyt megtestesítő instrumentum könyv szerinti értékét;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az IFRS szerinti elszámolás esetén az egyéb átfogó jövedelemmel szemben valós értéken értékelt hitelviszonyt megtestesítő instrumentumok vonatkozásában a halmozott értékvesztés a várható hitelezési veszteségek és változásaik összege, amely az adott instrumentum valós értékében a kezdeti megjelenítés óta bekövetkezett csökkenésként jelenítik meg;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a BAD alapján kidolgozott nemzeti GAAP szerinti elszámolás esetén a saját tőkével szemben valós értéken értékelt, értékvesztés-elszámolási kötelezettség alá tartozó hitelviszonyt megtestesítő instrumentumok vonatkozásában a halmozott értékvesztés az értékvesztések halmozott összege, csökkentve a felhasználásokkal és visszaírásokkal. A könyv szerinti érték csökkentése vagy értékvesztési számla használatával vagy olyan közvetlen csökkentéssel történik, ami nem jelent kivezetési eseményt.</w:t>
      </w:r>
    </w:p>
    <w:p w:rsidR="009569C7" w:rsidRPr="00EC4FA2" w:rsidRDefault="00A834F1" w:rsidP="009569C7">
      <w:pPr>
        <w:pStyle w:val="Baseparagraphnumbered"/>
      </w:pPr>
      <w:r>
        <w:t xml:space="preserve">Az IFRS szerinti elszámolás esetén a halmozott értékvesztés tartalmazza az IFRS 9-ben meghatározott egyes értékvesztési szakaszokba sorolható pénzügyi eszközök várható hitelezési veszteségére képzett értékvesztést. A BAD alapján kidolgozott nemzeti GAAP szerinti elszámolás esetén a halmozott értékvesztés tartalmazza az egyedi és általános hitelkockázati tartalékot, valamint az általános banki kockázatokra képzett tartalékot, amennyiben ez csökkenti a hitelviszonyt megtestesítő instrumentumok könyv szerinti értékét. A halmozott értékvesztés tartalmazza továbbá a </w:t>
      </w:r>
      <w:proofErr w:type="spellStart"/>
      <w:r>
        <w:t>LOCOM-módszer</w:t>
      </w:r>
      <w:proofErr w:type="spellEnd"/>
      <w:r>
        <w:t xml:space="preserve"> szerint értékelt pénzügyi eszközök hitelkockázatból eredő értékelési korrekcióit.</w:t>
      </w:r>
    </w:p>
    <w:p w:rsidR="009569C7" w:rsidRPr="00EC4FA2" w:rsidRDefault="00A834F1" w:rsidP="009569C7">
      <w:pPr>
        <w:pStyle w:val="Baseparagraphnumbered"/>
      </w:pPr>
      <w:r>
        <w:t xml:space="preserve">A „Halmozott részleges leírások összege” és a „Halmozott teljes leírások összege” tartalmazza azon hitelviszonyt megtestesítő instrumentumok tőkeösszegének, lejárt esedékességű kamatainak és díjainak az adatszolgáltatási vonatkozási időpontra számított halmozott részleges vagy teljes összegét, amelyeket az adott időpontig a 74. bekezdésben leírt módszerek valamelyikének használatával kivezettek, mert az intézmény </w:t>
      </w:r>
      <w:proofErr w:type="spellStart"/>
      <w:r>
        <w:t>észszerű</w:t>
      </w:r>
      <w:proofErr w:type="spellEnd"/>
      <w:r>
        <w:t xml:space="preserve"> várakozások alapján nem számíthat a szerződéses cash flow-k beszedésére. Ezeket az összegeket az adatszolgáltató intézmény valamennyi </w:t>
      </w:r>
      <w:r>
        <w:lastRenderedPageBreak/>
        <w:t>jogának elévülési határidő lejárta, elengedés vagy egyéb okok miatti teljes megszűnéséig vagy az összegek megtérüléséig jelenteni kell. Következésképpen ezeket a leírt összegeket, amennyiben nem kerülnek beszedésre, akkor is fel kell tüntetni, amikor végrehajtás tárgyát képezik.</w:t>
      </w:r>
    </w:p>
    <w:p w:rsidR="009569C7" w:rsidRPr="00EC4FA2" w:rsidRDefault="00A834F1" w:rsidP="009569C7">
      <w:pPr>
        <w:pStyle w:val="Baseparagraphnumbered"/>
      </w:pPr>
      <w: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rsidR="009569C7" w:rsidRPr="00EC4FA2" w:rsidRDefault="00A834F1" w:rsidP="009569C7">
      <w:pPr>
        <w:pStyle w:val="Baseparagraphnumbered"/>
      </w:pPr>
      <w:r>
        <w:t xml:space="preserve">A leírások kivezetési eseményt jelentenek és vagy a pénzügyi eszköz egészére vagy egy részére vonatkoznak, ideértve, ha az eszköz módosítása ahhoz vezet, hogy az intézmény lemond arról a jogáról, hogy a szóban forgó eszköz egy része vagy egésze tekintetében cash flow-t szedjen be, ahogy a 72. bekezdés ismerteti. A leírások magukban foglalják a pénzügyi eszközök könyv szerinti értékének közvetlenül az eredményben elszámolt csökkentése, valamint a hitelezési veszteségekre képzett, értékvesztési számlán lévő összegnek a pénzügyi eszközök könyv szerinti értékével szembeni csökkentése eredményeként létrejött összegeket. </w:t>
      </w:r>
    </w:p>
    <w:p w:rsidR="009569C7" w:rsidRPr="00EC4FA2" w:rsidRDefault="00A834F1" w:rsidP="009569C7">
      <w:pPr>
        <w:pStyle w:val="Baseparagraphnumbered"/>
      </w:pPr>
      <w:r>
        <w:t>Az „ebből: alacsony hitelkockázatú eszközök” oszlop azokat az instrumentumokat tartalmazza, amelyekről megállapításra kerül, hogy az adatszolgáltatás vonatkozási időpontjában hitelkockázatuk alacsony, és amelyekről az intézmény feltételezi, hogy hitelkockázatuk nem növekedett meg jelentősen a kezdeti megjelenítés óta az IFRS 9 5.5.10. bekezdésének megfelelően.</w:t>
      </w:r>
    </w:p>
    <w:p w:rsidR="009569C7" w:rsidRPr="00EC4FA2" w:rsidRDefault="00A834F1" w:rsidP="009569C7">
      <w:pPr>
        <w:pStyle w:val="Baseparagraphnumbered"/>
      </w:pPr>
      <w:r>
        <w:t>Az IAS 1 54. bekezdésének h) pontja szerinti kereskedelemfinanszírozást, szerződéses eszközöket és lízingköveteléseket, amelyek esetében az elszámolt veszteség becslésére az IFRS 9 5.5.15. bekezdése szerinti egyszerűsített megközelítés kerül alkalmazásra, a 4.4.1. táblában a hitelek és előlegek között kell feltüntetni. Az említett eszközökre elszámolt megfelelő veszteséget vagy az „Olyan eszközök halmozott értékvesztése, amelyek hitelkockázata jelentősen növekedett a kezdeti megjelenítés óta, de amelyek nem váltak értékvesztetté” (2. szakasz)” vagy az „Értékvesztett eszközök halmozott értékvesztése (3. szakasz)” tételben kell feltüntetni, függetlenül attól, hogy a kereskedelemfinanszírozás, szerződéses eszközök vagy lízingkövetelések az egyszerűsített megközelítés szerint értékvesztett eszköznek minősülnek-e.</w:t>
      </w:r>
    </w:p>
    <w:p w:rsidR="009569C7" w:rsidRPr="00EC4FA2" w:rsidRDefault="00A834F1" w:rsidP="009569C7">
      <w:pPr>
        <w:pStyle w:val="Baseparagraphnumbered"/>
      </w:pPr>
      <w:r>
        <w:t>Az olyan vásárolt vagy keletkeztetett pénzügyi eszközöket, amelyek már a kezdeti megjelenítéskor értékvesztettek, külön kell feltüntetni a 4.3.1. és a 4.4.1. táblában. E hitelek esetében a halmozott értékvesztés csak az élettartami várható hitelezési veszteségben a kezdeti megjelenítés óta bekövetkezett halmozott változásokat tartalmazza [IFRS 9 5.5.13. bekezdés].</w:t>
      </w:r>
    </w:p>
    <w:p w:rsidR="009569C7" w:rsidRPr="00EC4FA2" w:rsidRDefault="00A834F1" w:rsidP="009569C7">
      <w:pPr>
        <w:pStyle w:val="Baseparagraphnumbered"/>
        <w:ind w:left="785"/>
      </w:pPr>
      <w:r>
        <w:t>A 4.5. táblában az intézmények azon „Hitelek és előlegek” és „Hitelviszonyt megtestesítő értékpapírok” könyv szerinti értékét tüntetik fel, amelyek az „alárendelt adósság” e rész 100. pontjában szereplő fogalmához tartoznak.</w:t>
      </w:r>
      <w:bookmarkStart w:id="100" w:name="_Toc361844218"/>
      <w:bookmarkStart w:id="101" w:name="_Toc362359289"/>
      <w:bookmarkEnd w:id="94"/>
    </w:p>
    <w:p w:rsidR="009569C7" w:rsidRPr="00EC4FA2" w:rsidRDefault="00A834F1" w:rsidP="009569C7">
      <w:pPr>
        <w:pStyle w:val="Baseparagraphnumbered"/>
      </w:pPr>
      <w:r>
        <w:lastRenderedPageBreak/>
        <w:t xml:space="preserve">A 4.8. táblában a feltüntetendő adat attól függ, hogy a saját tőkével szemben valós értéken értékelt, nem kereskedési célú, nem származtatott pénzügyi eszközök a BAD alapján kidolgozott nemzeti GAAP alkalmazásában értékvesztés-elszámolási kötelezettség alá tartozhatnak-e. Amennyiben ezek a pénzügyi eszközök értékvesztés-elszámolási kötelezettség alá tartoznak, az intézmények ebben a táblában a könyv szerinti értékre, a nem értékvesztett és az értékvesztett eszközök bruttó könyv szerinti értékére, a halmozott értékvesztésre és a halmozott leírásokra vonatkozó adatokat tüntetik fel. Amennyiben ezek a pénzügyi eszközök nem tartoznak értékvesztés-elszámolási kötelezettség alá, az intézmények </w:t>
      </w:r>
      <w:proofErr w:type="spellStart"/>
      <w:r>
        <w:t>nemteljesítő</w:t>
      </w:r>
      <w:proofErr w:type="spellEnd"/>
      <w:r>
        <w:t xml:space="preserve"> kitettségek esetében a hitelkockázat-változásból származó negatív valósérték-változás halmozott összegét tüntetik fel.</w:t>
      </w:r>
    </w:p>
    <w:p w:rsidR="009569C7" w:rsidRPr="00EC4FA2" w:rsidRDefault="00A834F1" w:rsidP="009569C7">
      <w:pPr>
        <w:pStyle w:val="Baseparagraphnumbered"/>
      </w:pPr>
      <w:r>
        <w:t xml:space="preserve">A 4.9. táblában a mérsékelt </w:t>
      </w:r>
      <w:proofErr w:type="spellStart"/>
      <w:r>
        <w:t>LOCOM-módszer</w:t>
      </w:r>
      <w:proofErr w:type="spellEnd"/>
      <w:r>
        <w:t xml:space="preserve"> szerint értékelt pénzügyi eszközöket és a kapcsolódó értékelési korrekciókat a </w:t>
      </w:r>
      <w:proofErr w:type="spellStart"/>
      <w:r>
        <w:t>bekerülésiérték-módszerrel</w:t>
      </w:r>
      <w:proofErr w:type="spellEnd"/>
      <w:r>
        <w:t xml:space="preserve"> értékelt pénzügyi eszközöktől és kapcsolódó értékvesztésüktől elkülönítve kell azonosítani. A </w:t>
      </w:r>
      <w:proofErr w:type="spellStart"/>
      <w:r>
        <w:t>bekerülésiérték-módszerrel</w:t>
      </w:r>
      <w:proofErr w:type="spellEnd"/>
      <w:r>
        <w:t xml:space="preserve"> értékelt pénzügyi eszközöket, többek között a mérsékelt </w:t>
      </w:r>
      <w:proofErr w:type="spellStart"/>
      <w:r>
        <w:t>LOCOM-módszer</w:t>
      </w:r>
      <w:proofErr w:type="spellEnd"/>
      <w:r>
        <w:t xml:space="preserve"> szerint értékelt pénzügyi eszközöket nem értékvesztett eszközként kell feltüntetni, ha nem kapcsolódik hozzájuk értékelési korrekció vagy értékvesztés, és értékvesztett eszközként kell feltüntetni, amennyiben értékvesztésnek minősülő értékelési korrekció vagy értékvesztés kapcsolódik hozzájuk. Az értékvesztésnek minősülő értékelési korrekciók a partner hitelképességének romlását tükröző, hitelkockázatból eredő értékelési korrekciók. Azok a mérsékelt </w:t>
      </w:r>
      <w:proofErr w:type="spellStart"/>
      <w:r>
        <w:t>LOCOM-módszer</w:t>
      </w:r>
      <w:proofErr w:type="spellEnd"/>
      <w:r>
        <w:t xml:space="preserve"> szerint értékelt pénzügyi eszközök, amelyek esetében a piaci feltételek változásainak hatását tükröző, piaci kockázatból eredő értékelési korrekcióra került sor, nem tekinthetők értékvesztettnek. A hitelkockázatból és piaci kockázatból eredő halmozott értékelési korrekciókat külön kell feltüntetni. </w:t>
      </w:r>
    </w:p>
    <w:p w:rsidR="009569C7" w:rsidRPr="00EC4FA2" w:rsidRDefault="00A834F1" w:rsidP="009569C7">
      <w:pPr>
        <w:pStyle w:val="Baseparagraphnumbered"/>
      </w:pPr>
      <w:r>
        <w:t xml:space="preserve">A 4.10. táblában a szigorú </w:t>
      </w:r>
      <w:proofErr w:type="spellStart"/>
      <w:r>
        <w:t>LOCOM-módszer</w:t>
      </w:r>
      <w:proofErr w:type="spellEnd"/>
      <w:r>
        <w:t xml:space="preserve"> szerint értékelt eszközöket, valamint kapcsolódó értékelési korrekcióikat kell feltüntetni, elkülönítve a más értékelési módszerek hatálya alá tartozó eszközöktől. A szigorú </w:t>
      </w:r>
      <w:proofErr w:type="spellStart"/>
      <w:r>
        <w:t>LOCOM-módszer</w:t>
      </w:r>
      <w:proofErr w:type="spellEnd"/>
      <w:r>
        <w:t xml:space="preserve"> alapján értékelt pénzügyi eszközöket és az egyéb értékelési módszerek alapján értékelt pénzügyi eszközöket akkor kell értékvesztett eszközként feltüntetni, ha azok esetében hitelkockázatból eredő értékelési korrekcióra került sor a 80. bekezdésnek megfelelően, vagy értékvesztés kapcsolódik hozzájuk. A szigorú </w:t>
      </w:r>
      <w:proofErr w:type="spellStart"/>
      <w:r>
        <w:t>LOCOM-módszer</w:t>
      </w:r>
      <w:proofErr w:type="spellEnd"/>
      <w:r>
        <w:t xml:space="preserve"> alapján értékelt azon pénzügyi eszközök, amelyek esetében piaci kockázatból eredő értékelési korrekcióra került sor a 80. bekezdésnek megfelelően, nem tekintendők értékvesztettnek. A hitelkockázatból és piaci kockázatból eredő halmozott értékelési korrekciókat külön kell feltüntetni.</w:t>
      </w:r>
    </w:p>
    <w:p w:rsidR="009569C7" w:rsidRPr="00EC4FA2" w:rsidRDefault="00A834F1" w:rsidP="009569C7">
      <w:pPr>
        <w:pStyle w:val="Baseparagraphnumbered"/>
      </w:pPr>
      <w:r>
        <w:t>A BAD alapján kidolgozott nemzeti GAAP szerinti elszámolás esetén a megfelelő táblákban az általános banki kockázatokra képzett tartalékokból csak azt a részt kell bejelenteni, amely a hitelviszonyt megtestesítő instrumentumok könyv szerinti értékét érinti [BAD 37. cikk (2) bekezdés].</w:t>
      </w:r>
    </w:p>
    <w:p w:rsidR="009569C7" w:rsidRPr="00EC4FA2" w:rsidRDefault="00A834F1" w:rsidP="009569C7">
      <w:pPr>
        <w:pStyle w:val="subtitlenumbered"/>
        <w:jc w:val="both"/>
      </w:pPr>
      <w:bookmarkStart w:id="102" w:name="_Toc467855213"/>
      <w:bookmarkStart w:id="103" w:name="_Toc524094028"/>
      <w:r>
        <w:t>Nem kereskedési célú hitelek és előlegek termék szerinti részletezése (5.)</w:t>
      </w:r>
      <w:bookmarkEnd w:id="102"/>
      <w:bookmarkEnd w:id="103"/>
    </w:p>
    <w:bookmarkEnd w:id="100"/>
    <w:p w:rsidR="009569C7" w:rsidRPr="00EC4FA2" w:rsidRDefault="00A834F1" w:rsidP="009569C7">
      <w:pPr>
        <w:pStyle w:val="Baseparagraphnumbered"/>
      </w:pPr>
      <w:r>
        <w:lastRenderedPageBreak/>
        <w:t xml:space="preserve">A nem kereskedési céllal tartott és nem kereskedési célú hitelek és előlegek könyv szerinti értékét terméktípusok és </w:t>
      </w:r>
      <w:bookmarkEnd w:id="101"/>
      <w:r>
        <w:t>ügyfélszektor szerinti, a bruttó könyv szerinti értékét pedig csak terméktípus szerinti bontásban kell megadni.</w:t>
      </w:r>
    </w:p>
    <w:p w:rsidR="009569C7" w:rsidRPr="00EC4FA2" w:rsidRDefault="00A834F1" w:rsidP="009569C7">
      <w:pPr>
        <w:pStyle w:val="Baseparagraphnumbered"/>
      </w:pPr>
      <w:r>
        <w:t xml:space="preserve">A „Készpénz, számlakövetelések központi bankokkal szemben és egyéb látra szóló betétek” kategóriába sorolt látra szóló egyenlegeket is jelenteni kell ebben a táblában, értékelési módjuktól függetlenül. </w:t>
      </w:r>
    </w:p>
    <w:p w:rsidR="009569C7" w:rsidRPr="00EC4FA2" w:rsidRDefault="00A834F1" w:rsidP="009569C7">
      <w:pPr>
        <w:pStyle w:val="Baseparagraphnumbered"/>
      </w:pPr>
      <w:r>
        <w:t xml:space="preserve">A hiteleket és előlegeket a következő termékek szerinti bontásban kell szerepeltetni: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„Látra szóló (azonnal felmondható) és rövid határidővel felmondható (folyószámla)” kategória tartalmazza a látra szóló (azonnal felmondható), rövid határidővel (a kérés napját követő napon a munkanap végéig) felmondható követeléseket, a folyószámlákat és hasonló egyenlegeket, amelyek tartalmazhatnak a kölcsönvevő szempontjából egynapos betétnek minősülő kölcsönöket (amelyeket a kölcsönnyújtás napját követő napon, a munkanap végéig kell visszafizetni), függetlenül azok jogi formájától. Idetartoznak a „folyószámlahitelek” is, amelyek a folyószámlákon lekönyvelt tartozik egyenlegek és a központi banknál tartott kötelező tartalékok;</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„Hitelkártya-tartozás” kategóriába tartoznak a vagy késleltetett terhelésű betéti kártyákon vagy hitelkártyákon keresztül nyújtott hitelek [EKB BSI rendelet];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„Kereskedelemfinanszírozás” tartalmazza az egyéb adósoknak számla vagy egyéb olyan dokumentumok alapján nyújtott kölcsönöket, amelyek jogot biztosítanak áruk adásvételéből vagy szolgáltatás nyújtásából származó bevételek elfogadására. Ez a tétel tartalmazza az összes faktoring és hasonló tranzakciót, például az elfogadványokat, a kereskedelemfinanszírozások végleges megvásárlását, a </w:t>
      </w:r>
      <w:proofErr w:type="spellStart"/>
      <w:r>
        <w:rPr>
          <w:rFonts w:ascii="Times New Roman" w:hAnsi="Times New Roman"/>
          <w:sz w:val="24"/>
        </w:rPr>
        <w:t>forfait-ügyleteket</w:t>
      </w:r>
      <w:proofErr w:type="spellEnd"/>
      <w:r>
        <w:rPr>
          <w:rFonts w:ascii="Times New Roman" w:hAnsi="Times New Roman"/>
          <w:sz w:val="24"/>
        </w:rPr>
        <w:t xml:space="preserve">, számladiszkontálást, váltókat, kereskedelmi értékpapírokat és egyéb követeléseket, amelyek esetében az adatszolgáltató intézmény megvásárolja a kereskedelemfinanszírozást (visszkereseti joggal és anélkül);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„Pénzügyi lízingek” tartalmazza a pénzügyi lízingből származó követelések könyv szerinti értékét. Az IFRS értelmében a „pénzügyi lízingből származó követelések” meghatározása az IAS 17 szerinti meghatározás;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„Fordított visszavásárlási hitelek” tétel tartalmazza a visszavásárlási megállapodások keretében megvásárolt értékpapírokért vagy aranyért, illetve az értékpapír-kölcsönzési megállapodások keretében kölcsönvett értékpapírokért cserébe nyújtott finanszírozást e rész 183. és 184. bekezdésében meghatározottaknak megfelelően;</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az „Egyéb meghatározott lejáratú hitelek” a többi tétel közé be nem sorolt, szerződésben rögzített lejáratú vagy futamidejű tartozik egyenlegeket tartalmazza;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lastRenderedPageBreak/>
        <w:t>az „Előlegek, kivéve hitelek” azokat az előlegeket tartalmazza, amelyek nem sorolhatók az EKB BSI rendelet szerinti „hitelek” közé. Ez a tétel többek között tartalmazza a függő tételek (mint például a befektetésre, átutalásra vagy elszámolásra váró összegek) és átvezetési tételek (mint például csekkek és beszedésre elküldött egyéb fizetési formák) követeléseinek teljes összegeit.</w:t>
      </w:r>
    </w:p>
    <w:p w:rsidR="009569C7" w:rsidRPr="00EC4FA2" w:rsidRDefault="00A834F1" w:rsidP="009569C7">
      <w:pPr>
        <w:pStyle w:val="Baseparagraphnumbered"/>
      </w:pPr>
      <w:r>
        <w:t>A kapott biztosíték alapján a hiteleket és előlegeket a következőképpen kell besorolni: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az „Ingatlannal fedezett hitelek” tartalmazza az előírásoknak megfelelően lakó- vagy kereskedelmi ingatlannal fedezett hiteleket és előlegeket, függetlenül azok hitelfedezeti arányától („hitel-fedezet arány” vagy „LTV arány”) és a biztosíték jogi formájától;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az „Egyéb biztosítékkal fedezett hitelek” tartalmazza az előírásoknak megfelelően biztosítékkal fedezett hiteleket és előlegeket, függetlenül azok hitelfedezeti arányától („hitel-fedezet arány” vagy „LTV arány”) és a biztosíték jogi formájától, kivéve az „Ingatlannal fedezett hitelek”</w:t>
      </w:r>
      <w:proofErr w:type="spellStart"/>
      <w:r>
        <w:rPr>
          <w:rFonts w:ascii="Times New Roman" w:hAnsi="Times New Roman"/>
          <w:sz w:val="24"/>
        </w:rPr>
        <w:t>-et</w:t>
      </w:r>
      <w:proofErr w:type="spellEnd"/>
      <w:r>
        <w:rPr>
          <w:rFonts w:ascii="Times New Roman" w:hAnsi="Times New Roman"/>
          <w:sz w:val="24"/>
        </w:rPr>
        <w:t>. Ezen egyéb biztosítékok közé tartozik az értékpapíron, készpénzen és egyéb biztosítékon létesített zálogjog, függetlenül a biztosíték jogi formájától.</w:t>
      </w:r>
    </w:p>
    <w:p w:rsidR="009569C7" w:rsidRPr="00EC4FA2" w:rsidRDefault="00A834F1" w:rsidP="009569C7">
      <w:pPr>
        <w:pStyle w:val="Baseparagraphnumbered"/>
      </w:pPr>
      <w:r>
        <w:t xml:space="preserve">A hiteleket és előlegeket a biztosíték alapján kell besorolni, függetlenül a hitel céljától. Azon hitelek és előlegek könyv szerinti értékét, amelyeket egynél több típusú biztosíték fedez, ingatlanbiztosítékkal fedezettként kell besorolni és feltüntetni, amennyiben a hiteleket és előlegeket ingatlanbiztosítékkal fedezik, függetlenül attól, hogy más típusú biztosítékkal is fedezettek-e. </w:t>
      </w:r>
    </w:p>
    <w:p w:rsidR="009569C7" w:rsidRPr="00EC4FA2" w:rsidRDefault="00A834F1" w:rsidP="009569C7">
      <w:pPr>
        <w:pStyle w:val="Baseparagraphnumbered"/>
      </w:pPr>
      <w:r>
        <w:t xml:space="preserve"> A hiteleket és előlegeket céljuk alapján a következőképpen kell besorolni: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 „Fogyasztási hitelek” az elsősorban áruk és szolgáltatások személyes felhasználására nyújtott hiteleket tartalmazza [EKB BSI rendelet];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 „Lakáscélú hitelek” tartalmazza a háztartások számára saját használatra és bérbeadásra történő lakásvásárlásra – ideértve a lakásépítést és felújítást – nyújtott hiteleket [EKB BSI rendelet].</w:t>
      </w:r>
    </w:p>
    <w:p w:rsidR="009569C7" w:rsidRPr="00EC4FA2" w:rsidRDefault="00A834F1" w:rsidP="009569C7">
      <w:pPr>
        <w:pStyle w:val="Baseparagraphnumbered"/>
      </w:pPr>
      <w:r>
        <w:t>A hiteleket be kell sorolni megtérülésük módja alapján. A „Projektfinanszírozási hitelek” azokat a hiteleket tartalmazza, amelyek megfelelnek a CRR 147. cikkének (8) bekezdésében meghatározott speciális hitelezési kitettségek jellemzőinek.</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361844219"/>
      <w:bookmarkStart w:id="107" w:name="_Toc524094029"/>
      <w:r>
        <w:t xml:space="preserve">Nem pénzügyi vállalatoknak nyújtott nem kereskedési célú hitelek és előlegek részletezése NACE-kódok szerint </w:t>
      </w:r>
      <w:bookmarkEnd w:id="104"/>
      <w:r>
        <w:t>(6.)</w:t>
      </w:r>
      <w:bookmarkEnd w:id="105"/>
      <w:bookmarkEnd w:id="107"/>
    </w:p>
    <w:bookmarkEnd w:id="106"/>
    <w:p w:rsidR="009569C7" w:rsidRPr="00EC4FA2" w:rsidRDefault="00A834F1" w:rsidP="009569C7">
      <w:pPr>
        <w:pStyle w:val="Baseparagraphnumbered"/>
      </w:pPr>
      <w:r>
        <w:t xml:space="preserve">A nem pénzügyi vállalatoknak nyújtott, a kereskedési céllal tartott vagy kereskedési célú eszközökből álló portfólióba tartozóktól eltérő hitelek és előlegek bruttó könyv szerinti értékét a gazdasági tevékenységek ágazata szerint kell besorolni a </w:t>
      </w:r>
      <w:proofErr w:type="spellStart"/>
      <w:r>
        <w:t>NACE-kódok</w:t>
      </w:r>
      <w:proofErr w:type="spellEnd"/>
      <w:r>
        <w:t xml:space="preserve"> alkalmazásával az ügyfél fő tevékenysége alapján. </w:t>
      </w:r>
    </w:p>
    <w:p w:rsidR="009569C7" w:rsidRPr="00EC4FA2" w:rsidRDefault="00A834F1" w:rsidP="009569C7">
      <w:pPr>
        <w:pStyle w:val="Baseparagraphnumbered"/>
      </w:pPr>
      <w:r>
        <w:lastRenderedPageBreak/>
        <w:t xml:space="preserve">Az egynél több kötelezett által együttesen vállalt kitettség besorolását e melléklet 1. részének 43. bekezdésével összhangban kell elvégezni. </w:t>
      </w:r>
    </w:p>
    <w:p w:rsidR="009569C7" w:rsidRPr="00EC4FA2" w:rsidRDefault="00A834F1" w:rsidP="009569C7">
      <w:pPr>
        <w:pStyle w:val="Baseparagraphnumbered"/>
      </w:pPr>
      <w:r>
        <w:t xml:space="preserve">A </w:t>
      </w:r>
      <w:proofErr w:type="spellStart"/>
      <w:r>
        <w:t>NACE-kódokat</w:t>
      </w:r>
      <w:proofErr w:type="spellEnd"/>
      <w:r>
        <w:t xml:space="preserve"> az első részletezési szinttel („nemzetgazdasági ág” szerint) kell megadni. Az intézmények a pénzügyi vagy biztosítási tevékenységet végző nem pénzügyi vállalatoknak nyújtott hiteleket és előlegeket a „K. Pénzügyi és biztosítási tevékenység” tételben tüntetik fel.</w:t>
      </w:r>
    </w:p>
    <w:p w:rsidR="009569C7" w:rsidRPr="00EC4FA2" w:rsidRDefault="00A834F1" w:rsidP="009569C7">
      <w:pPr>
        <w:pStyle w:val="Baseparagraphnumbered"/>
      </w:pPr>
      <w:r>
        <w:t xml:space="preserve">Az IFRS szerinti elszámolás esetén az értékvesztés-elszámolási kötelezettség alá tartozó pénzügyi eszközök közé tartoznak i. az amortizált bekerülési értéken értékelt pénzügyi eszközök és </w:t>
      </w:r>
      <w:proofErr w:type="spellStart"/>
      <w:r>
        <w:t>ii</w:t>
      </w:r>
      <w:proofErr w:type="spellEnd"/>
      <w:r>
        <w:t xml:space="preserve">. az egyéb átfogó jövedelemmel szemben valós értéken értékelt pénzügyi eszközök. A BAD alapján kidolgozott nemzeti GAAP szerinti elszámolás esetén az értékvesztés-elszámolási kötelezettség hatálya alá tartozó pénzügyi eszközök közé tartoznak a </w:t>
      </w:r>
      <w:proofErr w:type="spellStart"/>
      <w:r>
        <w:t>bekerülésiérték-módszer</w:t>
      </w:r>
      <w:proofErr w:type="spellEnd"/>
      <w:r>
        <w:t xml:space="preserve">, többek között a </w:t>
      </w:r>
      <w:proofErr w:type="spellStart"/>
      <w:r>
        <w:t>LOCOM-módszer</w:t>
      </w:r>
      <w:proofErr w:type="spellEnd"/>
      <w:r>
        <w:t xml:space="preserve"> alapján értékelt pénzügyi eszközök. Az egyes nemzeti </w:t>
      </w:r>
      <w:proofErr w:type="spellStart"/>
      <w:r>
        <w:t>GAAP-ok</w:t>
      </w:r>
      <w:proofErr w:type="spellEnd"/>
      <w:r>
        <w:t xml:space="preserve"> előírásaitól függően e pénzügyi eszközök közé tartozhatnak i. a saját tőkével szemben valós értéken értékelt pénzügyi eszközök és </w:t>
      </w:r>
      <w:proofErr w:type="spellStart"/>
      <w:r>
        <w:t>ii</w:t>
      </w:r>
      <w:proofErr w:type="spellEnd"/>
      <w:r>
        <w:t>. egyéb értékelési módszerrel értékelt pénzügyi eszközök.</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361844220"/>
      <w:bookmarkStart w:id="113" w:name="_Toc524094030"/>
      <w:bookmarkEnd w:id="108"/>
      <w:bookmarkEnd w:id="109"/>
      <w:r>
        <w:t>Értékvesztés-elszámolási kötelezettség alá tartozó késedelmes pénzügyi eszközök (7.)</w:t>
      </w:r>
      <w:bookmarkEnd w:id="110"/>
      <w:bookmarkEnd w:id="111"/>
      <w:bookmarkEnd w:id="113"/>
    </w:p>
    <w:bookmarkEnd w:id="112"/>
    <w:p w:rsidR="009569C7" w:rsidRPr="00EC4FA2" w:rsidRDefault="00A834F1" w:rsidP="009569C7">
      <w:pPr>
        <w:pStyle w:val="Baseparagraphnumbered"/>
      </w:pPr>
      <w:r>
        <w:t>Az értékvesztés-elszámolási kötelezettség hatálya alá tartozó pénzügyi eszközöket tartalmazó számviteli portfóliókba sorolt hitelviszonyt megtestesítő instrumentumok könyv szerinti értékét csak akkor kell a 7.1. táblában feltüntetni, ha azok késedelmesek. A késedelmes instrumentumokat egyedi helyzetük alapján kell hozzárendelni a megfelelő késedelmességi intervallumokhoz.</w:t>
      </w:r>
    </w:p>
    <w:p w:rsidR="009569C7" w:rsidRPr="00EC4FA2" w:rsidRDefault="00A834F1" w:rsidP="009569C7">
      <w:pPr>
        <w:pStyle w:val="Baseparagraphnumbered"/>
      </w:pPr>
      <w:r>
        <w:t xml:space="preserve"> Az értékvesztés-elszámolási kötelezettség hatálya alá tartozó pénzügyi eszközöket tartalmazó számviteli portfóliókat e rész 93. bekezdésének megfelelően kel meghatározni.</w:t>
      </w:r>
    </w:p>
    <w:p w:rsidR="009569C7" w:rsidRPr="00EC4FA2" w:rsidRDefault="00A834F1" w:rsidP="009569C7">
      <w:pPr>
        <w:pStyle w:val="Baseparagraphnumbered"/>
      </w:pPr>
      <w:r>
        <w:t xml:space="preserve">A pénzügyi eszközök akkor minősülnek késedelmesnek, ha az esedékesség napján a tőkeösszeg, kamat vagy díj bármely része nem került kifizetésre. A késedelmes kitettségek teljes könyv szerinti értékét fel kell feltüntetni. Az ilyen eszközök könyv szerinti értékét az értékvesztési szakaszok vagy az értékvesztési státusz szerint kell feltüntetni, az alkalmazandó számviteli standardokkal összhangban, és a referencia-időpontban ki nem fizetett, legrégebbi késedelmes összegre vonatkozó késedelmes napok száma szerint kell részletezni.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361844221"/>
      <w:bookmarkStart w:id="119" w:name="_Toc524094031"/>
      <w:bookmarkEnd w:id="114"/>
      <w:bookmarkEnd w:id="115"/>
      <w:r>
        <w:t>Pénzügyi kötelezettségek részletezése (8.)</w:t>
      </w:r>
      <w:bookmarkEnd w:id="116"/>
      <w:bookmarkEnd w:id="117"/>
      <w:bookmarkEnd w:id="119"/>
    </w:p>
    <w:bookmarkEnd w:id="118"/>
    <w:p w:rsidR="009569C7" w:rsidRPr="00EC4FA2" w:rsidRDefault="00A834F1" w:rsidP="009569C7">
      <w:pPr>
        <w:pStyle w:val="Baseparagraphnumbered"/>
      </w:pPr>
      <w:r>
        <w:t xml:space="preserve">A „Betétek” meghatározása és a termék szerinti bontás azonos az EKB BSI rendelet szerinti meghatározással, következésképpen a szabályozott takarékbetéteket az EKB BSI rendelettel összhangban kell besorolni és partner szerint kell szerepeltetni. Mindenekelőtt azokat a nem átruházható látra szóló takarékbetéteket, amelyek ugyan jogszabály szerint kérésre visszaválthatók, azonban jelentős hátránnyal és korlátozással és az egynapos </w:t>
      </w:r>
      <w:r>
        <w:lastRenderedPageBreak/>
        <w:t>betétek jellemzőihez nagyon hasonló jellemzőkkel rendelkeznek, a felmondással visszaváltható betétek közé soroljuk.</w:t>
      </w:r>
    </w:p>
    <w:p w:rsidR="009569C7" w:rsidRPr="00EC4FA2" w:rsidRDefault="00A834F1" w:rsidP="009569C7">
      <w:pPr>
        <w:pStyle w:val="Baseparagraphnumbered"/>
      </w:pPr>
      <w:r>
        <w:t>A „Kibocsátott hitelviszonyt megtestesítő értékpapírok”</w:t>
      </w:r>
      <w:proofErr w:type="spellStart"/>
      <w:r>
        <w:t>-at</w:t>
      </w:r>
      <w:proofErr w:type="spellEnd"/>
      <w:r>
        <w:t xml:space="preserve"> a következő terméktípusok szerint kell részletezni: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„Letéti jegyek”, amelyek olyan értékpapírok, amelyek birtokosa számára lehetővé teszik pénz felvételét egy számláról,</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„Eszközfedezetű értékpapírok” a CRR 4. cikke (1) bekezdésének 61. pontja szerint,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„Fedezett kötvények” a CRR 129. cikkének (1) bekezdése szerint,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 „Hibrid szerződések” beágyazott származtatott ügyleteket tartalmazó szerződéseket foglalnak magukban;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az „Egyéb kibocsátott hitelviszonyt megtestesítő értékpapírok” az előző sorokban nem feltüntetett hitelviszonyt megtestesítő értékpapírokat tartalmazza, és különbséget tesz az átváltható összetett pénzügyi instrumentumok és a nem átváltható instrumentumok között.</w:t>
      </w:r>
    </w:p>
    <w:p w:rsidR="009569C7" w:rsidRPr="00EC4FA2" w:rsidRDefault="00A834F1" w:rsidP="009569C7">
      <w:pPr>
        <w:pStyle w:val="Baseparagraphnumbered"/>
      </w:pPr>
      <w:r>
        <w:t>A kibocsátott „Alárendelt kötelezettségek” kezelése az egyéb felmerült pénzügyi kötelezettségekkel azonos módon történik. Az értékpapír formájában kibocsátott alárendelt kötelezettségek a „Kibocsátott hitelviszonyt megtestesítő értékpapírok” közé sorolandók, míg a betétek formájában fennálló alárendelt kötelezettségek a „Betétek” közé sorolandók.</w:t>
      </w:r>
    </w:p>
    <w:p w:rsidR="009569C7" w:rsidRPr="00EC4FA2" w:rsidRDefault="00A834F1" w:rsidP="009569C7">
      <w:pPr>
        <w:pStyle w:val="Baseparagraphnumbered"/>
      </w:pPr>
      <w:r>
        <w:t>A 8.2. tábla számviteli portfólió szerinti bontásban tartalmazza azon „Betétek” és „Kibocsátott hitelviszonyt megtestesítő értékpapírok” könyv szerinti értékét, amelyek megfelelnek az alárendelt adósság fogalmának. Az „alárendelt követelést megtestesítő instrumentumok” a kibocsátó intézménnyel szemben fennálló olyan járulékos követelések, amelyeket csak az összes, magasabb státuszú követelés kielégítését követően lehet érvényesíteni [EKB BSI rendelet].</w:t>
      </w:r>
    </w:p>
    <w:p w:rsidR="009569C7" w:rsidRPr="00EC4FA2" w:rsidRDefault="00A834F1" w:rsidP="009569C7">
      <w:pPr>
        <w:pStyle w:val="Baseparagraphnumbered"/>
      </w:pPr>
      <w:r>
        <w:t xml:space="preserve">A „Saját hitelkockázat változásából származó valósérték-változás halmozott összege” tartalmazza a valós érték összes említett változását, függetlenül attól, hogy azok az eredményben vagy az egyéb átfogó jövedelemben kerülnek-e megjelenítésre.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524094032"/>
      <w:r>
        <w:t>Hitelnyújtási elkötelezettségek, pénzügyi garanciák és egyéb elkötelezettségek (9.)</w:t>
      </w:r>
      <w:bookmarkEnd w:id="120"/>
      <w:bookmarkEnd w:id="121"/>
      <w:bookmarkEnd w:id="122"/>
      <w:bookmarkEnd w:id="123"/>
    </w:p>
    <w:p w:rsidR="009569C7" w:rsidRPr="00EC4FA2" w:rsidRDefault="00A834F1" w:rsidP="009569C7">
      <w:pPr>
        <w:pStyle w:val="Baseparagraphnumbered"/>
      </w:pPr>
      <w:r>
        <w:t>A mérlegen kívüli kitettségek közé a CRR I. mellékletében felsorolt mérlegen kívüli tételek tartoznak. A 9.1., 9.1.1. és a 9.2. táblában a CRR I. mellékletében felsorolt valamennyi mérlegen kívüli kitettséget fel kell tüntetni hitelnyújtási elkötelezettségekre, pénzügyi garanciákra és egyéb elkötelezettségekre lebontva.</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Az adott és kapott hitelnyújtási elkötelezettségekre, pénzügyi garanciákra és egyéb elkötelezettségekre vonatkozó információk a </w:t>
      </w:r>
      <w:r>
        <w:lastRenderedPageBreak/>
        <w:t xml:space="preserve">visszavonható és a visszavonhatatlan elkötelezettségeket egyaránt tartalmazzák. </w:t>
      </w:r>
    </w:p>
    <w:p w:rsidR="009569C7" w:rsidRPr="00EC4FA2" w:rsidRDefault="00A834F1" w:rsidP="009569C7">
      <w:pPr>
        <w:pStyle w:val="Baseparagraphnumbered"/>
      </w:pPr>
      <w:r>
        <w:t xml:space="preserve">A CRR I. mellékletében felsorolt adott hitelnyújtási elkötelezettségek, pénzügyi garanciák és egyéb elkötelezettségek lehetnek az eredménnyel szemben valós értéken értékelt, az IFRS 9 hatókörébe tartozó instrumentumok vagy az IFRS 9 értékvesztési követelményeinek hatálya alá tartozó instrumentumok, valamint az IAS 37 vagy az IFRS 4 hatókörébe tartozó instrumentumok. </w:t>
      </w:r>
    </w:p>
    <w:p w:rsidR="009569C7" w:rsidRPr="00EC4FA2" w:rsidRDefault="00A834F1" w:rsidP="009569C7">
      <w:pPr>
        <w:pStyle w:val="Baseparagraphnumbered"/>
      </w:pPr>
      <w:r>
        <w:t>Az IFRS szerinti elszámolás esetén az adott hitelnyújtási elkötelezettségeket, pénzügyi garanciákat és egyéb elkötelezettségeket a 9.1.1. táblában kell feltüntetni, ha a következő feltételek bármelyike teljesül:</w:t>
      </w:r>
    </w:p>
    <w:p w:rsidR="009569C7" w:rsidRPr="00EC4FA2" w:rsidRDefault="00A834F1" w:rsidP="009569C7">
      <w:pPr>
        <w:pStyle w:val="Baseparagraphnumbered"/>
        <w:numPr>
          <w:ilvl w:val="0"/>
          <w:numId w:val="56"/>
        </w:numPr>
        <w:ind w:left="1134" w:hanging="425"/>
      </w:pPr>
      <w:r>
        <w:t xml:space="preserve"> az IFRS 9 szerinti értékvesztés-elszámolási kötelezettség hatálya alá tartoznak;</w:t>
      </w:r>
    </w:p>
    <w:p w:rsidR="009569C7" w:rsidRPr="00EC4FA2" w:rsidRDefault="00A834F1" w:rsidP="009569C7">
      <w:pPr>
        <w:pStyle w:val="Baseparagraphnumbered"/>
        <w:numPr>
          <w:ilvl w:val="0"/>
          <w:numId w:val="56"/>
        </w:numPr>
        <w:ind w:left="1134" w:hanging="425"/>
      </w:pPr>
      <w:r>
        <w:t>az IFRS 9 értelmében eredménnyel szemben valós értéken értékeltként vannak megjelölve;</w:t>
      </w:r>
    </w:p>
    <w:p w:rsidR="009569C7" w:rsidRPr="00EC4FA2" w:rsidRDefault="00A834F1" w:rsidP="009569C7">
      <w:pPr>
        <w:pStyle w:val="Baseparagraphnumbered"/>
        <w:numPr>
          <w:ilvl w:val="0"/>
          <w:numId w:val="56"/>
        </w:numPr>
        <w:ind w:left="1134" w:hanging="425"/>
      </w:pPr>
      <w:r>
        <w:t xml:space="preserve">az IAS 37 vagy az IFRS 4 hatókörébe tartoznak. </w:t>
      </w:r>
    </w:p>
    <w:p w:rsidR="009569C7" w:rsidRPr="00EC4FA2" w:rsidRDefault="00A834F1" w:rsidP="009569C7">
      <w:pPr>
        <w:pStyle w:val="Baseparagraphnumbered"/>
      </w:pPr>
      <w:r>
        <w:t>Azokat a kötelezettségeket, amelyeket jelen melléklet e része 105. bekezdésének a) és c) pontjában említett, adott pénzügyi garanciák és elkötelezettségek hitelezési veszteségeként kell megjeleníteni, céltartalékként kell jelenteni, függetlenül az alkalmazott értékelési kritériumoktól.</w:t>
      </w:r>
    </w:p>
    <w:p w:rsidR="009569C7" w:rsidRPr="00EC4FA2" w:rsidRDefault="00A834F1" w:rsidP="009569C7">
      <w:pPr>
        <w:pStyle w:val="Baseparagraphnumbered"/>
      </w:pPr>
      <w:r>
        <w:t xml:space="preserve">Az IFRS hatálya alá tartozó intézmények értékvesztési szakaszok szerinti bontásban feltüntetik az IFRS 9 szerinti értékvesztés-elszámolási kötelezettség alá tartozó instrumentumok névértékét és céltartalékait, ideértve azokét, amelyeket a megjelenített halmozott bevétellel csökkentett bekerülési értéken értékelnek. </w:t>
      </w:r>
    </w:p>
    <w:p w:rsidR="009569C7" w:rsidRPr="00EC4FA2" w:rsidRDefault="00A834F1" w:rsidP="009569C7">
      <w:pPr>
        <w:pStyle w:val="Baseparagraphnumbered"/>
      </w:pPr>
      <w:r>
        <w:t>A 9.1.1. táblában csak az elkötelezettség névértékét kell feltüntetni akkor, ha a hitelviszonyt megtestesítő instrumentum mérleg szerinti instrumentumot és mérlegen kívüli komponenst egyaránt tartalmaz. Ha az adatszolgáltatásra kötelezett gazdálkodó egység nem tudja elkülönítve azonosítani a mérlegen belüli és mérlegen kívüli komponensek várható hitelezési veszteségét, az elkötelezettség várható hitelezési veszteségét a mérleg szerinti komponens halmozott értékvesztésével együtt kell feltüntetni. Amennyiben a várható hitelezési veszteségek együttesen meghaladják a hitelviszonyt megtestesítő instrumentum bruttó könyv szerinti értékét, a várható hitelezési veszteségek fennmaradó egyenlegét a 9.1.1. táblában, a megfelelő értékvesztési szakaszban céltartalékként kell feltüntetni [az IFRS 9 5.5.20. bekezdése és az IFRS 7 B8E. bekezdése].</w:t>
      </w:r>
    </w:p>
    <w:p w:rsidR="009569C7" w:rsidRPr="00EC4FA2" w:rsidRDefault="00A834F1" w:rsidP="009569C7">
      <w:pPr>
        <w:pStyle w:val="Baseparagraphnumbered"/>
      </w:pPr>
      <w:r>
        <w:t xml:space="preserve">Amennyiben egy pénzügyi garanciát vagy egy, a piaci kamatlábnál alacsonyabb kamatláb melletti hitelnyújtásra vonatkozó elkötelezettséget az IFRS 9 4.2.1. bekezdése d) pontjának megfelelően értékelnek, és elszámolt </w:t>
      </w:r>
      <w:r>
        <w:lastRenderedPageBreak/>
        <w:t>veszteségének meghatározása az IFRS 9 5.5. bekezdése szerint történik, azt a megfelelő értékvesztési szakaszban kell jelenteni.</w:t>
      </w:r>
    </w:p>
    <w:p w:rsidR="009569C7" w:rsidRPr="00EC4FA2" w:rsidRDefault="00A834F1" w:rsidP="009569C7">
      <w:pPr>
        <w:pStyle w:val="Baseparagraphnumbered"/>
      </w:pPr>
      <w:r>
        <w:t>Amennyiben a hitelnyújtási elkötelezettségeket, pénzügyi garanciákat és egyéb elkötelezettségeket valós értéken értékelik az IFRS 9 szerint, az intézmények a 9.1.1. táblában a megfelelő oszlopokban feltüntetik e pénzügyi garanciák és elkötelezettségek névértékét és a hitelkockázat-változásból származó negatív valósérték-változás halmozott összegét. „A hitelkockázat-változásból származó negatív valósérték-változás halmozott összegét” az e rész 69. bekezdése szerinti kritériumok alkalmazásával kell jelenteni.</w:t>
      </w:r>
    </w:p>
    <w:p w:rsidR="009569C7" w:rsidRPr="00EC4FA2" w:rsidRDefault="00A834F1" w:rsidP="009569C7">
      <w:pPr>
        <w:pStyle w:val="Baseparagraphnumbered"/>
      </w:pPr>
      <w:r>
        <w:t>Az IAS 37 vagy az IFRS 4 hatókörébe tartozó egyéb elkötelezettségek vagy garanciák névértékét és céltartalékait a megfelelő oszlopokban kell feltüntetni.</w:t>
      </w:r>
    </w:p>
    <w:p w:rsidR="009569C7" w:rsidRPr="00EC4FA2" w:rsidRDefault="00A834F1" w:rsidP="009569C7">
      <w:pPr>
        <w:pStyle w:val="Baseparagraphnumbered"/>
      </w:pPr>
      <w:r>
        <w:t>A BAD alapján kidolgozott nemzeti GAAP hatókörébe tartozó intézmények a 9.1. táblában tüntetik fel a 102. és 103. bekezdésben említett elkötelezettségek és pénzügyi garanciák névértékét, valamint azon céltartalékok összegét, amelyeket a szóban forgó mérlegen kívüli kitettségekre előírás szerint tartani kell.</w:t>
      </w:r>
    </w:p>
    <w:p w:rsidR="009569C7" w:rsidRPr="00EC4FA2" w:rsidRDefault="00A834F1" w:rsidP="009569C7">
      <w:pPr>
        <w:pStyle w:val="Baseparagraphnumbered"/>
      </w:pPr>
      <w:r>
        <w:t>A „hitelnyújtási elkötelezettségek” előre meghatározott feltételek mellett történő hitelnyújtásra vonatkozó határozott elkötelezettségek, azon elkötelezettségek kivételével, amelyek azért származtatott ügyletek, mert nettó összegük készpénzben, illetve másik pénzügyi instrumentum átadásával vagy kibocsátásával rendezhető. A CRR I. mellékletének „Hitelnyújtási elkötelezettségek”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31"/>
        </w:numPr>
        <w:ind w:left="1134" w:hanging="425"/>
      </w:pPr>
      <w:r>
        <w:t>„Határidős betétügyletek”;</w:t>
      </w:r>
    </w:p>
    <w:p w:rsidR="009569C7" w:rsidRPr="00EC4FA2" w:rsidRDefault="00A834F1" w:rsidP="009569C7">
      <w:pPr>
        <w:pStyle w:val="Baseparagraphnumbered"/>
        <w:numPr>
          <w:ilvl w:val="0"/>
          <w:numId w:val="31"/>
        </w:numPr>
        <w:ind w:left="1134" w:hanging="425"/>
      </w:pPr>
      <w:r>
        <w:t>„Le nem hívott hitelkeretek”, amelyek kölcsönnyújtásra vagy elfogadványokra vonatkozó megállapodásokat foglalnak magukban előre meghatározott szerződéses feltételek mellett.</w:t>
      </w:r>
    </w:p>
    <w:p w:rsidR="009569C7" w:rsidRPr="00EC4FA2" w:rsidRDefault="00A834F1" w:rsidP="009569C7">
      <w:pPr>
        <w:pStyle w:val="Baseparagraphnumbered"/>
      </w:pPr>
      <w:r>
        <w:t>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ideértve az egyéb pénzügyi garanciákra biztosított garanciákat. Az IFRS alkalmazási körében ezek a szerződések az IFRS 9 2.1. bekezdésének e) pontjában és az IFRS 4 A. függelékében meghatározott pénzügyi garanciaszerződések. A CRR I. mellékletének „Pénzügyi garanciák”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69"/>
        </w:numPr>
      </w:pPr>
      <w:r>
        <w:t xml:space="preserve">„Hitelhelyettesítő jellegű garanciák”; </w:t>
      </w:r>
    </w:p>
    <w:p w:rsidR="009569C7" w:rsidRPr="00EC4FA2" w:rsidRDefault="00A834F1" w:rsidP="009569C7">
      <w:pPr>
        <w:pStyle w:val="Baseparagraphnumbered"/>
        <w:numPr>
          <w:ilvl w:val="0"/>
          <w:numId w:val="69"/>
        </w:numPr>
        <w:ind w:left="1134" w:hanging="425"/>
      </w:pPr>
      <w:r>
        <w:t>a pénzügyi garancia definíciójának megfelelő „</w:t>
      </w:r>
      <w:proofErr w:type="spellStart"/>
      <w:r>
        <w:t>Hitelderivatívák</w:t>
      </w:r>
      <w:proofErr w:type="spellEnd"/>
      <w:r>
        <w:t>”;</w:t>
      </w:r>
    </w:p>
    <w:p w:rsidR="009569C7" w:rsidRPr="00EC4FA2" w:rsidRDefault="00A834F1" w:rsidP="009569C7">
      <w:pPr>
        <w:pStyle w:val="Baseparagraphnumbered"/>
        <w:numPr>
          <w:ilvl w:val="0"/>
          <w:numId w:val="69"/>
        </w:numPr>
        <w:ind w:left="1134" w:hanging="425"/>
      </w:pPr>
      <w:r>
        <w:t>„Hitelhelyettesítő jellegű visszavonhatatlan készenléti hitellevelek”;</w:t>
      </w:r>
    </w:p>
    <w:p w:rsidR="009569C7" w:rsidRPr="00EC4FA2" w:rsidRDefault="00A834F1" w:rsidP="009569C7">
      <w:pPr>
        <w:pStyle w:val="Baseparagraphnumbered"/>
      </w:pPr>
      <w:r>
        <w:lastRenderedPageBreak/>
        <w:t>A CRR I. mellékletének „Egyéb elkötelezettségek”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32"/>
        </w:numPr>
        <w:ind w:left="1134" w:hanging="425"/>
      </w:pPr>
      <w:r>
        <w:t xml:space="preserve">„Részben kifizetett részvények és értékpapírok kifizetetlen része”; </w:t>
      </w:r>
    </w:p>
    <w:p w:rsidR="009569C7" w:rsidRPr="00EC4FA2" w:rsidRDefault="00A834F1" w:rsidP="009569C7">
      <w:pPr>
        <w:pStyle w:val="Baseparagraphnumbered"/>
        <w:numPr>
          <w:ilvl w:val="0"/>
          <w:numId w:val="32"/>
        </w:numPr>
        <w:ind w:left="1134" w:hanging="425"/>
      </w:pPr>
      <w:r>
        <w:t xml:space="preserve">„Megnyitott vagy igazolt akkreditívek”; </w:t>
      </w:r>
    </w:p>
    <w:p w:rsidR="009569C7" w:rsidRPr="00EC4FA2" w:rsidRDefault="00A834F1" w:rsidP="009569C7">
      <w:pPr>
        <w:pStyle w:val="Baseparagraphnumbered"/>
        <w:numPr>
          <w:ilvl w:val="0"/>
          <w:numId w:val="32"/>
        </w:numPr>
        <w:ind w:left="1134" w:hanging="425"/>
      </w:pPr>
      <w:r>
        <w:t>„Kereskedelemfinanszírozási mérlegen kívüli tételek”;</w:t>
      </w:r>
    </w:p>
    <w:p w:rsidR="009569C7" w:rsidRPr="00EC4FA2" w:rsidRDefault="00A834F1" w:rsidP="009569C7">
      <w:pPr>
        <w:pStyle w:val="Baseparagraphnumbered"/>
        <w:numPr>
          <w:ilvl w:val="0"/>
          <w:numId w:val="32"/>
        </w:numPr>
        <w:ind w:left="1134" w:hanging="425"/>
      </w:pPr>
      <w:r>
        <w:t xml:space="preserve">„Akkreditívek, amelyeknek biztosítéka a szállítmány, valamint egyéb öntörlesztő ügyletek”; </w:t>
      </w:r>
    </w:p>
    <w:p w:rsidR="009569C7" w:rsidRPr="00EC4FA2" w:rsidRDefault="00A834F1" w:rsidP="009569C7">
      <w:pPr>
        <w:pStyle w:val="Baseparagraphnumbered"/>
        <w:numPr>
          <w:ilvl w:val="0"/>
          <w:numId w:val="32"/>
        </w:numPr>
        <w:ind w:left="1134" w:hanging="425"/>
      </w:pPr>
      <w:r>
        <w:t>„Garanciák és jótállások” (beleértve a pályázati és teljesítési biztosítékokat), valamint olyan „garanciák, amelyek nem hitelhelyettesítő jellegűek”;</w:t>
      </w:r>
    </w:p>
    <w:p w:rsidR="009569C7" w:rsidRPr="00EC4FA2" w:rsidRDefault="00A834F1" w:rsidP="009569C7">
      <w:pPr>
        <w:pStyle w:val="Baseparagraphnumbered"/>
        <w:numPr>
          <w:ilvl w:val="0"/>
          <w:numId w:val="32"/>
        </w:numPr>
        <w:ind w:left="1134" w:hanging="425"/>
      </w:pPr>
      <w:r>
        <w:t>„Szállítási garanciák, vám- és adóbiztosítékok”;</w:t>
      </w:r>
    </w:p>
    <w:p w:rsidR="009569C7" w:rsidRPr="00EC4FA2" w:rsidRDefault="00A834F1" w:rsidP="009569C7">
      <w:pPr>
        <w:pStyle w:val="Baseparagraphnumbered"/>
        <w:numPr>
          <w:ilvl w:val="0"/>
          <w:numId w:val="32"/>
        </w:numPr>
        <w:ind w:left="1134" w:hanging="425"/>
      </w:pPr>
      <w:r>
        <w:t>„</w:t>
      </w:r>
      <w:proofErr w:type="spellStart"/>
      <w:r>
        <w:t>Rulírozó</w:t>
      </w:r>
      <w:proofErr w:type="spellEnd"/>
      <w:r>
        <w:t xml:space="preserve"> </w:t>
      </w:r>
      <w:proofErr w:type="spellStart"/>
      <w:r>
        <w:t>hitelmegállapodás</w:t>
      </w:r>
      <w:proofErr w:type="spellEnd"/>
      <w:r>
        <w:t xml:space="preserve"> rövid lejáratú pénzpiaci eszköz jegyzésére (</w:t>
      </w:r>
      <w:proofErr w:type="spellStart"/>
      <w:r>
        <w:t>note</w:t>
      </w:r>
      <w:proofErr w:type="spellEnd"/>
      <w:r>
        <w:t xml:space="preserve"> </w:t>
      </w:r>
      <w:proofErr w:type="spellStart"/>
      <w:r>
        <w:t>issuance</w:t>
      </w:r>
      <w:proofErr w:type="spellEnd"/>
      <w:r>
        <w:t xml:space="preserve"> </w:t>
      </w:r>
      <w:proofErr w:type="spellStart"/>
      <w:r>
        <w:t>facilities</w:t>
      </w:r>
      <w:proofErr w:type="spellEnd"/>
      <w:r>
        <w:t xml:space="preserve">, NIF) és középtávú </w:t>
      </w:r>
      <w:proofErr w:type="spellStart"/>
      <w:r>
        <w:t>rulírozó</w:t>
      </w:r>
      <w:proofErr w:type="spellEnd"/>
      <w:r>
        <w:t xml:space="preserve"> megállapodás rövid lejáratú pénzpiaci eszköz jegyzésére és a kibocsátásban való közreműködésre (</w:t>
      </w:r>
      <w:proofErr w:type="spellStart"/>
      <w:r>
        <w:t>revolving</w:t>
      </w:r>
      <w:proofErr w:type="spellEnd"/>
      <w:r>
        <w:t xml:space="preserve"> </w:t>
      </w:r>
      <w:proofErr w:type="spellStart"/>
      <w:r>
        <w:t>underwriting</w:t>
      </w:r>
      <w:proofErr w:type="spellEnd"/>
      <w:r>
        <w:t xml:space="preserve"> </w:t>
      </w:r>
      <w:proofErr w:type="spellStart"/>
      <w:r>
        <w:t>facilities</w:t>
      </w:r>
      <w:proofErr w:type="spellEnd"/>
      <w:r>
        <w:t>, RUF)”;</w:t>
      </w:r>
    </w:p>
    <w:p w:rsidR="009569C7" w:rsidRPr="00EC4FA2" w:rsidRDefault="00A834F1" w:rsidP="009569C7">
      <w:pPr>
        <w:pStyle w:val="Baseparagraphnumbered"/>
        <w:numPr>
          <w:ilvl w:val="0"/>
          <w:numId w:val="32"/>
        </w:numPr>
        <w:ind w:left="1134" w:hanging="425"/>
      </w:pPr>
      <w:r>
        <w:t xml:space="preserve">„Le nem hívott hitelkeretek”, amelyek kölcsönnyújtásra vagy elfogadványokra vonatkozó megállapodásokat foglalnak magukban, ha a szerződéses feltételek nem előre meghatározottak; </w:t>
      </w:r>
    </w:p>
    <w:p w:rsidR="009569C7" w:rsidRPr="00EC4FA2" w:rsidRDefault="00A834F1" w:rsidP="009569C7">
      <w:pPr>
        <w:pStyle w:val="Baseparagraphnumbered"/>
        <w:numPr>
          <w:ilvl w:val="0"/>
          <w:numId w:val="32"/>
        </w:numPr>
        <w:ind w:left="1134" w:hanging="425"/>
      </w:pPr>
      <w:r>
        <w:t>„Le nem hívott hitelkeretek”, amelyek értékpapírok megvásárlására vagy garancianyújtásra vonatkozó megállapodásokat foglalnak magukban;</w:t>
      </w:r>
    </w:p>
    <w:p w:rsidR="009569C7" w:rsidRPr="00EC4FA2" w:rsidRDefault="00A834F1" w:rsidP="009569C7">
      <w:pPr>
        <w:pStyle w:val="Baseparagraphnumbered"/>
        <w:numPr>
          <w:ilvl w:val="0"/>
          <w:numId w:val="32"/>
        </w:numPr>
        <w:ind w:left="1134" w:hanging="425"/>
      </w:pPr>
      <w:r>
        <w:t>„Pályázati és teljesítési garanciák nyújtására szolgáló, le nem hívott hitelkeretek”;</w:t>
      </w:r>
    </w:p>
    <w:p w:rsidR="009569C7" w:rsidRPr="00EC4FA2" w:rsidRDefault="00A834F1" w:rsidP="009569C7">
      <w:pPr>
        <w:pStyle w:val="Baseparagraphnumbered"/>
        <w:numPr>
          <w:ilvl w:val="0"/>
          <w:numId w:val="32"/>
        </w:numPr>
        <w:ind w:left="1134" w:hanging="425"/>
      </w:pPr>
      <w:r>
        <w:t>a CRR I. mellékletében felsorolt „Egyéb mérlegen kívüli tételek”.</w:t>
      </w:r>
    </w:p>
    <w:p w:rsidR="009569C7" w:rsidRPr="00EC4FA2" w:rsidRDefault="00A834F1" w:rsidP="009569C7">
      <w:pPr>
        <w:pStyle w:val="Baseparagraphnumbered"/>
      </w:pPr>
      <w:r>
        <w:t>Az IFRS szerinti elszámolás esetén a következő tételek a mérlegben kerülnek megjelenítésre, következésképpen ezeket nem kell mérlegen kívüli kitettségként feltüntetni:</w:t>
      </w:r>
    </w:p>
    <w:p w:rsidR="009569C7" w:rsidRPr="00EC4FA2" w:rsidRDefault="00A834F1" w:rsidP="009569C7">
      <w:pPr>
        <w:pStyle w:val="Baseparagraphnumbered"/>
        <w:numPr>
          <w:ilvl w:val="0"/>
          <w:numId w:val="33"/>
        </w:numPr>
        <w:ind w:left="1134" w:hanging="425"/>
      </w:pPr>
      <w:r>
        <w:t>a pénzügyi garancia definíciójának nem megfelelő „</w:t>
      </w:r>
      <w:proofErr w:type="spellStart"/>
      <w:r>
        <w:t>Hitelderivatívák</w:t>
      </w:r>
      <w:proofErr w:type="spellEnd"/>
      <w:r>
        <w:t>” az IFRS 9 értelmében „származtatott ügyletek”;</w:t>
      </w:r>
    </w:p>
    <w:p w:rsidR="009569C7" w:rsidRPr="00EC4FA2" w:rsidRDefault="00A834F1" w:rsidP="009569C7">
      <w:pPr>
        <w:pStyle w:val="Baseparagraphnumbered"/>
        <w:numPr>
          <w:ilvl w:val="0"/>
          <w:numId w:val="33"/>
        </w:numPr>
        <w:ind w:left="1134" w:hanging="425"/>
      </w:pPr>
      <w:r>
        <w:t xml:space="preserve"> az „Elfogadványok” egy intézmény által egy – rendszerint áruk adásvételét fedező – váltó névértékének lejáratkori kifizetésére vonatkozó elkötelezettségek. Következésképpen ezek a mérlegben a „kereskedelemfinanszírozás” tételbe vannak besorolva;</w:t>
      </w:r>
    </w:p>
    <w:p w:rsidR="009569C7" w:rsidRPr="00EC4FA2" w:rsidRDefault="00A834F1" w:rsidP="009569C7">
      <w:pPr>
        <w:pStyle w:val="Baseparagraphnumbered"/>
        <w:numPr>
          <w:ilvl w:val="0"/>
          <w:numId w:val="33"/>
        </w:numPr>
        <w:ind w:left="1134" w:hanging="425"/>
      </w:pPr>
      <w:r>
        <w:t>a „Váltók forgatmányozása”, amely nem felel meg az IFRS 9 szerinti kivezetés kritériumainak;</w:t>
      </w:r>
    </w:p>
    <w:p w:rsidR="009569C7" w:rsidRPr="00EC4FA2" w:rsidRDefault="00A834F1" w:rsidP="009569C7">
      <w:pPr>
        <w:pStyle w:val="Baseparagraphnumbered"/>
        <w:numPr>
          <w:ilvl w:val="0"/>
          <w:numId w:val="33"/>
        </w:numPr>
        <w:ind w:left="1134" w:hanging="425"/>
      </w:pPr>
      <w:r>
        <w:lastRenderedPageBreak/>
        <w:t>az „Ügyletek visszkereseti joggal”, amely nem felel meg az IFRS 9 szerinti kivezetés kritériumainak;</w:t>
      </w:r>
    </w:p>
    <w:p w:rsidR="009569C7" w:rsidRPr="00EC4FA2" w:rsidRDefault="00A834F1" w:rsidP="009569C7">
      <w:pPr>
        <w:pStyle w:val="Baseparagraphnumbered"/>
        <w:numPr>
          <w:ilvl w:val="0"/>
          <w:numId w:val="33"/>
        </w:numPr>
        <w:ind w:left="1134" w:hanging="425"/>
      </w:pPr>
      <w:r>
        <w:t>a „Sima határidős ügyletek keretében megvásárolt eszközök” az IFRS 9 értelmében „származtatott ügyletek”;</w:t>
      </w:r>
    </w:p>
    <w:p w:rsidR="009569C7" w:rsidRPr="00EC4FA2" w:rsidRDefault="00A834F1" w:rsidP="009569C7">
      <w:pPr>
        <w:pStyle w:val="Baseparagraphnumbered"/>
        <w:numPr>
          <w:ilvl w:val="0"/>
          <w:numId w:val="33"/>
        </w:numPr>
        <w:ind w:left="1134" w:hanging="425"/>
      </w:pPr>
      <w:r>
        <w:t>a „86/635/EGK irányelv 12. cikkének (3) és (5) bekezdésében definiált „Visszavásárlási megállapodás mellett kötött eszközeladási (</w:t>
      </w:r>
      <w:proofErr w:type="spellStart"/>
      <w:r>
        <w:t>repo-</w:t>
      </w:r>
      <w:proofErr w:type="spellEnd"/>
      <w:r>
        <w:t>)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IFRS 9 A. függeléke szerinti meghatározásának.</w:t>
      </w:r>
    </w:p>
    <w:p w:rsidR="009569C7" w:rsidRPr="00EC4FA2" w:rsidRDefault="00A834F1" w:rsidP="009569C7">
      <w:pPr>
        <w:pStyle w:val="Baseparagraphnumbered"/>
      </w:pPr>
      <w:r>
        <w:t xml:space="preserve">Az „ebből: </w:t>
      </w:r>
      <w:proofErr w:type="spellStart"/>
      <w:r>
        <w:t>nemteljesítő</w:t>
      </w:r>
      <w:proofErr w:type="spellEnd"/>
      <w:r>
        <w:t xml:space="preserve">” tartalmazza azon adott hitelnyújtási elkötelezettségek, pénzügyi garanciák és egyéb elkötelezettségek névértékét, amelyek e rész 213–239. bekezdésének megfelelően </w:t>
      </w:r>
      <w:proofErr w:type="spellStart"/>
      <w:r>
        <w:t>nemteljesítőnek</w:t>
      </w:r>
      <w:proofErr w:type="spellEnd"/>
      <w:r>
        <w:t xml:space="preserve"> tekintendők. </w:t>
      </w:r>
    </w:p>
    <w:p w:rsidR="009569C7" w:rsidRPr="00EC4FA2" w:rsidRDefault="00A834F1" w:rsidP="009569C7">
      <w:pPr>
        <w:pStyle w:val="Baseparagraphnumbered"/>
      </w:pPr>
      <w:r>
        <w:t xml:space="preserve">Az adott pénzügyi garanciák, hitelnyújtási elkötelezettségek és egyéb elkötelezettségek tekintetében a „Névérték” az az összeg, amely leginkább jellemzi az intézmény maximális hitelkockázati kitettségét, figyelmen kívül hagyva a biztosítékokat vagy egyéb hitelminőség-javítási lehetőségeket. Az adott pénzügyi garanciák tekintetében a névérték mindenekelőtt az a maximális összeg, amelyet az intézménynek a garancia lehívásakor kellene fizetnie. Hitelnyújtási elkötelezettségek tekintetében a névérték az a le nem hívott hitelösszeg, amelynek nyújtására az intézmény kötelezettséget vállalt. A névérték a </w:t>
      </w:r>
      <w:proofErr w:type="spellStart"/>
      <w:r>
        <w:t>hitel-egyenértékesítési</w:t>
      </w:r>
      <w:proofErr w:type="spellEnd"/>
      <w:r>
        <w:t xml:space="preserve"> tényező és hitelkockázat-mérséklő technikák alkalmazása előtti </w:t>
      </w:r>
      <w:proofErr w:type="spellStart"/>
      <w:r>
        <w:t>kitettségérték</w:t>
      </w:r>
      <w:proofErr w:type="spellEnd"/>
      <w:r>
        <w:t>.</w:t>
      </w:r>
    </w:p>
    <w:p w:rsidR="009569C7" w:rsidRPr="00EC4FA2" w:rsidRDefault="00A834F1" w:rsidP="009569C7">
      <w:pPr>
        <w:pStyle w:val="Baseparagraphnumbered"/>
      </w:pPr>
      <w:r>
        <w:t xml:space="preserve">A 9.2. táblában a kapott hitelnyújtási elkötelezettségek tekintetében a névérték az 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tekintetében a „Garancia legmagasabb figyelembe vehető összege” az a maximális összeg, amelyet a partnernek a garancia lehívásakor kellene fizetnie. Amikor egy kapott pénzügyi garanciát egynél több </w:t>
      </w:r>
      <w:proofErr w:type="spellStart"/>
      <w:r>
        <w:t>garantőr</w:t>
      </w:r>
      <w:proofErr w:type="spellEnd"/>
      <w:r>
        <w:t xml:space="preserve"> bocsát ki, a garantált összeget ebben a táblában csak egyszer kell feltüntetni; a garantált összeget a hitelkockázat mérséklése szempontjából relevánsabb </w:t>
      </w:r>
      <w:proofErr w:type="spellStart"/>
      <w:r>
        <w:t>garantőrhöz</w:t>
      </w:r>
      <w:proofErr w:type="spellEnd"/>
      <w:r>
        <w:t xml:space="preserve"> kell rendelni.</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524094033"/>
      <w:r>
        <w:t>Származtatott ügyletek és fedezeti elszámolások (10. és 11.)</w:t>
      </w:r>
      <w:bookmarkEnd w:id="130"/>
      <w:bookmarkEnd w:id="131"/>
      <w:bookmarkEnd w:id="132"/>
      <w:bookmarkEnd w:id="133"/>
    </w:p>
    <w:p w:rsidR="009569C7" w:rsidRPr="00EC4FA2" w:rsidRDefault="00A834F1" w:rsidP="009569C7">
      <w:pPr>
        <w:pStyle w:val="Baseparagraphnumbered"/>
      </w:pPr>
      <w:r>
        <w:t xml:space="preserve">A 10. és a 11. tábla alkalmazásában a származtatott ügyleteket – amennyiben azokat az </w:t>
      </w:r>
      <w:proofErr w:type="spellStart"/>
      <w:r>
        <w:t>IFRS-nek</w:t>
      </w:r>
      <w:proofErr w:type="spellEnd"/>
      <w:r>
        <w:t xml:space="preserve"> vagy a BAD alapján kidolgozott alkalmazandó nemzeti </w:t>
      </w:r>
      <w:proofErr w:type="spellStart"/>
      <w:r>
        <w:t>GAAP-nak</w:t>
      </w:r>
      <w:proofErr w:type="spellEnd"/>
      <w:r>
        <w:t xml:space="preserve"> megfelelően minősített fedezeti kapcsolatban használják – származtatott fedezeti ügyletként, vagy más esetekben kereskedési céllal tartottként kell figyelembe venni. </w:t>
      </w:r>
    </w:p>
    <w:p w:rsidR="009569C7" w:rsidRPr="00EC4FA2" w:rsidRDefault="00A834F1" w:rsidP="009569C7">
      <w:pPr>
        <w:pStyle w:val="Baseparagraphnumbered"/>
      </w:pPr>
      <w:r>
        <w:lastRenderedPageBreak/>
        <w:t>A kereskedési céllal tartott származtatott ügyletek, többek között a gazdasági fedezeti ügyletek, valamint a fedezeti elszámolások céljából tartott származtatott ügyletek könyv szerinti értékét és névleges összegét a mögöttes kockázat típusa, a piac típusa és a terméktípus szerinti részletezéssel kell feltüntetni a 10. és a 11. táblában. Az intézményeknek a fedezeti elszámolások céljából tartott származtatott ügyleteket a fedezeti ügylet típusa szerint is kell részletezniük. A nem származtatott fedezeti instrumentumokra vonatkozó információt külön kell feltüntetni, fedezettípus szerinti bontásban.</w:t>
      </w:r>
    </w:p>
    <w:p w:rsidR="009569C7" w:rsidRPr="00EC4FA2" w:rsidRDefault="00A834F1" w:rsidP="009569C7">
      <w:pPr>
        <w:pStyle w:val="Baseparagraphnumbered"/>
      </w:pPr>
      <w:r>
        <w:t xml:space="preserve">A BAD alapján kidolgozott vonatkozó nemzeti GAAP értelmében ezekben a táblákban valamennyi származtatott ügyletet fel kell tüntetni attól függetlenül, hogy a releváns nemzeti </w:t>
      </w:r>
      <w:proofErr w:type="spellStart"/>
      <w:r>
        <w:t>GAAP-nak</w:t>
      </w:r>
      <w:proofErr w:type="spellEnd"/>
      <w:r>
        <w:t xml:space="preserve"> megfelelően megjelenítésre kerülnek-e a mérlegben.</w:t>
      </w:r>
    </w:p>
    <w:p w:rsidR="009569C7" w:rsidRPr="00EC4FA2" w:rsidRDefault="00A834F1" w:rsidP="009569C7">
      <w:pPr>
        <w:pStyle w:val="Baseparagraphnumbered"/>
      </w:pPr>
      <w:r>
        <w:t xml:space="preserve">A kereskedési célú származtatott ügyletek és a származtatott fedezeti ügyletek könyv szerinti értékének, valós értékének és névleges összegének számviteli portfóliók és fedezettípusok szerinti bontását az adatszolgáltatásra kötelezett gazdálkodó egységre vonatkozó keretben, vagyis az </w:t>
      </w:r>
      <w:proofErr w:type="spellStart"/>
      <w:r>
        <w:t>IFRS-ben</w:t>
      </w:r>
      <w:proofErr w:type="spellEnd"/>
      <w:r>
        <w:t xml:space="preserve"> vagy a BAD alapján kidolgozott nemzeti </w:t>
      </w:r>
      <w:proofErr w:type="spellStart"/>
      <w:r>
        <w:t>GAAP-ban</w:t>
      </w:r>
      <w:proofErr w:type="spellEnd"/>
      <w:r>
        <w:t xml:space="preserve"> alkalmazandó számviteli portfólió és fedezettípus figyelembevételével kell végrehajtani. </w:t>
      </w:r>
    </w:p>
    <w:p w:rsidR="009569C7" w:rsidRPr="00EC4FA2" w:rsidRDefault="00A834F1" w:rsidP="009569C7">
      <w:pPr>
        <w:pStyle w:val="Baseparagraphnumbered"/>
      </w:pPr>
      <w:r>
        <w:t xml:space="preserve">Elkülönítve kell azonosítani azokat a kereskedési célú származtatott ügyleteket és származtatott fedezeti ügyleteket, amelyeket a BAD alapján kidolgozott nemzeti </w:t>
      </w:r>
      <w:proofErr w:type="spellStart"/>
      <w:r>
        <w:t>GAAP-nak</w:t>
      </w:r>
      <w:proofErr w:type="spellEnd"/>
      <w:r>
        <w:t xml:space="preserve"> megfelelően </w:t>
      </w:r>
      <w:proofErr w:type="spellStart"/>
      <w:r>
        <w:t>bekerülésiérték-módszer</w:t>
      </w:r>
      <w:proofErr w:type="spellEnd"/>
      <w:r>
        <w:t xml:space="preserve"> vagy </w:t>
      </w:r>
      <w:proofErr w:type="spellStart"/>
      <w:r>
        <w:t>LOCOM-módszer</w:t>
      </w:r>
      <w:proofErr w:type="spellEnd"/>
      <w:r>
        <w:t xml:space="preserve"> szerint értékelnek.</w:t>
      </w:r>
    </w:p>
    <w:p w:rsidR="009569C7" w:rsidRPr="00EC4FA2" w:rsidRDefault="00A834F1" w:rsidP="009569C7">
      <w:pPr>
        <w:pStyle w:val="Baseparagraphnumbered"/>
      </w:pPr>
      <w:r>
        <w:t>A 11. tábla tartalmazza a fedezeti instrumentumokat és a fedezett tételeket függetlenül a minősített fedezeti kapcsolat megjelenítéséhez használt számviteli standardtól, ideértve azt, ha ez a minősített fedezeti kapcsolat nettó pozícióval van összefüggésben. Ha egy intézmény úgy döntött, hogy a fedezeti elszámolásokhoz továbbra is az IAS 39-et használja [az IFRS 9 7.2.21. bekezdése], a fedezeti ügyletek típusaira és a számviteli portfóliókra vonatkozó hivatkozások és megnevezések az IAS 39 9. bekezdésében levő hivatkozásoknak és megnevezéseknek felelnek meg: az „Egyéb átfogó jövedelemmel szemben valós értéken értékelt pénzügyi eszközök” az „Értékesíthető” tételre, az „Amortizált bekerülési értéken értékelt eszközök” pedig együttesen a „Lejáratig tartandó” és a „Kölcsönök és követelések” tételre vonatkoznak.</w:t>
      </w:r>
    </w:p>
    <w:p w:rsidR="009569C7" w:rsidRPr="00EC4FA2" w:rsidRDefault="00A834F1" w:rsidP="009569C7">
      <w:pPr>
        <w:pStyle w:val="Baseparagraphnumbered"/>
      </w:pPr>
      <w:r>
        <w:t>A hibrid instrumentumok között szereplő, és az alapszerződésektől elkülönített származtatott ügyleteket a 10. és 11. táblában kell szerepeltetni a származtatott ügylet jellege alapján. Ezek a táblák nem tartalmazzák az alapszerződés összegét. Az eredménnyel szemben valós értéken értékelt hibrid instrumentum esetében azonban a szerződés egészét fel kell tüntetni és a beágyazott származtatott ügyletek a 10. és 11. táblában nem tüntetendők fel.</w:t>
      </w:r>
    </w:p>
    <w:p w:rsidR="009569C7" w:rsidRPr="00EC4FA2" w:rsidRDefault="00A834F1" w:rsidP="009569C7">
      <w:pPr>
        <w:pStyle w:val="Baseparagraphnumbered"/>
      </w:pPr>
      <w:r>
        <w:t xml:space="preserve">A származtatott ügyletnek tekintett azon elkötelezettségeket [az IFRS 9 2.3. bekezdésének b) pontja] és </w:t>
      </w:r>
      <w:proofErr w:type="spellStart"/>
      <w:r>
        <w:t>hitelderivatívákat</w:t>
      </w:r>
      <w:proofErr w:type="spellEnd"/>
      <w:r>
        <w:t xml:space="preserve">, amelyek nem felelnek meg a pénzügyi garancia e melléklet jelen része 114. bekezdésében meghatározott fogalmának, a 10. és a 11. táblában kell feltüntetni az egyéb származtatott </w:t>
      </w:r>
      <w:r>
        <w:lastRenderedPageBreak/>
        <w:t xml:space="preserve">instrumentumokra vonatkozó részletezésnek megfelelően, de ezeket a 9. táblában nem kell feltüntetni. </w:t>
      </w:r>
    </w:p>
    <w:p w:rsidR="009569C7" w:rsidRPr="00EC4FA2" w:rsidRDefault="00A834F1" w:rsidP="009569C7">
      <w:pPr>
        <w:pStyle w:val="Baseparagraphnumbered"/>
      </w:pPr>
      <w:r>
        <w:t xml:space="preserve">Azon nem származtatott pénzügyi eszközök vagy nem származtatott pénzügyi kötelezettségek könyv szerinti értékét, amelyek az IFRS vagy a BAD alapján kidolgozott vonatkozó nemzeti GAAP alkalmazásában fedezeti instrumentumként megjelenítettek, elkülönítve kell feltüntetni a 11.3. táblában.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524094034"/>
      <w:r>
        <w:t>Származtatott ügyletek kockázattípus szerinti besorolása</w:t>
      </w:r>
      <w:bookmarkEnd w:id="134"/>
      <w:bookmarkEnd w:id="135"/>
      <w:bookmarkEnd w:id="136"/>
      <w:bookmarkEnd w:id="137"/>
    </w:p>
    <w:p w:rsidR="009569C7" w:rsidRPr="00EC4FA2" w:rsidRDefault="00A834F1" w:rsidP="009569C7">
      <w:pPr>
        <w:pStyle w:val="Baseparagraphnumbered"/>
      </w:pPr>
      <w:r>
        <w:t>Az összes származtatott ügyletet a következő kockázati kategóriákba kell besorolni: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Kamatláb: a származtatott kamatlábügylet olyan kamatozó pénzügyi instrumentumra vonatkozó ügylet, amelynek cash flow-ját kamatlábakra való hivatkozással, vagy más kamatlábszerződéssel határozzák meg, például kincstárjegy megvásárlására vonatkozó határidős szerződésre szóló opcióval. Ez a kategória azon ügyletekre korlátozott, amelyeknél az ügylet mindkét lába csak egy deviza kamatlábának kitett. Ezért tehát nem tartoznak ide az egy vagy több deviza átváltásával járó ügyletek, például a keresztdevizás csereügyletek és a devizaopciók, valamint a devizaügyletek között feltüntetendő olyan egyéb szerződések, amelyek meghatározó kockázati jellemzője az árfolyamkockázat. Az egyetlen kivétel, ha keresztdevizás csereügyletet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 ekkor ezt az ilyen típusú fedezetekre vonatkozó sorokban kell feltüntetni. A kamatlábügyletek közé tartoznak a határidős kamatláb-megállapodások, egydevizás kamatláb-csereügyletek, határidős kamatlábügyletek, kamatláb-opciók (ideértve a </w:t>
      </w:r>
      <w:proofErr w:type="spellStart"/>
      <w:r>
        <w:rPr>
          <w:rFonts w:ascii="Times New Roman" w:hAnsi="Times New Roman"/>
          <w:sz w:val="24"/>
        </w:rPr>
        <w:t>cap</w:t>
      </w:r>
      <w:proofErr w:type="spellEnd"/>
      <w:r>
        <w:rPr>
          <w:rFonts w:ascii="Times New Roman" w:hAnsi="Times New Roman"/>
          <w:sz w:val="24"/>
        </w:rPr>
        <w:t xml:space="preserve">, </w:t>
      </w:r>
      <w:proofErr w:type="spellStart"/>
      <w:r>
        <w:rPr>
          <w:rFonts w:ascii="Times New Roman" w:hAnsi="Times New Roman"/>
          <w:sz w:val="24"/>
        </w:rPr>
        <w:t>floor</w:t>
      </w:r>
      <w:proofErr w:type="spellEnd"/>
      <w:r>
        <w:rPr>
          <w:rFonts w:ascii="Times New Roman" w:hAnsi="Times New Roman"/>
          <w:sz w:val="24"/>
        </w:rPr>
        <w:t xml:space="preserve">, </w:t>
      </w:r>
      <w:proofErr w:type="spellStart"/>
      <w:r>
        <w:rPr>
          <w:rFonts w:ascii="Times New Roman" w:hAnsi="Times New Roman"/>
          <w:sz w:val="24"/>
        </w:rPr>
        <w:t>collar</w:t>
      </w:r>
      <w:proofErr w:type="spellEnd"/>
      <w:r>
        <w:rPr>
          <w:rFonts w:ascii="Times New Roman" w:hAnsi="Times New Roman"/>
          <w:sz w:val="24"/>
        </w:rPr>
        <w:t xml:space="preserve"> és </w:t>
      </w:r>
      <w:proofErr w:type="spellStart"/>
      <w:r>
        <w:rPr>
          <w:rFonts w:ascii="Times New Roman" w:hAnsi="Times New Roman"/>
          <w:sz w:val="24"/>
        </w:rPr>
        <w:t>corridor</w:t>
      </w:r>
      <w:proofErr w:type="spellEnd"/>
      <w:r>
        <w:rPr>
          <w:rFonts w:ascii="Times New Roman" w:hAnsi="Times New Roman"/>
          <w:sz w:val="24"/>
        </w:rPr>
        <w:t xml:space="preserve"> ügyleteket), a kamatláb-csereügyletekre szóló opciók és a kamatlábra szóló </w:t>
      </w:r>
      <w:proofErr w:type="spellStart"/>
      <w:r>
        <w:rPr>
          <w:rFonts w:ascii="Times New Roman" w:hAnsi="Times New Roman"/>
          <w:sz w:val="24"/>
        </w:rPr>
        <w:t>opciósutalvány-ügyletek</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Részvény: a származtatott részvényügyletek olyan ügyletek, amelyek egy meghatározott részvény árfolyamához vagy részvényárfolyamokra vonatkozó indexhez kötött hozamot, vagy hozamuknak egy részét biztosítják.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Deviza és arany: ezek a származtatott ügyletek a határidős piacon devizák cseréjével és arannyal szembeni kitettséggel járó szerződéseket foglalnak magukban. Ezért ezek sima határidős ügyleteket, árfolyam-csereügyleteket és deviza-csereügyleteket (ideértve a keresztdevizás kamatláb-csereügyleteket), határidős devizaügyleteket, devizaopciókat, deviza-csereügyletre szóló opciókat és opciós utalványokat takarnak. A származtatott devizaügyletek minden olyan ügyletet tartalmaznak, amely akár árfolyamok, akár kamatlábak tekintetében egynél több devizával szembeni kitettséggel járnak, kivéve, ha keresztdevizás csereügyleteket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 Az aranyügyletek minden ezzel az áruval szembeni kitettséggel járó ügyletet magukban foglalnak.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Hitel: a </w:t>
      </w:r>
      <w:proofErr w:type="spellStart"/>
      <w:r>
        <w:rPr>
          <w:rFonts w:ascii="Times New Roman" w:hAnsi="Times New Roman"/>
          <w:sz w:val="24"/>
        </w:rPr>
        <w:t>hitelderivatívák</w:t>
      </w:r>
      <w:proofErr w:type="spellEnd"/>
      <w:r>
        <w:rPr>
          <w:rFonts w:ascii="Times New Roman" w:hAnsi="Times New Roman"/>
          <w:sz w:val="24"/>
        </w:rPr>
        <w:t xml:space="preserve"> olyan ügyletekre szóló szerződések, amelyeknél a kifizetés elsősorban egy meghatározott referenciahitel valamely </w:t>
      </w:r>
      <w:r>
        <w:rPr>
          <w:rFonts w:ascii="Times New Roman" w:hAnsi="Times New Roman"/>
          <w:sz w:val="24"/>
        </w:rPr>
        <w:lastRenderedPageBreak/>
        <w:t xml:space="preserve">hitelképességi mérőszámához kötött, és amelyek nem felelnek meg a pénzügyi garanciák meghatározásának [IFRS 9]. A szerződések fizetések cseréjét kötik ki, amelynek legalább az egyik lábát a referenciahitel teljesítése határozza meg. A kifizetést számos esemény kiválthatja, többek között a </w:t>
      </w:r>
      <w:proofErr w:type="spellStart"/>
      <w:r>
        <w:rPr>
          <w:rFonts w:ascii="Times New Roman" w:hAnsi="Times New Roman"/>
          <w:sz w:val="24"/>
        </w:rPr>
        <w:t>nemteljesítés</w:t>
      </w:r>
      <w:proofErr w:type="spellEnd"/>
      <w:r>
        <w:rPr>
          <w:rFonts w:ascii="Times New Roman" w:hAnsi="Times New Roman"/>
          <w:sz w:val="24"/>
        </w:rPr>
        <w:t xml:space="preserve">, leminősítés vagy a referenciaeszköz hitelkockázati felárában bekövetkező előre kikötött változás. Azokat a </w:t>
      </w:r>
      <w:proofErr w:type="spellStart"/>
      <w:r>
        <w:rPr>
          <w:rFonts w:ascii="Times New Roman" w:hAnsi="Times New Roman"/>
          <w:sz w:val="24"/>
        </w:rPr>
        <w:t>hitelderivatívákat</w:t>
      </w:r>
      <w:proofErr w:type="spellEnd"/>
      <w:r>
        <w:rPr>
          <w:rFonts w:ascii="Times New Roman" w:hAnsi="Times New Roman"/>
          <w:sz w:val="24"/>
        </w:rPr>
        <w:t xml:space="preserve">, amelyek megfelelnek a pénzügyi garancia jelen melléklet e részének 114. bekezdésében meghatározott fogalmának, csak a 9. táblában kell jelenteni.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Áru: ezek a származtatott ügyletek olyan ügyletek, amelyek egy meghatározott áru – például nemesfém (kivéve arany), nyersolaj, fa vagy mezőgazdasági termények – árához vagy árindexéhez kötött hozamot, vagy hozamuknak egy részét biztosítják.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Egyéb: ezek a származtatott ügyletek az összes olyan egyéb származtatott ügyletet tartalmazzák, amelyekben nem szerepel devizával, kamatlábbal, részvénnyel, áruval vagy hitelkockázattal szembeni kitettség. Ilyenek például a származtatott klimatikus ügyletek, vagy a származtatott biztosítási ügyletek.</w:t>
      </w:r>
    </w:p>
    <w:p w:rsidR="009569C7" w:rsidRPr="00EC4FA2" w:rsidRDefault="00A834F1" w:rsidP="009569C7">
      <w:pPr>
        <w:pStyle w:val="Baseparagraphnumbered"/>
      </w:pPr>
      <w:r>
        <w:t>Ha egy származtatott ügyletet egynél több mögöttes kockázattípus befolyásol, az instrumentumot a legérzékenyebb kockázattípushoz kell hozzárendelni. A több kitettséggel rendelkező származtatott ügyleteknél, bizonytalanság esetén, az ügyleteket a következő sorrendnek megfelelően kell megjelölni: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Áruk: az áruval vagy áruhoz kötött indexszel szembeni kitettséggel járó összes származtatott ügyletet, függetlenül attól, hogy árukkal vagy egyéb kockázati kategóriával – például árfolyammal, kamatlábbal vagy részvénnyel – szembeni közös kitettséggel rendelkeznek-e, ebben a kategóriában kell feltüntetni;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Részvények: az árukkal és részvényekkel szembeni közös kitettséggel rendelkező szerződések kivételével – amelyeket áruként kell jelenteni – a részvények vagy részvényindexek teljesítményéhez kötött összes származtatott ügyletet a részvény kategóriában kell megadni. Az árfolyamokkal vagy kamatlábakkal szembeni kitettséggel rendelkező részvényügyleteket ebben a kategóriában kell feltüntetni;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Deviza és arany: ez a kategória tartalmazza az összes, egynél több devizával szemben kitettséggel rendelkező származtatott ügyletet (kivéve az áruk vagy részvények kategóriában már feltüntetett ügyleteket) függetlenül attól, hogy az kamatozó pénzügyi instrumentumokra vagy árfolyamokra vonatkozik, kivéve, ha keresztdevizás csereügyleteket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524094035"/>
      <w:r>
        <w:t>A származtatott ügyletek esetében feltüntetendő értékek</w:t>
      </w:r>
      <w:bookmarkEnd w:id="138"/>
      <w:bookmarkEnd w:id="139"/>
      <w:bookmarkEnd w:id="140"/>
      <w:bookmarkEnd w:id="141"/>
    </w:p>
    <w:p w:rsidR="009569C7" w:rsidRPr="00EC4FA2" w:rsidRDefault="00A834F1" w:rsidP="009569C7">
      <w:pPr>
        <w:pStyle w:val="Baseparagraphnumbered"/>
      </w:pPr>
      <w:r>
        <w:t xml:space="preserve">Az IFRS szerinti elszámolás esetében az összes származtatott ügylet (fedezeti vagy kereskedési célú) vonatkozásában a „könyv szerinti érték” a valós érték. A pozitív (nulla feletti) valós értékkel rendelkező származtatott ügyletek „pénzügyi eszközök”, a negatív (nulla alatti) valós értékkel </w:t>
      </w:r>
      <w:r>
        <w:lastRenderedPageBreak/>
        <w:t>rendelkező származtatott ügyletek pedig „pénzügyi kötelezettségek”. A könyv szerinti értéket a pozitív valós értékkel rendelkező („pénzügyi eszközök”) származtatott ügyletekre és a negatív valós értékkel rendelkező („pénzügyi kötelezettségek”) származtatott ügyletekre vonatkozóan külön kell feltüntetni. A kezdeti megjelenítés időpontjában a származtatott ügylet besorolása kezdeti valós értéke alapján vagy „pénzügyi eszköz” vagy „pénzügyi kötelezettség”. A kezdeti megjelenítést követően a származtatott ügylet valós értékének növekedésével vagy csökkenésével a csere feltételei az intézmény számára vagy kedvezőbbek (és a származtatott ügylet besorolása „pénzügyi eszköz” lesz) vagy kedvezőtlenebbek lesznek (és a származtatott ügylet besorolása „pénzügyi kötelezettség” lesz). A származtatott fedezeti ügyletek könyv szerinti értéke azok teljes valós értéke, ideértve adott esetben a valós érték azon komponenseit, amelyek nem fedezeti instrumentumként vannak megjelölve.</w:t>
      </w:r>
    </w:p>
    <w:p w:rsidR="009569C7" w:rsidRPr="00EC4FA2" w:rsidRDefault="00A834F1" w:rsidP="009569C7">
      <w:pPr>
        <w:pStyle w:val="Baseparagraphnumbered"/>
      </w:pPr>
      <w:r>
        <w:t>A jelen melléklet 1. részének 27. bekezdésében meghatározott könyv szerinti értékek mellett a BAD alapján kidolgozott nemzeti GAAP hatálya alá tartozó adatszolgáltató intézményeknek valamennyi származtatott instrumentumra vonatkozóan fel kell tüntetniük a valós értékeket, attól függetlenül, hogy a BAD alapján kidolgozott nemzeti GAAP mérlegtételként vagy mérlegen kívüli tételként való könyvelést ír elő.</w:t>
      </w:r>
    </w:p>
    <w:p w:rsidR="009569C7" w:rsidRPr="00EC4FA2" w:rsidRDefault="00A834F1" w:rsidP="009569C7">
      <w:pPr>
        <w:pStyle w:val="Baseparagraphnumbered"/>
        <w:ind w:left="851"/>
      </w:pPr>
      <w:r>
        <w:t>A „Névleges összeg” az összes megkötött, de a vonatkozási időpontban még el nem számolt ügylet bruttó névértéke, függetlenül attól, hogy ezek az ügyletek olyan származtatott kitettségeket eredményeznek-e, amelyeket mérlegtételként könyvelnek el. A névleges összeg meghatározásakor különösen a következőket kell figyelembe venni: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Változó nominális vagy elvi tőkeösszegű szerződések esetében az adatszolgáltatás alapja a vonatkozási időpontban fennálló nominális vagy elvi tőkeösszeg;</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 jelentendő névleges összeg egy multiplikátor komponenssel rendelkező származtatott ügylet esetén a szerződés tényleges névleges összege vagy névértéke;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Csereügyletek (</w:t>
      </w:r>
      <w:proofErr w:type="spellStart"/>
      <w:r>
        <w:rPr>
          <w:rFonts w:ascii="Times New Roman" w:hAnsi="Times New Roman"/>
          <w:sz w:val="24"/>
        </w:rPr>
        <w:t>swap</w:t>
      </w:r>
      <w:proofErr w:type="spellEnd"/>
      <w:r>
        <w:rPr>
          <w:rFonts w:ascii="Times New Roman" w:hAnsi="Times New Roman"/>
          <w:sz w:val="24"/>
        </w:rPr>
        <w:t>): csereügyleteknél a névleges összeg az a mögöttes tőkeösszeg, amelyen a kamatcsere, a devizacsere vagy egyéb bevétel vagy kiadás alapul;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Részvényhez és áruhoz kötött szerződések: egy részvényhez vagy áruhoz kötött szerződés esetében feltüntetendő névleges összeg az adásvételre leszerződött áru vagy részvény mennyisége, szorozva a szerződéses egységárral. Az áruhoz kötött szerződések esetében az alapügylet többszörös cseréjére kötött szerződéseknél a feltüntetendő névleges összeg a szerződés szerinti összeg szorozva a szerződés szerint fennmaradó cserék számával;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spellStart"/>
      <w:r>
        <w:rPr>
          <w:rFonts w:ascii="Times New Roman" w:hAnsi="Times New Roman"/>
          <w:sz w:val="24"/>
        </w:rPr>
        <w:t>Hitelderivatívák</w:t>
      </w:r>
      <w:proofErr w:type="spellEnd"/>
      <w:r>
        <w:rPr>
          <w:rFonts w:ascii="Times New Roman" w:hAnsi="Times New Roman"/>
          <w:sz w:val="24"/>
        </w:rPr>
        <w:t xml:space="preserve">: a </w:t>
      </w:r>
      <w:proofErr w:type="spellStart"/>
      <w:r>
        <w:rPr>
          <w:rFonts w:ascii="Times New Roman" w:hAnsi="Times New Roman"/>
          <w:sz w:val="24"/>
        </w:rPr>
        <w:t>hitelderivatíváknál</w:t>
      </w:r>
      <w:proofErr w:type="spellEnd"/>
      <w:r>
        <w:rPr>
          <w:rFonts w:ascii="Times New Roman" w:hAnsi="Times New Roman"/>
          <w:sz w:val="24"/>
        </w:rPr>
        <w:t xml:space="preserve"> feltüntetendő szerződés szerinti összeg a vonatkozó referenciahitel névértéke;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A digitális opcióknál előre meghatározott kifizetés van, amely lehet monetáris összeg vagy az alapeszközre kötött bizonyos számú szerződés. </w:t>
      </w:r>
      <w:r>
        <w:rPr>
          <w:rFonts w:ascii="Times New Roman" w:hAnsi="Times New Roman"/>
          <w:sz w:val="24"/>
        </w:rPr>
        <w:lastRenderedPageBreak/>
        <w:t>A digitális opciók névleges összege vagy az előre meghatározott monetáris összeg vagy az alapeszköz valós értéke a vonatkozási időpontban.</w:t>
      </w:r>
    </w:p>
    <w:p w:rsidR="009569C7" w:rsidRPr="00EC4FA2" w:rsidRDefault="00A834F1" w:rsidP="009569C7">
      <w:pPr>
        <w:pStyle w:val="Baseparagraphnumbered"/>
      </w:pPr>
      <w:r>
        <w:t>A származtatott ügyletek „Névleges összeg” oszlopa minden egyes sor vonatkozásában az összes olyan szerződés névleges összegeinek összege, amelyben az intézmény ügyleti partner, függetlenül attól, hogy a származtatott ügyletek a mérlegben az eszköz- vagy a forrásoldalon szerepelnek, illetőleg nem szerepelnek a mérlegben. Az összes névleges összeget fel kell tüntetni függetlenül attól, hogy a származtatott ügyletek valós értéke pozitív, negatív vagy nulla. A névleges összegek között nem megengedett a nettósítás.</w:t>
      </w:r>
    </w:p>
    <w:p w:rsidR="009569C7" w:rsidRPr="00EC4FA2" w:rsidRDefault="00A834F1" w:rsidP="009569C7">
      <w:pPr>
        <w:pStyle w:val="Baseparagraphnumbered"/>
      </w:pPr>
      <w:r>
        <w:t>A „Névleges összeg”</w:t>
      </w:r>
      <w:proofErr w:type="spellStart"/>
      <w:r>
        <w:t>-et</w:t>
      </w:r>
      <w:proofErr w:type="spellEnd"/>
      <w:r>
        <w:t xml:space="preserve"> az „összesen” és az „ebből: értékesített” tételek szerinti részletezésben kell feltüntetni a következő sorok esetében: „Tőzsdén kívüli opciók”, „Szervezett piaci opciók”, „Hitel”, „Áruk” és „Egyéb”. Az „ebből: értékesített” tétel tartalmazza azon szerződések névleges összegét (kötési árfolyamát), amelyeknél az intézmény (az opció kiírója) ügyleti partnereinek (az opció birtokosa) joguk van gyakorolni opciós jogukat, és a hitelkockázati származtatott ügyletekhez kapcsolódó tételeknél azon szerződések névleges összegeit, amelyeknél az intézmény (a védelem eladója) ügyleti partnereinek (a védelem vásárlói) védelmet adott el (adott).</w:t>
      </w:r>
    </w:p>
    <w:p w:rsidR="009569C7" w:rsidRPr="00EC4FA2" w:rsidRDefault="00A834F1" w:rsidP="009569C7">
      <w:pPr>
        <w:pStyle w:val="Baseparagraphnumbered"/>
      </w:pPr>
      <w:r>
        <w:t>Egy ügylet „tőzsdén kívüli ügylet”</w:t>
      </w:r>
      <w:proofErr w:type="spellStart"/>
      <w:r>
        <w:t>-ként</w:t>
      </w:r>
      <w:proofErr w:type="spellEnd"/>
      <w:r>
        <w:t xml:space="preserve"> (OTC) vagy „szervezett piaci ügylet”</w:t>
      </w:r>
      <w:proofErr w:type="spellStart"/>
      <w:r>
        <w:t>-ként</w:t>
      </w:r>
      <w:proofErr w:type="spellEnd"/>
      <w:r>
        <w:t xml:space="preserve"> történő besorolása annak a piacnak a jellegén alapul, ahol az ügyletre sor kerül, nem pedig azon, hogy az adott ügylet elszámolási kötelezettség alá tartozik-e. A „Szervezett piac” a CRR 4. cikkének 92. pontja szerinti szabályozott piac. Következésképpen, ha egy adatszolgáltató intézmény olyan tőzsdén kívüli piacon köt származtatott ügyletet, ahol előírás a központi elszámolás, az adott származtatott ügyletet „tőzsdén kívüli ügylet”</w:t>
      </w:r>
      <w:proofErr w:type="spellStart"/>
      <w:r>
        <w:t>-ként</w:t>
      </w:r>
      <w:proofErr w:type="spellEnd"/>
      <w:r>
        <w:t>, és nem „szervezett piaci ügylet”</w:t>
      </w:r>
      <w:proofErr w:type="spellStart"/>
      <w:r>
        <w:t>-ként</w:t>
      </w:r>
      <w:proofErr w:type="spellEnd"/>
      <w:r>
        <w:t xml:space="preserve"> kell besorolnia.</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524094036"/>
      <w:r>
        <w:t>„Gazdasági fedezeti ügylet”</w:t>
      </w:r>
      <w:proofErr w:type="spellStart"/>
      <w:r>
        <w:t>-nek</w:t>
      </w:r>
      <w:proofErr w:type="spellEnd"/>
      <w:r>
        <w:t xml:space="preserve"> minősített származtatott ügyletek</w:t>
      </w:r>
      <w:bookmarkEnd w:id="142"/>
      <w:bookmarkEnd w:id="143"/>
      <w:bookmarkEnd w:id="144"/>
      <w:bookmarkEnd w:id="145"/>
    </w:p>
    <w:p w:rsidR="009569C7" w:rsidRPr="00EC4FA2" w:rsidRDefault="00A834F1" w:rsidP="009569C7">
      <w:pPr>
        <w:pStyle w:val="Baseparagraphnumbered"/>
      </w:pPr>
      <w:r>
        <w:t xml:space="preserve">A fedezet céljából tartott olyan származtatott ügyleteket, amelyek az IFRS 9, az IAS 39 (amennyiben azt a fedezeti elszámolások tekintetében használják) vagy a BAD alapján kidolgozott nemzeti </w:t>
      </w:r>
      <w:proofErr w:type="spellStart"/>
      <w:r>
        <w:t>GAAP-nak</w:t>
      </w:r>
      <w:proofErr w:type="spellEnd"/>
      <w:r>
        <w:t xml:space="preserve"> megfelelő számviteli szabályozás szerint nem teljesítik a hatékony fedezeti instrumentum kritériumait, a 10. táblában kell feltüntetni „gazdasági fedezeti ügylet”</w:t>
      </w:r>
      <w:proofErr w:type="spellStart"/>
      <w:r>
        <w:t>-ként</w:t>
      </w:r>
      <w:proofErr w:type="spellEnd"/>
      <w:r>
        <w:t>. Ez alkalmazandó továbbá valamennyi következő esetben: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nem jegyzett tulajdoni részesedést megtestesítő instrumentumot fedező származtatott ügyletek, amelyek esetében a bekerülési érték a valós érték megfelelő becslése lehet;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az IFRS 9 6.7. bekezdésének megfelelően a kezdeti megjelenítéskor, az követően, vagy amíg nincs megjelenítve, eredménnyel szemben valós értéken értékeltként megjelölt pénzügyi instrumentum egészével vagy egy részével szembeni hitelkockázat kezeléséhez felhasznált és az eredménnyel szemben valós értéken értékelt </w:t>
      </w:r>
      <w:proofErr w:type="spellStart"/>
      <w:r>
        <w:rPr>
          <w:rFonts w:ascii="Times New Roman" w:hAnsi="Times New Roman"/>
          <w:sz w:val="24"/>
        </w:rPr>
        <w:t>hitelderivatívák</w:t>
      </w:r>
      <w:proofErr w:type="spellEnd"/>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 az IFRS 9 A. függelékének megfelelően „kereskedési céllal tartott” kategóriába besorolt származtatott ügyletek vagy a BAD alapján kidolgozott nemzeti GAAP szerinti kereskedési célú eszközök, amelyek azonban nem szerepelnek a CRR 4. cikke (1) bekezdésének 86. pontjában meghatározott kereskedési könyvben. </w:t>
      </w:r>
    </w:p>
    <w:p w:rsidR="009569C7" w:rsidRPr="00EC4FA2" w:rsidRDefault="00A834F1" w:rsidP="009569C7">
      <w:pPr>
        <w:pStyle w:val="Baseparagraphnumbered"/>
      </w:pPr>
      <w:r>
        <w:t>A „Gazdasági fedezeti ügylet” nem tartalmazza a saját részre végzett kereskedési tevékenység céljából tartott származtatott ügyleteket.</w:t>
      </w:r>
    </w:p>
    <w:p w:rsidR="009569C7" w:rsidRPr="00EC4FA2" w:rsidRDefault="00A834F1" w:rsidP="009569C7">
      <w:pPr>
        <w:pStyle w:val="Baseparagraphnumbered"/>
      </w:pPr>
      <w:r>
        <w:t>A „gazdasági fedezeti ügylet” fogalmának megfelelő származtatott ügyleteket minden egyes kockázattípusra vonatkozóan elkülönítve kell feltüntetni a 10. táblában.</w:t>
      </w:r>
    </w:p>
    <w:p w:rsidR="009569C7" w:rsidRPr="00EC4FA2" w:rsidRDefault="00A834F1" w:rsidP="009569C7">
      <w:pPr>
        <w:pStyle w:val="Baseparagraphnumbered"/>
      </w:pPr>
      <w:r>
        <w:t xml:space="preserve">Az IFRS 9 6.7. bekezdésének megfelelően a kezdeti megjelenítéskor, azt követően, vagy amíg nincs megjelenítve, eredménnyel szemben valós értéken értékeltként megjelölt pénzügyi instrumentum egészével vagy egy részével szembeni hitelkockázat kezeléséhez használt </w:t>
      </w:r>
      <w:proofErr w:type="spellStart"/>
      <w:r>
        <w:t>hitelderivatívákat</w:t>
      </w:r>
      <w:proofErr w:type="spellEnd"/>
      <w:r>
        <w:t xml:space="preserve"> a 10. táblában a „hitelkockázat” tételben a megfelelő sorban kell feltüntetni. A hitelkockázatra vonatkozó egyéb olyan gazdasági fedezeti ügyleteket, amelyekre az adatszolgáltató intézmény nem alkalmazza az IFRS 9 6.7. bekezdését, külön kell feltüntetni.</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524094037"/>
      <w:r>
        <w:t>Származtatott ügyletek ügyfélszektor szerinti részletezése</w:t>
      </w:r>
      <w:bookmarkEnd w:id="146"/>
      <w:bookmarkEnd w:id="147"/>
      <w:bookmarkEnd w:id="148"/>
      <w:bookmarkEnd w:id="149"/>
    </w:p>
    <w:p w:rsidR="009569C7" w:rsidRPr="00EC4FA2" w:rsidRDefault="00A834F1" w:rsidP="009569C7">
      <w:pPr>
        <w:pStyle w:val="Baseparagraphnumbered"/>
        <w:tabs>
          <w:tab w:val="left" w:pos="851"/>
        </w:tabs>
        <w:ind w:left="709"/>
      </w:pPr>
      <w:r>
        <w:t xml:space="preserve">A tőzsdén kívüli piacon forgalmazott, kereskedési céllal, valamint a fedezeti elszámolások céljából tartott származtatott ügyletek könyv szerinti értékét és teljes névleges összegét a partner szerint kell megadni a következő kategóriák segítségével: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„hitelintézetek”;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„egyéb pénzügyi vállalatok”;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„egyéb”, amely az összes többi partnert magában foglalja. </w:t>
      </w:r>
    </w:p>
    <w:p w:rsidR="009569C7" w:rsidRPr="00EC4FA2" w:rsidRDefault="00A834F1" w:rsidP="009569C7">
      <w:pPr>
        <w:pStyle w:val="Baseparagraphnumbered"/>
        <w:tabs>
          <w:tab w:val="left" w:pos="851"/>
        </w:tabs>
        <w:ind w:left="709"/>
      </w:pPr>
      <w:r>
        <w:t xml:space="preserve">Függetlenül attól a kockázattípustól, amelyhez kapcsolódnak, az összes tőzsdén kívüli származtatott ügyletet e partnerek szerint kell részletezni. </w:t>
      </w:r>
    </w:p>
    <w:p w:rsidR="009569C7" w:rsidRPr="00EC4FA2" w:rsidRDefault="00A834F1" w:rsidP="009569C7">
      <w:pPr>
        <w:pStyle w:val="sub-subtitlenumbered"/>
        <w:jc w:val="both"/>
      </w:pPr>
      <w:bookmarkStart w:id="150" w:name="_Toc467855223"/>
      <w:bookmarkStart w:id="151" w:name="_Toc362359299"/>
      <w:bookmarkStart w:id="152" w:name="_Toc524094038"/>
      <w:r>
        <w:t>Fedezeti elszámolások a nemzeti GAAP szerint (11.2.)</w:t>
      </w:r>
      <w:bookmarkEnd w:id="150"/>
      <w:bookmarkEnd w:id="152"/>
    </w:p>
    <w:p w:rsidR="009569C7" w:rsidRPr="00EC4FA2" w:rsidRDefault="00A834F1" w:rsidP="009569C7">
      <w:pPr>
        <w:pStyle w:val="Baseparagraphnumbered"/>
      </w:pPr>
      <w:r>
        <w:t>Amennyiben a BAD alapján kidolgozott nemzeti GAAP a származtatott fedezeti ügyletek fedezeti kategóriák szerinti felosztását írja elő, a származtatott fedezeti ügyleteket külön kell feltüntetni a következő alkalmazandó kategóriák szerint: „valósérték-fedezeti ügyletek”, „cash flow-fedezeti ügyletek”, „bekerülési értéken nyilvántartott fedezeti ügyletek”, „külföldi érdekeltségbe történt nettó befektetés fedezése”, „kamatlábkockázatra vonatkozó portfólió valósérték-fedezeti ügyletek” és „kamatlábkockázatra vonatkozó portfólió cash flow-fedezeti ügyletek”.</w:t>
      </w:r>
    </w:p>
    <w:p w:rsidR="009569C7" w:rsidRPr="00EC4FA2" w:rsidRDefault="00A834F1" w:rsidP="009569C7">
      <w:pPr>
        <w:pStyle w:val="Baseparagraphnumbered"/>
      </w:pPr>
      <w:r>
        <w:t xml:space="preserve">Amennyiben a BAD alapján kidolgozott nemzeti GAAP szerint alkalmazandó, a „Bekerülési értéken nyilvántartott fedezeti ügyletek” olyan fedezeti kategóriára vonatkozik, amelyben a származtatott fedezeti ügyletet általában </w:t>
      </w:r>
      <w:proofErr w:type="spellStart"/>
      <w:r>
        <w:t>bekerülésiérték-módszerrel</w:t>
      </w:r>
      <w:proofErr w:type="spellEnd"/>
      <w:r>
        <w:t xml:space="preserve"> értékelik.</w:t>
      </w:r>
    </w:p>
    <w:p w:rsidR="009569C7" w:rsidRPr="00EC4FA2" w:rsidRDefault="00A834F1" w:rsidP="009569C7">
      <w:pPr>
        <w:pStyle w:val="sub-subtitlenumbered"/>
        <w:jc w:val="both"/>
      </w:pPr>
      <w:bookmarkStart w:id="153" w:name="_Toc467855224"/>
      <w:bookmarkStart w:id="154" w:name="_Toc524094039"/>
      <w:r>
        <w:lastRenderedPageBreak/>
        <w:t>A nem származtatott fedezeti instrumentumokra vonatkozóan feltüntetendő összeg (11.3. és 11.3.1.)</w:t>
      </w:r>
      <w:bookmarkEnd w:id="151"/>
      <w:bookmarkEnd w:id="153"/>
      <w:bookmarkEnd w:id="154"/>
    </w:p>
    <w:p w:rsidR="009569C7" w:rsidRPr="00EC4FA2" w:rsidRDefault="00A834F1" w:rsidP="009569C7">
      <w:pPr>
        <w:pStyle w:val="Baseparagraphnumbered"/>
      </w:pPr>
      <w:r>
        <w:t xml:space="preserve">A nem származtatott fedezeti instrumentumokra vonatkozóan feltüntetendő összeg az azon számviteli portfólióra alkalmazandó, </w:t>
      </w:r>
      <w:proofErr w:type="spellStart"/>
      <w:r>
        <w:t>IFRS-ben</w:t>
      </w:r>
      <w:proofErr w:type="spellEnd"/>
      <w:r>
        <w:t xml:space="preserve"> vagy a BAD alapján kidolgozott </w:t>
      </w:r>
      <w:proofErr w:type="spellStart"/>
      <w:r>
        <w:t>GAAP-ban</w:t>
      </w:r>
      <w:proofErr w:type="spellEnd"/>
      <w:r>
        <w:t xml:space="preserve"> meghatározott értékelési szabályoknak megfelelő könyv szerinti érték, amelyhez az instrumentumok tartoznak. A nem származtatott fedezeti instrumentumok névleges összegét nem kell feltüntetni.</w:t>
      </w:r>
    </w:p>
    <w:p w:rsidR="009569C7" w:rsidRPr="00EC4FA2" w:rsidRDefault="00A834F1" w:rsidP="009569C7">
      <w:pPr>
        <w:pStyle w:val="sub-subtitlenumbered"/>
        <w:jc w:val="both"/>
      </w:pPr>
      <w:bookmarkStart w:id="155" w:name="_Toc467855225"/>
      <w:bookmarkStart w:id="156" w:name="_Toc524094040"/>
      <w:r>
        <w:t>Fedezett tételek valósérték-fedezeti ügyletekben (11.4.)</w:t>
      </w:r>
      <w:bookmarkEnd w:id="155"/>
      <w:bookmarkEnd w:id="156"/>
    </w:p>
    <w:p w:rsidR="009569C7" w:rsidRPr="00EC4FA2" w:rsidRDefault="00A834F1" w:rsidP="009569C7">
      <w:pPr>
        <w:pStyle w:val="Baseparagraphnumbered"/>
        <w:tabs>
          <w:tab w:val="left" w:pos="851"/>
        </w:tabs>
        <w:ind w:left="709"/>
      </w:pPr>
      <w:r>
        <w:t xml:space="preserve">A valósérték-fedezeti ügyletekhez tartozó fedezett tételek pénzügyi helyzetre vonatkozó kimutatásban megjelenített könyv szerinti értékét számviteli portfólió, valamint a fedezett pénzügyi eszközök és a fedezett pénzügyi kötelezettségek fedezett kockázatának típusa szerint kell részletezni. Amennyiben egy pénzügyi instrumentumot egynél több kockázattal szemben fedeznek, azt azon kockázattípus szerint kell feltüntetni, amely szerint a fedezeti instrumentumot a 129. bekezdésnek megfelelően fel kell tüntetni.     </w:t>
      </w:r>
    </w:p>
    <w:p w:rsidR="009569C7" w:rsidRPr="00EC4FA2" w:rsidRDefault="00A834F1" w:rsidP="009569C7">
      <w:pPr>
        <w:pStyle w:val="Baseparagraphnumbered"/>
      </w:pPr>
      <w:r>
        <w:t xml:space="preserve">A „Mikro-fedezeti ügylet” az IAS 39 89A. bekezdése szerinti, a kamatlábkockázatra vonatkozó </w:t>
      </w:r>
      <w:proofErr w:type="spellStart"/>
      <w:r>
        <w:t>portfóliófedezeti</w:t>
      </w:r>
      <w:proofErr w:type="spellEnd"/>
      <w:r>
        <w:t xml:space="preserve"> ügylettől eltérő fedezeti ügylet. A mikro-fedezeti ügyletek a nettó pozíciók fedezeti ügyleteit tartalmazzák az IFRS 9 6.6. bekezdésének megfelelően.</w:t>
      </w:r>
    </w:p>
    <w:p w:rsidR="009569C7" w:rsidRPr="00EC4FA2" w:rsidRDefault="00A834F1" w:rsidP="009569C7">
      <w:pPr>
        <w:pStyle w:val="Baseparagraphnumbered"/>
      </w:pPr>
      <w:r>
        <w:t xml:space="preserve">A „Mikro-fedezeti ügylet fedezeti kiigazítása” tartalmazza a 147. bekezdésben meghatározott összes mikro-fedezeti ügylet valamennyi fedezeti kiigazítását. </w:t>
      </w:r>
    </w:p>
    <w:p w:rsidR="009569C7" w:rsidRPr="00EC4FA2" w:rsidRDefault="00A834F1" w:rsidP="009569C7">
      <w:pPr>
        <w:pStyle w:val="Baseparagraphnumbered"/>
      </w:pPr>
      <w:r>
        <w:t xml:space="preserve"> Az „Eszközök/kötelezettségek könyv szerinti értékének részét képező fedezeti kiigazítás” a fedezett tételeken keletkező azon nyereségek és veszteségek halmozott összege, amelyekkel a szóban forgó tételek könyv szerinti értékét kiigazították és amelyeket az eredményben megjelenítettek. Az 1.3. táblában kell feltüntetni az olyan fedezett tételek fedezeti kiigazítását, amelyek egyéb átfogó jövedelemmel szemben valós értéken értékelt tulajdoni részesedések. A nem megjelenített határozott elkötelezettségekre vagy azok valamely komponensére vonatkozó fedezeti kiigazításokat nem kell feltüntetni.</w:t>
      </w:r>
    </w:p>
    <w:p w:rsidR="009569C7" w:rsidRPr="00EC4FA2" w:rsidRDefault="00A834F1" w:rsidP="009569C7">
      <w:pPr>
        <w:pStyle w:val="Baseparagraphnumbered"/>
      </w:pPr>
      <w:r>
        <w:t>A „Nettó pozíció fedezetét is magukban foglaló megszüntetett mikro-fedezeti ügyletekre vonatkozó fennmaradó kiigazítások” azokat a fedezeti kiigazításokat tartalmazzák, amelyeket a fedezeti kapcsolat megszüntetését és a fedezett tételek fedezeti nyereségek és veszteségek tekintetében történő kiigazításának végét követően az amortizált bekerülési értéken értékelt fedezett tételekre vonatkozó, újraszámított effektív kamatláb alkalmazásával az eredménnyel szemben vagy az egyéb átfogó jövedelemmel szemben valós értéken értékelt fedezett eszközök korábban megjelenített halmozott fedezeti nyereségének vagy veszteségének összegével szemben amortizálni kell.</w:t>
      </w:r>
    </w:p>
    <w:p w:rsidR="009569C7" w:rsidRPr="00EC4FA2" w:rsidRDefault="00A834F1" w:rsidP="009569C7">
      <w:pPr>
        <w:pStyle w:val="Baseparagraphnumbered"/>
      </w:pPr>
      <w:r>
        <w:t xml:space="preserve">Ha pénzügyi eszközök vagy pénzügyi kötelezettségek egy csoportja, ideértve a nettó pozíciót képező csoportot, fedezett tételként figyelembe </w:t>
      </w:r>
      <w:r>
        <w:lastRenderedPageBreak/>
        <w:t>vehető, az e csoport részét képező pénzügyi eszközöket és pénzügyi kötelezettségeket bruttó könyv szerinti értékükön kell feltüntetni, a csoporton belüli instrumentumok nettósítása előtt, a „Nettó pozíció fedezetének részét képező eszközök vagy kötelezettségek (nettósítás előtt)” tételben.</w:t>
      </w:r>
    </w:p>
    <w:p w:rsidR="009569C7" w:rsidRPr="00EC4FA2" w:rsidRDefault="00A834F1" w:rsidP="009569C7">
      <w:pPr>
        <w:pStyle w:val="Baseparagraphnumbered"/>
      </w:pPr>
      <w:r>
        <w:t xml:space="preserve">A „Kamatlábkockázatra vonatkozó </w:t>
      </w:r>
      <w:proofErr w:type="spellStart"/>
      <w:r>
        <w:t>portfóliófedezeti</w:t>
      </w:r>
      <w:proofErr w:type="spellEnd"/>
      <w:r>
        <w:t xml:space="preserve"> ügylet során fedezett tételek” tartalmazza a pénzügyi eszközök vagy pénzügyi kötelezettségek portfóliójának </w:t>
      </w:r>
      <w:proofErr w:type="spellStart"/>
      <w:r>
        <w:t>kamatlábkockázati</w:t>
      </w:r>
      <w:proofErr w:type="spellEnd"/>
      <w:r>
        <w:t xml:space="preserve"> kitettségére vonatkozó valósérték-fedezeti ügyletbe foglalt pénzügyi eszközöket és pénzügyi kötelezettségeket. Ezeket a pénzügyi instrumentumokat bruttó alapon, a portfólión belüli instrumentumok közötti nettósítás előtti könyv szerinti értékükön kell feltüntetni.</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524094041"/>
      <w:bookmarkEnd w:id="157"/>
      <w:bookmarkEnd w:id="158"/>
      <w:bookmarkEnd w:id="159"/>
      <w:bookmarkEnd w:id="160"/>
      <w:bookmarkEnd w:id="161"/>
      <w:r>
        <w:t>Hitelezési veszteségekre képzett értékvesztés és céltartalékok változása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524094042"/>
      <w:bookmarkEnd w:id="165"/>
      <w:bookmarkEnd w:id="166"/>
      <w:r>
        <w:t>Hitelezési veszteségekre képzett értékvesztés változása és tulajdoni részesedést megtestesítő instrumentumok értékvesztése a BAD alapján kidolgozott nemzeti GAAP szerint (12.0.)</w:t>
      </w:r>
      <w:bookmarkEnd w:id="167"/>
      <w:bookmarkEnd w:id="168"/>
    </w:p>
    <w:p w:rsidR="009569C7" w:rsidRPr="00EC4FA2" w:rsidRDefault="00A834F1" w:rsidP="009569C7">
      <w:pPr>
        <w:pStyle w:val="Baseparagraphnumbered"/>
      </w:pPr>
      <w:r>
        <w:t xml:space="preserve">A 12.0. tábla tartalmazza a </w:t>
      </w:r>
      <w:proofErr w:type="spellStart"/>
      <w:r>
        <w:t>bekerülésiérték-módszerrel</w:t>
      </w:r>
      <w:proofErr w:type="spellEnd"/>
      <w:r>
        <w:t xml:space="preserve">, valamint egyéb értékelési módszerekkel, illetőleg – ha a BAD alapján kidolgozott nemzeti GAAP az érintett pénzügyi eszközökre értékvesztés-elszámolási kötelezettséget ír elő – a saját tőkével szemben valós értéken értékelt pénzügyi eszközök értékvesztési számlája nyitó és záró egyenlegének egyeztetését. A bekerülési vagy piaci ár közül az alacsonyabb áron értékelt eszközök értékelési korrekcióját nem kell feltüntetni a 12.0. táblában. </w:t>
      </w:r>
    </w:p>
    <w:p w:rsidR="009569C7" w:rsidRPr="00EC4FA2" w:rsidRDefault="00A834F1" w:rsidP="009569C7">
      <w:pPr>
        <w:pStyle w:val="Baseparagraphnumbered"/>
      </w:pPr>
      <w:r>
        <w:t>„Az időszak alatt a becsült hitelezési veszteségekre képzett összegekből származó növekedés”</w:t>
      </w:r>
      <w:proofErr w:type="spellStart"/>
      <w:r>
        <w:t>-t</w:t>
      </w:r>
      <w:proofErr w:type="spellEnd"/>
      <w:r>
        <w:t xml:space="preserve"> akkor kell megadni, ha az eszközök fő kategóriája vagy a partner esetében az időszakra vonatkozó értékvesztés becslése a nettó költségek megjelenítését eredményezi; vagyis az adott kategória vagy partner tekintetében az adott időszak értékvesztésének növekedése meghaladja az értékvesztések csökkenését. „Az időszak alatt a becsült hitelezési veszteségekből </w:t>
      </w:r>
      <w:proofErr w:type="spellStart"/>
      <w:r>
        <w:t>visszart</w:t>
      </w:r>
      <w:proofErr w:type="spellEnd"/>
      <w:r>
        <w:t xml:space="preserve"> összegekből származó csökkenés”</w:t>
      </w:r>
      <w:proofErr w:type="spellStart"/>
      <w:r>
        <w:t>-t</w:t>
      </w:r>
      <w:proofErr w:type="spellEnd"/>
      <w:r>
        <w:t xml:space="preserve"> akkor kell megadni, ha az eszközök fő kategóriája vagy a partner esetében az időszakra vonatkozó értékvesztés becslése a nettó bevételek megjelenítését eredményezi; vagyis az adott kategória vagy partner tekintetében az adott időszak értékvesztésének csökkenése meghaladja az értékvesztések növekedését.</w:t>
      </w:r>
    </w:p>
    <w:p w:rsidR="009569C7" w:rsidRPr="00EC4FA2" w:rsidRDefault="00A834F1" w:rsidP="009569C7">
      <w:pPr>
        <w:pStyle w:val="Baseparagraphnumbered"/>
      </w:pPr>
      <w:r>
        <w:t>Az értékvesztés összegében a pénzügyi eszközök visszafizetése vagy elidegenítése miatt bekövetkezett változásokat az „Egyéb korrekciók” tételben kell feltüntetni. A leírásokat a 72–74. bekezdésnek megfelelően kell megadni.</w:t>
      </w:r>
    </w:p>
    <w:p w:rsidR="009569C7" w:rsidRPr="00EC4FA2" w:rsidRDefault="00A834F1" w:rsidP="009569C7">
      <w:pPr>
        <w:pStyle w:val="sub-subtitlenumbered"/>
        <w:jc w:val="both"/>
      </w:pPr>
      <w:bookmarkStart w:id="169" w:name="_Toc467855228"/>
      <w:bookmarkStart w:id="170" w:name="_Toc524094043"/>
      <w:r>
        <w:t>Hitelezési veszteségekre képzett értékvesztés és céltartalékok változása az IFRS szerint (12.1.)</w:t>
      </w:r>
      <w:bookmarkEnd w:id="169"/>
      <w:bookmarkEnd w:id="170"/>
    </w:p>
    <w:p w:rsidR="009569C7" w:rsidRPr="00EC4FA2" w:rsidRDefault="00A834F1" w:rsidP="009569C7">
      <w:pPr>
        <w:pStyle w:val="Baseparagraphnumbered"/>
        <w:rPr>
          <w:kern w:val="32"/>
        </w:rPr>
      </w:pPr>
      <w:r>
        <w:t xml:space="preserve"> A 12.1. tábla tartalmazza az amortizált bekerülési értéken, valamint az egyéb átfogó jövedelemmel szemben valós értéken értékelt pénzügyi eszközök értékvesztési számlája nyitó és záró egyenlegének egyeztetését, </w:t>
      </w:r>
      <w:r>
        <w:lastRenderedPageBreak/>
        <w:t xml:space="preserve">értékvesztési szakaszonkénti, instrumentumonkénti és partnerenkénti bontásban.  </w:t>
      </w:r>
    </w:p>
    <w:p w:rsidR="009569C7" w:rsidRPr="00EC4FA2" w:rsidRDefault="00A834F1" w:rsidP="009569C7">
      <w:pPr>
        <w:pStyle w:val="Baseparagraphnumbered"/>
        <w:rPr>
          <w:kern w:val="32"/>
        </w:rPr>
      </w:pPr>
      <w:r>
        <w:t>Az IFRS 9 szerinti értékvesztés-elszámolási kötelezettség hatálya alá tartozó mérlegen kívüli kitettségekre képzett céltartalékokat értékvesztési szakaszok szerint lebontva kell feltüntetni. A hitelnyújtási elkötelezettségekre vonatkozó értékvesztést csak akkor lehet céltartalékként feltüntetni, ha azt nem veszik figyelembe a mérleg szerinti eszközök értékvesztésével együtt az IFRS 9 7.B8E. bekezdésének és e rész 108. bekezdésének megfelelően. Az IAS 37 szerint értékelt elkötelezettségekre és pénzügyi garanciákra, valamint az IFRS 4 szerint biztosítási szerződésként kezelt pénzügyi garanciákra képzett céltartalékok változásait nem ebben a táblában kell feltüntetni, hanem a 43. táblában. Az IFRS 9-nek megfelelően az eredménnyel szemben valós értéken értékelt elkötelezettségekkel és pénzügyi garanciákkal szembeni hitelkockázatból eredő valósérték-változásokat nem kell feltüntetni ebben a táblában, hanem az „Eredménnyel szemben valós értéken értékeltnek megjelölt pénzügyi eszközök és kötelezettségek nyeresége vagy (–) vesztesége, nettó” tételben kell megadni e rész 50. bekezdésének megfelelően.</w:t>
      </w:r>
    </w:p>
    <w:p w:rsidR="009569C7" w:rsidRPr="00EC4FA2" w:rsidRDefault="00A834F1" w:rsidP="009569C7">
      <w:pPr>
        <w:pStyle w:val="Baseparagraphnumbered"/>
        <w:rPr>
          <w:kern w:val="32"/>
        </w:rPr>
      </w:pPr>
      <w:r>
        <w:t xml:space="preserve">Az „ebből: csoportosan képzett értékvesztés” és „ebből: egyedileg képzett értékvesztés” tételek tartalmazzák a csoportos vagy egyedi alapon értékelt pénzügyi eszközökhöz kapcsolódó értékvesztés halmozott összegében bekövetkezett változásokat. </w:t>
      </w:r>
    </w:p>
    <w:p w:rsidR="009569C7" w:rsidRPr="00EC4FA2" w:rsidRDefault="00A834F1" w:rsidP="009569C7">
      <w:pPr>
        <w:pStyle w:val="Baseparagraphnumbered"/>
      </w:pPr>
      <w:r>
        <w:t>A „Keletkeztetésből és vásárlásból származó növekedés” tartalmazza a keletkeztetett vagy vásárolt pénzügyi eszközök kezdeti megjelenítésekor elszámolt várható veszteségek növekedésének összegét. Az értékvesztés e növekedését az említett pénzügyi eszközök keletkeztetését vagy vásárlását követő első adatszolgáltatási vonatkozási időpont tekintetében kell feltüntetni. Az említett pénzügyi eszközökhöz kapcsolódó várható veszteségben kezdeti megjelenítésüket követően bekövetkezett növekedést vagy csökkenést értelemszerűen más oszlopokban kell feltüntetni. A keletkeztetett és vásárolt eszközök közé a mérlegen kívüli adott elkötelezettségek lehívásából eredő eszközök tartoznak.</w:t>
      </w:r>
    </w:p>
    <w:p w:rsidR="009569C7" w:rsidRPr="00EC4FA2" w:rsidRDefault="00A834F1" w:rsidP="009569C7">
      <w:pPr>
        <w:pStyle w:val="Baseparagraphnumbered"/>
      </w:pPr>
      <w:r>
        <w:t>A „Kivezetésből származó csökkenés” a várható veszteségben amiatt bekövetkező változások összegét tartalmazza, hogy a pénzügyi eszközöket az adatszolgáltatási időszakban a leírástól eltérő okból teljes mértékben kivezetik, ami magában foglalja a harmadik feleknek történő átadást vagy a szerződéses jogoknak az érintett pénzügyi eszközök teljes visszafizetése, elidegenítése vagy másik számviteli portfólióba történő átsorolása miatti megszűnését. Az értékvesztésben bekövetkezett változást a visszafizetést, az elidegenítést vagy az átadást követő első adatszolgáltatási vonatkozási időpont tekintetében kell megjeleníteni ebben az oszlopban. A mérlegen kívüli kitettségek tekintetében ez a tétel tartalmazza továbbá az értékvesztésben amiatt bekövetkező csökkenést, hogy a mérlegen kívüli tétel mérleg szerinti eszközzé válik.</w:t>
      </w:r>
    </w:p>
    <w:p w:rsidR="009569C7" w:rsidRPr="00EC4FA2" w:rsidRDefault="00A834F1" w:rsidP="009569C7">
      <w:pPr>
        <w:pStyle w:val="Baseparagraphnumbered"/>
      </w:pPr>
      <w:r>
        <w:lastRenderedPageBreak/>
        <w:t>A „Hitelkockázat-változásból származó változás (nettó)” tartalmazza a várható veszteségnek a hitelkockázat kezdeti megjelenítés óta bekövetkezett növekedéséből vagy csökkenéséből eredő változásának nettó összegét az adatszolgáltatási időszak végén, függetlenül attól, hogy ez a pénzügyi eszköz másik szakaszba történő átvezetését eredményezte-e. Ebben az oszlopban kell feltüntetni a pénzügyi eszköz összegében a felhalmozott és kifizetett kamatbevétel következtében bekövetkezett növekedés vagy csökkenés miatti értékvesztés hatását. Ez a tétel tartalmazza továbbá a várható veszteségekre az idő múlása által gyakorolt hatást az IFRS 9 5.4.1. bekezdésének a) és b) pontjával összhangban. Ebben az oszlopban kell jelenteni a kockázati paraméterek aktualizálása vagy felülvizsgálata miatt a becslésekben bekövetkezett változásokat, valamint az előretekintő gazdasági adatok változásait is. Ebben az oszlopban kell feltüntetni a kitettségek részletekben történő részleges visszafizetése miatt a várható veszteségekben bekövetkezett változásokat, az utolsó részletfizetés kivételével, amelyet a „Kivezetésből származó csökkenés” oszlopban kell megadni.</w:t>
      </w:r>
    </w:p>
    <w:p w:rsidR="009569C7" w:rsidRPr="00EC4FA2" w:rsidRDefault="00A834F1" w:rsidP="009569C7">
      <w:pPr>
        <w:pStyle w:val="Baseparagraphnumbered"/>
      </w:pPr>
      <w:r>
        <w:t xml:space="preserve">A </w:t>
      </w:r>
      <w:proofErr w:type="spellStart"/>
      <w:r>
        <w:t>rulírozó</w:t>
      </w:r>
      <w:proofErr w:type="spellEnd"/>
      <w:r>
        <w:t xml:space="preserve"> kitettségekhez kapcsolódó várható hitelezési veszteségek minden változását a „Hitelkockázat-változásból származó változás (nettó)” tételben kell feltüntetni, kivéve azokat a változásokat, amelyek leírásokhoz és az intézmény által a hitelezési veszteségek becsléséhez használt módszertan aktualizálásához kapcsolódnak. A </w:t>
      </w:r>
      <w:proofErr w:type="spellStart"/>
      <w:r>
        <w:t>rulírozó</w:t>
      </w:r>
      <w:proofErr w:type="spellEnd"/>
      <w:r>
        <w:t xml:space="preserve"> kitettségek azok, amelyek esetében az ügyfelek tartozásainak egyenlegei az ügyfelek hitelfelvételi és visszafizetési döntéseinek megfelelően az intézmény által megállapított értékhatáron belül ingadozhatnak.</w:t>
      </w:r>
    </w:p>
    <w:p w:rsidR="009569C7" w:rsidRPr="00EC4FA2" w:rsidRDefault="00A834F1" w:rsidP="009569C7">
      <w:pPr>
        <w:pStyle w:val="Baseparagraphnumbered"/>
      </w:pPr>
      <w:r>
        <w:t>„Az intézmény becslési módszertanának aktualizálásából származó változás (nettó)” tartalmazza az intézmény által a várható veszteségek becsléséhez használt módszertan – a meglévő modellekben bekövetkező változások vagy az értékvesztés becsléséhez használandó új modellek létrehozása miatti – aktualizálásához kapcsolódó változásokat. A módszertan aktualizálása tartalmazza továbbá az új standardok bevezetéséből eredő hatást. Azon módszertani változásokat, amelyek az eszköz másik értékvesztési szakaszba kerülését eredményezik, teljességében modellváltozásnak kell tekinteni. A becslések kockázati paraméterek aktualizálásából vagy felülvizsgálatából adódó változásait, valamint az előretekintő gazdasági adatok változásait nem kell feltüntetni ebben az oszlopban.</w:t>
      </w:r>
    </w:p>
    <w:p w:rsidR="009569C7" w:rsidRPr="00EC4FA2" w:rsidRDefault="00A834F1" w:rsidP="009569C7">
      <w:pPr>
        <w:pStyle w:val="Baseparagraphnumbered"/>
      </w:pPr>
      <w:r>
        <w:t xml:space="preserve">A várható veszteségekben az eszközök módosítása [az IFRS 9 5.4.3. bekezdése és az A. függelék] miatt bekövetkező változások feltüntetése a módosítás jellemzőitől függ, a következőknek megfelelően: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a 74. bekezdésben meghatározott leírás miatt egy eszköz részleges vagy teljes kivezetését eredményezi, e kivezetés várható veszteségre gyakorolt hatását „Az értékvesztési számla leírásokból származó csökkenése” tételben, a módosításból származó, a várható hitelezési veszteségekre gyakorolt egyéb hatást pedig más megfelelő oszlopokban kell megadni;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amennyiben a módosítás a 74. bekezdésben meghatározott leírástól eltérő okokból egy eszköz teljes kivezetését, és új eszközzel való helyettesítését eredményezi, a módosítás várható hitelezési veszteségekre gyakorolt hatását a kivezetett eszközhöz kapcsolódó változások tekintetében a „Kivezetésből származó csökkenés” tételben, az újonnan megjelenített módosított eszközhöz kapcsolódó változások tekintetében pedig a „Keletkeztetésből és vásárlásból származó növekedés” tételben kell feltüntetni. A leírásoktól eltérő okból végrehajtott kivezetés az olyan kivezetést tartalmazza, amely esetében a módosított eszköz feltételei lényeges változáson mennek át;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nem eredményezi a módosított eszköz egészének vagy egy részének kivezetését, ennek a várható veszteségekre gyakorolt hatását a „Kivezetéshez nem vezető módosításból származó változás” tételben kell feltüntetni.  </w:t>
      </w:r>
    </w:p>
    <w:p w:rsidR="009569C7" w:rsidRPr="00EC4FA2" w:rsidRDefault="00A834F1" w:rsidP="009569C7">
      <w:pPr>
        <w:pStyle w:val="Baseparagraphnumbered"/>
      </w:pPr>
      <w:r>
        <w:t xml:space="preserve">A leírásokat jelen melléklet e része 72–74. bekezdésének megfelelően kell megadni, a következők szerint: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amennyiben egy hitelviszonyt megtestesítő instrumentum részben vagy egészében kivezetésre kerül, mert nem lehet megtérülését nem lehet </w:t>
      </w:r>
      <w:proofErr w:type="spellStart"/>
      <w:r>
        <w:rPr>
          <w:rFonts w:ascii="Times New Roman" w:hAnsi="Times New Roman"/>
          <w:sz w:val="24"/>
        </w:rPr>
        <w:t>észszerűen</w:t>
      </w:r>
      <w:proofErr w:type="spellEnd"/>
      <w:r>
        <w:rPr>
          <w:rFonts w:ascii="Times New Roman" w:hAnsi="Times New Roman"/>
          <w:sz w:val="24"/>
        </w:rPr>
        <w:t xml:space="preserve"> feltételezni, az értékvesztésben a leírt összegekből eredő csökkenést „Az értékvesztési számla leírásokból származó csökkenése” tételben kell megadni;</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 „Közvetlenül az </w:t>
      </w:r>
      <w:proofErr w:type="spellStart"/>
      <w:r>
        <w:rPr>
          <w:rFonts w:ascii="Times New Roman" w:hAnsi="Times New Roman"/>
          <w:sz w:val="24"/>
        </w:rPr>
        <w:t>eredménykimutatásban</w:t>
      </w:r>
      <w:proofErr w:type="spellEnd"/>
      <w:r>
        <w:rPr>
          <w:rFonts w:ascii="Times New Roman" w:hAnsi="Times New Roman"/>
          <w:sz w:val="24"/>
        </w:rPr>
        <w:t xml:space="preserve"> leírt összegek” a pénzügyi eszközök azon, az adatszolgáltatási időszakban leírt összegei, amelyek meghaladják az adott pénzügyi eszközök értékvesztési számlájának </w:t>
      </w:r>
      <w:proofErr w:type="spellStart"/>
      <w:r>
        <w:rPr>
          <w:rFonts w:ascii="Times New Roman" w:hAnsi="Times New Roman"/>
          <w:sz w:val="24"/>
        </w:rPr>
        <w:t>kivezetéskori</w:t>
      </w:r>
      <w:proofErr w:type="spellEnd"/>
      <w:r>
        <w:rPr>
          <w:rFonts w:ascii="Times New Roman" w:hAnsi="Times New Roman"/>
          <w:sz w:val="24"/>
        </w:rPr>
        <w:t xml:space="preserve"> összegét. Ezek az adatszolgáltatási időszak során leírt valamennyi összeget tartalmazzák, nem csak azokat, amelyek még végrehajtás hatálya alá tartoznak. </w:t>
      </w:r>
    </w:p>
    <w:p w:rsidR="009569C7" w:rsidRPr="00EC4FA2" w:rsidRDefault="00A834F1" w:rsidP="009569C7">
      <w:pPr>
        <w:pStyle w:val="Baseparagraphnumbered"/>
      </w:pPr>
      <w:r>
        <w:t xml:space="preserve">Az „Egyéb módosítások” tartalmazza az előző oszlopokban fel nem tüntetett bármely összeget, ideértve többek között a várható veszteségekben az árfolyam-különbözetek miatt végrehajtott módosításokat, összhangban az árfolyamhatás 2. táblában megadott összegével.  </w:t>
      </w:r>
    </w:p>
    <w:p w:rsidR="009569C7" w:rsidRPr="00EC4FA2" w:rsidRDefault="00A834F1" w:rsidP="009569C7">
      <w:pPr>
        <w:pStyle w:val="sub-subtitlenumbered"/>
        <w:jc w:val="both"/>
      </w:pPr>
      <w:bookmarkStart w:id="171" w:name="_Toc467855229"/>
      <w:bookmarkStart w:id="172" w:name="_Toc524094044"/>
      <w:r>
        <w:t>Értékvesztési szakaszok közötti átvezetések (bruttó alapú megjelenítés) (12.2.)</w:t>
      </w:r>
      <w:bookmarkEnd w:id="171"/>
      <w:bookmarkEnd w:id="172"/>
    </w:p>
    <w:p w:rsidR="009569C7" w:rsidRPr="00EC4FA2" w:rsidRDefault="00A834F1" w:rsidP="009569C7">
      <w:pPr>
        <w:pStyle w:val="Baseparagraphnumbered"/>
      </w:pPr>
      <w:r>
        <w:t xml:space="preserve">A 12.2. táblában kell feltüntetni a pénzügyi eszközök tekintetében azon bruttó könyv szerinti értéket, valamint az IFRS 9 szerinti értékvesztés-elszámolási kötelezettség hatálya alá tartozó mérlegen kívüli kitettségek tekintetében azon névértéket, amely az adatszolgáltatási időszakban az értékvesztési szakaszok között átvezetésre került. </w:t>
      </w:r>
    </w:p>
    <w:p w:rsidR="009569C7" w:rsidRPr="00EC4FA2" w:rsidRDefault="00A834F1" w:rsidP="009569C7">
      <w:pPr>
        <w:pStyle w:val="Baseparagraphnumbered"/>
      </w:pPr>
      <w:r>
        <w:t xml:space="preserve">Csak azon pénzügyi eszközök bruttó könyv szerinti értékét vagy azon mérlegen kívüli kitettségek névértékét kell megadni, amelyek az adatszolgáltatási vonatkozási időpontban eltérő értékvesztési szakaszban vannak, mint amelyben az üzleti év kezdetén, vagy kezdeti megjelenítésükkor voltak. Azon mérleg szerinti kitettségek tekintetében, amelyeknél a 12.1. táblában feltüntetett értékvesztés mérlegen kívüli komponenst tartalmaz [az IFRS 9 5.5.20. bekezdése és az IFRS 7 B8E. bekezdése], a mérleg szerinti </w:t>
      </w:r>
      <w:r>
        <w:lastRenderedPageBreak/>
        <w:t>komponens értékvesztési szakaszának és a mérlegen kívüli komponens értékvesztési szakaszának változását kell figyelembe venni.</w:t>
      </w:r>
    </w:p>
    <w:p w:rsidR="009569C7" w:rsidRPr="00EC4FA2" w:rsidRDefault="00A834F1" w:rsidP="009569C7">
      <w:pPr>
        <w:pStyle w:val="Baseparagraphnumbered"/>
      </w:pPr>
      <w:r>
        <w:t>Az üzleti év során végrehajtott átvezetések feltüntetésekor azon pénzügyi eszközöket vagy mérlegen kívüli kitettségeket, amelyek értékvesztési szakasza az üzleti év kezdete vagy kezdeti megjelenítésük óta többször változott, úgy kell jelenteni, mintha azok az üzleti év kezdetén vagy kezdeti megjelenítésükkor érvényes értékvesztési szakaszból kerültek volna át abba az értékvesztési szakaszba, amelyben az adatszolgáltatási vonatkozási időpontban vannak.</w:t>
      </w:r>
    </w:p>
    <w:p w:rsidR="009569C7" w:rsidRPr="00EC4FA2" w:rsidRDefault="00A834F1" w:rsidP="009569C7">
      <w:pPr>
        <w:pStyle w:val="Baseparagraphnumbered"/>
      </w:pPr>
      <w:r>
        <w:t>A 12.2. táblában feltüntetendő bruttó könyv szerinti érték vagy névérték az adatszolgáltatás vonatkozási időpontjában fennálló bruttó könyv szerinti érték vagy névérték, függetlenül attól, hogy ez az összeg az átvezetés időpontjában magasabb vagy alacsonyabb volt.</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361844229"/>
      <w:bookmarkStart w:id="176" w:name="_Toc524094045"/>
      <w:r>
        <w:t>Kapott biztosítékok és garanciák (13.)</w:t>
      </w:r>
      <w:bookmarkEnd w:id="173"/>
      <w:bookmarkEnd w:id="174"/>
      <w:bookmarkEnd w:id="176"/>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524094046"/>
      <w:bookmarkEnd w:id="175"/>
      <w:r>
        <w:t>Biztosítékok és garanciák nem kereskedési céllal tartott hitelek és előlegek szerinti részletezése (13.1.)</w:t>
      </w:r>
      <w:bookmarkEnd w:id="177"/>
      <w:bookmarkEnd w:id="178"/>
      <w:bookmarkEnd w:id="179"/>
      <w:bookmarkEnd w:id="180"/>
    </w:p>
    <w:p w:rsidR="009569C7" w:rsidRPr="00EC4FA2" w:rsidRDefault="00A834F1" w:rsidP="009569C7">
      <w:pPr>
        <w:pStyle w:val="Baseparagraphnumbered"/>
        <w:tabs>
          <w:tab w:val="left" w:pos="851"/>
        </w:tabs>
        <w:ind w:left="709"/>
      </w:pPr>
      <w:r>
        <w:t xml:space="preserve">A hitelek és előlegek fedezetéül szolgáló biztosítékokat és garanciákat – jogi formájuktól függetlenül – a zálogtípusok szerint kell megadni: ingatlannal fedezett hitelek és egyéb biztosítékkal fedezett hitelek, valamint kapott pénzügyi garanciák szerint. A hiteleket és előlegeket partner és cél szerint kell részletezni. </w:t>
      </w:r>
    </w:p>
    <w:p w:rsidR="009569C7" w:rsidRPr="00EC4FA2" w:rsidRDefault="00A834F1" w:rsidP="009569C7">
      <w:pPr>
        <w:pStyle w:val="Baseparagraphnumbered"/>
        <w:tabs>
          <w:tab w:val="left" w:pos="851"/>
        </w:tabs>
        <w:ind w:left="709"/>
      </w:pPr>
      <w:r>
        <w:t xml:space="preserve">A 13.1. táblában a „biztosíték vagy garancia figyelembe vehető legmagasabb összegét” kell feltüntetni. A pénzügyi garanciák és/vagy biztosítékok összegeinek a 13.1. tábla kapcsolódó oszlopaiban feltüntetett összege nem haladhatja meg a kapcsolódó hitel könyv szerinti értékét. </w:t>
      </w:r>
    </w:p>
    <w:p w:rsidR="009569C7" w:rsidRPr="00EC4FA2" w:rsidRDefault="00A834F1" w:rsidP="009569C7">
      <w:pPr>
        <w:pStyle w:val="Baseparagraphnumbered"/>
        <w:tabs>
          <w:tab w:val="left" w:pos="851"/>
        </w:tabs>
        <w:ind w:left="709"/>
      </w:pPr>
      <w:r>
        <w:t>A hitelek és előlegek zálogtípus szerinti feltüntetésekor a következő fogalmakat kell használni: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Az „Ingatlannal fedezett hitelek”</w:t>
      </w:r>
      <w:proofErr w:type="spellStart"/>
      <w:r>
        <w:rPr>
          <w:rFonts w:ascii="Times New Roman" w:hAnsi="Times New Roman"/>
          <w:sz w:val="24"/>
        </w:rPr>
        <w:t>-en</w:t>
      </w:r>
      <w:proofErr w:type="spellEnd"/>
      <w:r>
        <w:rPr>
          <w:rFonts w:ascii="Times New Roman" w:hAnsi="Times New Roman"/>
          <w:sz w:val="24"/>
        </w:rPr>
        <w:t xml:space="preserve"> belül a „Lakóingatlan” tartalmazza a lakóingatlannal biztosított hiteleket, a „Kereskedelmi” hitelek közé tartoznak a lakóingatlantól eltérő ingatlanon, többek között irodai és kereskedelmi létesítményen, valamint egyéb típusú kereskedelmi ingatlanon létesített zálogjoggal biztosított hitelek. Annak meghatározását, hogy egy ingatlanbiztosíték lakóingatlanhoz vagy kereskedelmi ingatlanhoz kapcsolódik, a CRR meghatározásának megfelelően kell elvégezni;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az „Egyéb biztosítékkal fedezett hitelek”</w:t>
      </w:r>
      <w:proofErr w:type="spellStart"/>
      <w:r>
        <w:rPr>
          <w:rFonts w:ascii="Times New Roman" w:hAnsi="Times New Roman"/>
          <w:sz w:val="24"/>
        </w:rPr>
        <w:t>-en</w:t>
      </w:r>
      <w:proofErr w:type="spellEnd"/>
      <w:r>
        <w:rPr>
          <w:rFonts w:ascii="Times New Roman" w:hAnsi="Times New Roman"/>
          <w:sz w:val="24"/>
        </w:rPr>
        <w:t xml:space="preserve"> belül a „Pénzeszközök [kibocsátott hitelviszonyt megtestesítő instrumentumok]” tartalmazzák: a) az adatszolgáltató intézménynél elhelyezett, hitel biztosítékául kapott letéteket; és b) az adatszolgáltató intézmény által kibocsátott hitelviszonyt megtestesítő értékpapírokat, amelyeket hitel biztosítékául kaptak. Az „Egyéb” közé harmadik fél által kibocsátott egyéb értékpapírokon vagy egyéb eszközökön létesített zálogjogok tartoznak;</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A „Kapott pénzügyi garanciák” olyan szerződések, amelyek jelen melléklet e része 114. bekezdésének megfelelően a kibocsátónak meghatározott fizetések teljesítését írják elő az intézmény abból adódó veszteségének megtérítésére, hogy egy meghatározott adós esedékességkor nem fizet a hitelviszonyt megtestesítő instrumentum eredeti vagy módosított feltételeinek megfelelően.</w:t>
      </w:r>
    </w:p>
    <w:p w:rsidR="009569C7" w:rsidRPr="00EC4FA2" w:rsidRDefault="00A834F1" w:rsidP="009569C7">
      <w:pPr>
        <w:pStyle w:val="Baseparagraphnumbered"/>
      </w:pPr>
      <w:r>
        <w:t xml:space="preserve">Az olyan hitelek és előlegek esetében, ahol egyidejűleg egynél több biztosíték- vagy garanciatípus létezik, „A biztosíték/garancia figyelembe vehető legmagasabb összegét” a biztosíték/garancia minősége szerint kell allokálni, a legjobb minőségűvel kezdve. 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524094047"/>
      <w:r>
        <w:t>Az időszak alatt birtokbavétellel megszerzett biztosíték [az adatszolgáltatás vonatkozási időpontjában tartott] (13.2.)</w:t>
      </w:r>
      <w:bookmarkEnd w:id="181"/>
      <w:bookmarkEnd w:id="182"/>
      <w:bookmarkEnd w:id="183"/>
      <w:bookmarkEnd w:id="184"/>
    </w:p>
    <w:p w:rsidR="009569C7" w:rsidRPr="00EC4FA2" w:rsidRDefault="00A834F1" w:rsidP="009569C7">
      <w:pPr>
        <w:pStyle w:val="Baseparagraphnumbered"/>
        <w:tabs>
          <w:tab w:val="left" w:pos="851"/>
        </w:tabs>
        <w:ind w:left="709"/>
      </w:pPr>
      <w:r>
        <w:t xml:space="preserve">Ez a tábla annak a biztosítéknak a könyv szerinti értékét tartalmazza, amelynek megszerzésére a referencia-időszak kezdete és vége között került sor, és amely az adatszolgáltatás vonatkozási időpontjában a mérlegben megjelenítve marad.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524094048"/>
      <w:r>
        <w:t>Birtokbavétellel megszerzett biztosíték [tárgyi eszközök] halmozott (13.3.)</w:t>
      </w:r>
      <w:bookmarkEnd w:id="185"/>
      <w:bookmarkEnd w:id="186"/>
      <w:bookmarkEnd w:id="187"/>
      <w:bookmarkEnd w:id="188"/>
    </w:p>
    <w:p w:rsidR="009569C7" w:rsidRPr="00EC4FA2" w:rsidRDefault="00A834F1" w:rsidP="009569C7">
      <w:pPr>
        <w:pStyle w:val="Baseparagraphnumbered"/>
        <w:tabs>
          <w:tab w:val="left" w:pos="851"/>
        </w:tabs>
        <w:ind w:left="709"/>
      </w:pPr>
      <w:r>
        <w:t>A „Jelzálog érvényesítése [tárgyi eszközök]” a biztosíték birtokba vételével megszerzett azon tárgyi eszközök halmozott könyv szerinti értéke, amelyek az adatszolgáltatás vonatkozási időpontjában a mérlegben megjelenítve maradnak, az „Ingatlanok, gépek és berendezések” besorolású tárgyi eszközök kivételével.</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524094049"/>
      <w:r>
        <w:t>Valósérték-hierarchia</w:t>
      </w:r>
      <w:bookmarkEnd w:id="189"/>
      <w:r>
        <w:t>: Valós értéken értékelt pénzügyi instrumentumok (14.)</w:t>
      </w:r>
      <w:bookmarkEnd w:id="190"/>
      <w:bookmarkEnd w:id="191"/>
      <w:bookmarkEnd w:id="192"/>
      <w:bookmarkEnd w:id="193"/>
    </w:p>
    <w:p w:rsidR="009569C7" w:rsidRPr="00EC4FA2" w:rsidRDefault="00A834F1" w:rsidP="009569C7">
      <w:pPr>
        <w:pStyle w:val="Baseparagraphnumbered"/>
        <w:tabs>
          <w:tab w:val="left" w:pos="851"/>
        </w:tabs>
        <w:ind w:left="709"/>
      </w:pPr>
      <w:r>
        <w:t>Az intézményeknek a valós értéken értékelt pénzügyi instrumentumokat az IFRS 13 72. bekezdésében megadott hierarchia szerint kell feltüntetniük. Amennyiben a BAD alapján kidolgozott nemzeti GAAP szintén előírja a valós értéken értékelt eszközöknek a valós érték különböző szintjei közötti allokálását, a nemzeti GAAP hatálya alá tartozó intézményeknek szintén adatot kell szolgáltatniuk ebben a táblában.</w:t>
      </w:r>
    </w:p>
    <w:p w:rsidR="009569C7" w:rsidRPr="00EC4FA2" w:rsidRDefault="00A834F1" w:rsidP="009569C7">
      <w:pPr>
        <w:pStyle w:val="Baseparagraphnumbered"/>
        <w:ind w:left="709" w:hanging="283"/>
      </w:pPr>
      <w:r>
        <w:t xml:space="preserve">A „Valós érték változása az időszak alatt” azon instrumentumok időszak alatti, az IFRS 9, az IFRS 13 vagy a nemzeti GAAP szerinti átértékeléséből származó nyereséget vagy veszteséget tartalmazza, amelyek adatszolgáltatás vonatkozási időpontjában továbbra is fennállnak. Ezeket a nyereségeket és veszteségeket az </w:t>
      </w:r>
      <w:proofErr w:type="spellStart"/>
      <w:r>
        <w:t>eredménykimutatásba</w:t>
      </w:r>
      <w:proofErr w:type="spellEnd"/>
      <w:r>
        <w:t xml:space="preserve"> vagy adott esetben az átfogó </w:t>
      </w:r>
      <w:proofErr w:type="spellStart"/>
      <w:r>
        <w:t>jövedelemkimutatásba</w:t>
      </w:r>
      <w:proofErr w:type="spellEnd"/>
      <w:r>
        <w:t xml:space="preserve"> való bevonással azonos módon kell feltüntetni; ezért az adófizetés előtti összeget kell feltüntetni.</w:t>
      </w:r>
    </w:p>
    <w:p w:rsidR="009569C7" w:rsidRPr="00EC4FA2" w:rsidRDefault="00A834F1" w:rsidP="009569C7">
      <w:pPr>
        <w:pStyle w:val="Baseparagraphnumbered"/>
        <w:tabs>
          <w:tab w:val="left" w:pos="851"/>
        </w:tabs>
        <w:ind w:left="709"/>
      </w:pPr>
      <w:r>
        <w:lastRenderedPageBreak/>
        <w:t>„A valósérték-változás halmozott összege adófizetés előtt” az instrumentumok kezdeti megjelenítésétől az adatszolgáltatás vonatkozási időpontjáig történő átértékeléséből származó nyereséget vagy veszteséget tartalmazza.</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524094050"/>
      <w:r>
        <w:t>Pénzügyi eszközök átadásával összefüggő kivezetés és pénzügyi kötelezettségek (15.)</w:t>
      </w:r>
      <w:bookmarkEnd w:id="194"/>
      <w:bookmarkEnd w:id="195"/>
      <w:bookmarkEnd w:id="196"/>
      <w:bookmarkEnd w:id="197"/>
    </w:p>
    <w:p w:rsidR="009569C7" w:rsidRPr="00EC4FA2" w:rsidRDefault="00A834F1" w:rsidP="009569C7">
      <w:pPr>
        <w:pStyle w:val="Baseparagraphnumbered"/>
        <w:tabs>
          <w:tab w:val="left" w:pos="851"/>
        </w:tabs>
        <w:ind w:left="709"/>
      </w:pPr>
      <w:r>
        <w:t xml:space="preserve">A 15. tábla azon átadott pénzügyi eszközökre vonatkozóan szolgáltat adatot, amelyeknek egy része vagy egésze nem felel meg a kivezetés feltételeinek, valamint az olyan teljes mértékben kivezetett pénzügyi eszközökre vonatkozóan, amelyek tekintetében az intézmény fenntartja a szolgáltatási jogokat. </w:t>
      </w:r>
    </w:p>
    <w:p w:rsidR="009569C7" w:rsidRPr="00EC4FA2" w:rsidRDefault="00A834F1" w:rsidP="009569C7">
      <w:pPr>
        <w:pStyle w:val="Baseparagraphnumbered"/>
        <w:tabs>
          <w:tab w:val="left" w:pos="851"/>
        </w:tabs>
        <w:ind w:left="709"/>
      </w:pPr>
      <w:r>
        <w:t xml:space="preserve">A kapcsolódó kötelezettségeket azon portfólió szerint kell feltüntetni, amelyben a kapcsolódó átadott pénzügyi eszközök szerepeltek az eszközoldalon, nem pedig azon portfólió szerint, amelyben az eszközök a forrásoldalra kerültek. </w:t>
      </w:r>
      <w:bookmarkStart w:id="198" w:name="_Toc119725774"/>
      <w:bookmarkEnd w:id="198"/>
    </w:p>
    <w:p w:rsidR="009569C7" w:rsidRPr="00EC4FA2" w:rsidRDefault="00A834F1" w:rsidP="009569C7">
      <w:pPr>
        <w:pStyle w:val="Baseparagraphnumbered"/>
      </w:pPr>
      <w:r>
        <w:t xml:space="preserve">„A tőke szempontjából kivezetett összegek” oszlop a számviteli szempontból megjelenített, azonban </w:t>
      </w:r>
      <w:proofErr w:type="spellStart"/>
      <w:r>
        <w:t>prudenciális</w:t>
      </w:r>
      <w:proofErr w:type="spellEnd"/>
      <w:r>
        <w:t xml:space="preserve"> szempontból kivezetett pénzügyi eszközök könyv szerinti értékét tartalmazza, mivel az intézmény ezeket a CRR 109., 243. és 244. cikkével összhangban tőkeszámítási célokból </w:t>
      </w:r>
      <w:proofErr w:type="spellStart"/>
      <w:r>
        <w:t>értékpapírosítási</w:t>
      </w:r>
      <w:proofErr w:type="spellEnd"/>
      <w:r>
        <w:t xml:space="preserve"> pozícióként kezeli. </w:t>
      </w:r>
    </w:p>
    <w:p w:rsidR="009569C7" w:rsidRPr="00EC4FA2" w:rsidRDefault="00A834F1" w:rsidP="009569C7">
      <w:pPr>
        <w:pStyle w:val="Baseparagraphnumbered"/>
      </w:pPr>
      <w:r>
        <w:t>A „Visszavásárlási megállapodások” (</w:t>
      </w:r>
      <w:proofErr w:type="spellStart"/>
      <w:r>
        <w:t>repoügyletek</w:t>
      </w:r>
      <w:proofErr w:type="spellEnd"/>
      <w:r>
        <w:t>) olyan tranzakciók, amelyek keretében az intézmény készpénzt kap adott áron és azon elkötelezettség mellett eladott pénzügyi eszközökért, hogy ezeket (vagy ezekkel azonos eszközöket) egy meghatározott jövőbeli időpontban rögzített áron visszavásárolja. Az olyan tranzakciókat, amelyek arany készpénzbiztosíték ellenében történő átmeneti átadását foglalják magukban, szintén „Visszavásárlási megállapodások”</w:t>
      </w:r>
      <w:proofErr w:type="spellStart"/>
      <w:r>
        <w:t>-nak</w:t>
      </w:r>
      <w:proofErr w:type="spellEnd"/>
      <w:r>
        <w:t xml:space="preserve"> („</w:t>
      </w:r>
      <w:proofErr w:type="spellStart"/>
      <w:r>
        <w:t>repoügyleteknek</w:t>
      </w:r>
      <w:proofErr w:type="spellEnd"/>
      <w:r>
        <w:t xml:space="preserve">) kell tekinteni. Az intézmény által a harmadik félnek („ideiglenes megszerző”) átadott pénzügyi eszközökért cserébe kapott összegeket a „visszavásárlási megállapodások” közé kell besorolni, ha az ügylet megfordítására nem pusztán opció, hanem kötelezettség áll fenn. A visszavásárlási megállapodások </w:t>
      </w:r>
      <w:proofErr w:type="spellStart"/>
      <w:r>
        <w:t>repojellegű</w:t>
      </w:r>
      <w:proofErr w:type="spellEnd"/>
      <w:r>
        <w:t xml:space="preserve"> ügyleteket is tartalmaznak, melyek a következők lehetnek:</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Értékpapírok készpénzbiztosíték ellenében történő kölcsönzése formájában ideiglenesen harmadik félnek átadott értékpapírokért cserébe kapott összegek;</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Eladási/visszavásárlási megállapodás formájában ideiglenesen harmadik félnek átadott értékpapírokért cserébe kapott összegek.</w:t>
      </w:r>
    </w:p>
    <w:p w:rsidR="009569C7" w:rsidRPr="00EC4FA2" w:rsidRDefault="00A834F1" w:rsidP="009569C7">
      <w:pPr>
        <w:pStyle w:val="Baseparagraphnumbered"/>
        <w:tabs>
          <w:tab w:val="left" w:pos="851"/>
        </w:tabs>
        <w:ind w:left="709"/>
      </w:pPr>
      <w:r>
        <w:t>A „Visszavásárlási megállapodások” (</w:t>
      </w:r>
      <w:proofErr w:type="spellStart"/>
      <w:r>
        <w:t>repoügyletek</w:t>
      </w:r>
      <w:proofErr w:type="spellEnd"/>
      <w:r>
        <w:t xml:space="preserve">) és „Fordított visszavásárlási megállapodások” (fordított </w:t>
      </w:r>
      <w:proofErr w:type="spellStart"/>
      <w:r>
        <w:t>repoügyletek</w:t>
      </w:r>
      <w:proofErr w:type="spellEnd"/>
      <w:r>
        <w:t xml:space="preserve">) az intézmény részéről készpénz fogadásával vagy kölcsönzésével járnak. </w:t>
      </w:r>
    </w:p>
    <w:p w:rsidR="009569C7" w:rsidRPr="00EC4FA2" w:rsidRDefault="00A834F1" w:rsidP="009569C7">
      <w:pPr>
        <w:pStyle w:val="Baseparagraphnumbered"/>
        <w:tabs>
          <w:tab w:val="left" w:pos="851"/>
        </w:tabs>
        <w:ind w:left="709"/>
      </w:pPr>
      <w:r>
        <w:lastRenderedPageBreak/>
        <w:t xml:space="preserve">Egy olyan </w:t>
      </w:r>
      <w:proofErr w:type="spellStart"/>
      <w:r>
        <w:t>értékpapírosítási</w:t>
      </w:r>
      <w:proofErr w:type="spellEnd"/>
      <w:r>
        <w:t xml:space="preserve"> tranzakcióban, amelynél az átadott pénzügyi eszközök kivezetésre kerültek, az intézményeknek az </w:t>
      </w:r>
      <w:proofErr w:type="spellStart"/>
      <w:r>
        <w:t>eredménykimutatásban</w:t>
      </w:r>
      <w:proofErr w:type="spellEnd"/>
      <w:r>
        <w:t xml:space="preserve"> jelenteniük kell a tétel által generált nyereséget (veszteséget) azoknak az „elszámolási portfóliók”</w:t>
      </w:r>
      <w:proofErr w:type="spellStart"/>
      <w:r>
        <w:t>-nak</w:t>
      </w:r>
      <w:proofErr w:type="spellEnd"/>
      <w:r>
        <w:t xml:space="preserve"> megfelelően, amelyekben a pénzügyi eszközök kivezetésük előtt szerepeltek.</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246770626"/>
      <w:bookmarkStart w:id="213" w:name="_Toc524094051"/>
      <w:bookmarkEnd w:id="199"/>
      <w:bookmarkEnd w:id="200"/>
      <w:bookmarkEnd w:id="201"/>
      <w:bookmarkEnd w:id="202"/>
      <w:bookmarkEnd w:id="203"/>
      <w:bookmarkEnd w:id="204"/>
      <w:bookmarkEnd w:id="205"/>
      <w:bookmarkEnd w:id="206"/>
      <w:bookmarkEnd w:id="207"/>
      <w:r>
        <w:t>Az eredménykimutatás kiválasztott</w:t>
      </w:r>
      <w:bookmarkEnd w:id="208"/>
      <w:r>
        <w:t xml:space="preserve"> tételeinek részletezése (16.)</w:t>
      </w:r>
      <w:bookmarkEnd w:id="209"/>
      <w:bookmarkEnd w:id="210"/>
      <w:bookmarkEnd w:id="211"/>
      <w:bookmarkEnd w:id="213"/>
    </w:p>
    <w:p w:rsidR="009569C7" w:rsidRPr="00EC4FA2" w:rsidRDefault="00A834F1" w:rsidP="009569C7">
      <w:pPr>
        <w:pStyle w:val="Baseparagraphnumbered"/>
        <w:tabs>
          <w:tab w:val="left" w:pos="851"/>
        </w:tabs>
        <w:ind w:left="709"/>
      </w:pPr>
      <w:r>
        <w:t xml:space="preserve">Az </w:t>
      </w:r>
      <w:proofErr w:type="spellStart"/>
      <w:r>
        <w:t>eredménykimutatás</w:t>
      </w:r>
      <w:proofErr w:type="spellEnd"/>
      <w:r>
        <w:t xml:space="preserve"> kiválasztott tételei tekintetében a nyereség (vagy bevételek) és veszteség (vagy ráfordítások) további részletezésére van szükség.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524094052"/>
      <w:r>
        <w:t xml:space="preserve">Kamatbevételek és </w:t>
      </w:r>
      <w:proofErr w:type="spellStart"/>
      <w:r>
        <w:t>-ráfordítások</w:t>
      </w:r>
      <w:proofErr w:type="spellEnd"/>
      <w:r>
        <w:t xml:space="preserve"> instrumentum és ügyfélszektor szerint (16.1.)</w:t>
      </w:r>
      <w:bookmarkEnd w:id="214"/>
      <w:bookmarkEnd w:id="215"/>
      <w:bookmarkEnd w:id="216"/>
      <w:bookmarkEnd w:id="217"/>
    </w:p>
    <w:p w:rsidR="009569C7" w:rsidRPr="00EC4FA2" w:rsidRDefault="00A834F1" w:rsidP="009569C7">
      <w:pPr>
        <w:pStyle w:val="Baseparagraphnumbered"/>
        <w:tabs>
          <w:tab w:val="left" w:pos="851"/>
        </w:tabs>
        <w:ind w:left="709" w:hanging="283"/>
      </w:pPr>
      <w:r>
        <w:t>A kamatbevételeket a következők mindegyikének megfelelően részletezni kell:</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pénzügyi és egyéb eszközökből származó kamatbevételek;</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negatív effektív kamatlábú pénzügyi kötelezettségekből származó kamatbevételek.</w:t>
      </w:r>
    </w:p>
    <w:p w:rsidR="009569C7" w:rsidRPr="00EC4FA2" w:rsidRDefault="00A834F1" w:rsidP="009569C7">
      <w:pPr>
        <w:pStyle w:val="Baseparagraphnumbered"/>
      </w:pPr>
      <w:r>
        <w:t>A kamatráfordításokat a következők mindegyikének megfelelően részletezni kell:</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pénzügyi és egyéb kötelezettségeken keletkezett kamatráfordítások;</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negatív effektív kamatlábú pénzügyi eszközökön keletkezett kamatráfordítások.</w:t>
      </w:r>
    </w:p>
    <w:p w:rsidR="009569C7" w:rsidRPr="00EC4FA2" w:rsidRDefault="00A834F1" w:rsidP="009569C7">
      <w:pPr>
        <w:pStyle w:val="Baseparagraphnumbered"/>
        <w:tabs>
          <w:tab w:val="left" w:pos="851"/>
        </w:tabs>
        <w:ind w:left="709" w:hanging="283"/>
      </w:pPr>
      <w:r>
        <w:t xml:space="preserve">A negatív effektív kamatlábú pénzügyi eszközökön és pénzügyi kötelezettségeken keletkezett kamatbevételek közé tartoznak a kereskedési célú származtatott ügyleteken, a hitelviszonyt megtestesítő értékpapírokon és a hiteleken és előlegeken, valamint letéteken, kibocsátott hitelviszonyt megtestesítő értékpapírokon és egyéb, pénzügyi kötelezettségekkel összefüggő, negatív effektív kamatlábú pénzügyi kötelezettségeken keletkezett kamatbevételek. </w:t>
      </w:r>
    </w:p>
    <w:p w:rsidR="009569C7" w:rsidRPr="00EC4FA2" w:rsidRDefault="00A834F1" w:rsidP="009569C7">
      <w:pPr>
        <w:pStyle w:val="Baseparagraphnumbered"/>
      </w:pPr>
      <w:r>
        <w:t xml:space="preserve">A negatív effektív kamatlábú pénzügyi eszközön és pénzügyi kötelezettségeken keletkezett kamatráfordítások közé tartoznak a kereskedési célú származtatott ügyleteken, a kibocsátott hitelviszonyt megtestesítő értékpapírokon és egyéb pénzügyi kötelezettségeken, valamint a hitelviszonyt megtestesítő értékpapírokon és a negatív effektív kamatlábú hiteleken és előlegeken keletkezett kamatráfordítások. </w:t>
      </w:r>
    </w:p>
    <w:p w:rsidR="009569C7" w:rsidRPr="00EC4FA2" w:rsidRDefault="00A834F1" w:rsidP="009569C7">
      <w:pPr>
        <w:pStyle w:val="Baseparagraphnumbered"/>
      </w:pPr>
      <w:r>
        <w:t xml:space="preserve">A 16.1. tábla alkalmazásában a rövid pozíciókat az egyéb pénzügyi kötelezettségek között kell figyelembe venni. A különböző portfóliókban szereplő összes instrumentumot figyelembe kell venni, kivéve azokat a nem kamatlábkockázat fedezésére használt instrumentumokat, amelyek a </w:t>
      </w:r>
      <w:r>
        <w:lastRenderedPageBreak/>
        <w:t xml:space="preserve">„Származtatott ügyletek – Fedezeti elszámolások” között kerültek feltüntetésre. </w:t>
      </w:r>
    </w:p>
    <w:p w:rsidR="009569C7" w:rsidRPr="00EC4FA2" w:rsidRDefault="00A834F1" w:rsidP="009569C7">
      <w:pPr>
        <w:pStyle w:val="Baseparagraphnumbered"/>
      </w:pPr>
      <w:r>
        <w:t xml:space="preserve">A „Származtatott ügyletek – Fedezeti elszámolások, kamatlábkockázat” tartalmazza a fedezeti instrumentumokon képződött kamatbevételt és </w:t>
      </w:r>
      <w:proofErr w:type="spellStart"/>
      <w:r>
        <w:t>-ráfordítást</w:t>
      </w:r>
      <w:proofErr w:type="spellEnd"/>
      <w:r>
        <w:t xml:space="preserve">, amennyiben a fedezett tételek kamatot generálnak.  </w:t>
      </w:r>
    </w:p>
    <w:p w:rsidR="009569C7" w:rsidRPr="00EC4FA2" w:rsidRDefault="00A834F1" w:rsidP="009569C7">
      <w:pPr>
        <w:pStyle w:val="Baseparagraphnumbered"/>
      </w:pPr>
      <w:r>
        <w:t>Tiszta ár használata esetén a kereskedési céllal tartott származtatott ügyleteken képződött kamat tartalmazza a „gazdasági fedezeti ügylet”</w:t>
      </w:r>
      <w:proofErr w:type="spellStart"/>
      <w:r>
        <w:t>-nek</w:t>
      </w:r>
      <w:proofErr w:type="spellEnd"/>
      <w:r>
        <w:t xml:space="preserve"> minősülő, kereskedési céllal tartott származtatott ügyletekhez kapcsolódó összegeket, amelyek kamatbevételként, illetve kamatráfordításként jelennek meg annak érdekében, hogy korrigálják azon pénzügyi instrumentumokból származó kamatbevételeket és kamatráfordításokat, amelyek gazdasági szempontból fedezett instrumentumnak minősülnek, azonban számviteli szempontból nem minősülnek annak. Ilyen esetben a gazdasági fedezeti származtatott ügyleten képződött kamatbevételt külön kell feltüntetni a kereskedési célú származtatott ügyletekből eredő kamatbevételek között. Az adott célból valós értéken értékeltnek megjelölt pénzügyi instrumentum egy része vagy egésze hitelkockázatának kezelésére használt és valós értéken értékelt </w:t>
      </w:r>
      <w:proofErr w:type="spellStart"/>
      <w:r>
        <w:t>hitelderivatívákkal</w:t>
      </w:r>
      <w:proofErr w:type="spellEnd"/>
      <w:r>
        <w:t xml:space="preserve"> összefüggő időarányos díjakat vagy ellentételező fizetéseket szintén a kereskedési céllal tartott származtatott ügyletek kamatai között kell feltüntetni.</w:t>
      </w:r>
    </w:p>
    <w:p w:rsidR="009569C7" w:rsidRPr="00EC4FA2" w:rsidRDefault="00A834F1" w:rsidP="009569C7">
      <w:pPr>
        <w:pStyle w:val="Baseparagraphnumbered"/>
      </w:pPr>
      <w:r>
        <w:t>Az IFRS szerinti elszámolás esetében az „ebből: értékvesztett pénzügyi eszközök kamatjövedelme” az értékvesztett, többek között a vásárolt vagy keletkeztetett értékvesztett pénzügyi eszközökön képződött kamatbevételt jelenti. A BAD alapján kidolgozott nemzeti GAAP szerinti elszámolás esetében ez az értékvesztett eszközön képződött kamatjövedelmet tartalmazza hitelkockázatra vonatkozó egyedi vagy általános értékvesztési tartalékkal.</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524094053"/>
      <w:r>
        <w:t>Az eredménnyel szemben valós értéken értékelt kategóriába nem tartozó pénzügyi eszközök és kötelezettségek kivezetéséből származó nyereség vagy veszteség instrumentum szerint (16.2.)</w:t>
      </w:r>
      <w:bookmarkEnd w:id="218"/>
      <w:bookmarkEnd w:id="219"/>
      <w:bookmarkEnd w:id="220"/>
      <w:bookmarkEnd w:id="221"/>
    </w:p>
    <w:p w:rsidR="009569C7" w:rsidRDefault="00A834F1" w:rsidP="009569C7">
      <w:pPr>
        <w:pStyle w:val="Baseparagraphnumbered"/>
        <w:tabs>
          <w:tab w:val="left" w:pos="851"/>
        </w:tabs>
        <w:ind w:left="709"/>
      </w:pPr>
      <w:r>
        <w:t>Az eredménnyel szemben valós értéken értékelt kategóriába nem tartozó pénzügyi eszközök és kötelezettségek kivezetéséből származó nyereséget és veszteséget a pénzügyi instrumentum típusa és a számviteli portfólió szerint kell részletezni. Az egyes tételek esetében a kivezetett tranzakcióból származó realizált nettó nyereséget vagy veszteséget kell feltüntetni. A nettó összeg a realizált nyereség és realizált veszteség közötti különbözet.</w:t>
      </w:r>
    </w:p>
    <w:p w:rsidR="00E87D3C" w:rsidRPr="00EC4FA2" w:rsidRDefault="00A834F1" w:rsidP="000D4350">
      <w:pPr>
        <w:pStyle w:val="Baseparagraphnumbered"/>
        <w:tabs>
          <w:tab w:val="left" w:pos="851"/>
        </w:tabs>
        <w:ind w:left="709"/>
      </w:pPr>
      <w:r>
        <w:t xml:space="preserve">A 16.2. tábla az IFRS értelmében a bekerülési értéken értékelt pénzügyi eszközökre és kötelezettségekre, valamint az egyéb átfogó jövedelemmel szemben valós értéken értékelt hitelviszonyt megtestesítő instrumentumokra alkalmazandó. A BAD alapján kidolgozott nemzeti GAAP szerinti elszámolás esetében a 16.2. tábla a </w:t>
      </w:r>
      <w:proofErr w:type="spellStart"/>
      <w:r>
        <w:t>bekerülésiérték-módszer</w:t>
      </w:r>
      <w:proofErr w:type="spellEnd"/>
      <w:r>
        <w:t xml:space="preserve"> alapján értékelt pénzügyi eszközökre, a saját tőkével szemben valós értéken értékelt pénzügyi eszközökre és egyéb értékelési módszerrel, például a bekerülési vagy piaci ár közül az alacsonyabb áron értékelt pénzügyi eszközökre alkalmazandó. A BAD alapján kidolgozott vonatkozó nemzeti GAAP értelmében kereskedési </w:t>
      </w:r>
      <w:r>
        <w:lastRenderedPageBreak/>
        <w:t>célúként besorolt pénzügyi instrumentumok nyereségét vagy veszteségét nem kell megadni ebben a táblában, függetlenül attól, hogy milyen értékelési szabályokat kell alkalmazni a szóban forgó instrumentumokra.</w:t>
      </w:r>
    </w:p>
    <w:p w:rsidR="009569C7" w:rsidRPr="00EC4FA2" w:rsidRDefault="00A834F1" w:rsidP="00C93712">
      <w:pPr>
        <w:pStyle w:val="sub-subtitlenumbered"/>
      </w:pPr>
      <w:bookmarkStart w:id="222" w:name="_Toc361844238"/>
      <w:bookmarkStart w:id="223" w:name="_Toc362359309"/>
      <w:bookmarkStart w:id="224" w:name="_Toc467855239"/>
      <w:bookmarkStart w:id="225" w:name="_Toc524094054"/>
      <w:r>
        <w:t>Kereskedési céllal tartott és kereskedési célú pénzügyi eszközökből és kötelezettségekből származó nyereség vagy veszteség instrumentum szerint (16.3.)</w:t>
      </w:r>
      <w:bookmarkEnd w:id="222"/>
      <w:bookmarkEnd w:id="223"/>
      <w:bookmarkEnd w:id="224"/>
      <w:bookmarkEnd w:id="225"/>
    </w:p>
    <w:p w:rsidR="009569C7" w:rsidRPr="00EC4FA2" w:rsidRDefault="00A834F1" w:rsidP="009569C7">
      <w:pPr>
        <w:pStyle w:val="Baseparagraphnumbered"/>
        <w:tabs>
          <w:tab w:val="left" w:pos="851"/>
        </w:tabs>
        <w:ind w:left="709"/>
      </w:pPr>
      <w:r>
        <w:t>A kereskedési céllal tartott pénzügyi eszközökből és kötelezettségekből származó nyereséget vagy veszteséget instrumentum szerint kell részletezni; a részletezés egyes tételei a pénzügyi instrumentum nettó realizált és nem realizált összegeit (nyereség csökkentve a veszteséggel) tartalmazzák.</w:t>
      </w:r>
    </w:p>
    <w:p w:rsidR="009569C7" w:rsidRPr="00EC4FA2" w:rsidRDefault="00A834F1" w:rsidP="009569C7">
      <w:pPr>
        <w:pStyle w:val="Baseparagraphnumbered"/>
      </w:pPr>
      <w:r>
        <w:t>Az azonnali piacon végrehajtott devizaügyletek nyereségét vagy veszteségét, kivéve a külföldi bankjegyek és érmék cseréjét, a kereskedési nyereség vagy veszteség részeként kell feltüntetni. A nemesfém-kereskedelemből vagy a kivezetésből, illetőleg átértékelésből származó nyereséget vagy veszteséget nem lehet a kereskedési nyereség vagy veszteség részeként feltüntetni, hanem e rész 316. bekezdésének megfelelően az „Egyéb működési bevétel” vagy az „Egyéb működési ráfordítás” tételben kell megadni.</w:t>
      </w:r>
    </w:p>
    <w:p w:rsidR="009569C7" w:rsidRPr="00EC4FA2" w:rsidRDefault="00A834F1" w:rsidP="009569C7">
      <w:pPr>
        <w:pStyle w:val="Baseparagraphnumbered"/>
      </w:pPr>
      <w:r>
        <w:t xml:space="preserve">Az „ebből: a valósérték-opció alkalmazásával elszámolt gazdasági fedezeti ügyletek” tétel csak a valamely –az adott alkalomból valós értéken megjelölt – pénzügyi instrumentummal szembeni hitelkockázat egésze vagy annak egy része kezeléséhez felhasznált és az eredménnyel szemben valós értéken értékelt </w:t>
      </w:r>
      <w:proofErr w:type="spellStart"/>
      <w:r>
        <w:t>hitelderivatívából</w:t>
      </w:r>
      <w:proofErr w:type="spellEnd"/>
      <w:r>
        <w:t xml:space="preserve"> eredő nyereségeket vagy veszteségeket tartalmazza az IFRS 9 6.7. bekezdésnek megfelelően. A pénzügyi eszköz amortizált bekerülési értéken értékelt számviteli portfólióból az eredménnyel szemben valós értéken értékelt számviteli portfólióba, vagy a kereskedési céllal tartott portfólióba való átsorolásából eredő nyereségeket és veszteségeket [az IFRS 9 5.6.2. bekezdése] az „ebből: amortizált bekerülési értéken értékelt eszközök átsorolásából származó nyereség és veszteség” tételben kell feltüntetni.</w:t>
      </w:r>
    </w:p>
    <w:p w:rsidR="009569C7" w:rsidRPr="00EC4FA2" w:rsidRDefault="00A834F1" w:rsidP="00C93712">
      <w:pPr>
        <w:pStyle w:val="sub-subtitlenumbered"/>
      </w:pPr>
      <w:bookmarkStart w:id="226" w:name="_Toc361844239"/>
      <w:bookmarkStart w:id="227" w:name="_Toc362359310"/>
      <w:bookmarkStart w:id="228" w:name="_Toc467855240"/>
      <w:bookmarkStart w:id="229" w:name="_Toc524094055"/>
      <w:r>
        <w:t>Kereskedési céllal tartott és kereskedési célú pénzügyi eszközökből és kötelezettségekből származó nyereség vagy veszteség kockázat szerint (16.4.)</w:t>
      </w:r>
      <w:bookmarkEnd w:id="226"/>
      <w:bookmarkEnd w:id="227"/>
      <w:bookmarkEnd w:id="228"/>
      <w:bookmarkEnd w:id="229"/>
    </w:p>
    <w:p w:rsidR="009569C7" w:rsidRPr="00EC4FA2" w:rsidRDefault="00A834F1" w:rsidP="009569C7">
      <w:pPr>
        <w:pStyle w:val="Baseparagraphnumbered"/>
        <w:tabs>
          <w:tab w:val="left" w:pos="851"/>
        </w:tabs>
        <w:ind w:left="709"/>
      </w:pPr>
      <w:r>
        <w:t>A kereskedési céllal tartott pénzügyi eszközökből és kötelezettségekből származó nyereséget vagy veszteséget kockázat szerint kell részletezni; a részletezés egyes tételei a kitettséghez – többek között a kapcsolódó származtatott ügyletekhez – társuló mögöttes kockázat (kamatláb, részvény, árfolyam, hitel, áru és egyéb) nettó realizált és nem realizált összegei (nyereség csökkentve a veszteséggel). Az árfolyam-különbözetből származó nyereségeket és veszteségeket annál a tételnél kell feltüntetni, amely tartalmazza az átváltott instrumentumból származó többi nyereséget és veszteséget. A származtatott ügyletektől eltérő pénzügyi eszközökön és pénzügyi kötelezettségeken keletkezett nyereséget és veszteséget a következők szerint kell feltüntetni a kockázati kategóriákban: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Kamatláb: ideértve a hitelekkel és előlegekkel, betétekkel és (tartott vagy kibocsátott) hitelviszonyt megtestesítő értékpapírokkal kapcsolatos ügyletkötést;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Részvény: ideértve az </w:t>
      </w:r>
      <w:proofErr w:type="spellStart"/>
      <w:r>
        <w:rPr>
          <w:rFonts w:ascii="Times New Roman" w:hAnsi="Times New Roman"/>
          <w:sz w:val="24"/>
        </w:rPr>
        <w:t>ÁÉKBV-k</w:t>
      </w:r>
      <w:proofErr w:type="spellEnd"/>
      <w:r>
        <w:rPr>
          <w:rFonts w:ascii="Times New Roman" w:hAnsi="Times New Roman"/>
          <w:sz w:val="24"/>
        </w:rPr>
        <w:t xml:space="preserve"> befektetési jegyeivel és kvótáival, valamint egyéb tulajdoni részesedést megtestesítő instrumentumokkal kapcsolatos ügyletkötést;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Devizakereskedés: kizárólag a devizákkal kapcsolatos ügyletkötés tartozik ide;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Hitelkockázat: ideértve a hitelkockázathoz kapcsolt értékpapírokat;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Áruk: ez a tétel csak származtatott ügyleteket tartalmaz, mert a kereskedési céllal tartott áruk nyereségét és veszteségét e rész 316. bekezdésének megfelelően az „Egyéb működési bevétel” vagy az „Egyéb működési ráfordítás” tételben kell megadni;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Egyéb: azon pénzügyi instrumentumokkal folytatott kereskedés tartozik ide, amelyeket egyéb tételekbe nem lehet besorolni.</w:t>
      </w:r>
    </w:p>
    <w:p w:rsidR="009569C7" w:rsidRPr="00EC4FA2" w:rsidRDefault="00A834F1" w:rsidP="009569C7">
      <w:pPr>
        <w:pStyle w:val="sub-subtitlenumbered"/>
        <w:jc w:val="both"/>
      </w:pPr>
      <w:bookmarkStart w:id="230" w:name="_Toc467855241"/>
      <w:bookmarkStart w:id="231" w:name="_Toc524094056"/>
      <w:r>
        <w:t>Kötelezően az eredménnyel szemben valós értéken értékelt nem kereskedési célú pénzügyi eszközök nyeresége vagy vesztesége instrumentum szerint (16.4.1.)</w:t>
      </w:r>
      <w:bookmarkEnd w:id="230"/>
      <w:bookmarkEnd w:id="231"/>
    </w:p>
    <w:p w:rsidR="009569C7" w:rsidRPr="00EC4FA2" w:rsidRDefault="00A834F1" w:rsidP="009569C7">
      <w:pPr>
        <w:pStyle w:val="Baseparagraphnumbered"/>
        <w:tabs>
          <w:tab w:val="left" w:pos="851"/>
        </w:tabs>
        <w:ind w:left="709"/>
      </w:pPr>
      <w:r>
        <w:t>A kötelezően az eredménnyel szemben valós értéken értékelt nem kereskedési célú pénzügyi eszközök nyereségét és veszteségét az instrumentum típusa szerint kell részletezni; a részletezés egyes tételei a pénzügyi instrumentum nettó realizált és nem realizált összegeit (nyereség csökkentve a veszteséggel) tartalmazzák.</w:t>
      </w:r>
    </w:p>
    <w:p w:rsidR="009569C7" w:rsidRPr="00EC4FA2" w:rsidRDefault="00A834F1" w:rsidP="009569C7">
      <w:pPr>
        <w:pStyle w:val="Baseparagraphnumbered"/>
        <w:tabs>
          <w:tab w:val="left" w:pos="567"/>
        </w:tabs>
      </w:pPr>
      <w:r>
        <w:t>A pénzügyi eszközök amortizált bekerülési értéken értékelt számviteli portfólióból a kötelezően az eredménnyel szemben valós értéken értékelt nem kereskedési célú pénzügyi eszközök közé való átsorolásából származó nyereséget és veszteséget [az IFRS 9 5.6.2. bekezdése] az „ebből: amortizált bekerülési értéken értékelt eszközök átsorolásából származó nyereség és veszteség” tételben kell feltüntetni.</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524094057"/>
      <w:r>
        <w:t>Az eredménnyel szemben valós értéken értékeltnek megjelölt pénzügyi eszközök és kötelezettségek nyeresége vagy vesztesége instrumentum szerint (16.5.)</w:t>
      </w:r>
      <w:bookmarkEnd w:id="232"/>
      <w:bookmarkEnd w:id="233"/>
      <w:bookmarkEnd w:id="234"/>
      <w:bookmarkEnd w:id="235"/>
    </w:p>
    <w:p w:rsidR="009569C7" w:rsidRPr="00EC4FA2" w:rsidRDefault="00A834F1" w:rsidP="009569C7">
      <w:pPr>
        <w:pStyle w:val="Baseparagraphnumbered"/>
        <w:tabs>
          <w:tab w:val="left" w:pos="851"/>
        </w:tabs>
        <w:ind w:left="709"/>
      </w:pPr>
      <w:r>
        <w:t>Az eredménnyel szemben valós értéken értékeltnek megjelölt pénzügyi eszközök és kötelezettségek nyereségét és veszteségét az instrumentum típusa szerint kell részletezni. Az intézményeknek a nettó realizált és nem realizált nyereséget vagy veszteséget kell megadniuk, és meg kell adni a pénzügyi kötelezettségek hitelkockázat (a hitelfelvevő vagy a kibocsátó saját hitelkockázata) változásából származó valósérték-változásának összegét az időszak alatt, amennyiben a saját hitelkockázat nem kerül feltüntetésre az egyéb átfogó jövedelemben.</w:t>
      </w:r>
    </w:p>
    <w:p w:rsidR="009569C7" w:rsidRPr="00EC4FA2" w:rsidRDefault="00A834F1" w:rsidP="009569C7">
      <w:pPr>
        <w:pStyle w:val="Baseparagraphnumbered"/>
      </w:pPr>
      <w:r>
        <w:lastRenderedPageBreak/>
        <w:t xml:space="preserve">Amennyiben egy valós értéken értékelt </w:t>
      </w:r>
      <w:proofErr w:type="spellStart"/>
      <w:r>
        <w:t>hitelderivatívát</w:t>
      </w:r>
      <w:proofErr w:type="spellEnd"/>
      <w:r>
        <w:t xml:space="preserve"> egy – az adott célból eredménnyel szemben valós értéken megjelölt – pénzügyi instrumentum egészével vagy egy részével szembeni hitelkockázat kezeléséhez használnak fel, a pénzügyi instrumentum megjelöléskori nyereségét vagy veszteségét az „ebből: fedezeti célból az eredménnyel szemben valós értéken értékeltnek megjelölt pénzügyi eszközök és kötelezettségek megjelöléskori nyeresége vagy (–) vesztesége, nettó” tételben kell feltüntetni. Az e pénzügyi instrumentumokon a későbbiekben képződő valósérték-nyereséget vagy </w:t>
      </w:r>
      <w:proofErr w:type="spellStart"/>
      <w:r>
        <w:t>-veszteséget</w:t>
      </w:r>
      <w:proofErr w:type="spellEnd"/>
      <w:r>
        <w:t xml:space="preserve"> az „ebből: fedezeti célból az eredménnyel szemben valós értéken értékeltnek megjelölt pénzügyi eszközök és kötelezettségek megjelölést követő nyeresége vagy (–) vesztesége, nettó” tételben kell feltüntetni.</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524094058"/>
      <w:r>
        <w:t>Fedezeti elszámolásokból eredő nyereségek vagy veszteségek (16.6.)</w:t>
      </w:r>
      <w:bookmarkEnd w:id="236"/>
      <w:bookmarkEnd w:id="237"/>
      <w:bookmarkEnd w:id="238"/>
      <w:bookmarkEnd w:id="239"/>
    </w:p>
    <w:p w:rsidR="009569C7" w:rsidRPr="00EC4FA2" w:rsidRDefault="00A834F1" w:rsidP="009569C7">
      <w:pPr>
        <w:pStyle w:val="Baseparagraphnumbered"/>
      </w:pPr>
      <w:r>
        <w:t xml:space="preserve">A fedezeti elszámolásokból eredő valamennyi nyereséget vagy veszteséget – a kamatbevétel vagy </w:t>
      </w:r>
      <w:proofErr w:type="spellStart"/>
      <w:r>
        <w:t>-kamatráfordítás</w:t>
      </w:r>
      <w:proofErr w:type="spellEnd"/>
      <w:r>
        <w:t xml:space="preserve"> kivételével tiszta ár használata esetén – a fedezeti elszámolás típusa szerint kell részletezni: valósérték-fedezeti ügyletek, cash flow-fedezeti ügyletek és külföldi érdekeltségekbe történt nettó befektetések fedezeti ügyletei. A valósérték-fedezeti ügyletekhez kapcsolódó nyereségeket és veszteségeket a fedezeti instrumentum és a fedezett tétel szerint kell részletezni. A fedezeti instrumentumokból eredő nyereség és veszteség nem tartalmazza a fedezeti instrumentumok olyan elemeihez kapcsolódó nyereséget vagy veszteséget, amelyek nem fedezeti instrumentumként megjelöltek az IFRS 9 6.2.4. bekezdésének megfelelően. Ezeket a nem megjelölt fedezeti instrumentumokat e rész 60. bekezdésének megfelelően kell feltüntetni. A fedezeti elszámolásokból eredő nyereségek vagy veszteségek tartalmazzák az ellentétes kockázati pozíciójú tételcsoportok fedezetén (nettó pozíció fedezete) képződött nyereségeket és veszteségeket is. </w:t>
      </w:r>
    </w:p>
    <w:p w:rsidR="009569C7" w:rsidRPr="00EC4FA2" w:rsidRDefault="00A834F1" w:rsidP="009569C7">
      <w:pPr>
        <w:pStyle w:val="Baseparagraphnumbered"/>
      </w:pPr>
      <w:r>
        <w:t>A „Fedezett tétel fedezett kockázatnak tulajdonítható valósérték-változásai” tartalmazzák az olyan fedezett tételekből eredő nyereségeket és veszteségeket is, mely tételek egyéb átfogó jövedelemmel szemben valós értéken értékelt hitelviszonyt megtestesítő instrumentumok az IFRS 9 4.1.2A. bekezdésének megfelelően [az IFRS 9 6.5.8. bekezdése].</w:t>
      </w:r>
    </w:p>
    <w:p w:rsidR="009569C7" w:rsidRPr="00EC4FA2" w:rsidRDefault="00A834F1" w:rsidP="009569C7">
      <w:pPr>
        <w:pStyle w:val="Baseparagraphnumbered"/>
      </w:pPr>
      <w:r>
        <w:t>A BAD alapján kidolgozott nemzeti GAAP szerinti elszámolás esetén az e táblában előírt, fedezettípusok szerinti lebontást olyan mértékben kell feltüntetni, amennyire az megfelel az alkalmazandó számviteli előírásoknak.</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524094059"/>
      <w:r>
        <w:rPr>
          <w:caps/>
        </w:rPr>
        <w:t>N</w:t>
      </w:r>
      <w:r>
        <w:t>em pénzügyi eszközök értékvesztése (16.7.)</w:t>
      </w:r>
      <w:bookmarkEnd w:id="240"/>
      <w:bookmarkEnd w:id="241"/>
      <w:bookmarkEnd w:id="242"/>
      <w:bookmarkEnd w:id="243"/>
    </w:p>
    <w:p w:rsidR="009569C7" w:rsidRPr="00EC4FA2" w:rsidRDefault="00A834F1" w:rsidP="009569C7">
      <w:pPr>
        <w:pStyle w:val="Baseparagraphnumbered"/>
        <w:tabs>
          <w:tab w:val="left" w:pos="851"/>
        </w:tabs>
        <w:ind w:left="709"/>
      </w:pPr>
      <w:r>
        <w:t>„Növekedés”</w:t>
      </w:r>
      <w:proofErr w:type="spellStart"/>
      <w:r>
        <w:t>-t</w:t>
      </w:r>
      <w:proofErr w:type="spellEnd"/>
      <w:r>
        <w:t xml:space="preserve"> akkor kell megadni, ha a számviteli portfólió vagy az eszközök fő kategóriája tekintetében az időszakra vonatkozó értékvesztés becslése nettó költségek megjelenítését eredményezi. „Visszaírás”</w:t>
      </w:r>
      <w:proofErr w:type="spellStart"/>
      <w:r>
        <w:t>-t</w:t>
      </w:r>
      <w:proofErr w:type="spellEnd"/>
      <w:r>
        <w:t xml:space="preserve"> akkor kell megadni, ha a számviteli portfólió vagy az eszközök fő kategóriája tekintetében az időszakra vonatkozó értékvesztés becslése nettó bevételek megjelenítését eredményezi.</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524094060"/>
      <w:r>
        <w:lastRenderedPageBreak/>
        <w:t>A konszolidáció számviteli és CRR szerinti körének egyeztetése (17.)</w:t>
      </w:r>
      <w:bookmarkEnd w:id="244"/>
      <w:bookmarkEnd w:id="245"/>
      <w:bookmarkEnd w:id="246"/>
      <w:bookmarkEnd w:id="247"/>
    </w:p>
    <w:p w:rsidR="009569C7" w:rsidRPr="00EC4FA2" w:rsidRDefault="00A834F1" w:rsidP="009569C7">
      <w:pPr>
        <w:pStyle w:val="Baseparagraphnumbered"/>
        <w:tabs>
          <w:tab w:val="left" w:pos="851"/>
        </w:tabs>
        <w:ind w:left="709"/>
      </w:pPr>
      <w:r>
        <w:t>„A konszolidáció számviteli köre” tartalmazza az eszközök, kötelezettségek és a saját tőke könyv szerinti értékét, valamint a mérlegen kívüli kitettségek névértékeit a konszolidáció számviteli hatókörének alkalmazásával; beleértve az olyan leányvállalatok konszolidációba történő bevonását is, amelyek biztosítók vagy nem pénzügyi vállalatok. Az intézmények a leányvállalatokat, közös vállalkozásokat, valamint társult vállalkozásokat a pénzügyi kimutatásaikban használt módszerrel számolják el.</w:t>
      </w:r>
    </w:p>
    <w:p w:rsidR="009569C7" w:rsidRPr="00EC4FA2" w:rsidRDefault="00A834F1" w:rsidP="009569C7">
      <w:pPr>
        <w:pStyle w:val="Baseparagraphnumbered"/>
        <w:tabs>
          <w:tab w:val="left" w:pos="851"/>
        </w:tabs>
        <w:ind w:left="709"/>
      </w:pPr>
      <w:r>
        <w:t xml:space="preserve">Ebben a táblában a „Leányvállalatokba, közös vállalkozásokba, és társult vállalkozásokba, történt befektetések” tétel nem tartalmazza a leányvállalatokat, mivel a konszolidáció számviteli körével összhangban az összes leányvállalat teljes körűen konszolidálásra kerül. </w:t>
      </w:r>
    </w:p>
    <w:p w:rsidR="009569C7" w:rsidRPr="00EC4FA2" w:rsidRDefault="00A834F1" w:rsidP="009569C7">
      <w:pPr>
        <w:pStyle w:val="Baseparagraphnumbered"/>
        <w:tabs>
          <w:tab w:val="left" w:pos="851"/>
        </w:tabs>
        <w:ind w:left="709"/>
      </w:pPr>
      <w:r>
        <w:t xml:space="preserve">Az „Eszközök biztosítási és viszontbiztosítási szerződések keretében” tétel tartalmazza a viszontbiztosítás keretében </w:t>
      </w:r>
      <w:proofErr w:type="spellStart"/>
      <w:r>
        <w:t>cedált</w:t>
      </w:r>
      <w:proofErr w:type="spellEnd"/>
      <w:r>
        <w:t xml:space="preserve"> eszközöket, valamint – ha van ilyen – a kibocsátott biztosítási és viszontbiztosítási szerződésekhez kapcsolódó eszközöket.</w:t>
      </w:r>
    </w:p>
    <w:p w:rsidR="009569C7" w:rsidRPr="00EC4FA2" w:rsidRDefault="00A834F1" w:rsidP="009569C7">
      <w:pPr>
        <w:pStyle w:val="Baseparagraphnumbered"/>
        <w:tabs>
          <w:tab w:val="left" w:pos="851"/>
        </w:tabs>
        <w:ind w:left="709"/>
      </w:pPr>
      <w:r>
        <w:t>A „Kötelezettségek biztosítási és viszontbiztosítási szerződések keretében” tartalmazza a kibocsátott biztosítási és viszontbiztosítási szerződések értelmében fennálló kötelezettségeket.</w:t>
      </w:r>
    </w:p>
    <w:p w:rsidR="009569C7" w:rsidRPr="00EC4FA2" w:rsidRDefault="00A834F1" w:rsidP="009569C7">
      <w:pPr>
        <w:pStyle w:val="subtitlenumbered"/>
        <w:jc w:val="both"/>
      </w:pPr>
      <w:bookmarkStart w:id="248" w:name="_Toc467855246"/>
      <w:bookmarkStart w:id="249" w:name="_Toc524094061"/>
      <w:r>
        <w:t>Nemteljesítő kitettségek (18.)</w:t>
      </w:r>
      <w:bookmarkEnd w:id="248"/>
      <w:bookmarkEnd w:id="249"/>
    </w:p>
    <w:p w:rsidR="009569C7" w:rsidRPr="00EC4FA2" w:rsidRDefault="00A834F1" w:rsidP="009569C7">
      <w:pPr>
        <w:pStyle w:val="Baseparagraphnumbered"/>
        <w:tabs>
          <w:tab w:val="left" w:pos="851"/>
        </w:tabs>
        <w:ind w:left="709"/>
      </w:pPr>
      <w:r>
        <w:t xml:space="preserve">A 18. tábla alkalmazásában </w:t>
      </w:r>
      <w:proofErr w:type="spellStart"/>
      <w:r>
        <w:t>nemteljesítő</w:t>
      </w:r>
      <w:proofErr w:type="spellEnd"/>
      <w:r>
        <w:t xml:space="preserve"> kitettségek azok, amelyek az alábbi feltételek bármelyikét teljesítik:</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több mint 90 napos késedelemben lévő lényeges kitettségek;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az adós vizsgálata alapján valószínűtlen, hogy az adós a biztosíték érvényesítése nélkül képes lesz hitelkötelezettségeinek összegét teljes egészében visszafizetni, függetlenül attól, hogy van-e késedelem, illetve a késedelmes napok számától. </w:t>
      </w:r>
    </w:p>
    <w:p w:rsidR="009569C7" w:rsidRPr="00EC4FA2" w:rsidRDefault="00A834F1" w:rsidP="009569C7">
      <w:pPr>
        <w:pStyle w:val="Baseparagraphnumbered"/>
        <w:tabs>
          <w:tab w:val="left" w:pos="851"/>
        </w:tabs>
        <w:ind w:left="709"/>
      </w:pPr>
      <w:r>
        <w:t xml:space="preserve">Ezen, </w:t>
      </w:r>
      <w:proofErr w:type="spellStart"/>
      <w:r>
        <w:t>nemteljesítő</w:t>
      </w:r>
      <w:proofErr w:type="spellEnd"/>
      <w:r>
        <w:t xml:space="preserve"> kitettségként való besorolás független valamely kitettségnek a CRR 178. cikkével összhangban szabályozási célból </w:t>
      </w:r>
      <w:proofErr w:type="spellStart"/>
      <w:r>
        <w:t>nemteljesítőként</w:t>
      </w:r>
      <w:proofErr w:type="spellEnd"/>
      <w:r>
        <w:t xml:space="preserve"> (</w:t>
      </w:r>
      <w:proofErr w:type="spellStart"/>
      <w:r>
        <w:t>defaulted</w:t>
      </w:r>
      <w:proofErr w:type="spellEnd"/>
      <w:r>
        <w:t xml:space="preserve">), illetve az alkalmazandó számviteli kerettel összhangban értékvesztettként történő besorolásától. </w:t>
      </w:r>
    </w:p>
    <w:p w:rsidR="009569C7" w:rsidRPr="00EC4FA2" w:rsidRDefault="00A834F1" w:rsidP="009569C7">
      <w:pPr>
        <w:pStyle w:val="Baseparagraphnumbered"/>
        <w:tabs>
          <w:tab w:val="left" w:pos="851"/>
        </w:tabs>
        <w:ind w:left="709"/>
      </w:pPr>
      <w:r>
        <w:t xml:space="preserve">Azon kitettségek, amelyek a CRR 178. cikkével összhangban </w:t>
      </w:r>
      <w:proofErr w:type="spellStart"/>
      <w:r>
        <w:t>nemteljesítőnek</w:t>
      </w:r>
      <w:proofErr w:type="spellEnd"/>
      <w:r>
        <w:t xml:space="preserve"> (</w:t>
      </w:r>
      <w:proofErr w:type="spellStart"/>
      <w:r>
        <w:t>defaulted</w:t>
      </w:r>
      <w:proofErr w:type="spellEnd"/>
      <w:r>
        <w:t xml:space="preserve">) vagy az alkalmazandó számviteli kerettel összhangban értékvesztettnek minősülnek, minden esetben </w:t>
      </w:r>
      <w:proofErr w:type="spellStart"/>
      <w:r>
        <w:t>nemteljesítő</w:t>
      </w:r>
      <w:proofErr w:type="spellEnd"/>
      <w:r>
        <w:t xml:space="preserve"> kitettségnek tekintendők. Az IFRS szerinti elszámolás esetén a 18. tábla alkalmazásában az értékvesztett kitettségek azok, amelyekről megállapításra került, hogy értékvesztettek (3. szakasz), ideértve a vásárolt vagy keletkeztetett értékvesztett eszközöket. A 3. szakasztól eltérő értékvesztési szakaszokhoz tartozó kitettségek akkor tekintendők </w:t>
      </w:r>
      <w:proofErr w:type="spellStart"/>
      <w:r>
        <w:t>nemteljesítő</w:t>
      </w:r>
      <w:proofErr w:type="spellEnd"/>
      <w:r>
        <w:t xml:space="preserve"> kitettségnek, ha teljesítik a </w:t>
      </w:r>
      <w:proofErr w:type="spellStart"/>
      <w:r>
        <w:t>nemteljesítő</w:t>
      </w:r>
      <w:proofErr w:type="spellEnd"/>
      <w:r>
        <w:t xml:space="preserve"> kitettséggé minősítés feltételeit. </w:t>
      </w:r>
    </w:p>
    <w:p w:rsidR="009569C7" w:rsidRPr="00EC4FA2" w:rsidRDefault="00A834F1" w:rsidP="009569C7">
      <w:pPr>
        <w:pStyle w:val="Baseparagraphnumbered"/>
        <w:tabs>
          <w:tab w:val="left" w:pos="851"/>
        </w:tabs>
        <w:ind w:left="709"/>
      </w:pPr>
      <w:r>
        <w:lastRenderedPageBreak/>
        <w:t>A kitettségeket teljes összegükön, a biztosítékok figyelembevétele nélkül kell besorolni. A lényegességet a CRR 178. cikkével összhangban kell értékelni.</w:t>
      </w:r>
    </w:p>
    <w:p w:rsidR="009569C7" w:rsidRPr="00EC4FA2" w:rsidRDefault="00A834F1" w:rsidP="009569C7">
      <w:pPr>
        <w:pStyle w:val="Baseparagraphnumbered"/>
        <w:tabs>
          <w:tab w:val="left" w:pos="851"/>
        </w:tabs>
        <w:ind w:left="709"/>
      </w:pPr>
      <w:r>
        <w:t xml:space="preserve">A 18. tábla alkalmazásában „kitettség” az összes hitelviszonyt megtestesítő instrumentum (hitelviszonyt megtestesítő értékpapírok, valamint hitelek és előlegek, amelyek tartalmazzák a központi bankokkal szembeni számlaköveteléseket és egyéb látra szóló betéteket is) és valamennyi mérlegen kívüli kitettség, a kereskedési céllal tartott kitettségeket kivéve. </w:t>
      </w:r>
    </w:p>
    <w:p w:rsidR="009569C7" w:rsidRPr="00EC4FA2" w:rsidRDefault="00A834F1" w:rsidP="009569C7">
      <w:pPr>
        <w:pStyle w:val="Baseparagraphnumbered"/>
        <w:tabs>
          <w:tab w:val="left" w:pos="851"/>
        </w:tabs>
        <w:ind w:left="709"/>
      </w:pPr>
      <w:r>
        <w:t xml:space="preserve">A hitelviszonyt megtestesítő instrumentumokat a következő számviteli portfóliókban kell szerepeltetni: a) bekerülési értéken vagy amortizált bekerülési értéken értékelt hitelviszonyt megtestesítő instrumentumok, b) egyéb átfogó jövedelemmel vagy saját tőkével szemben valós értéken értékelt, értékvesztés-elszámolási kötelezettség alá tartozó hitelviszonyt megtestesítő instrumentumok, és c) szigorú </w:t>
      </w:r>
      <w:proofErr w:type="spellStart"/>
      <w:r>
        <w:t>LOCOM-módszer</w:t>
      </w:r>
      <w:proofErr w:type="spellEnd"/>
      <w:r>
        <w:t xml:space="preserve"> szerint, vagy az eredménnyel, illetőleg a saját tőkével szemben valós értéken értékelt, értékvesztés-elszámolási kötelezettség alá nem tartozó hitelviszonyt megtestesítő instrumentumok, e rész 233. bekezdésének megfelelően. Minden egyes kategóriát instrumentum és partner szerinti bontásban kell megadni. </w:t>
      </w:r>
    </w:p>
    <w:p w:rsidR="009569C7" w:rsidRPr="00EC4FA2" w:rsidRDefault="00A834F1" w:rsidP="009569C7">
      <w:pPr>
        <w:pStyle w:val="Baseparagraphnumbered"/>
        <w:tabs>
          <w:tab w:val="left" w:pos="851"/>
        </w:tabs>
        <w:ind w:left="709"/>
      </w:pPr>
      <w:r>
        <w:t xml:space="preserve">Az IFRS és a BAD alapján kidolgozott vonatkozó nemzeti GAAP értelmében a mérlegen kívüli kitettségek az alábbi visszavonható és visszavonhatatlan tételeket foglalják magukban: </w:t>
      </w:r>
    </w:p>
    <w:p w:rsidR="009569C7" w:rsidRPr="00EC4FA2" w:rsidRDefault="00A834F1" w:rsidP="009569C7">
      <w:pPr>
        <w:pStyle w:val="Text1"/>
        <w:numPr>
          <w:ilvl w:val="1"/>
          <w:numId w:val="40"/>
        </w:numPr>
        <w:ind w:left="1134" w:hanging="425"/>
      </w:pPr>
      <w:r>
        <w:t>adott hitelnyújtási elkötelezettségek;</w:t>
      </w:r>
    </w:p>
    <w:p w:rsidR="009569C7" w:rsidRPr="00EC4FA2" w:rsidRDefault="00A834F1" w:rsidP="009569C7">
      <w:pPr>
        <w:pStyle w:val="Text1"/>
        <w:numPr>
          <w:ilvl w:val="1"/>
          <w:numId w:val="40"/>
        </w:numPr>
        <w:ind w:left="1134" w:hanging="425"/>
      </w:pPr>
      <w:r>
        <w:t>adott pénzügyi garanciavállalások;</w:t>
      </w:r>
    </w:p>
    <w:p w:rsidR="009569C7" w:rsidRPr="00EC4FA2" w:rsidRDefault="00A834F1" w:rsidP="009569C7">
      <w:pPr>
        <w:pStyle w:val="Text1"/>
        <w:numPr>
          <w:ilvl w:val="1"/>
          <w:numId w:val="40"/>
        </w:numPr>
        <w:ind w:left="1134" w:hanging="425"/>
      </w:pPr>
      <w:r>
        <w:t>egyéb adott elkötelezettségek.</w:t>
      </w:r>
    </w:p>
    <w:p w:rsidR="009569C7" w:rsidRPr="00EC4FA2" w:rsidRDefault="00A834F1" w:rsidP="009569C7">
      <w:pPr>
        <w:pStyle w:val="Baseparagraphnumbered"/>
      </w:pPr>
      <w:r>
        <w:t xml:space="preserve">Az IFRS 5 standardnak megfelelően értékesítésre tartottá minősített hitelviszonyt megtestesítő instrumentumokat külön kell feltüntetni. </w:t>
      </w:r>
    </w:p>
    <w:p w:rsidR="009569C7" w:rsidRPr="00EC4FA2" w:rsidRDefault="00A834F1" w:rsidP="009569C7">
      <w:pPr>
        <w:pStyle w:val="Baseparagraphnumbered"/>
      </w:pPr>
      <w:r>
        <w:t>A 18. táblában a hitelviszonyt megtestesítő instrumentumok vonatkozásában a „bruttó könyv szerinti érték”</w:t>
      </w:r>
      <w:proofErr w:type="spellStart"/>
      <w:r>
        <w:t>-et</w:t>
      </w:r>
      <w:proofErr w:type="spellEnd"/>
      <w:r>
        <w:t xml:space="preserve"> az e melléklet 1. részének 34. bekezdésében meghatározottak szerint kell megadni. A mérlegen kívüli kitettségek tekintetében az e melléklet jelen részének 118. bekezdésében meghatározott névértéket kell megadni.</w:t>
      </w:r>
    </w:p>
    <w:p w:rsidR="009569C7" w:rsidRPr="00EC4FA2" w:rsidRDefault="00A834F1" w:rsidP="009569C7">
      <w:pPr>
        <w:pStyle w:val="Baseparagraphnumbered"/>
      </w:pPr>
      <w:r>
        <w:t>A 18. tábla alkalmazásában valamely kitettség „késedelmes”, ha teljesíti az e rész 96. bekezdésében meghatározott feltételeket.</w:t>
      </w:r>
    </w:p>
    <w:p w:rsidR="009569C7" w:rsidRPr="00EC4FA2" w:rsidRDefault="00A834F1" w:rsidP="009569C7">
      <w:pPr>
        <w:pStyle w:val="Baseparagraphnumbered"/>
        <w:tabs>
          <w:tab w:val="left" w:pos="851"/>
        </w:tabs>
        <w:ind w:left="709"/>
      </w:pPr>
      <w:r>
        <w:t xml:space="preserve"> A 18. tábla alkalmazásában „adós” a CRR 178. cikke értelmében vett ügyfél.</w:t>
      </w:r>
    </w:p>
    <w:p w:rsidR="009569C7" w:rsidRPr="00EC4FA2" w:rsidRDefault="00A834F1" w:rsidP="009569C7">
      <w:pPr>
        <w:pStyle w:val="Baseparagraphnumbered"/>
        <w:tabs>
          <w:tab w:val="left" w:pos="851"/>
        </w:tabs>
        <w:ind w:left="709"/>
      </w:pPr>
      <w:r>
        <w:t xml:space="preserve"> Valamely elkötelezettség névértékéig </w:t>
      </w:r>
      <w:proofErr w:type="spellStart"/>
      <w:r>
        <w:t>nemteljesítő</w:t>
      </w:r>
      <w:proofErr w:type="spellEnd"/>
      <w:r>
        <w:t xml:space="preserve"> kitettségnek tekintendő, ha lehívásakor vagy egyéb felhasználásakor olyan kitettséghez vezetne, amely esetében fennáll annak kockázata, hogy a biztosíték érvényesítése nélkül az nem kerül teljes egészében visszafizetésre. </w:t>
      </w:r>
    </w:p>
    <w:p w:rsidR="009569C7" w:rsidRPr="00EC4FA2" w:rsidRDefault="00A834F1" w:rsidP="009569C7">
      <w:pPr>
        <w:pStyle w:val="Baseparagraphnumbered"/>
        <w:tabs>
          <w:tab w:val="left" w:pos="851"/>
        </w:tabs>
        <w:ind w:left="709"/>
      </w:pPr>
      <w:r>
        <w:t xml:space="preserve"> Az adott pénzügyi garanciavállalások névértékükig </w:t>
      </w:r>
      <w:proofErr w:type="spellStart"/>
      <w:r>
        <w:t>nemteljesítő</w:t>
      </w:r>
      <w:proofErr w:type="spellEnd"/>
      <w:r>
        <w:t xml:space="preserve"> kitettségnek tekintendők, ha fennáll annak a kockázata, hogy a garantált fél lehívja a </w:t>
      </w:r>
      <w:r>
        <w:lastRenderedPageBreak/>
        <w:t xml:space="preserve">pénzügyi garanciát, ideértve különösen azokat az eseteket, amikor az alapul szolgáló garantált kitettség megfelel a </w:t>
      </w:r>
      <w:proofErr w:type="spellStart"/>
      <w:r>
        <w:t>nemteljesítővé</w:t>
      </w:r>
      <w:proofErr w:type="spellEnd"/>
      <w:r>
        <w:t xml:space="preserve"> minősítés 213. bekezdésben említett feltételeinek. Amennyiben a garantált fél késedelmes a pénzügyi garanciaszerződés esedékes összegével, az adatszolgáltató intézménynek meg kell vizsgálnia, hogy az így keletkező követelés teljesíti-e a </w:t>
      </w:r>
      <w:proofErr w:type="spellStart"/>
      <w:r>
        <w:t>nemteljesítővé</w:t>
      </w:r>
      <w:proofErr w:type="spellEnd"/>
      <w:r>
        <w:t xml:space="preserve"> minősítés feltételeit.</w:t>
      </w:r>
    </w:p>
    <w:p w:rsidR="009569C7" w:rsidRPr="00EC4FA2" w:rsidRDefault="00A834F1" w:rsidP="009569C7">
      <w:pPr>
        <w:pStyle w:val="Baseparagraphnumbered"/>
        <w:tabs>
          <w:tab w:val="left" w:pos="851"/>
        </w:tabs>
        <w:ind w:left="709"/>
      </w:pPr>
      <w:r>
        <w:t xml:space="preserve"> A 213. bekezdéssel összhangban a </w:t>
      </w:r>
      <w:proofErr w:type="spellStart"/>
      <w:r>
        <w:t>nemteljesítőként</w:t>
      </w:r>
      <w:proofErr w:type="spellEnd"/>
      <w:r>
        <w:t xml:space="preserve"> besorolt kitettségeket vagy egyedi alapon (ügyletalapon) vagy egy adott adós teljes kitettsége tekintetében (ügyfélalapon) kell </w:t>
      </w:r>
      <w:proofErr w:type="spellStart"/>
      <w:r>
        <w:t>nemteljesítőként</w:t>
      </w:r>
      <w:proofErr w:type="spellEnd"/>
      <w:r>
        <w:t xml:space="preserve"> besorolni. Az egyedi alapon vagy egy adott adós tekintetében </w:t>
      </w:r>
      <w:proofErr w:type="spellStart"/>
      <w:r>
        <w:t>nemteljesítő</w:t>
      </w:r>
      <w:proofErr w:type="spellEnd"/>
      <w:r>
        <w:t xml:space="preserve"> kitettségként történő besoroláshoz a </w:t>
      </w:r>
      <w:proofErr w:type="spellStart"/>
      <w:r>
        <w:t>nemteljesítő</w:t>
      </w:r>
      <w:proofErr w:type="spellEnd"/>
      <w:r>
        <w:t xml:space="preserve"> kitettségek különböző típusaira az alábbi besorolási módszereket kell alkalmazni: </w:t>
      </w:r>
    </w:p>
    <w:p w:rsidR="009569C7" w:rsidRPr="00EC4FA2" w:rsidRDefault="00A834F1" w:rsidP="009569C7">
      <w:pPr>
        <w:pStyle w:val="Text1"/>
        <w:numPr>
          <w:ilvl w:val="2"/>
          <w:numId w:val="40"/>
        </w:numPr>
        <w:ind w:left="1134" w:hanging="425"/>
      </w:pPr>
      <w:r>
        <w:t xml:space="preserve">a CRR 178. cikkével összhangban </w:t>
      </w:r>
      <w:proofErr w:type="spellStart"/>
      <w:r>
        <w:t>nemteljesítőnek</w:t>
      </w:r>
      <w:proofErr w:type="spellEnd"/>
      <w:r>
        <w:t xml:space="preserve"> (</w:t>
      </w:r>
      <w:proofErr w:type="spellStart"/>
      <w:r>
        <w:t>defaulted</w:t>
      </w:r>
      <w:proofErr w:type="spellEnd"/>
      <w:r>
        <w:t xml:space="preserve">) minősített </w:t>
      </w:r>
      <w:proofErr w:type="spellStart"/>
      <w:r>
        <w:t>nemteljesítő</w:t>
      </w:r>
      <w:proofErr w:type="spellEnd"/>
      <w:r>
        <w:t xml:space="preserve"> kitettségekre az említett cikk szerinti besorolási módszert; </w:t>
      </w:r>
    </w:p>
    <w:p w:rsidR="009569C7" w:rsidRPr="00EC4FA2" w:rsidRDefault="00A834F1" w:rsidP="009569C7">
      <w:pPr>
        <w:pStyle w:val="Text1"/>
        <w:numPr>
          <w:ilvl w:val="2"/>
          <w:numId w:val="40"/>
        </w:numPr>
        <w:ind w:left="1134" w:hanging="425"/>
      </w:pPr>
      <w:r>
        <w:t xml:space="preserve">az alkalmazandó számviteli keret értelmében értékvesztés miatt </w:t>
      </w:r>
      <w:proofErr w:type="spellStart"/>
      <w:r>
        <w:t>nemteljesítőként</w:t>
      </w:r>
      <w:proofErr w:type="spellEnd"/>
      <w:r>
        <w:t xml:space="preserve"> besorolt kitettségekre az alkalmazandó számviteli keret </w:t>
      </w:r>
      <w:proofErr w:type="spellStart"/>
      <w:r>
        <w:t>értékvesztésképzésre</w:t>
      </w:r>
      <w:proofErr w:type="spellEnd"/>
      <w:r>
        <w:t xml:space="preserve"> vonatkozó kritériumait;</w:t>
      </w:r>
    </w:p>
    <w:p w:rsidR="009569C7" w:rsidRPr="00EC4FA2" w:rsidRDefault="00A834F1" w:rsidP="009569C7">
      <w:pPr>
        <w:pStyle w:val="Text1"/>
        <w:numPr>
          <w:ilvl w:val="2"/>
          <w:numId w:val="40"/>
        </w:numPr>
        <w:ind w:left="1134" w:hanging="425"/>
      </w:pPr>
      <w:r>
        <w:t xml:space="preserve">azon egyéb </w:t>
      </w:r>
      <w:proofErr w:type="spellStart"/>
      <w:r>
        <w:t>nemteljesítő</w:t>
      </w:r>
      <w:proofErr w:type="spellEnd"/>
      <w:r>
        <w:t xml:space="preserve"> kitettségekre, amelyeket sem </w:t>
      </w:r>
      <w:proofErr w:type="spellStart"/>
      <w:r>
        <w:t>nemteljesítőként</w:t>
      </w:r>
      <w:proofErr w:type="spellEnd"/>
      <w:r>
        <w:t xml:space="preserve"> (</w:t>
      </w:r>
      <w:proofErr w:type="spellStart"/>
      <w:r>
        <w:t>defaulted</w:t>
      </w:r>
      <w:proofErr w:type="spellEnd"/>
      <w:r>
        <w:t xml:space="preserve">), sem értékvesztettként nem soroltak be, a CRR 178. cikkének </w:t>
      </w:r>
      <w:proofErr w:type="spellStart"/>
      <w:r>
        <w:t>nemteljesítő</w:t>
      </w:r>
      <w:proofErr w:type="spellEnd"/>
      <w:r>
        <w:t xml:space="preserve"> (</w:t>
      </w:r>
      <w:proofErr w:type="spellStart"/>
      <w:r>
        <w:t>defaulted</w:t>
      </w:r>
      <w:proofErr w:type="spellEnd"/>
      <w:r>
        <w:t xml:space="preserve">) kitettségekre vonatkozó rendelkezéseit. </w:t>
      </w:r>
    </w:p>
    <w:p w:rsidR="009569C7" w:rsidRPr="00EC4FA2" w:rsidRDefault="00A834F1" w:rsidP="009569C7">
      <w:pPr>
        <w:pStyle w:val="Baseparagraphnumbered"/>
        <w:tabs>
          <w:tab w:val="left" w:pos="851"/>
        </w:tabs>
        <w:ind w:left="709"/>
      </w:pPr>
      <w:r>
        <w:t xml:space="preserve"> Amennyiben valamely intézmény valamely adóssal szembeni, mérleg szerinti kitettségei 90 napon túl késedelmesek és a késedelmes kitettségek bruttó könyv szerinti értéke meghaladja az adott adóssal szembeni valamennyi mérleg szerinti kitettség bruttó könyv szerinti értékének 20 %-át, az adott adóssal szembeni valamennyi mérleg szerinti és mérlegen kívüli kitettség </w:t>
      </w:r>
      <w:proofErr w:type="spellStart"/>
      <w:r>
        <w:t>nemteljesítőnek</w:t>
      </w:r>
      <w:proofErr w:type="spellEnd"/>
      <w:r>
        <w:t xml:space="preserve"> tekintendő. Amennyiben az adós egy adóscsoporthoz tartozik, meg kell vizsgálni, hogy a csoportba tartozó más gazdálkodó egységekkel szembeni kitettségeket is </w:t>
      </w:r>
      <w:proofErr w:type="spellStart"/>
      <w:r>
        <w:t>nemteljesítőnek</w:t>
      </w:r>
      <w:proofErr w:type="spellEnd"/>
      <w:r>
        <w:t xml:space="preserve"> kell-e tekinteni, amennyiben azokat még nem minősítették értékvesztettnek vagy a CRR 178. cikkével összhangban </w:t>
      </w:r>
      <w:proofErr w:type="spellStart"/>
      <w:r>
        <w:t>nemteljesítőnek</w:t>
      </w:r>
      <w:proofErr w:type="spellEnd"/>
      <w:r>
        <w:t xml:space="preserve"> (</w:t>
      </w:r>
      <w:proofErr w:type="spellStart"/>
      <w:r>
        <w:t>defaulted</w:t>
      </w:r>
      <w:proofErr w:type="spellEnd"/>
      <w:r>
        <w:t xml:space="preserve">), az olyan kitettségek kivételével, amelyek tekintetében a követelés elismerését érintő vita egyedinek tekinthető és nem kapcsolódik az ügyfél fizetőképességéhez. </w:t>
      </w:r>
    </w:p>
    <w:p w:rsidR="009569C7" w:rsidRPr="00EC4FA2" w:rsidRDefault="00A834F1" w:rsidP="009569C7">
      <w:pPr>
        <w:pStyle w:val="Baseparagraphnumbered"/>
      </w:pPr>
      <w:r>
        <w:t xml:space="preserve">Valamely kitettség </w:t>
      </w:r>
      <w:proofErr w:type="spellStart"/>
      <w:r>
        <w:t>nemteljesítő</w:t>
      </w:r>
      <w:proofErr w:type="spellEnd"/>
      <w:r>
        <w:t xml:space="preserve"> besorolása megszűnik, ha az alábbi feltételek mindegyike teljesül:</w:t>
      </w:r>
    </w:p>
    <w:p w:rsidR="009569C7" w:rsidRPr="00EC4FA2" w:rsidRDefault="00A834F1" w:rsidP="009569C7">
      <w:pPr>
        <w:pStyle w:val="Text1"/>
        <w:numPr>
          <w:ilvl w:val="1"/>
          <w:numId w:val="41"/>
        </w:numPr>
        <w:tabs>
          <w:tab w:val="left" w:pos="1276"/>
        </w:tabs>
        <w:ind w:left="1134" w:hanging="426"/>
      </w:pPr>
      <w:r>
        <w:t xml:space="preserve">a kitettség teljesíti az adatszolgáltató intézmény által az értékvesztett és </w:t>
      </w:r>
      <w:proofErr w:type="spellStart"/>
      <w:r>
        <w:t>nemteljesítő</w:t>
      </w:r>
      <w:proofErr w:type="spellEnd"/>
      <w:r>
        <w:t xml:space="preserve"> (</w:t>
      </w:r>
      <w:proofErr w:type="spellStart"/>
      <w:r>
        <w:t>defaulted</w:t>
      </w:r>
      <w:proofErr w:type="spellEnd"/>
      <w:r>
        <w:t>) besorolás megszüntetésére az alkalmazandó számviteli kerettel, illetőleg a CRR 178. cikkével összhangban alkalmazott kilépési feltételeket;</w:t>
      </w:r>
    </w:p>
    <w:p w:rsidR="009569C7" w:rsidRPr="00EC4FA2" w:rsidRDefault="00A834F1" w:rsidP="009569C7">
      <w:pPr>
        <w:pStyle w:val="Text1"/>
        <w:numPr>
          <w:ilvl w:val="1"/>
          <w:numId w:val="41"/>
        </w:numPr>
        <w:tabs>
          <w:tab w:val="left" w:pos="1276"/>
        </w:tabs>
        <w:ind w:left="1134" w:hanging="426"/>
      </w:pPr>
      <w:r>
        <w:t>az adós helyzete olyan mértékben javult, ami valószínűvé teszi az eredeti, illetve adott esetben a módosított feltételek szerinti, teljes visszafizetést;</w:t>
      </w:r>
    </w:p>
    <w:p w:rsidR="009569C7" w:rsidRPr="00EC4FA2" w:rsidRDefault="00A834F1" w:rsidP="009569C7">
      <w:pPr>
        <w:pStyle w:val="Text1"/>
        <w:numPr>
          <w:ilvl w:val="1"/>
          <w:numId w:val="41"/>
        </w:numPr>
        <w:tabs>
          <w:tab w:val="left" w:pos="1276"/>
        </w:tabs>
        <w:ind w:left="1134" w:hanging="426"/>
      </w:pPr>
      <w:r>
        <w:t xml:space="preserve">az adósnak nincs 90 napot meghaladó fizetési késedelme. </w:t>
      </w:r>
    </w:p>
    <w:p w:rsidR="009569C7" w:rsidRPr="00EC4FA2" w:rsidRDefault="00A834F1" w:rsidP="009569C7">
      <w:pPr>
        <w:pStyle w:val="Baseparagraphnumbered"/>
      </w:pPr>
      <w:r>
        <w:t xml:space="preserve">Ha a jelen melléklet e része 228. bekezdésének a), b) és c) pontja szerinti feltételek nem teljesülnek, a kitettséget továbbra is </w:t>
      </w:r>
      <w:proofErr w:type="spellStart"/>
      <w:r>
        <w:t>nemteljesítőnek</w:t>
      </w:r>
      <w:proofErr w:type="spellEnd"/>
      <w:r>
        <w:t xml:space="preserve"> </w:t>
      </w:r>
      <w:r>
        <w:lastRenderedPageBreak/>
        <w:t xml:space="preserve">kell tekinteni, akkor is, ha a kitettség teljesíti az adatszolgáltató intézmény által az értékvesztett és </w:t>
      </w:r>
      <w:proofErr w:type="spellStart"/>
      <w:r>
        <w:t>nemteljesítő</w:t>
      </w:r>
      <w:proofErr w:type="spellEnd"/>
      <w:r>
        <w:t xml:space="preserve"> (</w:t>
      </w:r>
      <w:proofErr w:type="spellStart"/>
      <w:r>
        <w:t>defaulted</w:t>
      </w:r>
      <w:proofErr w:type="spellEnd"/>
      <w:r>
        <w:t xml:space="preserve">) besorolás megszüntetésére az alkalmazandó számviteli kerettel, illetőleg a CRR 178. cikkével összhangban alkalmazott feltételeket. </w:t>
      </w:r>
    </w:p>
    <w:p w:rsidR="009569C7" w:rsidRPr="00EC4FA2" w:rsidRDefault="00A834F1" w:rsidP="009569C7">
      <w:pPr>
        <w:pStyle w:val="Baseparagraphnumbered"/>
      </w:pPr>
      <w:r>
        <w:t xml:space="preserve">A </w:t>
      </w:r>
      <w:proofErr w:type="spellStart"/>
      <w:r>
        <w:t>nemteljesítő</w:t>
      </w:r>
      <w:proofErr w:type="spellEnd"/>
      <w:r>
        <w:t xml:space="preserve"> kitettségnek az IFRS 5 standardnak megfelelően értékesítésre tartott befektetett eszközként való besorolása nem szünteti meg a kitettség </w:t>
      </w:r>
      <w:proofErr w:type="spellStart"/>
      <w:r>
        <w:t>nemteljesítő</w:t>
      </w:r>
      <w:proofErr w:type="spellEnd"/>
      <w:r>
        <w:t xml:space="preserve"> kitettségként való besorolását.</w:t>
      </w:r>
    </w:p>
    <w:p w:rsidR="009569C7" w:rsidRPr="00EC4FA2" w:rsidRDefault="00A834F1" w:rsidP="009569C7">
      <w:pPr>
        <w:pStyle w:val="Baseparagraphnumbered"/>
        <w:tabs>
          <w:tab w:val="left" w:pos="851"/>
        </w:tabs>
        <w:ind w:left="709"/>
      </w:pPr>
      <w:r>
        <w:t xml:space="preserve"> A </w:t>
      </w:r>
      <w:proofErr w:type="spellStart"/>
      <w:r>
        <w:t>nemteljesítő</w:t>
      </w:r>
      <w:proofErr w:type="spellEnd"/>
      <w:r>
        <w:t xml:space="preserve"> kitettségre alkalmazott átstrukturálási intézkedés nem szünteti meg e kitettség </w:t>
      </w:r>
      <w:proofErr w:type="spellStart"/>
      <w:r>
        <w:t>nemteljesítő</w:t>
      </w:r>
      <w:proofErr w:type="spellEnd"/>
      <w:r>
        <w:t xml:space="preserve"> státuszát. Amennyiben átstrukturálási intézkedéssel érintett kitettségek a 262. bekezdésben említetteknek megfelelően </w:t>
      </w:r>
      <w:proofErr w:type="spellStart"/>
      <w:r>
        <w:t>nemteljesítők</w:t>
      </w:r>
      <w:proofErr w:type="spellEnd"/>
      <w:r>
        <w:t xml:space="preserve">, ezeket a kitettségeket úgy kell tekinteni, hogy </w:t>
      </w:r>
      <w:proofErr w:type="spellStart"/>
      <w:r>
        <w:t>nemteljesítő</w:t>
      </w:r>
      <w:proofErr w:type="spellEnd"/>
      <w:r>
        <w:t xml:space="preserve"> státuszuk megszűnik, ha az alábbi feltételek mindegyike teljesül:</w:t>
      </w:r>
    </w:p>
    <w:p w:rsidR="009569C7" w:rsidRPr="00EC4FA2" w:rsidRDefault="00A834F1" w:rsidP="009569C7">
      <w:pPr>
        <w:pStyle w:val="Text1"/>
        <w:numPr>
          <w:ilvl w:val="0"/>
          <w:numId w:val="51"/>
        </w:numPr>
        <w:ind w:left="1134"/>
      </w:pPr>
      <w:r>
        <w:t xml:space="preserve">az adatszolgáltató intézmény a kitettséget nem tekinti értékvesztettnek vagy </w:t>
      </w:r>
      <w:proofErr w:type="spellStart"/>
      <w:r>
        <w:t>nemteljesítőnek</w:t>
      </w:r>
      <w:proofErr w:type="spellEnd"/>
      <w:r>
        <w:t xml:space="preserve"> (</w:t>
      </w:r>
      <w:proofErr w:type="spellStart"/>
      <w:r>
        <w:t>defaulted</w:t>
      </w:r>
      <w:proofErr w:type="spellEnd"/>
      <w:r>
        <w:t xml:space="preserve">) az alkalmazandó számviteli keret, illetőleg a CRR 178. cikke szerint; </w:t>
      </w:r>
    </w:p>
    <w:p w:rsidR="009569C7" w:rsidRPr="00EC4FA2" w:rsidRDefault="00A834F1" w:rsidP="009569C7">
      <w:pPr>
        <w:pStyle w:val="Text1"/>
        <w:numPr>
          <w:ilvl w:val="0"/>
          <w:numId w:val="51"/>
        </w:numPr>
        <w:ind w:left="1134"/>
      </w:pPr>
      <w:r>
        <w:t xml:space="preserve">egy év telt el az átstrukturálási intézkedések alkalmazásának időpontja és a kitettségek </w:t>
      </w:r>
      <w:proofErr w:type="spellStart"/>
      <w:r>
        <w:t>nemteljesítőként</w:t>
      </w:r>
      <w:proofErr w:type="spellEnd"/>
      <w:r>
        <w:t xml:space="preserve"> való besorolásának időpontja közül a későbbitől számítva;</w:t>
      </w:r>
    </w:p>
    <w:p w:rsidR="009569C7" w:rsidRPr="00EC4FA2" w:rsidRDefault="00A834F1" w:rsidP="009569C7">
      <w:pPr>
        <w:pStyle w:val="Text1"/>
        <w:numPr>
          <w:ilvl w:val="0"/>
          <w:numId w:val="51"/>
        </w:numPr>
        <w:ind w:left="1134"/>
      </w:pPr>
      <w:r>
        <w:t xml:space="preserve">az átstrukturálást követően nem merült fel késedelem, illetve nem állnak fenn aggályok a kitettség átstrukturálás utáni feltételekkel összhangban történő, teljes visszafizetésével kapcsolatban. Az intézmény az adós pénzügyi helyzetének vizsgálatát követően állapítja meg, hogy állnak-e fenn aggályok. Úgy tekinthető, hogy nem állnak fenn aggályok, ha az adós az átstrukturálás utáni feltételekkel összhangban lévő rendszeres fizetései révén visszafizette a korábban késedelmes összeg egészét (ha volt késedelmes összeg), illetve az átstrukturálás keretében leírt összeget (ha nem volt késedelmes összeg) vagy az adós más módon bizonyította, hogy képes megfelelni az átstrukturálás utáni feltételeknek. </w:t>
      </w:r>
    </w:p>
    <w:p w:rsidR="009569C7" w:rsidRPr="00EC4FA2" w:rsidRDefault="00A834F1" w:rsidP="009569C7">
      <w:pPr>
        <w:pStyle w:val="Text1"/>
        <w:ind w:left="709" w:firstLine="1"/>
      </w:pPr>
      <w:r>
        <w:t xml:space="preserve">Az a), b) és c) pontban említett speciális kivezetési feltételeket az adatszolgáltató intézmény által az alkalmazandó számviteli kerettel, illetve a CRR 178. cikkével összhangban alkalmazott értékvesztési és </w:t>
      </w:r>
      <w:proofErr w:type="spellStart"/>
      <w:r>
        <w:t>nemteljesítő</w:t>
      </w:r>
      <w:proofErr w:type="spellEnd"/>
      <w:r>
        <w:t xml:space="preserve"> (</w:t>
      </w:r>
      <w:proofErr w:type="spellStart"/>
      <w:r>
        <w:t>defaulted</w:t>
      </w:r>
      <w:proofErr w:type="spellEnd"/>
      <w:r>
        <w:t>) besorolás megszüntetésére vonatkozó feltételeken felül kell alkalmazni.</w:t>
      </w:r>
    </w:p>
    <w:p w:rsidR="009569C7" w:rsidRPr="00EC4FA2" w:rsidRDefault="00A834F1" w:rsidP="009569C7">
      <w:pPr>
        <w:pStyle w:val="Baseparagraphnumbered"/>
        <w:tabs>
          <w:tab w:val="left" w:pos="851"/>
        </w:tabs>
        <w:ind w:left="709"/>
      </w:pPr>
      <w:r>
        <w:t xml:space="preserve">Amennyiben az e melléklet jelen részének 231. bekezdésében említett feltételek a szóban forgó bekezdés b) pontjában meghatározott egy éves időszak végén nem teljesülnek, a kitettséget továbbra is átstrukturált </w:t>
      </w:r>
      <w:proofErr w:type="spellStart"/>
      <w:r>
        <w:t>nemteljesítő</w:t>
      </w:r>
      <w:proofErr w:type="spellEnd"/>
      <w:r>
        <w:t xml:space="preserve"> kitettségnek kell tekinteni. A feltételeket legalább negyedévente meg kell vizsgálni.</w:t>
      </w:r>
    </w:p>
    <w:p w:rsidR="009569C7" w:rsidRPr="00EC4FA2" w:rsidRDefault="00A834F1" w:rsidP="00152278">
      <w:pPr>
        <w:pStyle w:val="Baseparagraphnumbered"/>
      </w:pPr>
      <w:r>
        <w:t xml:space="preserve">Az e melléklet 1. részének 15. bekezdésében felsorolt, IFRS szerinti, továbbá az e melléklet 1. részének 16. bekezdésében felsorolt, a BAD alapján kidolgozott vonatkozó nemzeti GAAP szerinti számviteli portfóliókat a 18. táblában az alábbiaknak megfelelően kell jelenteni: </w:t>
      </w:r>
    </w:p>
    <w:p w:rsidR="009569C7" w:rsidRPr="00EC4FA2" w:rsidRDefault="00A834F1" w:rsidP="009569C7">
      <w:pPr>
        <w:pStyle w:val="Baseparagraphnumbered"/>
        <w:numPr>
          <w:ilvl w:val="0"/>
          <w:numId w:val="0"/>
        </w:numPr>
        <w:ind w:left="1134" w:hanging="425"/>
      </w:pPr>
      <w:r>
        <w:lastRenderedPageBreak/>
        <w:t>a) „</w:t>
      </w:r>
      <w:proofErr w:type="spellStart"/>
      <w:r>
        <w:t>A</w:t>
      </w:r>
      <w:proofErr w:type="spellEnd"/>
      <w:r>
        <w:t xml:space="preserve"> bekerülési értéken vagy amortizált bekerülési értéken értékelt hitelviszonyt megtestesítő instrumentumok” a következők valamelyikéhez tartozó hitelviszonyt megtestesítő instrumentumokat tartalmazzák:</w:t>
      </w:r>
    </w:p>
    <w:p w:rsidR="009569C7" w:rsidRPr="00EC4FA2" w:rsidRDefault="00A834F1" w:rsidP="009569C7">
      <w:pPr>
        <w:pStyle w:val="Baseparagraphnumbered"/>
        <w:numPr>
          <w:ilvl w:val="0"/>
          <w:numId w:val="0"/>
        </w:numPr>
        <w:ind w:left="1440"/>
      </w:pPr>
      <w:r>
        <w:t>i. „amortizált bekerülési értéken értékelt pénzügyi eszközök” (IFRS);</w:t>
      </w:r>
    </w:p>
    <w:p w:rsidR="009569C7" w:rsidRPr="00EC4FA2" w:rsidRDefault="00A834F1" w:rsidP="009569C7">
      <w:pPr>
        <w:pStyle w:val="Baseparagraphnumbered"/>
        <w:numPr>
          <w:ilvl w:val="0"/>
          <w:numId w:val="0"/>
        </w:numPr>
        <w:ind w:left="1440"/>
      </w:pPr>
      <w:proofErr w:type="spellStart"/>
      <w:r>
        <w:t>ii</w:t>
      </w:r>
      <w:proofErr w:type="spellEnd"/>
      <w:r>
        <w:t>. „</w:t>
      </w:r>
      <w:proofErr w:type="spellStart"/>
      <w:r>
        <w:t>Bekerülésiérték-módszerrel</w:t>
      </w:r>
      <w:proofErr w:type="spellEnd"/>
      <w:r>
        <w:t xml:space="preserve"> értékelt nem kereskedési célú, nem származtatott pénzügyi eszközök”, ideértve a mérsékelt </w:t>
      </w:r>
      <w:proofErr w:type="spellStart"/>
      <w:r>
        <w:t>LOCOM-módszer</w:t>
      </w:r>
      <w:proofErr w:type="spellEnd"/>
      <w:r>
        <w:t xml:space="preserve"> szerint értékelt hitelviszonyt megtestesítő instrumentumokat (a BAD alapján kidolgozott nemzeti GAAP);</w:t>
      </w:r>
    </w:p>
    <w:p w:rsidR="009569C7" w:rsidRPr="00EC4FA2" w:rsidRDefault="00A834F1" w:rsidP="009569C7">
      <w:pPr>
        <w:pStyle w:val="Baseparagraphnumbered"/>
        <w:numPr>
          <w:ilvl w:val="0"/>
          <w:numId w:val="0"/>
        </w:numPr>
        <w:ind w:left="1440"/>
      </w:pPr>
      <w:proofErr w:type="spellStart"/>
      <w:r>
        <w:t>iii</w:t>
      </w:r>
      <w:proofErr w:type="spellEnd"/>
      <w:r>
        <w:t xml:space="preserve">. „Egyéb nem kereskedési célú, nem származtatott pénzügyi eszközök”, kivéve a szigorú </w:t>
      </w:r>
      <w:proofErr w:type="spellStart"/>
      <w:r>
        <w:t>LOCOM-módszer</w:t>
      </w:r>
      <w:proofErr w:type="spellEnd"/>
      <w:r>
        <w:t xml:space="preserve"> szerint értékelt hitelviszonyt megtestesítő instrumentumokat (a BAD alapján kidolgozott nemzeti GAAP); </w:t>
      </w:r>
    </w:p>
    <w:p w:rsidR="009569C7" w:rsidRPr="00EC4FA2" w:rsidRDefault="00A834F1" w:rsidP="009569C7">
      <w:pPr>
        <w:pStyle w:val="Baseparagraphnumbered"/>
        <w:numPr>
          <w:ilvl w:val="0"/>
          <w:numId w:val="0"/>
        </w:numPr>
        <w:ind w:left="1134" w:hanging="425"/>
      </w:pPr>
      <w:r>
        <w:t>b) „Az egyéb átfogó jövedelemmel vagy a saját tőkével szemben valós értéken értékelt, értékvesztés-elszámolási kötelezettség alá tartozó hitelviszonyt megtestesítő instrumentumok” a következők bármelyikébe tartozó hitelviszonyt megtestesítő instrumentumokat foglalják magukban:</w:t>
      </w:r>
    </w:p>
    <w:p w:rsidR="009569C7" w:rsidRPr="00EC4FA2" w:rsidRDefault="00A834F1" w:rsidP="009569C7">
      <w:pPr>
        <w:pStyle w:val="Baseparagraphnumbered"/>
        <w:numPr>
          <w:ilvl w:val="0"/>
          <w:numId w:val="0"/>
        </w:numPr>
        <w:ind w:left="1440"/>
      </w:pPr>
      <w:r>
        <w:t>i. „az egyéb átfogó jövedelemmel szemben valós értéken értékelt pénzügyi eszközök” (IFRS);</w:t>
      </w:r>
    </w:p>
    <w:p w:rsidR="009569C7" w:rsidRPr="00EC4FA2" w:rsidRDefault="00A834F1" w:rsidP="009569C7">
      <w:pPr>
        <w:pStyle w:val="Baseparagraphnumbered"/>
        <w:numPr>
          <w:ilvl w:val="0"/>
          <w:numId w:val="0"/>
        </w:numPr>
        <w:ind w:left="1440"/>
      </w:pPr>
      <w:proofErr w:type="spellStart"/>
      <w:r>
        <w:t>ii</w:t>
      </w:r>
      <w:proofErr w:type="spellEnd"/>
      <w:r>
        <w:t>. „a saját tőkével szemben valós értéken értékelt, nem kereskedési célú, nem származtatott pénzügyi eszközök”, ahol az ebbe az értékelési kategóriába besorolt instrumentumok értékvesztés-elszámolási kötelezettség hatálya alá tartozhatnak a BAD alapján kidolgozott nemzeti GAAP szerinti alkalmazandó számviteli keretnek megfelelően;</w:t>
      </w:r>
    </w:p>
    <w:p w:rsidR="009569C7" w:rsidRPr="00EC4FA2" w:rsidRDefault="00A834F1" w:rsidP="009569C7">
      <w:pPr>
        <w:pStyle w:val="Baseparagraphnumbered"/>
        <w:numPr>
          <w:ilvl w:val="0"/>
          <w:numId w:val="0"/>
        </w:numPr>
        <w:ind w:left="1134" w:hanging="425"/>
      </w:pPr>
      <w:r>
        <w:t xml:space="preserve">c) „Szigorú </w:t>
      </w:r>
      <w:proofErr w:type="spellStart"/>
      <w:r>
        <w:t>LOCOM-módszer</w:t>
      </w:r>
      <w:proofErr w:type="spellEnd"/>
      <w:r>
        <w:t xml:space="preserve"> szerint vagy az eredménnyel vagy a saját tőkével szemben valós értéken értékelt, értékvesztés-elszámolási kötelezettség alá nem tartozó hitelviszonyt megtestesítő instrumentumok” a következők bármelyikébe tartozó hitelviszonyt megtestesítő instrumentumokat foglalják magukban:</w:t>
      </w:r>
    </w:p>
    <w:p w:rsidR="009569C7" w:rsidRPr="00EC4FA2" w:rsidRDefault="00A834F1" w:rsidP="009569C7">
      <w:pPr>
        <w:pStyle w:val="Baseparagraphnumbered"/>
        <w:numPr>
          <w:ilvl w:val="0"/>
          <w:numId w:val="0"/>
        </w:numPr>
        <w:ind w:left="1418"/>
      </w:pPr>
      <w:r>
        <w:t>i. „Kötelezően az eredménnyel szemben valós értéken értékelt, nem kereskedési célú pénzügyi eszközök” (IFRS);</w:t>
      </w:r>
    </w:p>
    <w:p w:rsidR="009569C7" w:rsidRPr="00EC4FA2" w:rsidRDefault="00A834F1" w:rsidP="009569C7">
      <w:pPr>
        <w:pStyle w:val="Baseparagraphnumbered"/>
        <w:numPr>
          <w:ilvl w:val="0"/>
          <w:numId w:val="0"/>
        </w:numPr>
        <w:ind w:left="1418"/>
      </w:pPr>
      <w:proofErr w:type="spellStart"/>
      <w:r>
        <w:t>ii</w:t>
      </w:r>
      <w:proofErr w:type="spellEnd"/>
      <w:r>
        <w:t>. „Az eredménnyel szemben valós értéken értékeltnek megjelölt pénzügyi eszközök” (IFRS);</w:t>
      </w:r>
    </w:p>
    <w:p w:rsidR="009569C7" w:rsidRPr="00EC4FA2" w:rsidRDefault="00A834F1" w:rsidP="009569C7">
      <w:pPr>
        <w:pStyle w:val="Baseparagraphnumbered"/>
        <w:numPr>
          <w:ilvl w:val="0"/>
          <w:numId w:val="0"/>
        </w:numPr>
        <w:ind w:left="1418"/>
      </w:pPr>
      <w:proofErr w:type="spellStart"/>
      <w:r>
        <w:t>iii</w:t>
      </w:r>
      <w:proofErr w:type="spellEnd"/>
      <w:r>
        <w:t>. „Eredménnyel szemben valós értéken értékelt, nem kereskedési célú, nem származtatott pénzügyi eszközök” (a BAD alapján kidolgozott nemzeti GAAP);</w:t>
      </w:r>
    </w:p>
    <w:p w:rsidR="009569C7" w:rsidRPr="00EC4FA2" w:rsidRDefault="00A834F1" w:rsidP="009569C7">
      <w:pPr>
        <w:pStyle w:val="Baseparagraphnumbered"/>
        <w:numPr>
          <w:ilvl w:val="0"/>
          <w:numId w:val="0"/>
        </w:numPr>
        <w:ind w:left="1418"/>
      </w:pPr>
      <w:proofErr w:type="spellStart"/>
      <w:r>
        <w:t>iv</w:t>
      </w:r>
      <w:proofErr w:type="spellEnd"/>
      <w:r>
        <w:t xml:space="preserve">. „Egyéb nem kereskedési célú, nem származtatott pénzügyi eszközök”, ahol a hitelviszonyt megtestesítő instrumentumok a szigorú </w:t>
      </w:r>
      <w:proofErr w:type="spellStart"/>
      <w:r>
        <w:t>LOCOM-módszer</w:t>
      </w:r>
      <w:proofErr w:type="spellEnd"/>
      <w:r>
        <w:t xml:space="preserve"> szerint értékeltek (a BAD alapján kidolgozott nemzeti GAAP);</w:t>
      </w:r>
    </w:p>
    <w:p w:rsidR="009569C7" w:rsidRPr="00EC4FA2" w:rsidRDefault="00A834F1" w:rsidP="009569C7">
      <w:pPr>
        <w:pStyle w:val="Baseparagraphnumbered"/>
        <w:numPr>
          <w:ilvl w:val="0"/>
          <w:numId w:val="0"/>
        </w:numPr>
        <w:ind w:left="1418"/>
      </w:pPr>
      <w:r>
        <w:lastRenderedPageBreak/>
        <w:t>v. „A saját tőkével szemben valós értéken értékelt, nem kereskedési célú, nem származtatott pénzügyi eszközök”, ahol az ebbe az értékelési kategóriába besorolt hitelviszonyt megtestesítő instrumentumok nem tartoznak értékvesztés-elszámolási kötelezettség hatálya alá a BAD alapján kidolgozott nemzeti GAAP szerinti alkalmazandó számviteli keretnek megfelelően.</w:t>
      </w:r>
    </w:p>
    <w:p w:rsidR="009569C7" w:rsidRPr="00EC4FA2" w:rsidRDefault="00A834F1" w:rsidP="009569C7">
      <w:pPr>
        <w:pStyle w:val="Baseparagraphnumbered"/>
      </w:pPr>
      <w:r>
        <w:t>Amennyiben az IFRS vagy a BAD alapján kidolgozott vonatkozó nemzeti GAAP az elkötelezettségek eredménnyel szemben valós értéken történő megjelölését írja elő, a valós értéken történő megjelölésből és értékelésből eredő eszköz könyv szerinti értékét az „Eredménnyel szemben valós értéken értékeltnek megjelölt pénzügyi eszközök” (IFRS), vagy az „Eredménnyel szemben valós értéken értékelt, nem kereskedési célú, nem származtatott pénzügyi eszközök” (a BAD alapján kidolgozott nemzeti GAAP) tételben kell feltüntetni. Az említett megjelölésből eredő kötelezettségek könyv szerinti értékét nem kell feltüntetni az F18. táblában. Az eredménnyel szemben valós értéken értékeltként megjelölt valamennyi elkötelezettség névleges összegét a 9. táblában kell feltüntetni.</w:t>
      </w:r>
    </w:p>
    <w:p w:rsidR="009569C7" w:rsidRPr="00EC4FA2" w:rsidRDefault="00A834F1" w:rsidP="009569C7">
      <w:pPr>
        <w:pStyle w:val="Baseparagraphnumbered"/>
        <w:tabs>
          <w:tab w:val="left" w:pos="851"/>
        </w:tabs>
        <w:ind w:left="709"/>
      </w:pPr>
      <w:r>
        <w:t xml:space="preserve">A késedelmes kitettségek teljes összegét elkülönítve kell feltüntetni a kitettségek teljesítő és </w:t>
      </w:r>
      <w:proofErr w:type="spellStart"/>
      <w:r>
        <w:t>nemteljesítő</w:t>
      </w:r>
      <w:proofErr w:type="spellEnd"/>
      <w:r>
        <w:t xml:space="preserve"> kategóriáin belül az e rész 96. bekezdésében meghatározottak szerint. A 90 napot meghaladó késedelemben lévő, de a CRR 178. cikkének megfelelően nem lényeges kitettségeket a teljesítő kitettségek között, a „Késedelem &gt; 30 nap &lt;= 90 nap” tételben kell megadni.</w:t>
      </w:r>
    </w:p>
    <w:p w:rsidR="009569C7" w:rsidRPr="00EC4FA2" w:rsidRDefault="00A834F1" w:rsidP="009569C7">
      <w:pPr>
        <w:pStyle w:val="Baseparagraphnumbered"/>
        <w:tabs>
          <w:tab w:val="left" w:pos="851"/>
        </w:tabs>
        <w:ind w:left="709"/>
      </w:pPr>
      <w:r>
        <w:t xml:space="preserve">A </w:t>
      </w:r>
      <w:proofErr w:type="spellStart"/>
      <w:r>
        <w:t>nemteljesítő</w:t>
      </w:r>
      <w:proofErr w:type="spellEnd"/>
      <w:r>
        <w:t xml:space="preserve"> kitettségeket a késedelem hossza alapján meghatározott idősávok szerint részletezve kell feltüntetni. A nem késedelmes vagy 90 napot meg nem haladó késedelemben lévő, de a nem teljes visszafizetés valószínűsége miatt </w:t>
      </w:r>
      <w:proofErr w:type="spellStart"/>
      <w:r>
        <w:t>nemteljesítőként</w:t>
      </w:r>
      <w:proofErr w:type="spellEnd"/>
      <w:r>
        <w:t xml:space="preserve"> azonosított kitettségeket külön oszlopban kell feltüntetni. Azokat a kitettségeket, amelyek esetében vannak késedelmes összegek és a nem teljes visszafizetés is valószínű, a késedelmes napok számának megfelelő idősávokba kell sorolni. </w:t>
      </w:r>
    </w:p>
    <w:p w:rsidR="009569C7" w:rsidRPr="00EC4FA2" w:rsidRDefault="00A834F1" w:rsidP="009569C7">
      <w:pPr>
        <w:pStyle w:val="Baseparagraphnumbered"/>
        <w:tabs>
          <w:tab w:val="left" w:pos="851"/>
        </w:tabs>
        <w:ind w:left="709"/>
      </w:pPr>
      <w:r>
        <w:t>Az alábbi kitettségeket külön oszlopokban kell feltüntetni:</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az alkalmazandó számviteli kerettel összhangban értékvesztettnek tekintett kitettségek; az IFRS szerinti elszámolás esetén az értékvesztett eszközök összegét (3. szakasz), többek között a vásárolt vagy keletkeztetett értékvesztett eszközök összegét kell ebben az oszlopban megadni;</w:t>
      </w:r>
    </w:p>
    <w:p w:rsidR="009569C7" w:rsidRPr="00EC4FA2" w:rsidRDefault="00A834F1" w:rsidP="009569C7">
      <w:pPr>
        <w:pStyle w:val="Text1"/>
        <w:numPr>
          <w:ilvl w:val="0"/>
          <w:numId w:val="44"/>
        </w:numPr>
        <w:ind w:left="1134"/>
      </w:pPr>
      <w:r>
        <w:t xml:space="preserve">azok a kitettségek, amelyek tekintetében a CRR 178. cikkével összhangban </w:t>
      </w:r>
      <w:proofErr w:type="spellStart"/>
      <w:r>
        <w:t>nemteljesítés</w:t>
      </w:r>
      <w:proofErr w:type="spellEnd"/>
      <w:r>
        <w:t xml:space="preserve"> (</w:t>
      </w:r>
      <w:proofErr w:type="spellStart"/>
      <w:r>
        <w:t>default</w:t>
      </w:r>
      <w:proofErr w:type="spellEnd"/>
      <w:r>
        <w:t xml:space="preserve">) következett be. </w:t>
      </w:r>
    </w:p>
    <w:p w:rsidR="009569C7" w:rsidRPr="00EC4FA2" w:rsidRDefault="00A834F1" w:rsidP="009569C7">
      <w:pPr>
        <w:pStyle w:val="Baseparagraphnumbered"/>
        <w:tabs>
          <w:tab w:val="left" w:pos="851"/>
        </w:tabs>
        <w:ind w:left="709"/>
      </w:pPr>
      <w:r>
        <w:t>A „Halmozott értékvesztés, a hitelkockázat-változásból származó negatív valósérték-változás halmozott összege és céltartalékok”</w:t>
      </w:r>
      <w:proofErr w:type="spellStart"/>
      <w:r>
        <w:t>-ra</w:t>
      </w:r>
      <w:proofErr w:type="spellEnd"/>
      <w:r>
        <w:t xml:space="preserve"> vonatkozó adatokat e rész 11., 69–71., 106. és 110. bekezdésének megfelelően kell feltüntetni. </w:t>
      </w:r>
    </w:p>
    <w:p w:rsidR="009569C7" w:rsidRPr="00EC4FA2" w:rsidRDefault="00A834F1" w:rsidP="009569C7">
      <w:pPr>
        <w:pStyle w:val="Baseparagraphnumbered"/>
        <w:tabs>
          <w:tab w:val="left" w:pos="851"/>
        </w:tabs>
        <w:ind w:left="709"/>
      </w:pPr>
      <w:r>
        <w:t xml:space="preserve">A </w:t>
      </w:r>
      <w:proofErr w:type="spellStart"/>
      <w:r>
        <w:t>nemteljesítő</w:t>
      </w:r>
      <w:proofErr w:type="spellEnd"/>
      <w:r>
        <w:t xml:space="preserve"> kitettségek fedezetéül tartott biztosítékokra és kapott garanciákra vonatkozó információkat külön kell feltüntetni. A kapott </w:t>
      </w:r>
      <w:r>
        <w:lastRenderedPageBreak/>
        <w:t>biztosítékok és kapott garanciák feltüntetendő összegét e rész 172. és 174. bekezdésével összhangban kell kiszámítani. A feltüntetett biztosítékok és garanciák együttes összege nem haladhatja meg a kapcsolódó kitettség könyv szerinti értékét vagy névértékét.</w:t>
      </w:r>
    </w:p>
    <w:p w:rsidR="009569C7" w:rsidRPr="00EC4FA2" w:rsidRDefault="00A834F1" w:rsidP="009569C7">
      <w:pPr>
        <w:pStyle w:val="subtitlenumbered"/>
        <w:jc w:val="both"/>
      </w:pPr>
      <w:bookmarkStart w:id="250" w:name="_Toc467855247"/>
      <w:bookmarkStart w:id="251" w:name="_Toc524094062"/>
      <w:r>
        <w:t>Átstrukturált kitettségek (19.)</w:t>
      </w:r>
      <w:bookmarkEnd w:id="250"/>
      <w:bookmarkEnd w:id="251"/>
    </w:p>
    <w:p w:rsidR="009569C7" w:rsidRPr="00EC4FA2" w:rsidRDefault="00A834F1" w:rsidP="009569C7">
      <w:pPr>
        <w:pStyle w:val="Baseparagraphnumbered"/>
        <w:tabs>
          <w:tab w:val="left" w:pos="851"/>
        </w:tabs>
        <w:ind w:left="709"/>
      </w:pPr>
      <w:r>
        <w:t xml:space="preserve"> A 19. tábla alkalmazásában átstrukturált kitettségek az olyan kölcsönszerződések, amelyek tekintetében átstrukturálási intézkedéseket alkalmaztak. Az átstrukturálási intézkedések olyan adósnak nyújtott engedmények, akinek nehézségei vannak vagy várhatóan nehézségei lesznek pénzügyi kötelezettségeinek teljesítésével (pénzügyi nehézségek).</w:t>
      </w:r>
    </w:p>
    <w:p w:rsidR="009569C7" w:rsidRPr="00EC4FA2" w:rsidRDefault="00A834F1" w:rsidP="009569C7">
      <w:pPr>
        <w:pStyle w:val="Baseparagraphnumbered"/>
        <w:tabs>
          <w:tab w:val="left" w:pos="851"/>
        </w:tabs>
        <w:ind w:left="709"/>
      </w:pPr>
      <w:r>
        <w:t xml:space="preserve"> A 19. tábla alkalmazásában az engedmény veszteséget eredményezhet a hitelező számára és a következő esetek valamelyikére utal:</w:t>
      </w:r>
    </w:p>
    <w:p w:rsidR="009569C7" w:rsidRPr="00EC4FA2" w:rsidRDefault="00A834F1" w:rsidP="009569C7">
      <w:pPr>
        <w:pStyle w:val="Text1"/>
        <w:numPr>
          <w:ilvl w:val="1"/>
          <w:numId w:val="42"/>
        </w:numPr>
        <w:ind w:left="1134"/>
      </w:pPr>
      <w:r>
        <w:t>valamely szerződés azon korábbi kikötéseinek és feltételeinek módosítása, amelyeknek az adós pénzügyi nehézségeiből adódó, elégtelen adósságszolgálati képessége miatt várhatóan nem tud eleget tenni (problémás kölcsön), és amely módosítást nem hajtották volna végre, ha az adósnak nincsenek pénzügyi nehézségei;</w:t>
      </w:r>
    </w:p>
    <w:p w:rsidR="009569C7" w:rsidRPr="00EC4FA2" w:rsidRDefault="00A834F1" w:rsidP="009569C7">
      <w:pPr>
        <w:pStyle w:val="Text1"/>
        <w:numPr>
          <w:ilvl w:val="1"/>
          <w:numId w:val="42"/>
        </w:numPr>
        <w:ind w:left="1134"/>
      </w:pPr>
      <w:r>
        <w:t>valamely problémás kölcsönszerződés teljes vagy részleges újrafinanszírozása, amelyre nem került volna sor, ha az adósnak nincsenek pénzügyi nehézségei.</w:t>
      </w:r>
    </w:p>
    <w:p w:rsidR="009569C7" w:rsidRPr="00EC4FA2" w:rsidRDefault="00A834F1" w:rsidP="009569C7">
      <w:pPr>
        <w:pStyle w:val="Baseparagraphnumbered"/>
        <w:tabs>
          <w:tab w:val="left" w:pos="851"/>
        </w:tabs>
        <w:ind w:left="709"/>
      </w:pPr>
      <w:r>
        <w:t xml:space="preserve"> Engedménynek tekintendő legalább a következők egyike:</w:t>
      </w:r>
    </w:p>
    <w:p w:rsidR="009569C7" w:rsidRPr="00EC4FA2" w:rsidRDefault="00A834F1" w:rsidP="009569C7">
      <w:pPr>
        <w:pStyle w:val="Text1"/>
        <w:numPr>
          <w:ilvl w:val="0"/>
          <w:numId w:val="43"/>
        </w:numPr>
        <w:ind w:left="1134"/>
      </w:pPr>
      <w:r>
        <w:t>az adós javát szolgáló eltérés a szerződés módosított és korábbi feltételei között;</w:t>
      </w:r>
    </w:p>
    <w:p w:rsidR="009569C7" w:rsidRPr="00EC4FA2" w:rsidRDefault="00A834F1" w:rsidP="009569C7">
      <w:pPr>
        <w:pStyle w:val="Text1"/>
        <w:numPr>
          <w:ilvl w:val="0"/>
          <w:numId w:val="43"/>
        </w:numPr>
        <w:ind w:left="1134"/>
      </w:pPr>
      <w:r>
        <w:t xml:space="preserve">az intézmény által a hasonló kockázati profilú más adósoknak adott időpontban biztosított feltételeknél kedvezőbb feltételek alkalmazása a módosított szerződésben. </w:t>
      </w:r>
    </w:p>
    <w:p w:rsidR="009569C7" w:rsidRPr="00EC4FA2" w:rsidRDefault="00A834F1" w:rsidP="009569C7">
      <w:pPr>
        <w:pStyle w:val="Baseparagraphnumbered"/>
        <w:tabs>
          <w:tab w:val="left" w:pos="851"/>
        </w:tabs>
        <w:ind w:left="709"/>
      </w:pPr>
      <w:r>
        <w:t xml:space="preserve"> Azon záradékok alkalmazása, amelyek segítségével az adós – azokat saját mérlegelési jogkörében alkalmazva – módosíthatja a szerződés feltételeit (beépített átstrukturálási záradékok), engedményként kezelendő, amennyiben az intézmény jóváhagyja e záradékok alkalmazását és megállapítja, hogy az adós pénzügyi nehézségekkel küzd. </w:t>
      </w:r>
    </w:p>
    <w:p w:rsidR="009569C7" w:rsidRPr="00EC4FA2" w:rsidRDefault="00A834F1" w:rsidP="00152278">
      <w:pPr>
        <w:pStyle w:val="Baseparagraphnumbered"/>
      </w:pPr>
      <w:r>
        <w:t xml:space="preserve">A III. és a IV. melléklet, valamint e melléklet alkalmazásában az „újrafinanszírozás” olyan kölcsönszerződések alkalmazását jelenti, amelyeknek célja olyan más kölcsönszerződések teljes vagy részleges visszafizetésének biztosítása, amelyeknek az adós a jelenlegi feltételek mellett nem tud megfelelni. </w:t>
      </w:r>
    </w:p>
    <w:p w:rsidR="009569C7" w:rsidRPr="00EC4FA2" w:rsidRDefault="00A834F1" w:rsidP="009569C7">
      <w:pPr>
        <w:pStyle w:val="Baseparagraphnumbered"/>
        <w:tabs>
          <w:tab w:val="left" w:pos="851"/>
        </w:tabs>
        <w:ind w:left="709"/>
      </w:pPr>
      <w:r>
        <w:t xml:space="preserve">A 19. tábla alkalmazásában az „adós” magában foglalja az adós csoportjába tartozó mindazon jogi személyeket, amelyek a számviteli konszolidáció körébe tartoznak, továbbá azokat a természetes személyeket, akik a csoportot ellenőrzik. </w:t>
      </w:r>
    </w:p>
    <w:p w:rsidR="009569C7" w:rsidRPr="00EC4FA2" w:rsidRDefault="00A834F1" w:rsidP="009569C7">
      <w:pPr>
        <w:pStyle w:val="Baseparagraphnumbered"/>
      </w:pPr>
      <w:r>
        <w:lastRenderedPageBreak/>
        <w:t xml:space="preserve">A 19. tábla alkalmazásában a „követelés” magában foglalja a hiteleket és előlegeket (amelyek tartalmazzák a központi bankokkal szembeni számlaköveteléseket és egyéb látra szóló betéteket is), a hitelviszonyt megtestesítő értékpapírokat, valamint a visszavonható és visszavonhatatlan, adott hitelnyújtási elkötelezettségeket, ideértve azokat az eredménnyel szemben valós értéken értékeltnek megjelölt hitelnyújtási elkötelezettségeket, amelyek az adatszolgáltatás vonatkozási időpontjában eszközök. A „követelés” nem tartalmazza a kereskedési céllal tartott kitettségeket. </w:t>
      </w:r>
    </w:p>
    <w:p w:rsidR="009569C7" w:rsidRPr="00EC4FA2" w:rsidRDefault="00A834F1" w:rsidP="009569C7">
      <w:pPr>
        <w:pStyle w:val="Baseparagraphnumbered"/>
      </w:pPr>
      <w:r>
        <w:t>A „követelés” magában foglalja az IFRS 5 standardnak megfelelően értékesítésre tartottá minősített befektetett eszközök és elidegenítési csoportok közé sorolt hiteleket és előlegeket, valamint a hitelviszonyt megtestesítő értékpapírokat.</w:t>
      </w:r>
    </w:p>
    <w:p w:rsidR="009569C7" w:rsidRPr="00EC4FA2" w:rsidRDefault="00A834F1" w:rsidP="009569C7">
      <w:pPr>
        <w:pStyle w:val="Baseparagraphnumbered"/>
        <w:tabs>
          <w:tab w:val="left" w:pos="851"/>
        </w:tabs>
        <w:ind w:left="709"/>
      </w:pPr>
      <w:r>
        <w:t xml:space="preserve"> A 19. tábla alkalmazásában a „kitettség” jelentése megegyezik a „követelés” e rész 247. bekezdésében adott meghatározásával. </w:t>
      </w:r>
    </w:p>
    <w:p w:rsidR="009569C7" w:rsidRPr="00EC4FA2" w:rsidRDefault="00A834F1" w:rsidP="00152278">
      <w:pPr>
        <w:pStyle w:val="Baseparagraphnumbered"/>
      </w:pPr>
      <w:r>
        <w:t xml:space="preserve">Az e melléklet 1. részének 15. bekezdésében felsorolt, IFRS szerinti számviteli portfóliókat, továbbá az e melléklet 1. részének 16. bekezdésében felsorolt, a BAD alapján kidolgozott vonatkozó nemzeti GAAP szerinti számviteli portfóliókat e rész 233. bekezdésének megfelelően a 19. táblában kell jelenteni. </w:t>
      </w:r>
    </w:p>
    <w:p w:rsidR="009569C7" w:rsidRPr="00EC4FA2" w:rsidRDefault="00A834F1" w:rsidP="009569C7">
      <w:pPr>
        <w:pStyle w:val="Baseparagraphnumbered"/>
        <w:tabs>
          <w:tab w:val="left" w:pos="851"/>
        </w:tabs>
        <w:ind w:left="709"/>
      </w:pPr>
      <w:r>
        <w:t>A 19. tábla alkalmazásában „intézmény” az átstrukturálási intézkedéseket alkalmazó intézmény.</w:t>
      </w:r>
    </w:p>
    <w:p w:rsidR="009569C7" w:rsidRPr="00EC4FA2" w:rsidRDefault="00A834F1" w:rsidP="009569C7">
      <w:pPr>
        <w:pStyle w:val="Baseparagraphnumbered"/>
        <w:tabs>
          <w:tab w:val="left" w:pos="851"/>
        </w:tabs>
        <w:ind w:left="709"/>
      </w:pPr>
      <w:r>
        <w:t>A 19. táblában a „követelés” vonatkozásában a „bruttó könyv szerinti érték”</w:t>
      </w:r>
      <w:proofErr w:type="spellStart"/>
      <w:r>
        <w:t>-et</w:t>
      </w:r>
      <w:proofErr w:type="spellEnd"/>
      <w:r>
        <w:t xml:space="preserve"> az e melléklet 1. részének 34. bekezdésében meghatározottak szerint kell megadni. Az olyan adott hitelnyújtási elkötelezettségek vonatkozásában, amelyek mérlegen kívüli kitettségek, az e melléklet jelen részének 118. bekezdésében meghatározottak szerinti névértéket kell feltüntetni.</w:t>
      </w:r>
    </w:p>
    <w:p w:rsidR="009569C7" w:rsidRPr="00EC4FA2" w:rsidRDefault="00A834F1" w:rsidP="009569C7">
      <w:pPr>
        <w:pStyle w:val="Baseparagraphnumbered"/>
      </w:pPr>
      <w:r>
        <w:t xml:space="preserve">A kitettségek átstrukturáltnak tekintendők, amennyiben engedmény került nyújtásra, függetlenül attól, hogy van-e késedelem, illetve hogy a kitettségeket az alkalmazandó számviteli kerettel, illetve a CRR 178. cikkével összhangban értékvesztettként vagy </w:t>
      </w:r>
      <w:proofErr w:type="spellStart"/>
      <w:r>
        <w:t>nemteljesítőként</w:t>
      </w:r>
      <w:proofErr w:type="spellEnd"/>
      <w:r>
        <w:t xml:space="preserve"> (</w:t>
      </w:r>
      <w:proofErr w:type="spellStart"/>
      <w:r>
        <w:t>defaulted</w:t>
      </w:r>
      <w:proofErr w:type="spellEnd"/>
      <w:r>
        <w:t>) sorolták-e be. A kitettségek nem tekintendők átstrukturáltnak, ha az adós nem küzd pénzügyi nehézségekkel. Az IFRS szerinti elszámolás esetén a módosított pénzügyi eszközöket [az IFRS 9 5.4.3. bekezdése és az A. függelék] átstrukturáltként kell kezelni, feltéve, hogy az e melléklet jelen részének 240. és 241. bekezdése szerinti engedmény biztosítására került sor, függetlenül attól, hogy volt-e módosítás a pénzügyi eszköz hitelkockázatában a kezdeti megjelenítés óta bekövetkezett változás miatt. A következők bármelyike átstrukturálási intézkedésnek tekintendő:</w:t>
      </w:r>
    </w:p>
    <w:p w:rsidR="009569C7" w:rsidRPr="00EC4FA2" w:rsidRDefault="00A834F1" w:rsidP="009569C7">
      <w:pPr>
        <w:pStyle w:val="Text1"/>
        <w:numPr>
          <w:ilvl w:val="1"/>
          <w:numId w:val="45"/>
        </w:numPr>
        <w:ind w:left="1134" w:hanging="425"/>
      </w:pPr>
      <w:r>
        <w:t xml:space="preserve">olyan módosított szerződés, amelyet a módosítás előtt </w:t>
      </w:r>
      <w:proofErr w:type="spellStart"/>
      <w:r>
        <w:t>nemteljesítőnek</w:t>
      </w:r>
      <w:proofErr w:type="spellEnd"/>
      <w:r>
        <w:t xml:space="preserve"> minősítettek, vagy amely a módosítás hiányában </w:t>
      </w:r>
      <w:proofErr w:type="spellStart"/>
      <w:r>
        <w:t>nemteljesítőnek</w:t>
      </w:r>
      <w:proofErr w:type="spellEnd"/>
      <w:r>
        <w:t xml:space="preserve"> minősülne;</w:t>
      </w:r>
    </w:p>
    <w:p w:rsidR="009569C7" w:rsidRPr="00EC4FA2" w:rsidRDefault="00A834F1" w:rsidP="009569C7">
      <w:pPr>
        <w:pStyle w:val="Text1"/>
        <w:numPr>
          <w:ilvl w:val="1"/>
          <w:numId w:val="45"/>
        </w:numPr>
        <w:ind w:left="1134" w:hanging="425"/>
      </w:pPr>
      <w:r>
        <w:t>olyan szerződésmódosítás, amely a követelés egészének vagy egy részének leírások révén történő elengedését tartalmazza;</w:t>
      </w:r>
    </w:p>
    <w:p w:rsidR="009569C7" w:rsidRPr="00EC4FA2" w:rsidRDefault="00A834F1" w:rsidP="009569C7">
      <w:pPr>
        <w:pStyle w:val="Text1"/>
        <w:numPr>
          <w:ilvl w:val="1"/>
          <w:numId w:val="45"/>
        </w:numPr>
        <w:ind w:left="1134" w:hanging="425"/>
      </w:pPr>
      <w:r>
        <w:lastRenderedPageBreak/>
        <w:t xml:space="preserve">az intézmény jóváhagyja a beépített átstrukturálási záradék alkalmazását egy </w:t>
      </w:r>
      <w:proofErr w:type="spellStart"/>
      <w:r>
        <w:t>nemteljesítő</w:t>
      </w:r>
      <w:proofErr w:type="spellEnd"/>
      <w:r>
        <w:t xml:space="preserve"> vagy a záradék alkalmazása nélkül </w:t>
      </w:r>
      <w:proofErr w:type="spellStart"/>
      <w:r>
        <w:t>nemteljesítőnek</w:t>
      </w:r>
      <w:proofErr w:type="spellEnd"/>
      <w:r>
        <w:t xml:space="preserve"> minősülő adós számára;</w:t>
      </w:r>
    </w:p>
    <w:p w:rsidR="009569C7" w:rsidRPr="00EC4FA2" w:rsidRDefault="00A834F1" w:rsidP="009569C7">
      <w:pPr>
        <w:pStyle w:val="Text1"/>
        <w:numPr>
          <w:ilvl w:val="1"/>
          <w:numId w:val="45"/>
        </w:numPr>
        <w:ind w:left="1134" w:hanging="425"/>
      </w:pPr>
      <w:r>
        <w:t xml:space="preserve">az intézmény által egy további követelés tekintetében nyújtott engedménnyel egyidejűleg vagy ahhoz közeli időpontban az adós az intézménnyel fennálló másik, </w:t>
      </w:r>
      <w:proofErr w:type="spellStart"/>
      <w:r>
        <w:t>nemteljesítő</w:t>
      </w:r>
      <w:proofErr w:type="spellEnd"/>
      <w:r>
        <w:t xml:space="preserve"> vagy az újrafinanszírozás hiányában </w:t>
      </w:r>
      <w:proofErr w:type="spellStart"/>
      <w:r>
        <w:t>nemteljesítőnek</w:t>
      </w:r>
      <w:proofErr w:type="spellEnd"/>
      <w:r>
        <w:t xml:space="preserve"> minősülő szerződés vonatkozásában tőke- vagy kamattörlesztést teljesített.</w:t>
      </w:r>
    </w:p>
    <w:p w:rsidR="009569C7" w:rsidRPr="00EC4FA2" w:rsidRDefault="00A834F1" w:rsidP="009569C7">
      <w:pPr>
        <w:pStyle w:val="Baseparagraphnumbered"/>
        <w:tabs>
          <w:tab w:val="left" w:pos="851"/>
        </w:tabs>
        <w:ind w:left="709"/>
      </w:pPr>
      <w:r>
        <w:t>A biztosíték érvényesítésével teljesített visszafizetést magában foglaló módosítás átstrukturálási intézkedésként kezelendő, ha a módosítás engedményt is magában foglal.</w:t>
      </w:r>
    </w:p>
    <w:p w:rsidR="009569C7" w:rsidRPr="00EC4FA2" w:rsidRDefault="00A834F1" w:rsidP="009569C7">
      <w:pPr>
        <w:pStyle w:val="Baseparagraphnumbered"/>
        <w:tabs>
          <w:tab w:val="left" w:pos="851"/>
        </w:tabs>
        <w:ind w:left="709"/>
      </w:pPr>
      <w:r>
        <w:t>Az alábbi esetek bármelyikében megcáfolható módon vélelmezhető, hogy átstrukturálásra került sor:</w:t>
      </w:r>
    </w:p>
    <w:p w:rsidR="009569C7" w:rsidRPr="00EC4FA2" w:rsidRDefault="00A834F1" w:rsidP="009569C7">
      <w:pPr>
        <w:pStyle w:val="Text1"/>
        <w:numPr>
          <w:ilvl w:val="0"/>
          <w:numId w:val="47"/>
        </w:numPr>
        <w:ind w:left="1134" w:hanging="425"/>
      </w:pPr>
      <w:r>
        <w:t xml:space="preserve">a módosított szerződés a módosítást megelőző három hónap során legalább egyszer teljesen vagy részlegesen 30 napot meghaladó késedelemben volt (anélkül, hogy </w:t>
      </w:r>
      <w:proofErr w:type="spellStart"/>
      <w:r>
        <w:t>nemteljesítő</w:t>
      </w:r>
      <w:proofErr w:type="spellEnd"/>
      <w:r>
        <w:t xml:space="preserve"> lett volna) vagy a módosítás hiányában teljesen vagy részlegesen 30 napot meghaladó késedelemben lett volna; </w:t>
      </w:r>
    </w:p>
    <w:p w:rsidR="009569C7" w:rsidRPr="00EC4FA2" w:rsidRDefault="00A834F1" w:rsidP="009569C7">
      <w:pPr>
        <w:pStyle w:val="Text1"/>
        <w:numPr>
          <w:ilvl w:val="0"/>
          <w:numId w:val="47"/>
        </w:numPr>
        <w:ind w:left="1134" w:hanging="425"/>
      </w:pPr>
      <w:r>
        <w:t>az intézmény által egy további követelés tekintetében nyújtott engedménnyel egyidejűleg vagy ahhoz közeli időpontban az adós az intézménnyel fennálló másik, az újrafinanszírozást megelőző három hónap során legalább egyszer teljesen vagy részlegesen 30 napot meghaladó késedelemben lévő szerződése tekintetében tőke- vagy kamattörlesztést teljesített;</w:t>
      </w:r>
    </w:p>
    <w:p w:rsidR="009569C7" w:rsidRPr="00EC4FA2" w:rsidRDefault="00A834F1" w:rsidP="009569C7">
      <w:pPr>
        <w:pStyle w:val="Text1"/>
        <w:numPr>
          <w:ilvl w:val="0"/>
          <w:numId w:val="47"/>
        </w:numPr>
        <w:ind w:left="1134" w:hanging="425"/>
      </w:pPr>
      <w:r>
        <w:t>az intézmény jóváhagyja a beépített átstrukturálási záradékok alkalmazását a 30 napot meghaladó késedelemben lévő vagy a záradékok alkalmazása nélkül 30 napot meghaladó késedelmet elérő adósok számára.</w:t>
      </w:r>
    </w:p>
    <w:p w:rsidR="009569C7" w:rsidRPr="00EC4FA2" w:rsidRDefault="00A834F1" w:rsidP="009569C7">
      <w:pPr>
        <w:pStyle w:val="Baseparagraphnumbered"/>
        <w:tabs>
          <w:tab w:val="left" w:pos="851"/>
        </w:tabs>
        <w:ind w:left="709"/>
      </w:pPr>
      <w:r>
        <w:t>A pénzügyi nehézségek a 245. bekezdésben meghatározottak szerinti adós szintjén vizsgálandók. Csak azok a kitettségek tekintendők átstrukturált kitettségnek, amelyekre átstrukturálási intézkedéseket alkalmaztak.</w:t>
      </w:r>
    </w:p>
    <w:p w:rsidR="009569C7" w:rsidRPr="00EC4FA2" w:rsidRDefault="00A834F1" w:rsidP="009569C7">
      <w:pPr>
        <w:pStyle w:val="Baseparagraphnumbered"/>
        <w:tabs>
          <w:tab w:val="left" w:pos="851"/>
        </w:tabs>
        <w:ind w:left="709"/>
      </w:pPr>
      <w:r>
        <w:t xml:space="preserve">Az átstrukturált kitettségeket a </w:t>
      </w:r>
      <w:proofErr w:type="spellStart"/>
      <w:r>
        <w:t>nemteljesítő</w:t>
      </w:r>
      <w:proofErr w:type="spellEnd"/>
      <w:r>
        <w:t xml:space="preserve"> kitettségek kategóriában vagy a teljesítő kitettségek kategóriában kell szerepeltetni e rész 213–224. és 260. bekezdésének megfelelően. Az átstrukturált kitettségként való besorolás megszűnik, ha az alábbi feltételek mindegyike teljesül:</w:t>
      </w:r>
    </w:p>
    <w:p w:rsidR="009569C7" w:rsidRPr="00EC4FA2" w:rsidRDefault="00A834F1" w:rsidP="009569C7">
      <w:pPr>
        <w:pStyle w:val="Text1"/>
        <w:numPr>
          <w:ilvl w:val="0"/>
          <w:numId w:val="46"/>
        </w:numPr>
        <w:ind w:left="1134" w:hanging="425"/>
      </w:pPr>
      <w:r>
        <w:t xml:space="preserve">az átstrukturált kitettség teljesítőnek minősül, ideértve a </w:t>
      </w:r>
      <w:proofErr w:type="spellStart"/>
      <w:r>
        <w:t>nemteljesítő</w:t>
      </w:r>
      <w:proofErr w:type="spellEnd"/>
      <w:r>
        <w:t xml:space="preserve"> kitettség kategóriából történő átsorolás esetét is, amelyre arra tekintettel kerül sor, hogy az adós pénzügyi helyzetének vizsgálata azt mutatja, hogy már nem teljesülnek a </w:t>
      </w:r>
      <w:proofErr w:type="spellStart"/>
      <w:r>
        <w:t>nemteljesítőként</w:t>
      </w:r>
      <w:proofErr w:type="spellEnd"/>
      <w:r>
        <w:t xml:space="preserve"> való besorolás feltételei;</w:t>
      </w:r>
    </w:p>
    <w:p w:rsidR="009569C7" w:rsidRPr="00EC4FA2" w:rsidRDefault="00A834F1" w:rsidP="009569C7">
      <w:pPr>
        <w:pStyle w:val="Text1"/>
        <w:numPr>
          <w:ilvl w:val="0"/>
          <w:numId w:val="46"/>
        </w:numPr>
        <w:ind w:left="1134" w:hanging="425"/>
      </w:pPr>
      <w:r>
        <w:t>az átstrukturált kitettség teljesítővé minősítésétől számítva legalább kétéves időszak telt el (próbaidőszak);</w:t>
      </w:r>
    </w:p>
    <w:p w:rsidR="009569C7" w:rsidRPr="00EC4FA2" w:rsidRDefault="00A834F1" w:rsidP="009569C7">
      <w:pPr>
        <w:pStyle w:val="Text1"/>
        <w:numPr>
          <w:ilvl w:val="0"/>
          <w:numId w:val="46"/>
        </w:numPr>
        <w:ind w:left="1134" w:hanging="425"/>
      </w:pPr>
      <w:r>
        <w:t xml:space="preserve">a próbaidőszak minimum felében a jelentéktelennél nagyobb mértékű rendszeres tőke- vagy kamattörlesztésre került sor; </w:t>
      </w:r>
    </w:p>
    <w:p w:rsidR="009569C7" w:rsidRPr="00EC4FA2" w:rsidRDefault="00A834F1" w:rsidP="009569C7">
      <w:pPr>
        <w:pStyle w:val="Text1"/>
        <w:numPr>
          <w:ilvl w:val="0"/>
          <w:numId w:val="46"/>
        </w:numPr>
        <w:ind w:left="1134" w:hanging="425"/>
      </w:pPr>
      <w:r>
        <w:lastRenderedPageBreak/>
        <w:t xml:space="preserve">a próbaidőszak végén az adós egyetlen kitettsége sincs 30 napot meghaladó késedelemben. </w:t>
      </w:r>
    </w:p>
    <w:p w:rsidR="009569C7" w:rsidRPr="00EC4FA2" w:rsidRDefault="00A834F1" w:rsidP="009569C7">
      <w:pPr>
        <w:pStyle w:val="Baseparagraphnumbered"/>
        <w:tabs>
          <w:tab w:val="left" w:pos="851"/>
        </w:tabs>
        <w:ind w:left="709"/>
      </w:pPr>
      <w:r>
        <w:t xml:space="preserve">Amennyiben a próbaidőszak végén nem teljesülnek a 256. bekezdésben említett feltételek, a kitettséget mindaddig próbaidőszakban lévő átstrukturált teljesítő kitettségként kell kezelni, amíg a feltételek mindegyike nem teljesül. A feltételeket legalább negyedévente meg kell vizsgálni. </w:t>
      </w:r>
    </w:p>
    <w:p w:rsidR="009569C7" w:rsidRPr="00EC4FA2" w:rsidRDefault="00A834F1" w:rsidP="009569C7">
      <w:pPr>
        <w:pStyle w:val="Baseparagraphnumbered"/>
        <w:tabs>
          <w:tab w:val="left" w:pos="851"/>
        </w:tabs>
        <w:ind w:left="709"/>
      </w:pPr>
      <w:r>
        <w:t>Az IFRS 5 standardnak megfelelően értékesítésre tartott befektetett eszközként besorolt átstrukturált kitettségeket továbbra is átstrukturált kitettségként kell besorolni.</w:t>
      </w:r>
    </w:p>
    <w:p w:rsidR="009569C7" w:rsidRPr="00EC4FA2" w:rsidRDefault="00A834F1" w:rsidP="009569C7">
      <w:pPr>
        <w:pStyle w:val="Baseparagraphnumbered"/>
        <w:tabs>
          <w:tab w:val="left" w:pos="851"/>
        </w:tabs>
        <w:ind w:left="709"/>
      </w:pPr>
      <w:r>
        <w:t>Egy átstrukturált kitettséget az átstrukturálási intézkedések alkalmazásának időpontjától kezdve teljesítőnek lehet tekinteni, ha az alábbi feltételek mindegyike teljesül:</w:t>
      </w:r>
    </w:p>
    <w:p w:rsidR="009569C7" w:rsidRPr="00EC4FA2" w:rsidRDefault="00A834F1" w:rsidP="009569C7">
      <w:pPr>
        <w:pStyle w:val="Text1"/>
        <w:numPr>
          <w:ilvl w:val="0"/>
          <w:numId w:val="48"/>
        </w:numPr>
        <w:ind w:left="1134" w:hanging="425"/>
      </w:pPr>
      <w:r>
        <w:t xml:space="preserve">az átstrukturálás nem eredményezte a kitettség </w:t>
      </w:r>
      <w:proofErr w:type="spellStart"/>
      <w:r>
        <w:t>nemteljesítővé</w:t>
      </w:r>
      <w:proofErr w:type="spellEnd"/>
      <w:r>
        <w:t xml:space="preserve"> minősítését;</w:t>
      </w:r>
    </w:p>
    <w:p w:rsidR="009569C7" w:rsidRPr="00EC4FA2" w:rsidRDefault="00A834F1" w:rsidP="009569C7">
      <w:pPr>
        <w:pStyle w:val="Text1"/>
        <w:numPr>
          <w:ilvl w:val="0"/>
          <w:numId w:val="48"/>
        </w:numPr>
        <w:ind w:left="1134" w:hanging="425"/>
      </w:pPr>
      <w:r>
        <w:t xml:space="preserve">az átstrukturálás időpontjában a kitettség nem minősült </w:t>
      </w:r>
      <w:proofErr w:type="spellStart"/>
      <w:r>
        <w:t>nemteljesítő</w:t>
      </w:r>
      <w:proofErr w:type="spellEnd"/>
      <w:r>
        <w:t xml:space="preserve"> kitettségnek. </w:t>
      </w:r>
    </w:p>
    <w:p w:rsidR="009569C7" w:rsidRPr="00EC4FA2" w:rsidRDefault="00A834F1" w:rsidP="009569C7">
      <w:pPr>
        <w:pStyle w:val="Baseparagraphnumbered"/>
        <w:tabs>
          <w:tab w:val="left" w:pos="851"/>
        </w:tabs>
        <w:ind w:left="709"/>
      </w:pPr>
      <w:r>
        <w:t xml:space="preserve">Ha a próbaidőszakban lévő, a </w:t>
      </w:r>
      <w:proofErr w:type="spellStart"/>
      <w:r>
        <w:t>nemteljesítő</w:t>
      </w:r>
      <w:proofErr w:type="spellEnd"/>
      <w:r>
        <w:t xml:space="preserve"> kategóriából átsorolt teljesítő átstrukturált kitettség esetében újabb átstrukturálásra kerül sor vagy a kitettség 30 napot meghaladóan késedelmessé válik, a kitettséget </w:t>
      </w:r>
      <w:proofErr w:type="spellStart"/>
      <w:r>
        <w:t>nemteljesítőnek</w:t>
      </w:r>
      <w:proofErr w:type="spellEnd"/>
      <w:r>
        <w:t xml:space="preserve"> kell tekinteni. </w:t>
      </w:r>
    </w:p>
    <w:p w:rsidR="009569C7" w:rsidRPr="00EC4FA2" w:rsidRDefault="00A834F1" w:rsidP="009569C7">
      <w:pPr>
        <w:pStyle w:val="Baseparagraphnumbered"/>
        <w:tabs>
          <w:tab w:val="left" w:pos="851"/>
        </w:tabs>
        <w:ind w:left="709"/>
      </w:pPr>
      <w:r>
        <w:t xml:space="preserve">Az „Átstrukturálási intézkedéssel érintett teljesítő kitettségek” (teljesítő átstrukturált kitettségek) azokat az átstrukturált kitettségeket foglalják magukban, amelyek nem teljesítik a </w:t>
      </w:r>
      <w:proofErr w:type="spellStart"/>
      <w:r>
        <w:t>nemteljesítővé</w:t>
      </w:r>
      <w:proofErr w:type="spellEnd"/>
      <w:r>
        <w:t xml:space="preserve"> minősítés feltételeit és a teljesítő kitettségek kategóriába kerültek. A teljesítő átstrukturált kitettségek a 256. bekezdésnek megfelelően próbaidőszakban vannak, akkor is, ha a 259. bekezdés alkalmazandó. Azokat a próbaidőszakban lévő teljesítő átstrukturált kitettségeket, amelyeket a </w:t>
      </w:r>
      <w:proofErr w:type="spellStart"/>
      <w:r>
        <w:t>nemteljesítő</w:t>
      </w:r>
      <w:proofErr w:type="spellEnd"/>
      <w:r>
        <w:t xml:space="preserve"> kitettségek kategóriájából soroltak át, a teljesítő átstrukturált kitettségeken belül külön, az „ebből: Próbaidőszakban lévő, a </w:t>
      </w:r>
      <w:proofErr w:type="spellStart"/>
      <w:r>
        <w:t>nemteljesítő</w:t>
      </w:r>
      <w:proofErr w:type="spellEnd"/>
      <w:r>
        <w:t xml:space="preserve"> kategóriából átsorolt teljesítő átstrukturált kitettség” oszlopban kell feltüntetni. </w:t>
      </w:r>
    </w:p>
    <w:p w:rsidR="009569C7" w:rsidRPr="00EC4FA2" w:rsidRDefault="00A834F1" w:rsidP="009569C7">
      <w:pPr>
        <w:pStyle w:val="Baseparagraphnumbered"/>
        <w:tabs>
          <w:tab w:val="left" w:pos="851"/>
        </w:tabs>
        <w:ind w:left="709"/>
      </w:pPr>
      <w:r>
        <w:t xml:space="preserve">Az „Átstrukturálási intézkedéssel érintett </w:t>
      </w:r>
      <w:proofErr w:type="spellStart"/>
      <w:r>
        <w:t>nemteljesítő</w:t>
      </w:r>
      <w:proofErr w:type="spellEnd"/>
      <w:r>
        <w:t xml:space="preserve"> kitettségek” (</w:t>
      </w:r>
      <w:proofErr w:type="spellStart"/>
      <w:r>
        <w:t>nemteljesítő</w:t>
      </w:r>
      <w:proofErr w:type="spellEnd"/>
      <w:r>
        <w:t xml:space="preserve"> átstrukturált kitettségek) azokat az átstrukturált kitettségeket foglalják magukban, amelyek teljesítik a </w:t>
      </w:r>
      <w:proofErr w:type="spellStart"/>
      <w:r>
        <w:t>nemteljesítővé</w:t>
      </w:r>
      <w:proofErr w:type="spellEnd"/>
      <w:r>
        <w:t xml:space="preserve"> minősítés feltételeit és bekerültek a </w:t>
      </w:r>
      <w:proofErr w:type="spellStart"/>
      <w:r>
        <w:t>nemteljesítő</w:t>
      </w:r>
      <w:proofErr w:type="spellEnd"/>
      <w:r>
        <w:t xml:space="preserve"> kitettségek kategóriába. Ezen </w:t>
      </w:r>
      <w:proofErr w:type="spellStart"/>
      <w:r>
        <w:t>nemteljesítő</w:t>
      </w:r>
      <w:proofErr w:type="spellEnd"/>
      <w:r>
        <w:t xml:space="preserve"> átstrukturált kitettségek a következőket foglalják magukban: </w:t>
      </w:r>
    </w:p>
    <w:p w:rsidR="009569C7" w:rsidRPr="00EC4FA2" w:rsidRDefault="00A834F1" w:rsidP="009569C7">
      <w:pPr>
        <w:pStyle w:val="Text1"/>
        <w:numPr>
          <w:ilvl w:val="0"/>
          <w:numId w:val="49"/>
        </w:numPr>
        <w:ind w:left="1134" w:hanging="425"/>
      </w:pPr>
      <w:r>
        <w:t xml:space="preserve">azon kitettségek, amelyek az átstrukturálás következtében váltak </w:t>
      </w:r>
      <w:proofErr w:type="spellStart"/>
      <w:r>
        <w:t>nemteljesítővé</w:t>
      </w:r>
      <w:proofErr w:type="spellEnd"/>
      <w:r>
        <w:t xml:space="preserve">; </w:t>
      </w:r>
    </w:p>
    <w:p w:rsidR="009569C7" w:rsidRPr="00EC4FA2" w:rsidRDefault="00A834F1" w:rsidP="009569C7">
      <w:pPr>
        <w:pStyle w:val="Text1"/>
        <w:numPr>
          <w:ilvl w:val="0"/>
          <w:numId w:val="49"/>
        </w:numPr>
        <w:ind w:left="1134" w:hanging="425"/>
      </w:pPr>
      <w:r>
        <w:t xml:space="preserve">azon kitettségek, amelyek az átstrukturálást megelőzően </w:t>
      </w:r>
      <w:proofErr w:type="spellStart"/>
      <w:r>
        <w:t>nemteljesítők</w:t>
      </w:r>
      <w:proofErr w:type="spellEnd"/>
      <w:r>
        <w:t xml:space="preserve"> voltak;  </w:t>
      </w:r>
    </w:p>
    <w:p w:rsidR="009569C7" w:rsidRPr="00EC4FA2" w:rsidRDefault="00A834F1" w:rsidP="009569C7">
      <w:pPr>
        <w:pStyle w:val="Text1"/>
        <w:numPr>
          <w:ilvl w:val="0"/>
          <w:numId w:val="49"/>
        </w:numPr>
        <w:ind w:left="1134" w:hanging="425"/>
      </w:pPr>
      <w:r>
        <w:t xml:space="preserve">a teljesítő kitettségek közül átsorolt átstrukturált kitettségek, ideértve a 260. bekezdés alkalmazása során átsorolt kitettségeket. </w:t>
      </w:r>
    </w:p>
    <w:p w:rsidR="009569C7" w:rsidRPr="00EC4FA2" w:rsidRDefault="00A834F1" w:rsidP="009569C7">
      <w:pPr>
        <w:pStyle w:val="Baseparagraphnumbered"/>
        <w:tabs>
          <w:tab w:val="left" w:pos="851"/>
        </w:tabs>
        <w:ind w:left="709"/>
      </w:pPr>
      <w:r>
        <w:lastRenderedPageBreak/>
        <w:t xml:space="preserve">Amennyiben az átstrukturálási intézkedéseket kiterjesztik olyan kitettségekre, amelyek az átstrukturálási intézkedések kiterjesztését megelőzően </w:t>
      </w:r>
      <w:proofErr w:type="spellStart"/>
      <w:r>
        <w:t>nemteljesítők</w:t>
      </w:r>
      <w:proofErr w:type="spellEnd"/>
      <w:r>
        <w:t xml:space="preserve"> voltak, ezen átstrukturált kitettségek összegét külön kell feltüntetni az „ebből: átstrukturálás előtt </w:t>
      </w:r>
      <w:proofErr w:type="spellStart"/>
      <w:r>
        <w:t>nemteljesítő</w:t>
      </w:r>
      <w:proofErr w:type="spellEnd"/>
      <w:r>
        <w:t xml:space="preserve"> kitettségek átstrukturálása” oszlopban.</w:t>
      </w:r>
    </w:p>
    <w:p w:rsidR="009569C7" w:rsidRPr="00EC4FA2" w:rsidRDefault="00A834F1" w:rsidP="009569C7">
      <w:pPr>
        <w:pStyle w:val="Baseparagraphnumbered"/>
        <w:tabs>
          <w:tab w:val="left" w:pos="851"/>
        </w:tabs>
        <w:ind w:left="709"/>
      </w:pPr>
      <w:r>
        <w:t xml:space="preserve">Az átstrukturálási intézkedéssel érintett következő </w:t>
      </w:r>
      <w:proofErr w:type="spellStart"/>
      <w:r>
        <w:t>nemteljesítő</w:t>
      </w:r>
      <w:proofErr w:type="spellEnd"/>
      <w:r>
        <w:t xml:space="preserve"> kitettségeket külön oszlopokban kell feltüntetni:</w:t>
      </w:r>
    </w:p>
    <w:p w:rsidR="009569C7" w:rsidRPr="00EC4FA2" w:rsidRDefault="00A834F1" w:rsidP="009569C7">
      <w:pPr>
        <w:pStyle w:val="Text1"/>
        <w:numPr>
          <w:ilvl w:val="0"/>
          <w:numId w:val="50"/>
        </w:numPr>
        <w:ind w:left="1134" w:hanging="425"/>
      </w:pPr>
      <w:r>
        <w:t>az alkalmazandó számviteli kerettel összhangban értékvesztettnek tekintett kitettségek; az IFRS értelmében az értékvesztett eszközök összegét (3. szakasz), többek között a vásárolt vagy keletkeztetett értékvesztett eszközök összegét kell ebben az oszlopban megadni;</w:t>
      </w:r>
    </w:p>
    <w:p w:rsidR="009569C7" w:rsidRPr="00EC4FA2" w:rsidRDefault="00A834F1" w:rsidP="009569C7">
      <w:pPr>
        <w:pStyle w:val="Text1"/>
        <w:numPr>
          <w:ilvl w:val="0"/>
          <w:numId w:val="50"/>
        </w:numPr>
        <w:ind w:left="1134" w:hanging="425"/>
      </w:pPr>
      <w:r>
        <w:t xml:space="preserve">azok a kitettségek, amelyek tekintetében a CRR 178. cikkével összhangban </w:t>
      </w:r>
      <w:proofErr w:type="spellStart"/>
      <w:r>
        <w:t>nemteljesítés</w:t>
      </w:r>
      <w:proofErr w:type="spellEnd"/>
      <w:r>
        <w:t xml:space="preserve"> (</w:t>
      </w:r>
      <w:proofErr w:type="spellStart"/>
      <w:r>
        <w:t>default</w:t>
      </w:r>
      <w:proofErr w:type="spellEnd"/>
      <w:r>
        <w:t>) következett be.</w:t>
      </w:r>
    </w:p>
    <w:p w:rsidR="009569C7" w:rsidRPr="00EC4FA2" w:rsidRDefault="00A834F1" w:rsidP="009569C7">
      <w:pPr>
        <w:pStyle w:val="Baseparagraphnumbered"/>
        <w:tabs>
          <w:tab w:val="left" w:pos="851"/>
        </w:tabs>
        <w:ind w:left="709"/>
      </w:pPr>
      <w:r>
        <w:t xml:space="preserve">Az „Újrafinanszírozás” oszlop az átstrukturálásnak minősülő újrafinanszírozási ügylet részeként nyújtott új szerződés bruttó könyv szerinti értékét (újrafinanszírozó kölcsön), valamint a régi, visszafizetett szerződés még fennálló bruttó könyv szerinti értékét tartalmazza. </w:t>
      </w:r>
    </w:p>
    <w:p w:rsidR="009569C7" w:rsidRPr="00EC4FA2" w:rsidRDefault="00A834F1" w:rsidP="009569C7">
      <w:pPr>
        <w:pStyle w:val="Baseparagraphnumbered"/>
        <w:tabs>
          <w:tab w:val="left" w:pos="851"/>
        </w:tabs>
        <w:ind w:left="709"/>
      </w:pPr>
      <w:r>
        <w:t xml:space="preserve">A módosításokat és újrafinanszírozást egyaránt tartalmazó átstrukturált kitettségeket a </w:t>
      </w:r>
      <w:proofErr w:type="spellStart"/>
      <w:r>
        <w:t>cash-flowra</w:t>
      </w:r>
      <w:proofErr w:type="spellEnd"/>
      <w:r>
        <w:t xml:space="preserve"> nagyobb hatással lévő intézkedéstől függően a „Módosított szerződéses feltételű instrumentumok” vagy az „Újrafinanszírozás” oszlopban kell feltüntetni. A több bank által közösen biztosított újrafinanszírozást az adatszolgáltató intézmény által nyújtott újrafinanszírozó kölcsönrész teljes összegéig, illetve az újrafinanszírozott követelésnek az adatszolgáltató intézménynél még fennálló teljes összegéig kell feltüntetni az „Újrafinanszírozás” oszlopban. Több követelés egy új követeléssé történő átcsomagolását módosításként kell feltüntetni, hacsak nem jár együtt olyan újrafinanszírozási ügylettel, amely nagyobb hatást gyakorol a </w:t>
      </w:r>
      <w:proofErr w:type="spellStart"/>
      <w:r>
        <w:t>cash-flowra</w:t>
      </w:r>
      <w:proofErr w:type="spellEnd"/>
      <w:r>
        <w:t>. Amennyiben valamely problémás kitettség (feltételeinek módosítása révén történő) átstrukturálása az adott kitettség kivezetését és egy új kitettség megjelenítését eredményezi, ezen új kitettséget átstrukturált követelésként kell kezelni.</w:t>
      </w:r>
    </w:p>
    <w:p w:rsidR="009569C7" w:rsidRPr="00EC4FA2" w:rsidRDefault="00A834F1" w:rsidP="009569C7">
      <w:pPr>
        <w:pStyle w:val="Baseparagraphnumbered"/>
        <w:tabs>
          <w:tab w:val="left" w:pos="851"/>
        </w:tabs>
        <w:ind w:left="709"/>
      </w:pPr>
      <w:r>
        <w:t xml:space="preserve">A halmozott értékvesztést, a hitelkockázat-változásból származó negatív valósérték-változás halmozott összegét és a céltartalékokat e rész 11., 69–71., 106. és 110. bekezdésének megfelelően kell feltüntetni.  </w:t>
      </w:r>
    </w:p>
    <w:p w:rsidR="009569C7" w:rsidRPr="00EC4FA2" w:rsidRDefault="00A834F1" w:rsidP="009569C7">
      <w:pPr>
        <w:pStyle w:val="Baseparagraphnumbered"/>
        <w:tabs>
          <w:tab w:val="left" w:pos="851"/>
        </w:tabs>
        <w:ind w:left="709"/>
      </w:pPr>
      <w:r>
        <w:t xml:space="preserve">Az átstrukturálási intézkedéssel érintett kitettségek fedezeteként kapott biztosítékot és garanciákat valamennyi átstrukturálási intézkedéssel érintett kitettségre vonatkozóan fel kell tüntetni, függetlenül azok teljesítő vagy </w:t>
      </w:r>
      <w:proofErr w:type="spellStart"/>
      <w:r>
        <w:t>nemteljesítő</w:t>
      </w:r>
      <w:proofErr w:type="spellEnd"/>
      <w:r>
        <w:t xml:space="preserve"> státuszára. A kapott biztosítékok és kapott garanciák feltüntetendő összegét e rész 172. és 174. bekezdésével összhangban kell kiszámítani. A kapott biztosítékok és pénzügyi garanciák együttes összege nem haladhatja meg a kapcsolódó kitettség könyv szerinti értékét.</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524094063"/>
      <w:r>
        <w:t>Földrajzi megoszlás</w:t>
      </w:r>
      <w:bookmarkEnd w:id="212"/>
      <w:r>
        <w:t xml:space="preserve"> (20.)</w:t>
      </w:r>
      <w:bookmarkEnd w:id="252"/>
      <w:bookmarkEnd w:id="253"/>
      <w:bookmarkEnd w:id="254"/>
      <w:bookmarkEnd w:id="255"/>
    </w:p>
    <w:p w:rsidR="009569C7" w:rsidRPr="00EC4FA2" w:rsidRDefault="00A834F1" w:rsidP="009569C7">
      <w:pPr>
        <w:pStyle w:val="Baseparagraphnumbered"/>
      </w:pPr>
      <w:r>
        <w:lastRenderedPageBreak/>
        <w:t xml:space="preserve">A 20. táblát akkor kell kitölteni, ha az intézmény átlépi az e rendelet 5. cikke a) pontjának (4) alpontjában meghatározott küszöbértéket. </w:t>
      </w:r>
    </w:p>
    <w:p w:rsidR="009569C7" w:rsidRPr="00EC4FA2" w:rsidRDefault="00A834F1" w:rsidP="009569C7">
      <w:pPr>
        <w:pStyle w:val="sub-subtitlenumbered"/>
        <w:jc w:val="both"/>
      </w:pPr>
      <w:bookmarkStart w:id="256" w:name="_Toc467855249"/>
      <w:bookmarkStart w:id="257" w:name="_Toc524094064"/>
      <w:r>
        <w:t>Földrajzi megoszlás a tevékenység helye szerint (20.1-20.3.)</w:t>
      </w:r>
      <w:bookmarkEnd w:id="256"/>
      <w:bookmarkEnd w:id="257"/>
    </w:p>
    <w:p w:rsidR="009569C7" w:rsidRPr="00EC4FA2" w:rsidRDefault="00A834F1" w:rsidP="009569C7">
      <w:pPr>
        <w:pStyle w:val="Baseparagraphnumbered"/>
      </w:pPr>
      <w:r>
        <w:t>A 20.1–20.3. táblákban szereplő tevékenységek helye szerinti földrajzi megoszlás különbséget tesz a „hazai tevékenységek” és „nem hazai tevékenységek” között. E rész alkalmazásában a tevékenység „helye” a megfelelő eszközt vagy kötelezettséget megjelenítő jogi személy cégbejegyzése szerinti joghatóságot, fióktelepek esetében pedig a fióktelep székhelye szerinti joghatóságot jelenti. Ennek alkalmazásában a „hazai” az abban a tagállamban megjelenített tevékenységeket tartalmazza, ahol az adatszolgáltató intézmény található.</w:t>
      </w:r>
    </w:p>
    <w:p w:rsidR="009569C7" w:rsidRPr="00EC4FA2" w:rsidRDefault="00A834F1" w:rsidP="009569C7">
      <w:pPr>
        <w:pStyle w:val="sub-subtitlenumbered"/>
        <w:jc w:val="both"/>
      </w:pPr>
      <w:bookmarkStart w:id="258" w:name="_Toc467855250"/>
      <w:bookmarkStart w:id="259" w:name="_Toc524094065"/>
      <w:r>
        <w:t>Földrajzi megoszlás az ügyfél székhelye szerint (20.4-20.7.)</w:t>
      </w:r>
      <w:bookmarkEnd w:id="258"/>
      <w:bookmarkEnd w:id="259"/>
    </w:p>
    <w:p w:rsidR="009569C7" w:rsidRPr="00EC4FA2" w:rsidRDefault="00A834F1" w:rsidP="009569C7">
      <w:pPr>
        <w:pStyle w:val="Baseparagraphnumbered"/>
      </w:pPr>
      <w:r>
        <w:t>A 20.4–20.7. táblák a közvetlen ügyfél székhelyén alapuló „országonkénti” adatokat tartalmaznak e melléklet 1. része 43. bekezdésének megfelelően. A megadott részletezés tartalmazza minden egyes olyan külföldi ország rezidenseivel szembeni kitettségeket vagy kötelezettségeket, amelyekkel szemben az intézmény kitettséggel rendelkezik. A nemzetközi szervezetekkel és multilaterális fejlesztési bankokkal szembeni kitettségeket vagy kötelezettségeket nem az intézmény székhelye szerinti országhoz kell rendelni, hanem az „Egyéb országok” földrajzi területhez.</w:t>
      </w:r>
    </w:p>
    <w:p w:rsidR="009569C7" w:rsidRPr="00EC4FA2" w:rsidRDefault="00A834F1" w:rsidP="009569C7">
      <w:pPr>
        <w:pStyle w:val="Baseparagraphnumbered"/>
      </w:pPr>
      <w:r>
        <w:t xml:space="preserve">A „Származtatott ügyletek” tartalmazza az IFRS vagy a GAAP szerinti, a 10. és a 11. táblában feltüntetett kereskedési célú származtatott ügyleteket, többek között a gazdasági fedezeti ügyleteket, valamint a származtatott fedezeti ügyleteket. </w:t>
      </w:r>
    </w:p>
    <w:p w:rsidR="009569C7" w:rsidRPr="00EC4FA2" w:rsidRDefault="00A834F1" w:rsidP="009569C7">
      <w:pPr>
        <w:pStyle w:val="Baseparagraphnumbered"/>
      </w:pPr>
      <w:r>
        <w:t xml:space="preserve">Az IFRS szerinti, kereskedési céllal tartott eszközöket és a GAAP szerinti kereskedési célú eszközöket elkülönítve kell azonosítani. Az értékvesztés-elszámolási kötelezettség hatálya alá tartozó pénzügyi eszközöket e rész 93. bekezdésének megfelelően kell meghatározni. A </w:t>
      </w:r>
      <w:proofErr w:type="spellStart"/>
      <w:r>
        <w:t>LOCOM-módszer</w:t>
      </w:r>
      <w:proofErr w:type="spellEnd"/>
      <w:r>
        <w:t xml:space="preserve"> szerint értékelt azon eszközöket, amelyekhez hitelkockázatból eredő értékelési korrekció kapcsolódik, értékvesztettnek kell tekinteni.</w:t>
      </w:r>
    </w:p>
    <w:p w:rsidR="009569C7" w:rsidRPr="00EC4FA2" w:rsidRDefault="00A834F1" w:rsidP="009569C7">
      <w:pPr>
        <w:pStyle w:val="Baseparagraphnumbered"/>
      </w:pPr>
      <w:r>
        <w:t xml:space="preserve">A 20.4. és 20.7. táblában a „Halmozott értékvesztés” és a „Hitelkockázat-változásból származó negatív valósérték-változás halmozott összege </w:t>
      </w:r>
      <w:proofErr w:type="spellStart"/>
      <w:r>
        <w:t>nemteljesítő</w:t>
      </w:r>
      <w:proofErr w:type="spellEnd"/>
      <w:r>
        <w:t xml:space="preserve"> kitettségek esetében” tételre vonatkozó adatokat az e rész 69–71. bekezdésében meghatározottak szerint kell feltüntetni.</w:t>
      </w:r>
    </w:p>
    <w:p w:rsidR="009569C7" w:rsidRPr="00EC4FA2" w:rsidRDefault="00A834F1" w:rsidP="009569C7">
      <w:pPr>
        <w:pStyle w:val="Baseparagraphnumbered"/>
      </w:pPr>
      <w:r>
        <w:t>A 20,4. táblában a hitelviszonyt megtestesítő instrumentumok vonatkozásában a „bruttó könyv szerinti érték”</w:t>
      </w:r>
      <w:proofErr w:type="spellStart"/>
      <w:r>
        <w:t>-et</w:t>
      </w:r>
      <w:proofErr w:type="spellEnd"/>
      <w:r>
        <w:t xml:space="preserve"> az e melléklet 1. részének 34. bekezdésében meghatározottak szerint kell megadni. A származtatott ügyletek és a tulajdoni részesedést megtestesítő instrumentumok vonatkozásában a feltüntetendő érték a könyv szerinti érték. Az „ebből: </w:t>
      </w:r>
      <w:proofErr w:type="spellStart"/>
      <w:r>
        <w:t>nemteljesítő</w:t>
      </w:r>
      <w:proofErr w:type="spellEnd"/>
      <w:r>
        <w:t xml:space="preserve">” oszlopban hitelviszonyt megtestesítő instrumentumokat kell feltüntetni e rész 213–232. bekezdésének megfelelően. A 19. tábla alkalmazásában a követelésátstrukturálás tartalmaz minden olyan </w:t>
      </w:r>
      <w:r>
        <w:lastRenderedPageBreak/>
        <w:t xml:space="preserve">kölcsönszerződést, melyekre kiterjesztik az e rész 240–255. bekezdésében meghatározott átstrukturálási intézkedéseket. </w:t>
      </w:r>
    </w:p>
    <w:p w:rsidR="009569C7" w:rsidRPr="00EC4FA2" w:rsidRDefault="00A834F1" w:rsidP="009569C7">
      <w:pPr>
        <w:pStyle w:val="Baseparagraphnumbered"/>
      </w:pPr>
      <w:r>
        <w:t>A 20.5. táblában az „Adott elkötelezettségekre és garanciákra képzett céltartalék” tartalmazza az IAS 37 szerint értékelt céltartalékokat, az IFRS 4-nek megfelelően biztosítási szerződésként kezelt pénzügyi garanciák hitelezési veszteségeit, és az IFRS 9 szerinti értékvesztés-elszámolási kötelezettség alá tartozó hitelnyújtási elkötelezettségekre és pénzügyi garanciákra képzett céltartalékokat, továbbá az elkötelezettségekre és garanciákra képzett céltartalékokat a BAD alapján kidolgozott nemzeti GAAP szerint, e rész 11. bekezdésének megfelelően.</w:t>
      </w:r>
    </w:p>
    <w:p w:rsidR="009569C7" w:rsidRPr="00EC4FA2" w:rsidRDefault="00A834F1" w:rsidP="009569C7">
      <w:pPr>
        <w:pStyle w:val="Baseparagraphnumbered"/>
      </w:pPr>
      <w:r>
        <w:t xml:space="preserve">A 20.7. táblában a nem kereskedési céllal tartott hiteleket és előlegeket a NACE kódok szerinti besorolással, „országonként” kell megadni. A </w:t>
      </w:r>
      <w:proofErr w:type="spellStart"/>
      <w:r>
        <w:t>NACE-kódokat</w:t>
      </w:r>
      <w:proofErr w:type="spellEnd"/>
      <w:r>
        <w:t xml:space="preserve"> az első részletezési szinttel („nemzetgazdasági ág” szerint) kell megadni. Az értékvesztés-elszámolási kötelezettség alá tartozó hitelek és előlegek ugyanazokra a portfóliókra utalnak, mint e rész 93. bekezdésének meghatározása.</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246770636"/>
      <w:bookmarkStart w:id="266" w:name="_Toc524094066"/>
      <w:bookmarkEnd w:id="260"/>
      <w:bookmarkEnd w:id="261"/>
      <w:r>
        <w:t>Tárgyi eszközök és immateriális javak: operatív lízingbe adott eszközök (21.)</w:t>
      </w:r>
      <w:bookmarkEnd w:id="262"/>
      <w:bookmarkEnd w:id="263"/>
      <w:bookmarkEnd w:id="264"/>
      <w:bookmarkEnd w:id="266"/>
    </w:p>
    <w:p w:rsidR="009569C7" w:rsidRPr="00EC4FA2" w:rsidRDefault="00A834F1" w:rsidP="009569C7">
      <w:pPr>
        <w:pStyle w:val="Baseparagraphnumbered"/>
      </w:pPr>
      <w:r>
        <w:t>Az e rendelet 9. cikkének e) pontja szerinti küszöbérték kiszámítása céljából azokat a tárgyi eszközöket, amelyeket az intézmény (lízingbe adó) az alkalmazandó számviteli szabályozás értelmében operatív lízingnek minősülő megállapodás keretében harmadik félnek lízingbe adott, el kell osztani a tárgyi eszközök teljes összegével.</w:t>
      </w:r>
    </w:p>
    <w:p w:rsidR="009569C7" w:rsidRPr="00EC4FA2" w:rsidRDefault="00A834F1" w:rsidP="009569C7">
      <w:pPr>
        <w:pStyle w:val="Baseparagraphnumbered"/>
      </w:pPr>
      <w:r>
        <w:t>Az IFRS szerinti elszámolás esetén az intézmény (lízingbe adó) által operatív lízing keretében harmadik félnek lízingbe adott eszközöket az értékelési módszer szerinti részletezéssel kell megadni.</w:t>
      </w:r>
    </w:p>
    <w:p w:rsidR="009569C7" w:rsidRPr="00EC4FA2" w:rsidRDefault="00A834F1" w:rsidP="009569C7">
      <w:pPr>
        <w:pStyle w:val="subtitlenumbered"/>
        <w:jc w:val="both"/>
      </w:pPr>
      <w:bookmarkStart w:id="267" w:name="_Toc362359317"/>
      <w:bookmarkStart w:id="268" w:name="_Toc467855252"/>
      <w:bookmarkStart w:id="269" w:name="_Toc361844246"/>
      <w:bookmarkStart w:id="270" w:name="_Toc244498341"/>
      <w:bookmarkStart w:id="271" w:name="_Toc244500572"/>
      <w:bookmarkStart w:id="272" w:name="_Toc246770631"/>
      <w:bookmarkStart w:id="273" w:name="_Toc524094067"/>
      <w:r>
        <w:t>Vagyonkezelés, letétkezelés és egyéb szolgáltatások (22.)</w:t>
      </w:r>
      <w:bookmarkEnd w:id="267"/>
      <w:bookmarkEnd w:id="268"/>
      <w:bookmarkEnd w:id="273"/>
    </w:p>
    <w:bookmarkEnd w:id="269"/>
    <w:p w:rsidR="009569C7" w:rsidRPr="00EC4FA2" w:rsidRDefault="00A834F1" w:rsidP="009569C7">
      <w:pPr>
        <w:pStyle w:val="Baseparagraphnumbered"/>
      </w:pPr>
      <w:r>
        <w:t xml:space="preserve">Az e rendelet 9. cikkének f) pontja szerinti küszöbérték kiszámítása céljából a „nettó díj- és jutalékbevétel” a „díj- és jutalékbevételek” valamint a „díj- és </w:t>
      </w:r>
      <w:proofErr w:type="spellStart"/>
      <w:r>
        <w:t>jutalékráfordítások</w:t>
      </w:r>
      <w:proofErr w:type="spellEnd"/>
      <w:r>
        <w:t>” közötti különbség abszolút értéke. Ugyanebből a célból a „nettó kamat” összege a „kamatbevételek” és „kamatráfordítások” közötti különbség abszolút értéke.</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524094068"/>
      <w:r>
        <w:t xml:space="preserve">Díj- és jutalékbevételek és díj- és </w:t>
      </w:r>
      <w:proofErr w:type="spellStart"/>
      <w:r>
        <w:t>jutalékráfordítások</w:t>
      </w:r>
      <w:bookmarkEnd w:id="270"/>
      <w:bookmarkEnd w:id="271"/>
      <w:bookmarkEnd w:id="272"/>
      <w:proofErr w:type="spellEnd"/>
      <w:r>
        <w:t xml:space="preserve"> tevékenység szerint (22.1.)</w:t>
      </w:r>
      <w:bookmarkEnd w:id="274"/>
      <w:bookmarkEnd w:id="275"/>
      <w:bookmarkEnd w:id="276"/>
      <w:bookmarkEnd w:id="277"/>
    </w:p>
    <w:p w:rsidR="009569C7" w:rsidRPr="00EC4FA2" w:rsidRDefault="00A834F1" w:rsidP="009569C7">
      <w:pPr>
        <w:pStyle w:val="Baseparagraphnumbered"/>
      </w:pPr>
      <w:r>
        <w:t xml:space="preserve">A díj- és jutalékbevételeket és díj- és </w:t>
      </w:r>
      <w:proofErr w:type="spellStart"/>
      <w:r>
        <w:t>jutalékráfordításokat</w:t>
      </w:r>
      <w:proofErr w:type="spellEnd"/>
      <w:r>
        <w:t xml:space="preserve"> a tevékenység típusa szerint kell megadni. Az IFRS szerinti elszámolás esetén ez a tábla tartalmazza a következőktől eltérő díj- és jutalékbevételeket, valamint díj- és </w:t>
      </w:r>
      <w:proofErr w:type="spellStart"/>
      <w:r>
        <w:t>jutalékráfordításokat</w:t>
      </w:r>
      <w:proofErr w:type="spellEnd"/>
      <w:r>
        <w:t xml:space="preserv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 pénzügyi instrumentumok effektív kamatlábának kiszámításakor figyelembe vett összegek [az IFRS 7 20. bekezdésének c) pontja];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lastRenderedPageBreak/>
        <w:t xml:space="preserve">az eredménnyel szemben valós értéken értékelt pénzügyi instrumentumokból származó összegek [az IFRS 7 20. bekezdése c) pontjának i. alpontja]. </w:t>
      </w:r>
    </w:p>
    <w:p w:rsidR="009569C7" w:rsidRPr="00EC4FA2" w:rsidRDefault="00A834F1" w:rsidP="009569C7">
      <w:pPr>
        <w:pStyle w:val="Baseparagraphnumbered"/>
      </w:pPr>
      <w:r>
        <w:t>A közvetlenül az eredménnyel szemben valós értéken értékelt kategóriába nem tartozó pénzügyi instrumentumok megszerzésének vagy kibocsátásának tulajdonítható tranzakciós költségeket nem kell feltüntetni; azok ezen pénzügyi instrumentumok kezdeti megszerzési/kibocsátási értékének részét képezik, és hátralévő futamidejük során az effektív kamatláb alkalmazásával az eredménnyel szemben amortizálódnak [lásd az IFRS 9 5.1.1. bekezdését].</w:t>
      </w:r>
    </w:p>
    <w:p w:rsidR="009569C7" w:rsidRPr="00EC4FA2" w:rsidRDefault="00A834F1" w:rsidP="009569C7">
      <w:pPr>
        <w:pStyle w:val="Baseparagraphnumbered"/>
      </w:pPr>
      <w:r>
        <w:t>Az IFRS szerinti elszámolás esetében a közvetlenül az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nyeresége vagy vesztesége, nettó” és az „Eredménnyel szemben valós értéken értékeltnek megjelölt pénzügyi eszközök és kötelezettségek nyeresége vagy vesztesége, nettó” kategóriákban kell szerepeltetni, azon számviteli portfóliótól függően, amelybe besoroltak. Azok nem képezik részét ezen pénzügyi instrumentumok kezdeti megszerzési/kibocsátási értékének, és az eredménnyel szemben azonnal megjelenítésre kerülnek.</w:t>
      </w:r>
    </w:p>
    <w:p w:rsidR="009569C7" w:rsidRPr="00EC4FA2" w:rsidRDefault="00A834F1" w:rsidP="009569C7">
      <w:pPr>
        <w:pStyle w:val="Baseparagraphnumbered"/>
      </w:pPr>
      <w:r>
        <w:t xml:space="preserve">Az intézményeknek a díj- és jutalékbevételeket és díj- és </w:t>
      </w:r>
      <w:proofErr w:type="spellStart"/>
      <w:r>
        <w:t>jutalékráfordításokat</w:t>
      </w:r>
      <w:proofErr w:type="spellEnd"/>
      <w:r>
        <w:t xml:space="preserve"> a következő kritériumok szerint kell feltüntetniük: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Kibocsátások” a nem az intézmény által keletkeztetett vagy kibocsátott értékpapírok keletkeztetésében vagy kibocsátásában történt részvételért kapott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Transzfermegbízások” az értékpapírok vételére vagy eladására vonatkozó ügyfélmegbízások felvétele, továbbítása és végrehajtása során képződött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Egyéb” a nem az intézmény által keletkeztetett vagy kibocsátott értékpapírokhoz kapcsolódó egyéb szolgáltatások nyújtása során az intézmény által megtermelt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Az „Elszámolás és teljesítés” az intézmény által szerződő fél, elszámolási és teljesítési rendszerekben való részvétel során megtermelt (az intézményre terhelt) díj- és jutalékbevételeket (díj- és </w:t>
      </w:r>
      <w:proofErr w:type="spellStart"/>
      <w:r>
        <w:rPr>
          <w:rFonts w:ascii="Times New Roman" w:hAnsi="Times New Roman"/>
          <w:sz w:val="24"/>
        </w:rPr>
        <w:t>jutalékráfordításokat</w:t>
      </w:r>
      <w:proofErr w:type="spellEnd"/>
      <w:r>
        <w:rPr>
          <w:rFonts w:ascii="Times New Roman" w:hAnsi="Times New Roman"/>
          <w:sz w:val="24"/>
        </w:rPr>
        <w: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 „Vagyonkezelés”, „Letétkezelés”, „Kollektív befektetésekkel kapcsolatos központi adminisztrációs szolgáltatás”, „Bizalmi vagyonkezelői tranzakciók”, „Fizetési szolgáltatások” az intézmény által ezen szolgáltatások nyújtása során megtermelt (az intézményre terhelt) díj- és jutalékbevételeket (díj- és </w:t>
      </w:r>
      <w:proofErr w:type="spellStart"/>
      <w:r>
        <w:rPr>
          <w:rFonts w:ascii="Times New Roman" w:hAnsi="Times New Roman"/>
          <w:sz w:val="24"/>
        </w:rPr>
        <w:t>jutalékráfordításokat</w:t>
      </w:r>
      <w:proofErr w:type="spellEnd"/>
      <w:r>
        <w:rPr>
          <w:rFonts w:ascii="Times New Roman" w:hAnsi="Times New Roman"/>
          <w:sz w:val="24"/>
        </w:rPr>
        <w: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 „Strukturált finanszírozás” a nem az intézmény által keletkeztetett vagy kibocsátott pénzügyi instrumentumok, kivéve értékpapírok, </w:t>
      </w:r>
      <w:r>
        <w:rPr>
          <w:rFonts w:ascii="Times New Roman" w:hAnsi="Times New Roman"/>
          <w:sz w:val="24"/>
        </w:rPr>
        <w:lastRenderedPageBreak/>
        <w:t xml:space="preserve">keletkeztetésében vagy kibocsátásában történt részvételért kapott díjakat és jutalékokat tartalmazza;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„Hitelszolgálati tevékenység”</w:t>
      </w:r>
      <w:proofErr w:type="spellStart"/>
      <w:r>
        <w:rPr>
          <w:rFonts w:ascii="Times New Roman" w:hAnsi="Times New Roman"/>
          <w:sz w:val="24"/>
        </w:rPr>
        <w:t>-ből</w:t>
      </w:r>
      <w:proofErr w:type="spellEnd"/>
      <w:r>
        <w:rPr>
          <w:rFonts w:ascii="Times New Roman" w:hAnsi="Times New Roman"/>
          <w:sz w:val="24"/>
        </w:rPr>
        <w:t xml:space="preserve"> származó díjak a bevételi oldalon tartalmazzák az intézmény által a nyújtott hitelszolgálati szolgáltatás során megtermelt díj- és jutalékbevételeket, költségoldalon pedig a hitelszolgálatot nyújtók által az intézményre terhelt díj- és </w:t>
      </w:r>
      <w:proofErr w:type="spellStart"/>
      <w:r>
        <w:rPr>
          <w:rFonts w:ascii="Times New Roman" w:hAnsi="Times New Roman"/>
          <w:sz w:val="24"/>
        </w:rPr>
        <w:t>jutalékráfordításokat</w:t>
      </w:r>
      <w:proofErr w:type="spellEnd"/>
      <w:r>
        <w:rPr>
          <w:rFonts w:ascii="Times New Roman" w:hAnsi="Times New Roman"/>
          <w:sz w:val="24"/>
        </w:rPr>
        <w: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Az „Adott hitelnyújtási elkötelezettségek” és az „Adott pénzügyi garanciák” az e tevékenységek kezdetben „egyéb kötelezettségek” között megjelenített díjainak és jutalékainak az időszak alatt bevételként megjelenített amortizációjának összegét tartalmazzák;</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„Kapott hitelnyújtási elkötelezettségek” és a „Kapott pénzügyi garanciák” az intézmény által a hitelnyújtási elkötelezettséget vagy a pénzügyi garanciát nyújtó félnek felszámított költség következményeként az időszakban ráfordításként megjelenített, és kezdetben „egyéb eszköz”</w:t>
      </w:r>
      <w:proofErr w:type="spellStart"/>
      <w:r>
        <w:rPr>
          <w:rFonts w:ascii="Times New Roman" w:hAnsi="Times New Roman"/>
          <w:sz w:val="24"/>
        </w:rPr>
        <w:t>-ként</w:t>
      </w:r>
      <w:proofErr w:type="spellEnd"/>
      <w:r>
        <w:rPr>
          <w:rFonts w:ascii="Times New Roman" w:hAnsi="Times New Roman"/>
          <w:sz w:val="24"/>
        </w:rPr>
        <w:t xml:space="preserve"> megjelenített díj- és </w:t>
      </w:r>
      <w:proofErr w:type="spellStart"/>
      <w:r>
        <w:rPr>
          <w:rFonts w:ascii="Times New Roman" w:hAnsi="Times New Roman"/>
          <w:sz w:val="24"/>
        </w:rPr>
        <w:t>jutalékráfordításokat</w:t>
      </w:r>
      <w:proofErr w:type="spellEnd"/>
      <w:r>
        <w:rPr>
          <w:rFonts w:ascii="Times New Roman" w:hAnsi="Times New Roman"/>
          <w:sz w:val="24"/>
        </w:rPr>
        <w:t xml:space="preserve"> tartalmazza;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Az „Egyéb” kategória az intézmény által megtermelt (az intézményre terhelt) összes többi díj- és jutalékbevételt (díj- és </w:t>
      </w:r>
      <w:proofErr w:type="spellStart"/>
      <w:r>
        <w:rPr>
          <w:rFonts w:ascii="Times New Roman" w:hAnsi="Times New Roman"/>
          <w:sz w:val="24"/>
        </w:rPr>
        <w:t>jutalékráfordítást</w:t>
      </w:r>
      <w:proofErr w:type="spellEnd"/>
      <w:r>
        <w:rPr>
          <w:rFonts w:ascii="Times New Roman" w:hAnsi="Times New Roman"/>
          <w:sz w:val="24"/>
        </w:rPr>
        <w:t>) tartalmazza, mint például az „egyéb elkötelezettségek”</w:t>
      </w:r>
      <w:proofErr w:type="spellStart"/>
      <w:r>
        <w:rPr>
          <w:rFonts w:ascii="Times New Roman" w:hAnsi="Times New Roman"/>
          <w:sz w:val="24"/>
        </w:rPr>
        <w:t>-ből</w:t>
      </w:r>
      <w:proofErr w:type="spellEnd"/>
      <w:r>
        <w:rPr>
          <w:rFonts w:ascii="Times New Roman" w:hAnsi="Times New Roman"/>
          <w:sz w:val="24"/>
        </w:rPr>
        <w:t xml:space="preserve">, a devizaszolgáltatásokból (például külföldi bankjegyek és érmék átváltása) vagy egyéb díjhoz kötött tanácsadás és szolgáltatás nyújtásából (igénybevételéből) származó díj- és jutalékbevételt (díj- és </w:t>
      </w:r>
      <w:proofErr w:type="spellStart"/>
      <w:r>
        <w:rPr>
          <w:rFonts w:ascii="Times New Roman" w:hAnsi="Times New Roman"/>
          <w:sz w:val="24"/>
        </w:rPr>
        <w:t>jutalékráfordítást</w:t>
      </w:r>
      <w:proofErr w:type="spellEnd"/>
      <w:r>
        <w:rPr>
          <w:rFonts w:ascii="Times New Roman" w:hAnsi="Times New Roman"/>
          <w:sz w:val="24"/>
        </w:rPr>
        <w:t>).</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524094069"/>
      <w:r>
        <w:t>A nyújtott szolgáltatásokban érintett eszközök (22.2.)</w:t>
      </w:r>
      <w:bookmarkEnd w:id="278"/>
      <w:bookmarkEnd w:id="279"/>
      <w:bookmarkEnd w:id="280"/>
      <w:bookmarkEnd w:id="281"/>
    </w:p>
    <w:p w:rsidR="009569C7" w:rsidRPr="00EC4FA2" w:rsidRDefault="00A834F1" w:rsidP="009569C7">
      <w:pPr>
        <w:pStyle w:val="Baseparagraphnumbered"/>
      </w:pPr>
      <w:r>
        <w:t>A vagyonkezeléshez, letétkezelési feladatokhoz és az intézmény által nyújtott egyéb szolgáltatásokhoz kapcsolódó üzleti tevékenységeket a következő fogalmak szerint kell részletezni: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„Vagyonkezelés” a közvetlenül az ügyfelek tulajdonában álló azon eszközökre vonatkozik, amelyeket az intézmény kezel. A „Vagyonkezelés”</w:t>
      </w:r>
      <w:proofErr w:type="spellStart"/>
      <w:r>
        <w:rPr>
          <w:rFonts w:ascii="Times New Roman" w:hAnsi="Times New Roman"/>
          <w:sz w:val="24"/>
        </w:rPr>
        <w:t>-t</w:t>
      </w:r>
      <w:proofErr w:type="spellEnd"/>
      <w:r>
        <w:rPr>
          <w:rFonts w:ascii="Times New Roman" w:hAnsi="Times New Roman"/>
          <w:sz w:val="24"/>
        </w:rPr>
        <w:t xml:space="preserve"> ügyféltípusonként kell feltüntetni: kollektív befektetések, nyugdíjalapok, diszkrecionális alapon kezelt ügyfélportfóliók és egyéb befektetési eszközök;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„Letétkezelt eszközök” az intézmény által nyújtott, és a pénzügyi instrumentumok ügyfelek megbízásából történő megőrzésére és nyilvántartására irányuló szolgáltatásra, valamint letéti őrzéshez kapcsolódó szolgáltatásokra, mint például készpénz, illetve biztosíték kezelésére vonatkozik. A „Letétkezelt eszközök”</w:t>
      </w:r>
      <w:proofErr w:type="spellStart"/>
      <w:r>
        <w:rPr>
          <w:rFonts w:ascii="Times New Roman" w:hAnsi="Times New Roman"/>
          <w:sz w:val="24"/>
        </w:rPr>
        <w:t>-et</w:t>
      </w:r>
      <w:proofErr w:type="spellEnd"/>
      <w:r>
        <w:rPr>
          <w:rFonts w:ascii="Times New Roman" w:hAnsi="Times New Roman"/>
          <w:sz w:val="24"/>
        </w:rPr>
        <w:t xml:space="preserve"> azon ügyféltípusok szerint kell megadni, amelyek eszközeit az intézmény őrzi, megkülönböztetve a kollektív befektetési vállalkozásokat és egyéb ügyfeleket. Az „ebből: más gazdálkodó egységekre bízott” tétel a letétkezelt eszközök közé tartozó azon eszközök összegére vonatkozik, amelyek tekintetében az intézmény a tényleges őrzéssel más gazdálkodó egységeket bízott meg;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 „Kollektív befektetésekkel kapcsolatos központi adminisztrációs szolgáltatás” az intézmény által a kollektív befektetési vállalkozásoknak </w:t>
      </w:r>
      <w:r>
        <w:rPr>
          <w:rFonts w:ascii="Times New Roman" w:hAnsi="Times New Roman"/>
          <w:sz w:val="24"/>
        </w:rPr>
        <w:lastRenderedPageBreak/>
        <w:t>nyújtott adminisztratív szolgáltatásokra vonatkozik. Többek között ide tartoznak a transzferügynökök szolgáltatásai; a számviteli dokumentumok összeállítása; a tájékoztató elkészítése; a befektetőknek szánt pénzügyi beszámolók és minden egyéb dokumentum elkészítése; a levelezés lebonyolítása a befektetőknek szánt pénzügyi beszámolók és minden egyéb dokumentum terjesztésével; a kibocsátások és visszaváltások lebonyolítása és a befektetők jegyzékének vezetése; valamint a nettó eszközérték kiszámítása;</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A „Bizalmi vagyonkezelői tranzakciók” azokra a tevékenységekre vonatkozik, amelyek esetében az intézmény saját nevében, de ügyfelei számlájára és kockázatára jár el. A bizalmi vagyonkezelői tranzakciók során az intézmény gyakran nyújt szolgáltatásokat, például letéti és vagyonkezelői szolgáltatásokat strukturált gazdálkodó egységek számára, vagy egyedi alapon végzett </w:t>
      </w:r>
      <w:proofErr w:type="spellStart"/>
      <w:r>
        <w:rPr>
          <w:rFonts w:ascii="Times New Roman" w:hAnsi="Times New Roman"/>
          <w:sz w:val="24"/>
        </w:rPr>
        <w:t>portfóliókezelést</w:t>
      </w:r>
      <w:proofErr w:type="spellEnd"/>
      <w:r>
        <w:rPr>
          <w:rFonts w:ascii="Times New Roman" w:hAnsi="Times New Roman"/>
          <w:sz w:val="24"/>
        </w:rPr>
        <w:t>. Az összes bizalmi vagyonkezelői tranzakciót kizárólag ennél a tételnél kell feltüntetni függetlenül attól, hogy az intézmény nyújt-e még egyéb kiegészítő szolgáltatásokat;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„Fizetési szolgáltatások” azon hitelviszonyt megtestesítő instrumentumok által generált fizetések ügyfél nevében történő beszedésére vonatkozik, amelyek nincsenek az intézmény mérlegében megjelenítve, és amelyeket nem is az intézmény keletkeztetett;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Az „Ügyfelek elosztott, de nem kezelt forrásai” a </w:t>
      </w:r>
      <w:proofErr w:type="spellStart"/>
      <w:r>
        <w:rPr>
          <w:rFonts w:ascii="Times New Roman" w:hAnsi="Times New Roman"/>
          <w:sz w:val="24"/>
        </w:rPr>
        <w:t>prudenciális</w:t>
      </w:r>
      <w:proofErr w:type="spellEnd"/>
      <w:r>
        <w:rPr>
          <w:rFonts w:ascii="Times New Roman" w:hAnsi="Times New Roman"/>
          <w:sz w:val="24"/>
        </w:rPr>
        <w:t xml:space="preserve"> csoportba nem tartozó intézmények által kibocsátott azon termékekre vonatkozik, amelyeket az intézmény meglévő ügyfelei között osztott szét. Ezt a tételt terméktípus szerint kell megadni;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nyújtott szolgáltatásokban érintett eszközök összege” tartalmazza az eszközök azon összegét a valós érték használatával, amelyekhez kapcsolódóan az intézmény eljár. Ha a valós érték nem áll rendelkezésre, egyéb értékelési alap, például a névérték is használható. Ha az intézmény olyan szervezeteknek nyújt szolgáltatást, mint például a kollektív befektetési vállalkozások vagy nyugdíjalapok, az érintett eszközöket azon az értéken is fel lehet tüntetni, amelyen ezek a szervezetek az eszközöket saját mérlegükben megjelenítik. A feltüntetett összegeknek adott esetben tartalmazniuk kell a felhalmozott kamatokat is.</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524094070"/>
      <w:r>
        <w:t>Érdekeltségek nem konszolidált strukturált gazdálkodó egységekben (30.)</w:t>
      </w:r>
      <w:bookmarkEnd w:id="282"/>
      <w:bookmarkEnd w:id="283"/>
      <w:bookmarkEnd w:id="284"/>
      <w:bookmarkEnd w:id="285"/>
    </w:p>
    <w:p w:rsidR="009569C7" w:rsidRPr="00EC4FA2" w:rsidRDefault="00A834F1" w:rsidP="009569C7">
      <w:pPr>
        <w:pStyle w:val="Baseparagraphnumbered"/>
      </w:pPr>
      <w:r>
        <w:t>A III. és a IV. melléklet, valamint e melléklet alkalmazásában a „lehívott likviditási támogatás” a nem konszolidált strukturált gazdálkodó egységeknek nyújtott hitelek és előlegek könyv szerinti értékének, valamint a tartott, nem konszolidált strukturált gazdálkodó egységek által kibocsátott, hitelviszonyt megtestesítő értékpapírok könyv szerinti értékének összegét jelenti.</w:t>
      </w:r>
    </w:p>
    <w:p w:rsidR="009569C7" w:rsidRPr="00EC4FA2" w:rsidRDefault="00A834F1" w:rsidP="009569C7">
      <w:pPr>
        <w:pStyle w:val="Baseparagraphnumbered"/>
      </w:pPr>
      <w:r>
        <w:t xml:space="preserve">„Az adatszolgáltató intézménynél a tárgyidőszakban felmerült veszteségek” tartalmazza az értékvesztés miatti veszteségeket, valamint az adatszolgáltató intézménynél az adatszolgáltatási időszakban a nem </w:t>
      </w:r>
      <w:r>
        <w:lastRenderedPageBreak/>
        <w:t>konszolidált strukturált gazdálkodó egységekben levő érdekeltségekhez kapcsolódóan felmerült egyéb veszteségeket.</w:t>
      </w:r>
    </w:p>
    <w:p w:rsidR="009569C7" w:rsidRPr="00EC4FA2"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524094071"/>
      <w:r>
        <w:t>Kapcsolt felek</w:t>
      </w:r>
      <w:bookmarkEnd w:id="265"/>
      <w:r>
        <w:t xml:space="preserve"> (31.)</w:t>
      </w:r>
      <w:bookmarkEnd w:id="286"/>
      <w:bookmarkEnd w:id="287"/>
      <w:bookmarkEnd w:id="288"/>
      <w:bookmarkEnd w:id="289"/>
    </w:p>
    <w:p w:rsidR="009569C7" w:rsidRPr="00EC4FA2" w:rsidRDefault="00A834F1" w:rsidP="009569C7">
      <w:pPr>
        <w:pStyle w:val="Baseparagraphnumbered"/>
      </w:pPr>
      <w:r>
        <w:t xml:space="preserve">Az intézményeknek meg kell adniuk a mérleg szerinti és mérlegen kívüli kitettségekhez kapcsolódó összegeket és/vagy tranzakciókat, ha az ügyfél az IAS 24 szerinti kapcsolt fél. </w:t>
      </w:r>
    </w:p>
    <w:p w:rsidR="009569C7" w:rsidRPr="00EC4FA2" w:rsidRDefault="00A834F1" w:rsidP="009569C7">
      <w:pPr>
        <w:pStyle w:val="Baseparagraphnumbered"/>
      </w:pPr>
      <w:r>
        <w:t xml:space="preserve">A </w:t>
      </w:r>
      <w:proofErr w:type="spellStart"/>
      <w:r>
        <w:t>prudenciális</w:t>
      </w:r>
      <w:proofErr w:type="spellEnd"/>
      <w:r>
        <w:t xml:space="preserve"> csoport csoporton belüli tranzakcióit és csoporton belüli nyitott egyenlegeit ki kell szűrni. A „Leányvállalatok és azonos csoportba tartozó egyéb gazdálkodó egységek” kategóriánál az intézményeknek fel kell tüntetniük azokat a leányvállalatokkal szembeni egyenlegeket és tranzakciókat, amelyek kiszűrése nem történt meg, vagy azért, mert a leányvállalatok nem kerültek teljes mértékben konszolidálásra, vagy azért, mert a CRR 19. cikkével összhangban a leányvállalatok elhanyagolható jelentőségük miatt nem tartoznak a </w:t>
      </w:r>
      <w:proofErr w:type="spellStart"/>
      <w:r>
        <w:t>prudenciális</w:t>
      </w:r>
      <w:proofErr w:type="spellEnd"/>
      <w:r>
        <w:t xml:space="preserve"> konszolidáció körébe, vagy mert – egy szélesebb csoportba tartozó intézmények esetén – a végső anyavállalat leányvállalatai, nem pedig az intézmény leányvállalatai. A „Társult és közös vállalkozások” között az intézményeknek a csoportjukhoz tartozó közös vállalkozásokkal és társult vállalkozásokkal szembeni egyenlegek és tranzakciók azon részét kell szerepeltetniük, amelyek az arányos konszolidáció alkalmazása során nem kerültek kiszűrésre.</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524094072"/>
      <w:r>
        <w:t>Kapcsolt felek: kötelezettségek és követelések kapcsolt felekkel szemben (31.1.)</w:t>
      </w:r>
      <w:bookmarkEnd w:id="290"/>
      <w:bookmarkEnd w:id="291"/>
      <w:bookmarkEnd w:id="292"/>
      <w:bookmarkEnd w:id="293"/>
    </w:p>
    <w:p w:rsidR="009569C7" w:rsidRPr="00EC4FA2" w:rsidRDefault="00A834F1" w:rsidP="009569C7">
      <w:pPr>
        <w:pStyle w:val="Baseparagraphnumbered"/>
      </w:pPr>
      <w:r>
        <w:t>A „Kapott hitelnyújtási elkötelezettségek, pénzügyi garanciák és egyéb elkötelezettségek” esetében azt az összeget kell megadni, amely a kapott hitelnyújtási elkötelezettségek és egyéb elkötelezettségek nominális értékének és a kapott pénzügyi garanciák „garancia/biztosíték legmagasabb figyelembe vehető összegének” az összege az e rész 119. bekezdésében meghatározottak szerint.</w:t>
      </w:r>
    </w:p>
    <w:p w:rsidR="009569C7" w:rsidRPr="00EC4FA2" w:rsidRDefault="00A834F1" w:rsidP="009569C7">
      <w:pPr>
        <w:pStyle w:val="Baseparagraphnumbered"/>
      </w:pPr>
      <w:r>
        <w:t xml:space="preserve">Az „Értékvesztés és a hitelkockázat-változásból származó negatív valósérték-változás halmozott összege </w:t>
      </w:r>
      <w:proofErr w:type="spellStart"/>
      <w:r>
        <w:t>nemteljesítő</w:t>
      </w:r>
      <w:proofErr w:type="spellEnd"/>
      <w:r>
        <w:t xml:space="preserve"> kitettségek esetében” tételt csak a </w:t>
      </w:r>
      <w:proofErr w:type="spellStart"/>
      <w:r>
        <w:t>nemteljesítő</w:t>
      </w:r>
      <w:proofErr w:type="spellEnd"/>
      <w:r>
        <w:t xml:space="preserve"> kitettségek vonatkozásában kell feltüntetni e rész 69–71. bekezdésének megfelelően. A „</w:t>
      </w:r>
      <w:proofErr w:type="spellStart"/>
      <w:r>
        <w:t>Nemteljesítő</w:t>
      </w:r>
      <w:proofErr w:type="spellEnd"/>
      <w:r>
        <w:t xml:space="preserve"> mérlegen kívüli kitettségekre képzett céltartalék” tartalmazza a céltartalékokat az e rész 11., 106. és 111. bekezdésében meghatározottaknak megfelelően azon kitettségekre, amelyek e rész 213–239. bekezdése szerint </w:t>
      </w:r>
      <w:proofErr w:type="spellStart"/>
      <w:r>
        <w:t>nemteljesítők</w:t>
      </w:r>
      <w:proofErr w:type="spellEnd"/>
      <w:r>
        <w:t>.</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52409407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Kapcsolt felek: kapcsolt felekkel történt ügyletkötésekből származó kiadások és bevételek (31.2.)</w:t>
      </w:r>
      <w:bookmarkEnd w:id="309"/>
      <w:bookmarkEnd w:id="310"/>
      <w:bookmarkEnd w:id="311"/>
      <w:bookmarkEnd w:id="312"/>
    </w:p>
    <w:p w:rsidR="009569C7" w:rsidRPr="00EC4FA2" w:rsidRDefault="00A834F1" w:rsidP="009569C7">
      <w:pPr>
        <w:pStyle w:val="Baseparagraphnumbered"/>
      </w:pPr>
      <w:r>
        <w:t>A „Pénzügyi eszközöktől eltérő eszközök kivezetéséből származó nyereség vagy veszteség” tétel tartalmazza a kapcsolt felekkel történt ügyletkötés során a nem pénzügyi eszközök kivezetéséből származó összes nyereséget vagy veszteséget. Ennek a tételnek tartalmaznia kell a kapcsolt felekkel történt ügyletkötés során a nem pénzügyi eszközök kivezetéséből származó nyereséget vagy veszteséget, amely az „</w:t>
      </w:r>
      <w:proofErr w:type="spellStart"/>
      <w:r>
        <w:t>Eredménykimutatás</w:t>
      </w:r>
      <w:proofErr w:type="spellEnd"/>
      <w:r>
        <w:t xml:space="preserve">” bármely következő sorának részét képezi: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„Leányvállalatokba, közös vállalkozásokba, valamint társult vállalkozásokba történt befektetések kivezetéséből származó nyereség vagy veszteség”, a BAD alapján kidolgozott nemzeti GAAP szerinti adatszolgáltatás esetén;</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„Nem pénzügyi eszközök kivezetéséből származó nyereség vagy veszteség”;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Megszűnt tevékenységeknek nem minősülő, értékesítésre tartottá minősített befektetett eszközökből és elidegenítési csoportokból származó nyereség vagy (–) veszteség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„Megszűnt tevékenységek eredménye adófizetés után”.</w:t>
      </w:r>
    </w:p>
    <w:p w:rsidR="009569C7" w:rsidRPr="00EC4FA2" w:rsidRDefault="00A834F1" w:rsidP="009569C7">
      <w:pPr>
        <w:pStyle w:val="Baseparagraphnumbered"/>
      </w:pPr>
      <w:r>
        <w:t>A „</w:t>
      </w:r>
      <w:proofErr w:type="spellStart"/>
      <w:r>
        <w:t>Nemteljesítő</w:t>
      </w:r>
      <w:proofErr w:type="spellEnd"/>
      <w:r>
        <w:t xml:space="preserve"> kitettségek értékvesztése vagy (–) értékvesztésének visszaírása” tartalmazza az e rész 213–239. bekezdésének megfelelően </w:t>
      </w:r>
      <w:proofErr w:type="spellStart"/>
      <w:r>
        <w:t>nemteljesítő</w:t>
      </w:r>
      <w:proofErr w:type="spellEnd"/>
      <w:r>
        <w:t xml:space="preserve"> kitettségek e rész 51–53. bekezdésében meghatározott értékvesztés miatti veszteségét. A „</w:t>
      </w:r>
      <w:proofErr w:type="spellStart"/>
      <w:r>
        <w:t>Nemteljesítő</w:t>
      </w:r>
      <w:proofErr w:type="spellEnd"/>
      <w:r>
        <w:t xml:space="preserve"> kitettségekre képzett céltartalékok vagy (–) céltartalékok visszaírása” tartalmazza az e rész 213–239. bekezdésének megfelelően </w:t>
      </w:r>
      <w:proofErr w:type="spellStart"/>
      <w:r>
        <w:t>nemteljesítő</w:t>
      </w:r>
      <w:proofErr w:type="spellEnd"/>
      <w:r>
        <w:t xml:space="preserve"> mérlegen kívüli kitettségek e rész 50. bekezdésében meghatározott céltartalékát.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361844253"/>
      <w:bookmarkStart w:id="316" w:name="_Toc524094074"/>
      <w:r>
        <w:t>Csoportszerkezet (40.)</w:t>
      </w:r>
      <w:bookmarkEnd w:id="313"/>
      <w:bookmarkEnd w:id="314"/>
      <w:bookmarkEnd w:id="316"/>
    </w:p>
    <w:bookmarkEnd w:id="315"/>
    <w:p w:rsidR="009569C7" w:rsidRPr="00EC4FA2" w:rsidRDefault="00A834F1" w:rsidP="009569C7">
      <w:pPr>
        <w:pStyle w:val="Baseparagraphnumbered"/>
      </w:pPr>
      <w:r>
        <w:t xml:space="preserve">Az intézményeknek részletes adatokat kell szolgáltatniuk az adatszolgáltatás vonatkozási időpontjában meglévő, a konszolidáció számviteli körében (teljesen vagy arányosan konszolidált) leányvállalatokra, közös vállalkozásokra és társult vállalkozásokra, valamint azon gazdálkodó egységekre vonatkozóan, amelyeket e rész 4. bekezdésének megfelelően a „Leányvállalatokba, közös vállalkozásokba, és társult vállalkozásokba történt befektetések” tételben tüntetnek fel, ideértve azokat a gazdálkodó egységeket is, amelyek esetében a befektetés értékesítésre tartott az IFRS 5 szerint. Az összes gazdálkodó egységet fel kell tüntetni, az általuk folytatott tevékenységtől függetlenül. </w:t>
      </w:r>
    </w:p>
    <w:p w:rsidR="009569C7" w:rsidRPr="00EC4FA2" w:rsidRDefault="00A834F1" w:rsidP="009569C7">
      <w:pPr>
        <w:pStyle w:val="Baseparagraphnumbered"/>
      </w:pPr>
      <w:r>
        <w:t xml:space="preserve"> Azon tulajdoni részesedést megtestesítő instrumentumokat, amelyek nem teljesítik a leányvállalatokba, közös vállalkozásokba és társult vállalkozásokba történt befektetésként való besorolás kritériumait, valamint az adatszolgáltató intézmény saját tulajdonában levő saját részvényeket („Saját részvények”) ki kell zárni e tábla hatóköréből.</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524094075"/>
      <w:r>
        <w:t>Csoportszerkezet: „intézményenként” (40.1.)</w:t>
      </w:r>
      <w:bookmarkEnd w:id="317"/>
      <w:bookmarkEnd w:id="318"/>
      <w:bookmarkEnd w:id="319"/>
      <w:bookmarkEnd w:id="320"/>
    </w:p>
    <w:p w:rsidR="009569C7" w:rsidRPr="00EC4FA2" w:rsidRDefault="00A834F1" w:rsidP="009569C7">
      <w:pPr>
        <w:pStyle w:val="Baseparagraphnumbered"/>
      </w:pPr>
      <w:r>
        <w:t xml:space="preserve">A következő adatokat intézményenként kell megadni, és a III. és a IV. melléklet, valamint e melléklet alkalmazásában a következő </w:t>
      </w:r>
      <w:proofErr w:type="spellStart"/>
      <w:r>
        <w:t>fogalommeghatározások</w:t>
      </w:r>
      <w:proofErr w:type="spellEnd"/>
      <w:r>
        <w:t xml:space="preserve"> alkalmazandók:</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LEI-kód</w:t>
      </w:r>
      <w:proofErr w:type="spellEnd"/>
      <w:r>
        <w:rPr>
          <w:rFonts w:ascii="Times New Roman" w:hAnsi="Times New Roman"/>
          <w:sz w:val="24"/>
        </w:rPr>
        <w:t xml:space="preserve">” a befektetést befogadó fél </w:t>
      </w:r>
      <w:proofErr w:type="spellStart"/>
      <w:r>
        <w:rPr>
          <w:rFonts w:ascii="Times New Roman" w:hAnsi="Times New Roman"/>
          <w:sz w:val="24"/>
        </w:rPr>
        <w:t>LEI-kódja</w:t>
      </w:r>
      <w:proofErr w:type="spellEnd"/>
      <w:r>
        <w:rPr>
          <w:rFonts w:ascii="Times New Roman" w:hAnsi="Times New Roman"/>
          <w:sz w:val="24"/>
        </w:rPr>
        <w:t xml:space="preserve">. Amennyiben a befektetést befogadó félnek van </w:t>
      </w:r>
      <w:proofErr w:type="spellStart"/>
      <w:r>
        <w:rPr>
          <w:rFonts w:ascii="Times New Roman" w:hAnsi="Times New Roman"/>
          <w:sz w:val="24"/>
        </w:rPr>
        <w:t>LEI-kódja</w:t>
      </w:r>
      <w:proofErr w:type="spellEnd"/>
      <w:r>
        <w:rPr>
          <w:rFonts w:ascii="Times New Roman" w:hAnsi="Times New Roman"/>
          <w:sz w:val="24"/>
        </w:rPr>
        <w:t>, azt meg kell adni;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intézmény kódja” a befektetést befogadó fél azonosító kódja. Az intézmény kódja egy sorazonosító és a 40.1. tábla minden egyes sora esetében egyedi.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„Az intézmény neve” a befektetést befogadó neve;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„Belépés időpontja” az a nap, amikor a befektetést befogadó belépett a csoportba;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befektetést befogadó jegyzett tőkéje” a befektetést befogadó által kibocsátott tőke teljes összege az adatszolgáltatás vonatkozási időpontjában;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befektetést befogadó saját tőkéje”, „A befektetést befogadó mérlegfőösszege” és „A befektetést befogadó nyeresége (vesztesége)” a befektetést befogadó utolsó pénzügyi kimutatásaiban szereplő összegeket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befektetést befogadó székhelye” a befektetést befogadó fél székhelye szerinti ország;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befektetést befogadó szektora” a partner szektorát jelenti az e melléklet 1. részének 42. pontjában meghatározottak szerint;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w:t>
      </w:r>
      <w:proofErr w:type="spellStart"/>
      <w:r>
        <w:rPr>
          <w:rFonts w:ascii="Times New Roman" w:hAnsi="Times New Roman"/>
          <w:sz w:val="24"/>
        </w:rPr>
        <w:t>NACE-kód</w:t>
      </w:r>
      <w:proofErr w:type="spellEnd"/>
      <w:r>
        <w:rPr>
          <w:rFonts w:ascii="Times New Roman" w:hAnsi="Times New Roman"/>
          <w:sz w:val="24"/>
        </w:rPr>
        <w:t>”</w:t>
      </w:r>
      <w:proofErr w:type="spellStart"/>
      <w:r>
        <w:rPr>
          <w:rFonts w:ascii="Times New Roman" w:hAnsi="Times New Roman"/>
          <w:sz w:val="24"/>
        </w:rPr>
        <w:t>-ot</w:t>
      </w:r>
      <w:proofErr w:type="spellEnd"/>
      <w:r>
        <w:rPr>
          <w:rFonts w:ascii="Times New Roman" w:hAnsi="Times New Roman"/>
          <w:sz w:val="24"/>
        </w:rPr>
        <w:t xml:space="preserve"> a befektetést befogadó fő tevékenysége alapján kell megadni. Nem pénzügyi vállalatok esetében a </w:t>
      </w:r>
      <w:proofErr w:type="spellStart"/>
      <w:r>
        <w:rPr>
          <w:rFonts w:ascii="Times New Roman" w:hAnsi="Times New Roman"/>
          <w:sz w:val="24"/>
        </w:rPr>
        <w:t>NACE-kódokat</w:t>
      </w:r>
      <w:proofErr w:type="spellEnd"/>
      <w:r>
        <w:rPr>
          <w:rFonts w:ascii="Times New Roman" w:hAnsi="Times New Roman"/>
          <w:sz w:val="24"/>
        </w:rPr>
        <w:t xml:space="preserve"> az első részletezési szinttel (nemzetgazdasági ágak szerint) kell megadni; pénzügyi vállalatok esetében a </w:t>
      </w:r>
      <w:proofErr w:type="spellStart"/>
      <w:r>
        <w:rPr>
          <w:rFonts w:ascii="Times New Roman" w:hAnsi="Times New Roman"/>
          <w:sz w:val="24"/>
        </w:rPr>
        <w:t>NACE-kódokat</w:t>
      </w:r>
      <w:proofErr w:type="spellEnd"/>
      <w:r>
        <w:rPr>
          <w:rFonts w:ascii="Times New Roman" w:hAnsi="Times New Roman"/>
          <w:sz w:val="24"/>
        </w:rPr>
        <w:t xml:space="preserve"> kétszintű részletességgel (ágazati szintek szerint) kell megadni;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„Halmozott tőkerészesedés (%)” az adatszolgáltatás időpontjában az intézmény birtokában lévő, tulajdonjogot megtestesítő instrumentumok százaléka;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„Szavazati jogok (%)” az adatszolgáltatás időpontjában az intézmény birtokában lévő, tulajdonjogot megtestesítő instrumentumokhoz kapcsolódó szavazati jogok százaléka.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„Csoportszerkezet [kapcsolat]” tartalmazza a végső anyavállalat és a befektetést befogadó közötti kapcsolatot (anyavállalat, az adatszolgáltató intézmény felett közös ellenőrzést gyakorló gazdálkodó egység, leányvállalat, közös vállalkozás vagy társult vállalkozás);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Az „Elszámolási módszer [Számviteli csoport]” tétel tartalmazza a számviteli kezelés kapcsolatát a konszolidáció számviteli körével (teljes konszolidáció, arányos konszolidáció, tőkemódszer vagy egyéb);</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Az „Elszámolási módszer [CRR csoport]” tétel tartalmazza az elszámolás módszerét a konszolidáció CRR szerinti körére vonatkozóan (teljes konszolidáció, arányos konszolidáció, tőkemódszer vagy egyéb);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„Könyv szerinti érték” az intézmény mérlegében a sem teljesen, sem arányosan nem konszolidált, befektetést befogadók tekintetében megjelenített összegeket jelenti;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„Akvizíció költsége” a befektetők által fizetett összeget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befektetést befogadóhoz kapcsolódó cégérték” az adatszolgáltató intézmény konszolidált mérlegében a „cégérték” vagy a „leányvállalatokba, közös vállalkozásokba és társult vállalkozásokba </w:t>
      </w:r>
      <w:r>
        <w:rPr>
          <w:rFonts w:ascii="Times New Roman" w:hAnsi="Times New Roman"/>
          <w:sz w:val="24"/>
        </w:rPr>
        <w:lastRenderedPageBreak/>
        <w:t>történt befektetések” között a befektetést befogadóra vonatkozóan szerepeltetett cégérték összegét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olyan befektetések valós értéke, amelyekre vonatkozóan nyilvánosan közzétett árjegyzés van” kategória az adatszolgáltatás időpontjában érvényes árat jelenti; csak jegyzett instrumentumok esetében kell megadni.</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524094076"/>
      <w:r>
        <w:t>Csoportszerkezet: „instrumentumonként” (40.2.)</w:t>
      </w:r>
      <w:bookmarkEnd w:id="321"/>
      <w:bookmarkEnd w:id="322"/>
      <w:bookmarkEnd w:id="323"/>
      <w:bookmarkEnd w:id="324"/>
    </w:p>
    <w:p w:rsidR="009569C7" w:rsidRPr="00EC4FA2" w:rsidRDefault="00A834F1" w:rsidP="009569C7">
      <w:pPr>
        <w:pStyle w:val="Baseparagraphnumbered"/>
      </w:pPr>
      <w:r>
        <w:t>A következő adatokat instrumentumonként kell megadni: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„Értékpapírkód” az értékpapír ISIN kódja. Az olyan értékpapírok esetében, amelyekhez nem rendeltek ISIN kódot, az értékpapírt egyedileg azonosító másik kódot kell megadni. Az „Értékpapírkód” és „A holdingtársaság kódja” összetett sorazonosítók és együttesen a 40.2. tábla egyes soraira vonatkozóan egyediek.</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„A holdingtársaság kódja” a csoporton belül a befektetést tulajdonló intézmény azonosító kódja. „A holdingtársaság LEI kódja” az értékpapírt tartó társaság LEI kódja. Ha a holdingtársaságnak van LEI kódja, azt fel kell tüntetni;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„Az intézmény kódja”, a „Halmozott tőkerészesedés (%)”, a „Könyv szerinti érték” és az „Akvizíció költsége” tételek definíciója fentebb található. Az összegeknek meg kell egyezniük a kapcsolódó holding társaság által tartott értékpapírok összegével.</w:t>
      </w:r>
    </w:p>
    <w:p w:rsidR="009569C7" w:rsidRPr="00EC4FA2"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524094077"/>
      <w:r>
        <w:t>Valós érték (41.)</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524094078"/>
      <w:r>
        <w:t>Valósérték-hierarchia: amortizált bekerülési értéken értékelt pénzügyi instrumentumok (41.1.)</w:t>
      </w:r>
      <w:bookmarkEnd w:id="329"/>
      <w:bookmarkEnd w:id="330"/>
      <w:bookmarkEnd w:id="331"/>
      <w:bookmarkEnd w:id="332"/>
      <w:r>
        <w:t xml:space="preserve"> </w:t>
      </w:r>
    </w:p>
    <w:p w:rsidR="009569C7" w:rsidRPr="00EC4FA2" w:rsidRDefault="00A834F1" w:rsidP="009569C7">
      <w:pPr>
        <w:pStyle w:val="Baseparagraphnumbered"/>
      </w:pPr>
      <w:r>
        <w:t>Ebben a táblában az amortizált bekerülési értéken értékelt pénzügyi instrumentumok valós értékére vonatkozó adatokat kell megadni az IFRS 13 72., 76., 81. és 86. bekezdése szerinti hierarchia alkalmazásával. Amennyiben a BAD alapján kidolgozott nemzeti GAAP szintén előírja a valós értéken értékelt eszközök különböző valósérték-szintek közötti allokációját, a nemzeti GAAP hatálya alá tartozó intézményeknek is ki kell tölteniük ezt a táblát.</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524094079"/>
      <w:r>
        <w:t>A valós érték opció alkalmazása (41.2.)</w:t>
      </w:r>
      <w:bookmarkEnd w:id="333"/>
      <w:bookmarkEnd w:id="334"/>
      <w:bookmarkEnd w:id="335"/>
      <w:bookmarkEnd w:id="336"/>
    </w:p>
    <w:p w:rsidR="009569C7" w:rsidRPr="00EC4FA2" w:rsidRDefault="00A834F1" w:rsidP="009569C7">
      <w:pPr>
        <w:pStyle w:val="Baseparagraphnumbered"/>
      </w:pPr>
      <w:r>
        <w:t xml:space="preserve">Az eredménnyel szemben valós értéken értékeltnek megjelölt pénzügyi eszközök és kötelezettségek tekintetében a valós érték opció alkalmazására vonatkozó információt ebben a táblában kell megadni. </w:t>
      </w:r>
    </w:p>
    <w:p w:rsidR="009569C7" w:rsidRPr="00EC4FA2" w:rsidRDefault="00A834F1" w:rsidP="009569C7">
      <w:pPr>
        <w:pStyle w:val="Baseparagraphnumbered"/>
      </w:pPr>
      <w:r>
        <w:t>A „Hibrid szerződések” tartalmazza a kötelezettségek vonatkozásában az ezekbe a számviteli portfóliókba besorolt hibrid pénzügyi instrumentumok egészének könyv szerinti értékét; vagyis ez teljes egészében tartalmazza a nem elkülönített hibrid instrumentumokat.</w:t>
      </w:r>
    </w:p>
    <w:p w:rsidR="009569C7" w:rsidRPr="00EC4FA2" w:rsidRDefault="00A834F1" w:rsidP="009569C7">
      <w:pPr>
        <w:pStyle w:val="Baseparagraphnumbered"/>
      </w:pPr>
      <w:r>
        <w:t xml:space="preserve">A „Hitelkockázat szempontjából kezelt” tétel tartalmazza az eredménnyel szemben valós értéken értékeltnek megjelölt instrumentumok könyv szerinti értékét azzal összefüggésben, hogy azokat az IFRS 9 6.7. </w:t>
      </w:r>
      <w:r>
        <w:lastRenderedPageBreak/>
        <w:t xml:space="preserve">bekezdésének megfelelően az eredménnyel szemben valós értéken értékelt </w:t>
      </w:r>
      <w:proofErr w:type="spellStart"/>
      <w:r>
        <w:t>hitelderivatívával</w:t>
      </w:r>
      <w:proofErr w:type="spellEnd"/>
      <w:r>
        <w:t xml:space="preserve"> fedezik a hitelkockázattal szemben.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524094080"/>
      <w:r>
        <w:t>Tárgyi eszközök és immateriális javak: könyv szerinti érték értékelési módszer szerint (42.)</w:t>
      </w:r>
      <w:bookmarkEnd w:id="337"/>
      <w:bookmarkEnd w:id="338"/>
      <w:bookmarkEnd w:id="339"/>
      <w:bookmarkEnd w:id="340"/>
    </w:p>
    <w:p w:rsidR="009569C7" w:rsidRPr="00EC4FA2" w:rsidRDefault="00A834F1" w:rsidP="009569C7">
      <w:pPr>
        <w:pStyle w:val="Baseparagraphnumbered"/>
      </w:pPr>
      <w:r>
        <w:t xml:space="preserve"> Az „Ingatlanok, gépek és berendezések”, a „Befektetési célú ingatlan” és „Egyéb immateriális javak” tételeket az értékelésükre használt kritériumoknak megfelelően kell feltüntetni.</w:t>
      </w:r>
    </w:p>
    <w:p w:rsidR="009569C7" w:rsidRPr="00EC4FA2" w:rsidRDefault="00A834F1" w:rsidP="009569C7">
      <w:pPr>
        <w:pStyle w:val="Baseparagraphnumbered"/>
      </w:pPr>
      <w:r>
        <w:t>Az „Egyéb immateriális javak” az egyéb immateriális javakat tartalmazza, kivéve a cégértéket.</w:t>
      </w:r>
    </w:p>
    <w:p w:rsidR="009569C7" w:rsidRPr="00EC4FA2"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524094081"/>
      <w:r>
        <w:t>Céltartalékok (43.)</w:t>
      </w:r>
      <w:bookmarkEnd w:id="341"/>
      <w:bookmarkEnd w:id="342"/>
      <w:bookmarkEnd w:id="343"/>
      <w:bookmarkEnd w:id="344"/>
    </w:p>
    <w:p w:rsidR="009569C7" w:rsidRPr="00EC4FA2" w:rsidRDefault="00A834F1" w:rsidP="009569C7">
      <w:pPr>
        <w:pStyle w:val="Baseparagraphnumbered"/>
      </w:pPr>
      <w:r>
        <w:t>Ez a tábla tartalmazza a „Céltartalékok” időszak eleji és végi könyv szerinti értékének egyeztetését a változások jellege szerint, kivéve az IFRS 9 szerint értékelt céltartalékokat, amelyeket a 12. táblában kell feltüntetni.</w:t>
      </w:r>
    </w:p>
    <w:p w:rsidR="009569C7" w:rsidRPr="00EC4FA2" w:rsidRDefault="00A834F1" w:rsidP="009569C7">
      <w:pPr>
        <w:pStyle w:val="Baseparagraphnumbered"/>
      </w:pPr>
      <w:r>
        <w:t xml:space="preserve">Az „IAS 37 szerint értékelt egyéb elkötelezettségek és adott garanciák és az IFRS 4 szerint értékelt adott garanciák” tartalmazza az IAS 37 szerint értékelt céltartalékokat, valamint az IFRS 4 szerint biztosítási szerződésként kezelt pénzügyi garanciák hitelezési veszteségeit. </w:t>
      </w:r>
    </w:p>
    <w:p w:rsidR="009569C7" w:rsidRPr="00EC4FA2"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524094082"/>
      <w:r>
        <w:t>Meghatározott juttatási programok és munkavállalói juttatások (44.)</w:t>
      </w:r>
      <w:bookmarkEnd w:id="345"/>
      <w:bookmarkEnd w:id="346"/>
      <w:bookmarkEnd w:id="347"/>
      <w:bookmarkEnd w:id="348"/>
    </w:p>
    <w:p w:rsidR="009569C7" w:rsidRPr="00EC4FA2" w:rsidRDefault="00A834F1" w:rsidP="009569C7">
      <w:pPr>
        <w:pStyle w:val="Baseparagraphnumbered"/>
      </w:pPr>
      <w:r>
        <w:t>Ezek a táblák az intézmény összes meghatározott juttatási programjára vonatkozó halmozott adatokat tartalmazzák. Ha az intézménynek egynél több meghatározott juttatási programja van, az összes program összesített értékét kell feltüntetni.</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524094083"/>
      <w:r>
        <w:t>A meghatározott juttatási programok nettó eszközeinek és kötelezettségeinek összetevői (44.1.)</w:t>
      </w:r>
      <w:bookmarkEnd w:id="349"/>
      <w:bookmarkEnd w:id="350"/>
      <w:bookmarkEnd w:id="351"/>
      <w:bookmarkEnd w:id="352"/>
    </w:p>
    <w:p w:rsidR="009569C7" w:rsidRPr="00EC4FA2" w:rsidRDefault="00A834F1" w:rsidP="009569C7">
      <w:pPr>
        <w:pStyle w:val="Baseparagraphnumbered"/>
      </w:pPr>
      <w:r>
        <w:t>A meghatározott juttatási programok nettó eszközeinek és kötelezettségeinek összetevőire vonatkozó tábla a meghatározott juttatási programok összes nettó kötelezettségei (eszközei) halmozott jelenértékének egyeztetését, valamint a visszatérítési jogokat [IAS 19140. bekezdésének a), b) pontja] mutatja be.</w:t>
      </w:r>
    </w:p>
    <w:p w:rsidR="009569C7" w:rsidRPr="00EC4FA2" w:rsidRDefault="00A834F1" w:rsidP="009569C7">
      <w:pPr>
        <w:pStyle w:val="Baseparagraphnumbered"/>
      </w:pPr>
      <w:r>
        <w:t xml:space="preserve">„A meghatározott juttatási program nettó eszközei” többlet esetén tartalmazza a többlet azon összegeit, amelyeket a mérlegben meg kell jeleníteni, mivel azokra nem vonatkoznak az IAS 19 63. bekezdésében meghatározott limitek. Ennek a tételnek az összegét és az „Eszközként megjelenített visszatérítési jogok valós értéke” tájékoztató adatban megjelenített összeget a mérleg „Egyéb eszközök” tétele tartalmazza. </w:t>
      </w:r>
    </w:p>
    <w:p w:rsidR="009569C7" w:rsidRPr="00EC4FA2" w:rsidRDefault="00A834F1" w:rsidP="009569C7">
      <w:pPr>
        <w:pStyle w:val="sub-subtitlenumbered"/>
        <w:jc w:val="both"/>
      </w:pPr>
      <w:r>
        <w:t xml:space="preserve"> </w:t>
      </w:r>
      <w:bookmarkStart w:id="353" w:name="_Toc361844264"/>
      <w:bookmarkStart w:id="354" w:name="_Toc362359335"/>
      <w:bookmarkStart w:id="355" w:name="_Toc467855269"/>
      <w:bookmarkStart w:id="356" w:name="_Toc524094084"/>
      <w:r>
        <w:t>A meghatározott juttatási programban vállalt kötelmek változásai (44.2.)</w:t>
      </w:r>
      <w:bookmarkEnd w:id="353"/>
      <w:bookmarkEnd w:id="354"/>
      <w:bookmarkEnd w:id="355"/>
      <w:bookmarkEnd w:id="356"/>
    </w:p>
    <w:p w:rsidR="009569C7" w:rsidRPr="00EC4FA2" w:rsidRDefault="00A834F1" w:rsidP="009569C7">
      <w:pPr>
        <w:pStyle w:val="Baseparagraphnumbered"/>
      </w:pPr>
      <w:r>
        <w:t xml:space="preserve">A meghatározott juttatási programban vállalt kötelmek változásaira vonatkozó tábla az intézmény összes meghatározott juttatási kötelme </w:t>
      </w:r>
      <w:r>
        <w:lastRenderedPageBreak/>
        <w:t>halmozott jelenértékének nyitó és záró egyenlegére vonatkozó egyeztetést mutatja. Az IAS 19141. bekezdésében felsorolt különböző elemek időszak alatti hatásait külön kell megjeleníteni.</w:t>
      </w:r>
    </w:p>
    <w:p w:rsidR="009569C7" w:rsidRPr="00EC4FA2" w:rsidRDefault="00A834F1" w:rsidP="009569C7">
      <w:pPr>
        <w:pStyle w:val="Baseparagraphnumbered"/>
      </w:pPr>
      <w:r>
        <w:t>A meghatározott juttatási programban vállalt kötelmek változására vonatkozó táblában feltüntetett „Záró egyenleg [jelenérték]” összegének egyenlőnek kell lennie a „Meghatározott juttatási kötelmek jelenértéke” összegével.</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524094085"/>
      <w:r>
        <w:t>Tájékoztató adatok [személyi jellegű ráfordításokhoz kapcsolódó] (44.3.)</w:t>
      </w:r>
      <w:bookmarkEnd w:id="357"/>
      <w:bookmarkEnd w:id="358"/>
      <w:bookmarkEnd w:id="359"/>
      <w:bookmarkEnd w:id="360"/>
    </w:p>
    <w:p w:rsidR="009569C7" w:rsidRPr="00EC4FA2" w:rsidRDefault="00A834F1" w:rsidP="009569C7">
      <w:pPr>
        <w:pStyle w:val="Baseparagraphnumbered"/>
      </w:pPr>
      <w:r>
        <w:t xml:space="preserve">A személyi jellegű ráfordításokhoz kapcsolódó tájékoztató adatok feltüntetésekor a következő fogalmakat kell használni: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 „Nyugdíjak és hasonló ráfordítások” az időszak alatt bármely munkaviszony megszűnése utáni szolgáltatás nyújtására vonatkozó kötelem (meghatározott hozzájárulási programok és meghatározott juttatási programok) tekintetében személyi jellegű kiadásként megjelenített összegeket és társadalombiztosítási hozzájárulásokat tartalmazza.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 „Részvényalapú kifizetések” az időszak alatt a személyi jellegű kiadásként megjelenített részvényalapú kifizetések összegét tartalmazza. </w:t>
      </w:r>
    </w:p>
    <w:p w:rsidR="009569C7" w:rsidRPr="00EC4FA2" w:rsidRDefault="00A834F1" w:rsidP="009569C7">
      <w:pPr>
        <w:pStyle w:val="subtitlenumbered"/>
        <w:numPr>
          <w:ilvl w:val="0"/>
          <w:numId w:val="17"/>
        </w:numPr>
        <w:jc w:val="both"/>
      </w:pPr>
      <w:bookmarkStart w:id="361" w:name="_Toc361844266"/>
      <w:bookmarkStart w:id="362" w:name="_Toc362359337"/>
      <w:bookmarkStart w:id="363" w:name="_Toc467855271"/>
      <w:bookmarkStart w:id="364" w:name="_Toc524094086"/>
      <w:r>
        <w:t>Az eredménykimutatás kiválasztott tételeinek részletezése (45.)</w:t>
      </w:r>
      <w:bookmarkEnd w:id="361"/>
      <w:bookmarkEnd w:id="362"/>
      <w:bookmarkEnd w:id="363"/>
      <w:bookmarkEnd w:id="364"/>
    </w:p>
    <w:p w:rsidR="009569C7" w:rsidRPr="00EC4FA2" w:rsidRDefault="00A834F1" w:rsidP="009569C7">
      <w:pPr>
        <w:pStyle w:val="sub-subtitlenumbered"/>
        <w:jc w:val="both"/>
      </w:pPr>
      <w:bookmarkStart w:id="365" w:name="_Toc467855272"/>
      <w:bookmarkStart w:id="366" w:name="_Toc361844267"/>
      <w:bookmarkStart w:id="367" w:name="_Toc362359338"/>
      <w:bookmarkStart w:id="368" w:name="_Toc524094087"/>
      <w:r>
        <w:t>Az eredménnyel szemben valós értéken értékeltnek megjelölt pénzügyi eszközök és kötelezettségek nyeresége vagy vesztesége számviteli portfólió szerint (45.1.)</w:t>
      </w:r>
      <w:bookmarkEnd w:id="365"/>
      <w:bookmarkEnd w:id="368"/>
    </w:p>
    <w:p w:rsidR="009569C7" w:rsidRPr="00EC4FA2" w:rsidRDefault="00A834F1" w:rsidP="009569C7">
      <w:pPr>
        <w:pStyle w:val="Baseparagraphnumbered"/>
      </w:pPr>
      <w:r>
        <w:t>„Az eredménnyel szemben valós értéken értékeltnek megjelölt pénzügyi kötelezettségek” csak akkor tartalmazza az eredménnyel szemben valós értéken értékeltnek megjelölt kötelezettségek kibocsátóinak saját hitelkockázatában bekövetkezett változásokból eredő nyereségeket vagy veszteségeket, ha az adatszolgáltató intézmény úgy döntött, hogy azokat az eredményben jeleníti meg, mivel az egyéb átfogó jövedelemben való megjelenítés számviteli meg nem felelést eredményezne vagy növelné azt.</w:t>
      </w:r>
    </w:p>
    <w:p w:rsidR="009569C7" w:rsidRPr="00EC4FA2" w:rsidRDefault="00A834F1" w:rsidP="009569C7">
      <w:pPr>
        <w:pStyle w:val="sub-subtitlenumbered"/>
        <w:jc w:val="both"/>
      </w:pPr>
      <w:bookmarkStart w:id="369" w:name="_Toc467855273"/>
      <w:bookmarkStart w:id="370" w:name="_Toc524094088"/>
      <w:r>
        <w:t>Nem pénzügyi eszközök kivezetéséből származó nyereség vagy veszteség (45.2.)</w:t>
      </w:r>
      <w:bookmarkEnd w:id="366"/>
      <w:bookmarkEnd w:id="367"/>
      <w:bookmarkEnd w:id="369"/>
      <w:bookmarkEnd w:id="370"/>
    </w:p>
    <w:p w:rsidR="009569C7" w:rsidRPr="00EC4FA2" w:rsidRDefault="00A834F1" w:rsidP="009569C7">
      <w:pPr>
        <w:pStyle w:val="Baseparagraphnumbered"/>
      </w:pPr>
      <w:r>
        <w:t xml:space="preserve">A „Nem pénzügyi eszközök kivezetéséből származó nyereség vagy veszteség” tételt eszköztípus szerint kell részletezni; minden egyes sorban meg kell adni a kivezetett eszközből származó nyereséget vagy veszteséget. Az „Egyéb eszközök” tartalmazza a máshol fel nem tüntetett egyéb tárgyi eszközöket, immateriális javakat és befektetéseket.  </w:t>
      </w:r>
    </w:p>
    <w:p w:rsidR="009569C7" w:rsidRPr="00EC4FA2" w:rsidRDefault="00A834F1" w:rsidP="009569C7">
      <w:pPr>
        <w:pStyle w:val="sub-subtitlenumbered"/>
        <w:jc w:val="both"/>
      </w:pPr>
      <w:bookmarkStart w:id="371" w:name="_Toc361844268"/>
      <w:bookmarkStart w:id="372" w:name="_Toc362359339"/>
      <w:bookmarkStart w:id="373" w:name="_Toc467855274"/>
      <w:bookmarkStart w:id="374" w:name="_Toc524094089"/>
      <w:r>
        <w:t>Egyéb működési bevételek és ráfordítások (45.3.)</w:t>
      </w:r>
      <w:bookmarkEnd w:id="371"/>
      <w:bookmarkEnd w:id="372"/>
      <w:bookmarkEnd w:id="373"/>
      <w:bookmarkEnd w:id="374"/>
    </w:p>
    <w:p w:rsidR="009569C7" w:rsidRPr="00EC4FA2" w:rsidRDefault="00A834F1" w:rsidP="009569C7">
      <w:pPr>
        <w:pStyle w:val="Baseparagraphnumbered"/>
      </w:pPr>
      <w:r>
        <w:t xml:space="preserve">Az egyéb működési bevételeket és ráfordításokat a következő tételek szerint kell részletezni: a valósérték-modell alkalmazásával értékelt tárgyi eszközök valósérték-korrekciói; befektetési célú ingatlanokból származó </w:t>
      </w:r>
      <w:proofErr w:type="spellStart"/>
      <w:r>
        <w:lastRenderedPageBreak/>
        <w:t>bérletidíj-bevételek</w:t>
      </w:r>
      <w:proofErr w:type="spellEnd"/>
      <w:r>
        <w:t xml:space="preserve"> és közvetlen működési költségek; az operatív lízingből (kivéve a nem befektetési célú ingatlanokból) származó bevételek és ráfordítások, és a többi működési bevétel és ráfordítás. </w:t>
      </w:r>
    </w:p>
    <w:p w:rsidR="009569C7" w:rsidRPr="00EC4FA2" w:rsidRDefault="00A834F1" w:rsidP="009569C7">
      <w:pPr>
        <w:pStyle w:val="Baseparagraphnumbered"/>
      </w:pPr>
      <w:r>
        <w:t>Az „Operatív lízing, kivéve befektetési célú ingatlan” a „bevétel” oszlopban tartalmazza az intézmény, mint lízingbe adó által operatív lízingtevékenysége – kivéve a befektetési célú ingatlanként minősített eszközökkel folytatott ilyen tevékenységet – során kapott hozamokat, a „Ráfordítások” oszlopban pedig a nála felmerült költségeket. Az intézmény, mint lízingbe vevő költségeit az „Egyéb adminisztrációs ráfordítások” tételnél kell feltüntetni.</w:t>
      </w:r>
    </w:p>
    <w:p w:rsidR="009569C7" w:rsidRPr="00EC4FA2" w:rsidRDefault="00A834F1" w:rsidP="009569C7">
      <w:pPr>
        <w:pStyle w:val="Baseparagraphnumbered"/>
      </w:pPr>
      <w:r>
        <w:t>Az értékesítési költségekkel csökkentett valós értéken értékelt arany, egyéb nemesfém-állományok és egyéb áruk kivezetéséből és átértékeléséből származó nyereséget és veszteséget az „Egyéb működési bevételek. Egyéb” vagy az „Egyéb működési költségek. Egyéb” tételben kell megadni.</w:t>
      </w:r>
    </w:p>
    <w:p w:rsidR="009569C7" w:rsidRPr="00EC4FA2"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524094090"/>
      <w:r>
        <w:t>A sajáttőke-változások kimutatása</w:t>
      </w:r>
      <w:bookmarkEnd w:id="375"/>
      <w:r>
        <w:t xml:space="preserve"> (46.)</w:t>
      </w:r>
      <w:bookmarkEnd w:id="376"/>
      <w:bookmarkEnd w:id="377"/>
      <w:bookmarkEnd w:id="378"/>
      <w:bookmarkEnd w:id="379"/>
    </w:p>
    <w:p w:rsidR="009569C7" w:rsidRPr="00EC4FA2" w:rsidRDefault="00A834F1" w:rsidP="009569C7">
      <w:pPr>
        <w:pStyle w:val="Baseparagraphnumbered"/>
      </w:pPr>
      <w:r>
        <w:t>A saját tőke változásainak kimutatása a saját tőke minden egyes elemére vonatkozóan tartalmazza az időszak eleji (nyitó egyenleg) és az időszak végi (záró egyenleg) könyv szerinti értékek egyeztetését.</w:t>
      </w:r>
    </w:p>
    <w:p w:rsidR="009569C7" w:rsidRPr="00EC4FA2" w:rsidRDefault="00A834F1" w:rsidP="009569C7">
      <w:pPr>
        <w:pStyle w:val="Baseparagraphnumbered"/>
        <w:rPr>
          <w:caps/>
        </w:rPr>
      </w:pPr>
      <w:r>
        <w:t xml:space="preserve">Az „Átvezetés a saját tőke összetevői között” tartalmazza a saját tőkén belül átvezetett valamennyi összeget, ideértve az eredménnyel szemben valós értéken értékeltnek megjelölt kötelezettségek saját hitelkockázatából eredő nyereségeket és veszteségeket, valamint az egyéb átfogó jövedelemmel szemben valós értéken értékelt, tulajdoni részesedést megtestesítő instrumentumok halmozott valósérték-változásait, amelyeket a kivezetéskor a saját tőke egyéb összetevői közé vezetnek át. </w:t>
      </w:r>
    </w:p>
    <w:p w:rsidR="009569C7" w:rsidRPr="00EC4FA2" w:rsidRDefault="009569C7" w:rsidP="009569C7">
      <w:pPr>
        <w:jc w:val="center"/>
        <w:rPr>
          <w:rFonts w:ascii="Times New Roman" w:hAnsi="Times New Roman"/>
          <w:b/>
          <w:sz w:val="24"/>
          <w:szCs w:val="24"/>
        </w:rPr>
      </w:pPr>
      <w:bookmarkStart w:id="380"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3. RÉSZ</w:t>
      </w:r>
      <w:bookmarkEnd w:id="380"/>
    </w:p>
    <w:p w:rsidR="009569C7" w:rsidRPr="00EC4FA2" w:rsidRDefault="00A834F1" w:rsidP="009569C7">
      <w:pPr>
        <w:pStyle w:val="Heading1"/>
      </w:pPr>
      <w:bookmarkStart w:id="381" w:name="_Toc359315703"/>
      <w:bookmarkStart w:id="382" w:name="_Toc361844271"/>
      <w:bookmarkStart w:id="383" w:name="_Toc362359341"/>
      <w:bookmarkStart w:id="384" w:name="_Toc467855276"/>
      <w:bookmarkStart w:id="385" w:name="_Toc524094091"/>
      <w:r>
        <w:t>A kitettségi osztályok és ügyfélszektorok megfeleltetése</w:t>
      </w:r>
      <w:bookmarkEnd w:id="381"/>
      <w:bookmarkEnd w:id="382"/>
      <w:bookmarkEnd w:id="383"/>
      <w:bookmarkEnd w:id="384"/>
      <w:bookmarkEnd w:id="385"/>
    </w:p>
    <w:p w:rsidR="009569C7" w:rsidRPr="00EC4FA2" w:rsidRDefault="009569C7" w:rsidP="009569C7"/>
    <w:p w:rsidR="009569C7" w:rsidRPr="00EC4FA2" w:rsidRDefault="00A834F1" w:rsidP="009569C7">
      <w:pPr>
        <w:pStyle w:val="Baseparagraphnumbered"/>
        <w:numPr>
          <w:ilvl w:val="0"/>
          <w:numId w:val="37"/>
        </w:numPr>
      </w:pPr>
      <w:r>
        <w:t xml:space="preserve">A 2. és a 3. táblázat a tőkekövetelmények CRR szerinti kiszámításához használt </w:t>
      </w:r>
      <w:proofErr w:type="spellStart"/>
      <w:r>
        <w:t>kitettségi</w:t>
      </w:r>
      <w:proofErr w:type="spellEnd"/>
      <w:r>
        <w:t xml:space="preserve"> osztályokat felelteti meg a </w:t>
      </w:r>
      <w:proofErr w:type="spellStart"/>
      <w:r>
        <w:t>FINREP-táblákban</w:t>
      </w:r>
      <w:proofErr w:type="spellEnd"/>
      <w:r>
        <w:t xml:space="preserve"> használt ügyfélszektoroknak.</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2. táblázat Sztenderd módszer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SA </w:t>
            </w:r>
            <w:proofErr w:type="spellStart"/>
            <w:r>
              <w:rPr>
                <w:rFonts w:ascii="Times New Roman" w:hAnsi="Times New Roman"/>
                <w:b/>
                <w:i/>
                <w:sz w:val="20"/>
              </w:rPr>
              <w:t>kitettségi</w:t>
            </w:r>
            <w:proofErr w:type="spellEnd"/>
            <w:r>
              <w:rPr>
                <w:rFonts w:ascii="Times New Roman" w:hAnsi="Times New Roman"/>
                <w:b/>
                <w:i/>
                <w:sz w:val="20"/>
              </w:rPr>
              <w:t xml:space="preserve"> osztályok (CRR 112. cikke)</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 ügyfélszektorok</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Megjegyzések</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Központi kormányzatok vagy központi bankok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b) Regionális kormányzatok vagy helyi hatóságok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Közszektorbeli intézmények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Államháztartások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Multilaterális fejlesztési bankok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Nemzetközi szervezetek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Intézmények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(vagyis hitelintézetek és befektetési vállalkozások)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Vállalkozások</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Nem pénzügyi vállalatok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Lakosság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Ingatlanra bejegyzett zálogjoggal fedezett kitettségek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j) </w:t>
            </w:r>
            <w:proofErr w:type="spellStart"/>
            <w:r>
              <w:rPr>
                <w:rFonts w:ascii="Times New Roman" w:hAnsi="Times New Roman"/>
                <w:sz w:val="18"/>
              </w:rPr>
              <w:t>Nemteljesítő</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Kiemelkedően magas kockázatú tételek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Fedezett kötvények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l) </w:t>
            </w:r>
            <w:proofErr w:type="spellStart"/>
            <w:r>
              <w:rPr>
                <w:rFonts w:ascii="Times New Roman" w:hAnsi="Times New Roman"/>
                <w:sz w:val="18"/>
              </w:rPr>
              <w:t>Értékpapírosítási</w:t>
            </w:r>
            <w:proofErr w:type="spellEnd"/>
            <w:r>
              <w:rPr>
                <w:rFonts w:ascii="Times New Roman" w:hAnsi="Times New Roman"/>
                <w:sz w:val="18"/>
              </w:rPr>
              <w:t xml:space="preserve"> pozíciók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Ezeket a kitettségeket az értékpapírosítás mögöttes kockázata alapján kell hozzárendelni a FINREP ügyfélszektorokhoz. Amikor az </w:t>
            </w:r>
            <w:proofErr w:type="spellStart"/>
            <w:r>
              <w:rPr>
                <w:rFonts w:ascii="Times New Roman" w:hAnsi="Times New Roman"/>
                <w:sz w:val="18"/>
              </w:rPr>
              <w:t>értékpapírosítási</w:t>
            </w:r>
            <w:proofErr w:type="spellEnd"/>
            <w:r>
              <w:rPr>
                <w:rFonts w:ascii="Times New Roman" w:hAnsi="Times New Roman"/>
                <w:sz w:val="18"/>
              </w:rPr>
              <w:t xml:space="preserve"> pozíciók továbbra is szerepelnek a mérlegben, a </w:t>
            </w:r>
            <w:proofErr w:type="spellStart"/>
            <w:r>
              <w:rPr>
                <w:rFonts w:ascii="Times New Roman" w:hAnsi="Times New Roman"/>
                <w:sz w:val="18"/>
              </w:rPr>
              <w:t>FINREP-ben</w:t>
            </w:r>
            <w:proofErr w:type="spellEnd"/>
            <w:r>
              <w:rPr>
                <w:rFonts w:ascii="Times New Roman" w:hAnsi="Times New Roman"/>
                <w:sz w:val="18"/>
              </w:rPr>
              <w:t xml:space="preserve"> az ügyfélszektorok az ezen pozíciók közvetlen partnereinek szektorát jelentik.</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Rövid távú hitelminősítéssel rendelkező intézmények és vállalatok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Kollektív befektetési formák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KBF-be</w:t>
            </w:r>
            <w:proofErr w:type="spellEnd"/>
            <w:r>
              <w:rPr>
                <w:rFonts w:ascii="Times New Roman" w:hAnsi="Times New Roman"/>
                <w:sz w:val="18"/>
              </w:rPr>
              <w:t xml:space="preserve"> történő befektetéseket tulajdoni részesedést megtestesítő instrumentumként kell a </w:t>
            </w:r>
            <w:proofErr w:type="spellStart"/>
            <w:r>
              <w:rPr>
                <w:rFonts w:ascii="Times New Roman" w:hAnsi="Times New Roman"/>
                <w:sz w:val="18"/>
              </w:rPr>
              <w:t>FINREP-ben</w:t>
            </w:r>
            <w:proofErr w:type="spellEnd"/>
            <w:r>
              <w:rPr>
                <w:rFonts w:ascii="Times New Roman" w:hAnsi="Times New Roman"/>
                <w:sz w:val="18"/>
              </w:rPr>
              <w:t xml:space="preserve"> feltüntetni, függetlenül attól, hogy a CRR lehetővé teszi-e a vizsgálati módszert („</w:t>
            </w:r>
            <w:proofErr w:type="spellStart"/>
            <w:r>
              <w:rPr>
                <w:rFonts w:ascii="Times New Roman" w:hAnsi="Times New Roman"/>
                <w:sz w:val="18"/>
              </w:rPr>
              <w:t>look-through</w:t>
            </w:r>
            <w:proofErr w:type="spellEnd"/>
            <w:r>
              <w:rPr>
                <w:rFonts w:ascii="Times New Roman" w:hAnsi="Times New Roman"/>
                <w:sz w:val="18"/>
              </w:rPr>
              <w:t>”).</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Saját tőke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 részvényeket instrumentumként el kell különíteni a pénzügyi eszközök különböző kategóriáiban.</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Egyéb tételek</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mérleg különböző tételei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az egyéb tételek különböző eszközkategóriákban szerepelhetnek.</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3. táblázat Belső minősítésen alapuló módszer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IRBA </w:t>
            </w:r>
            <w:proofErr w:type="spellStart"/>
            <w:r>
              <w:rPr>
                <w:rFonts w:ascii="Times New Roman" w:hAnsi="Times New Roman"/>
                <w:b/>
                <w:i/>
                <w:sz w:val="20"/>
              </w:rPr>
              <w:t>Kitettségi</w:t>
            </w:r>
            <w:proofErr w:type="spellEnd"/>
            <w:r>
              <w:rPr>
                <w:rFonts w:ascii="Times New Roman" w:hAnsi="Times New Roman"/>
                <w:b/>
                <w:i/>
                <w:sz w:val="20"/>
              </w:rPr>
              <w:t xml:space="preserve"> osztályok</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(CRR 147. cikke)</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ügyfélszektorok</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Megjegyzések</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Központi kormányzatok és központi bankok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 közvetlen partner jellege alapján kell hozzárendelni a FINREP ügyfélszektorokhoz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Intézmények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(vagyis hitelintézetek és befektetési vállalkozások, valamint bizonyos államháztartások és multilaterális bankok)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Államháztartások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Vállalkozások</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Lakosság</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Saját tőke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 részvényeket instrumentumként el kell különíteni a pénzügyi eszközök különböző kategóriáiban.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Értékpapírosítási</w:t>
            </w:r>
            <w:proofErr w:type="spellEnd"/>
            <w:r>
              <w:rPr>
                <w:rFonts w:ascii="Times New Roman" w:hAnsi="Times New Roman"/>
                <w:sz w:val="18"/>
              </w:rPr>
              <w:t xml:space="preserve"> pozíciók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az </w:t>
            </w:r>
            <w:proofErr w:type="spellStart"/>
            <w:r>
              <w:rPr>
                <w:rFonts w:ascii="Times New Roman" w:hAnsi="Times New Roman"/>
                <w:sz w:val="18"/>
              </w:rPr>
              <w:t>értékpapírosítási</w:t>
            </w:r>
            <w:proofErr w:type="spellEnd"/>
            <w:r>
              <w:rPr>
                <w:rFonts w:ascii="Times New Roman" w:hAnsi="Times New Roman"/>
                <w:sz w:val="18"/>
              </w:rPr>
              <w:t xml:space="preserve"> pozíció mögöttes kockázata alapján kell hozzárendelni a FINREP ügyfélszektorokhoz. Amikor az </w:t>
            </w:r>
            <w:proofErr w:type="spellStart"/>
            <w:r>
              <w:rPr>
                <w:rFonts w:ascii="Times New Roman" w:hAnsi="Times New Roman"/>
                <w:sz w:val="18"/>
              </w:rPr>
              <w:t>értékpapírosítási</w:t>
            </w:r>
            <w:proofErr w:type="spellEnd"/>
            <w:r>
              <w:rPr>
                <w:rFonts w:ascii="Times New Roman" w:hAnsi="Times New Roman"/>
                <w:sz w:val="18"/>
              </w:rPr>
              <w:t xml:space="preserve"> pozíciók továbbra is szerepelnek a mérlegben, a </w:t>
            </w:r>
            <w:proofErr w:type="spellStart"/>
            <w:r>
              <w:rPr>
                <w:rFonts w:ascii="Times New Roman" w:hAnsi="Times New Roman"/>
                <w:sz w:val="18"/>
              </w:rPr>
              <w:t>FINREP-ben</w:t>
            </w:r>
            <w:proofErr w:type="spellEnd"/>
            <w:r>
              <w:rPr>
                <w:rFonts w:ascii="Times New Roman" w:hAnsi="Times New Roman"/>
                <w:sz w:val="18"/>
              </w:rPr>
              <w:t xml:space="preserve"> az ügyfélszektorok az ezen pozíciók közvetlen partnereinek szektorát jelentik.</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Egyéb nem hiteljellegű kötelezettségek</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mérleg különböző tételei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az egyéb tételek különböző eszközkategóriákban szerepelhetnek.</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bookmarkStart w:id="386" w:name="_GoBack"/>
      <w:bookmarkEnd w:id="386"/>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24E" w:rsidRDefault="0087024E">
      <w:pPr>
        <w:spacing w:after="0"/>
      </w:pPr>
      <w:r>
        <w:separator/>
      </w:r>
    </w:p>
  </w:endnote>
  <w:endnote w:type="continuationSeparator" w:id="0">
    <w:p w:rsidR="0087024E" w:rsidRDefault="008702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E4414B">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E4414B">
      <w:rPr>
        <w:noProof/>
      </w:rPr>
      <w:t>84</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24E" w:rsidRDefault="0087024E" w:rsidP="009569C7">
      <w:pPr>
        <w:spacing w:after="0"/>
      </w:pPr>
      <w:r>
        <w:separator/>
      </w:r>
    </w:p>
  </w:footnote>
  <w:footnote w:type="continuationSeparator" w:id="0">
    <w:p w:rsidR="0087024E" w:rsidRDefault="0087024E" w:rsidP="009569C7">
      <w:pPr>
        <w:spacing w:after="0"/>
      </w:pPr>
      <w:r>
        <w:continuationSeparator/>
      </w:r>
    </w:p>
  </w:footnote>
  <w:footnote w:type="continuationNotice" w:id="1">
    <w:p w:rsidR="0087024E" w:rsidRDefault="0087024E">
      <w:pPr>
        <w:spacing w:after="0"/>
      </w:pPr>
    </w:p>
  </w:footnote>
  <w:footnote w:id="2">
    <w:p w:rsidR="00C82C90" w:rsidRPr="001118C7" w:rsidRDefault="00C82C90" w:rsidP="009569C7">
      <w:pPr>
        <w:pStyle w:val="FootnoteText"/>
      </w:pPr>
      <w:r>
        <w:rPr>
          <w:rStyle w:val="FootnoteReference"/>
        </w:rPr>
        <w:footnoteRef/>
      </w:r>
      <w:r>
        <w:t xml:space="preserve"> </w:t>
      </w:r>
      <w:r>
        <w:tab/>
        <w:t>Az Európai Parlament és a Tanács 1606/2002/EK rendelete (2002. július 19.) a nemzetközi számviteli standardok alkalmazásáról (HL L 243., 2002.9.11., 1. o.).</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Az Európai Központi Bank 1071/2013/EU rendelete (2013. szeptember 24.) a monetáris pénzügyi intézmények ágazati mérlegéről (átdolgozott szöveg) (EKB/2013/33) (HL L 297., 2013.11.7., 1. o.).</w:t>
      </w:r>
    </w:p>
  </w:footnote>
  <w:footnote w:id="4">
    <w:p w:rsidR="00C82C90" w:rsidRPr="004F7202" w:rsidRDefault="00C82C90">
      <w:pPr>
        <w:pStyle w:val="FootnoteText"/>
        <w:rPr>
          <w:lang w:val="et-EE"/>
        </w:rPr>
      </w:pPr>
      <w:r>
        <w:rPr>
          <w:rStyle w:val="FootnoteReference"/>
        </w:rPr>
        <w:footnoteRef/>
      </w:r>
      <w:r>
        <w:t xml:space="preserve"> </w:t>
      </w:r>
      <w:r>
        <w:tab/>
        <w:t xml:space="preserve">Az Európai Parlament és a Tanács 1893/2006/EK rendelete (2006. december 20.) a gazdasági tevékenységek statisztikai osztályozása NACE </w:t>
      </w:r>
      <w:proofErr w:type="spellStart"/>
      <w:r>
        <w:t>Rev</w:t>
      </w:r>
      <w:proofErr w:type="spellEnd"/>
      <w:r>
        <w:t>. 2. rendszerének létrehozásáról és a 3037/90/EGK tanácsi rendelet, valamint egyes meghatározott statisztikai területekre vonatkozó EK-rendeletek módosításáról (HL L 393., 2006.12.30., 1. o.).</w:t>
      </w:r>
    </w:p>
  </w:footnote>
  <w:footnote w:id="5">
    <w:p w:rsidR="00C82C90" w:rsidRPr="004F7202" w:rsidRDefault="00C82C90">
      <w:pPr>
        <w:pStyle w:val="FootnoteText"/>
        <w:rPr>
          <w:lang w:val="et-EE"/>
        </w:rPr>
      </w:pPr>
      <w:r>
        <w:rPr>
          <w:rStyle w:val="FootnoteReference"/>
        </w:rPr>
        <w:footnoteRef/>
      </w:r>
      <w:r>
        <w:t xml:space="preserve"> </w:t>
      </w:r>
      <w:r>
        <w:tab/>
        <w:t>A Tanács 86/635/EGK irányelve (1986. december 8.) a bankok és más pénzügyi intézmények éves beszámolójáról és konszolidált éves beszámolójáról (HL L 372., 1986.12.31., 1. o.).</w:t>
      </w:r>
    </w:p>
  </w:footnote>
  <w:footnote w:id="6">
    <w:p w:rsidR="00C82C90" w:rsidRPr="00BA387A" w:rsidRDefault="00C82C90" w:rsidP="009569C7">
      <w:pPr>
        <w:pStyle w:val="FootnoteText"/>
      </w:pPr>
      <w:r>
        <w:rPr>
          <w:rStyle w:val="FootnoteReference"/>
        </w:rPr>
        <w:footnoteRef/>
      </w:r>
      <w:r>
        <w:t xml:space="preserve"> </w:t>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7">
    <w:p w:rsidR="00C82C90" w:rsidRPr="00BA387A" w:rsidRDefault="00C82C90" w:rsidP="009569C7">
      <w:pPr>
        <w:pStyle w:val="FootnoteText"/>
      </w:pPr>
      <w:r>
        <w:rPr>
          <w:rStyle w:val="FootnoteReference"/>
        </w:rPr>
        <w:footnoteRef/>
      </w:r>
      <w:r>
        <w:tab/>
        <w:t xml:space="preserve">A Bizottság C(2003)1422 ajánlása (2003. május 6.) a mikro-, kis- és középvállalkozások meghatározásáról (HL L 124., 2003.5.20., 36. 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C8087432"/>
    <w:lvl w:ilvl="0" w:tplc="F528AC08">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8B20E174"/>
    <w:lvl w:ilvl="0" w:tplc="F528AC08">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0D666714"/>
    <w:lvl w:ilvl="0" w:tplc="F528AC08">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EFFAC9C2"/>
    <w:lvl w:ilvl="0" w:tplc="F528AC08">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645ECD82"/>
    <w:lvl w:ilvl="0" w:tplc="F528AC08">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C18C8876"/>
    <w:lvl w:ilvl="0" w:tplc="829AB43C">
      <w:start w:val="1"/>
      <w:numFmt w:val="decimal"/>
      <w:pStyle w:val="Baseparagraphnumbered"/>
      <w:lvlText w:val="%1."/>
      <w:lvlJc w:val="left"/>
      <w:pPr>
        <w:ind w:left="786" w:hanging="360"/>
      </w:pPr>
      <w:rPr>
        <w:lang w:val="en-US"/>
      </w:rPr>
    </w:lvl>
    <w:lvl w:ilvl="1" w:tplc="F528AC08">
      <w:start w:val="1"/>
      <w:numFmt w:val="lowerLetter"/>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30AA6FB0"/>
    <w:lvl w:ilvl="0" w:tplc="F528AC08">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E72C2490"/>
    <w:lvl w:ilvl="0" w:tplc="F528AC08">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405C6C98"/>
    <w:lvl w:ilvl="0" w:tplc="F528AC08">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6D3CFD1C"/>
    <w:lvl w:ilvl="0" w:tplc="F528AC08">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47A28C2A"/>
    <w:lvl w:ilvl="0" w:tplc="F528AC08">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590C8A02"/>
    <w:lvl w:ilvl="0" w:tplc="F528AC08">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4DAC2D86"/>
    <w:lvl w:ilvl="0" w:tplc="F528AC08">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BC22142C"/>
    <w:lvl w:ilvl="0" w:tplc="F528AC08">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ACEC8CB6"/>
    <w:lvl w:ilvl="0" w:tplc="F528AC08">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36DE51F2"/>
    <w:lvl w:ilvl="0" w:tplc="F528AC0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D7FEA9AC"/>
    <w:lvl w:ilvl="0" w:tplc="DB447DF4">
      <w:start w:val="191"/>
      <w:numFmt w:val="decimal"/>
      <w:lvlText w:val="%1."/>
      <w:lvlJc w:val="left"/>
      <w:pPr>
        <w:ind w:left="720" w:hanging="360"/>
      </w:pPr>
      <w:rPr>
        <w:rFonts w:hint="default"/>
      </w:rPr>
    </w:lvl>
    <w:lvl w:ilvl="1" w:tplc="F528AC0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A6F22D60"/>
    <w:lvl w:ilvl="0" w:tplc="F528AC08">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F0A44DC2"/>
    <w:lvl w:ilvl="0" w:tplc="F528AC08">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9EA051C"/>
    <w:lvl w:ilvl="0" w:tplc="F528AC08">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3AAC3D8A"/>
    <w:lvl w:ilvl="0" w:tplc="F528AC08">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D204A124"/>
    <w:lvl w:ilvl="0" w:tplc="F528AC08">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216AD28"/>
    <w:lvl w:ilvl="0" w:tplc="67B4C9DC">
      <w:start w:val="183"/>
      <w:numFmt w:val="decimal"/>
      <w:lvlText w:val="%1."/>
      <w:lvlJc w:val="left"/>
      <w:pPr>
        <w:ind w:left="720" w:hanging="360"/>
      </w:pPr>
      <w:rPr>
        <w:rFonts w:hint="default"/>
      </w:rPr>
    </w:lvl>
    <w:lvl w:ilvl="1" w:tplc="F528AC08">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E9BA1578"/>
    <w:lvl w:ilvl="0" w:tplc="F528AC08">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571C275C"/>
    <w:lvl w:ilvl="0" w:tplc="F528AC08">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42A41EDA"/>
    <w:lvl w:ilvl="0" w:tplc="F528AC08">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1D06EEF6"/>
    <w:lvl w:ilvl="0" w:tplc="F528AC08">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24E48790"/>
    <w:lvl w:ilvl="0" w:tplc="F528AC08">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A7F6307A"/>
    <w:lvl w:ilvl="0" w:tplc="F528AC08">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B4FCAA0E"/>
    <w:lvl w:ilvl="0" w:tplc="F528AC0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95C05AE2"/>
    <w:lvl w:ilvl="0" w:tplc="9F18CFAC">
      <w:start w:val="195"/>
      <w:numFmt w:val="decimal"/>
      <w:lvlText w:val="%1."/>
      <w:lvlJc w:val="left"/>
      <w:pPr>
        <w:ind w:left="720" w:hanging="360"/>
      </w:pPr>
      <w:rPr>
        <w:rFonts w:hint="default"/>
      </w:rPr>
    </w:lvl>
    <w:lvl w:ilvl="1" w:tplc="F528AC08">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E3E21A9C"/>
    <w:lvl w:ilvl="0" w:tplc="F528AC08">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D8E082EE"/>
    <w:lvl w:ilvl="0" w:tplc="F528AC08">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5BD443DA"/>
    <w:lvl w:ilvl="0" w:tplc="F528AC08">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CC2C7366"/>
    <w:lvl w:ilvl="0" w:tplc="F528AC08">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6128CE18"/>
    <w:lvl w:ilvl="0" w:tplc="F528AC08">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7E64236"/>
    <w:lvl w:ilvl="0" w:tplc="F528AC08">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756FED"/>
    <w:multiLevelType w:val="hybridMultilevel"/>
    <w:tmpl w:val="56124B30"/>
    <w:lvl w:ilvl="0" w:tplc="F528AC08">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1">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2">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3">
    <w:nsid w:val="630B7BDD"/>
    <w:multiLevelType w:val="hybridMultilevel"/>
    <w:tmpl w:val="8592BC78"/>
    <w:lvl w:ilvl="0" w:tplc="F528AC08">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4">
    <w:nsid w:val="63737DAF"/>
    <w:multiLevelType w:val="hybridMultilevel"/>
    <w:tmpl w:val="9F48104A"/>
    <w:lvl w:ilvl="0" w:tplc="F528AC08">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5">
    <w:nsid w:val="63AE5626"/>
    <w:multiLevelType w:val="hybridMultilevel"/>
    <w:tmpl w:val="E37C9D7E"/>
    <w:lvl w:ilvl="0" w:tplc="F528AC08">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6">
    <w:nsid w:val="663542C2"/>
    <w:multiLevelType w:val="hybridMultilevel"/>
    <w:tmpl w:val="1F48882A"/>
    <w:lvl w:ilvl="0" w:tplc="F528AC08">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7">
    <w:nsid w:val="670D35CB"/>
    <w:multiLevelType w:val="hybridMultilevel"/>
    <w:tmpl w:val="4880CCB0"/>
    <w:lvl w:ilvl="0" w:tplc="F528AC08">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8">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9">
    <w:nsid w:val="6CB36654"/>
    <w:multiLevelType w:val="hybridMultilevel"/>
    <w:tmpl w:val="B0F41A78"/>
    <w:lvl w:ilvl="0" w:tplc="F528AC08">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60">
    <w:nsid w:val="6E2664DF"/>
    <w:multiLevelType w:val="hybridMultilevel"/>
    <w:tmpl w:val="195C3B84"/>
    <w:lvl w:ilvl="0" w:tplc="F528AC08">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1">
    <w:nsid w:val="70F37BAB"/>
    <w:multiLevelType w:val="hybridMultilevel"/>
    <w:tmpl w:val="1B583F0A"/>
    <w:lvl w:ilvl="0" w:tplc="F528AC0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2">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3">
    <w:nsid w:val="737A69F1"/>
    <w:multiLevelType w:val="hybridMultilevel"/>
    <w:tmpl w:val="EF52A6D2"/>
    <w:lvl w:ilvl="0" w:tplc="F528AC08">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4">
    <w:nsid w:val="74F11725"/>
    <w:multiLevelType w:val="hybridMultilevel"/>
    <w:tmpl w:val="A3E877A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F528AC08">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5">
    <w:nsid w:val="76BE2CAB"/>
    <w:multiLevelType w:val="hybridMultilevel"/>
    <w:tmpl w:val="B5C0FD6A"/>
    <w:lvl w:ilvl="0" w:tplc="F528AC08">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6">
    <w:nsid w:val="79591479"/>
    <w:multiLevelType w:val="hybridMultilevel"/>
    <w:tmpl w:val="015ED28C"/>
    <w:lvl w:ilvl="0" w:tplc="F528AC08">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7">
    <w:nsid w:val="79E92780"/>
    <w:multiLevelType w:val="hybridMultilevel"/>
    <w:tmpl w:val="9A9CFCB2"/>
    <w:lvl w:ilvl="0" w:tplc="F528AC08">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8">
    <w:nsid w:val="7DCB34EC"/>
    <w:multiLevelType w:val="hybridMultilevel"/>
    <w:tmpl w:val="557CEE6C"/>
    <w:lvl w:ilvl="0" w:tplc="F528AC08">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9">
    <w:nsid w:val="7EE1606F"/>
    <w:multiLevelType w:val="hybridMultilevel"/>
    <w:tmpl w:val="53205F3A"/>
    <w:lvl w:ilvl="0" w:tplc="F528AC08">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1"/>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7"/>
  </w:num>
  <w:num w:numId="11">
    <w:abstractNumId w:val="35"/>
  </w:num>
  <w:num w:numId="12">
    <w:abstractNumId w:val="68"/>
  </w:num>
  <w:num w:numId="13">
    <w:abstractNumId w:val="58"/>
  </w:num>
  <w:num w:numId="14">
    <w:abstractNumId w:val="25"/>
  </w:num>
  <w:num w:numId="15">
    <w:abstractNumId w:val="44"/>
  </w:num>
  <w:num w:numId="16">
    <w:abstractNumId w:val="57"/>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5"/>
  </w:num>
  <w:num w:numId="24">
    <w:abstractNumId w:val="38"/>
  </w:num>
  <w:num w:numId="25">
    <w:abstractNumId w:val="15"/>
  </w:num>
  <w:num w:numId="26">
    <w:abstractNumId w:val="5"/>
  </w:num>
  <w:num w:numId="27">
    <w:abstractNumId w:val="7"/>
  </w:num>
  <w:num w:numId="28">
    <w:abstractNumId w:val="54"/>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2"/>
  </w:num>
  <w:num w:numId="39">
    <w:abstractNumId w:val="11"/>
  </w:num>
  <w:num w:numId="40">
    <w:abstractNumId w:val="64"/>
  </w:num>
  <w:num w:numId="41">
    <w:abstractNumId w:val="30"/>
  </w:num>
  <w:num w:numId="42">
    <w:abstractNumId w:val="21"/>
  </w:num>
  <w:num w:numId="43">
    <w:abstractNumId w:val="61"/>
  </w:num>
  <w:num w:numId="44">
    <w:abstractNumId w:val="19"/>
  </w:num>
  <w:num w:numId="45">
    <w:abstractNumId w:val="40"/>
  </w:num>
  <w:num w:numId="46">
    <w:abstractNumId w:val="41"/>
  </w:num>
  <w:num w:numId="47">
    <w:abstractNumId w:val="66"/>
  </w:num>
  <w:num w:numId="48">
    <w:abstractNumId w:val="37"/>
  </w:num>
  <w:num w:numId="49">
    <w:abstractNumId w:val="32"/>
  </w:num>
  <w:num w:numId="50">
    <w:abstractNumId w:val="18"/>
  </w:num>
  <w:num w:numId="51">
    <w:abstractNumId w:val="6"/>
  </w:num>
  <w:num w:numId="52">
    <w:abstractNumId w:val="22"/>
  </w:num>
  <w:num w:numId="53">
    <w:abstractNumId w:val="59"/>
  </w:num>
  <w:num w:numId="54">
    <w:abstractNumId w:val="27"/>
  </w:num>
  <w:num w:numId="55">
    <w:abstractNumId w:val="63"/>
  </w:num>
  <w:num w:numId="56">
    <w:abstractNumId w:val="10"/>
  </w:num>
  <w:num w:numId="57">
    <w:abstractNumId w:val="39"/>
  </w:num>
  <w:num w:numId="58">
    <w:abstractNumId w:val="3"/>
  </w:num>
  <w:num w:numId="59">
    <w:abstractNumId w:val="69"/>
  </w:num>
  <w:num w:numId="60">
    <w:abstractNumId w:val="56"/>
  </w:num>
  <w:num w:numId="61">
    <w:abstractNumId w:val="45"/>
  </w:num>
  <w:num w:numId="62">
    <w:abstractNumId w:val="55"/>
  </w:num>
  <w:num w:numId="63">
    <w:abstractNumId w:val="28"/>
  </w:num>
  <w:num w:numId="64">
    <w:abstractNumId w:val="24"/>
  </w:num>
  <w:num w:numId="65">
    <w:abstractNumId w:val="31"/>
  </w:num>
  <w:num w:numId="66">
    <w:abstractNumId w:val="36"/>
  </w:num>
  <w:num w:numId="67">
    <w:abstractNumId w:val="53"/>
  </w:num>
  <w:num w:numId="68">
    <w:abstractNumId w:val="60"/>
  </w:num>
  <w:num w:numId="69">
    <w:abstractNumId w:val="12"/>
  </w:num>
  <w:num w:numId="70">
    <w:abstractNumId w:val="2"/>
  </w:num>
  <w:num w:numId="71">
    <w:abstractNumId w:val="29"/>
  </w:num>
  <w:num w:numId="72">
    <w:abstractNumId w:val="7"/>
  </w:num>
  <w:num w:numId="73">
    <w:abstractNumId w:val="62"/>
  </w:num>
  <w:num w:numId="74">
    <w:abstractNumId w:val="46"/>
  </w:num>
  <w:num w:numId="75">
    <w:abstractNumId w:val="7"/>
  </w:num>
  <w:num w:numId="76">
    <w:abstractNumId w:val="5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706EB1"/>
    <w:rsid w:val="00837ED5"/>
    <w:rsid w:val="00860F58"/>
    <w:rsid w:val="0087024E"/>
    <w:rsid w:val="0093244C"/>
    <w:rsid w:val="009569C7"/>
    <w:rsid w:val="009E0809"/>
    <w:rsid w:val="00A00717"/>
    <w:rsid w:val="00A834F1"/>
    <w:rsid w:val="00AA6762"/>
    <w:rsid w:val="00B420BD"/>
    <w:rsid w:val="00B8178E"/>
    <w:rsid w:val="00C82C90"/>
    <w:rsid w:val="00C93712"/>
    <w:rsid w:val="00E40BBB"/>
    <w:rsid w:val="00E4414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u-HU"/>
    </w:rPr>
  </w:style>
  <w:style w:type="character" w:customStyle="1" w:styleId="subtitlenonumberChar">
    <w:name w:val="subtitle no number Char"/>
    <w:link w:val="subtitlenonumber"/>
    <w:rsid w:val="00AD63B8"/>
    <w:rPr>
      <w:b/>
      <w:i/>
      <w:sz w:val="24"/>
      <w:szCs w:val="24"/>
      <w:lang w:val="hu-HU" w:eastAsia="hu-HU"/>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hu-HU"/>
    </w:rPr>
  </w:style>
  <w:style w:type="character" w:customStyle="1" w:styleId="Heading2Char">
    <w:name w:val="Heading 2 Char"/>
    <w:link w:val="Heading2"/>
    <w:rsid w:val="005100D0"/>
    <w:rPr>
      <w:rFonts w:ascii="Cambria" w:hAnsi="Cambria"/>
      <w:b/>
      <w:bCs/>
      <w:color w:val="4F81BD"/>
      <w:sz w:val="26"/>
      <w:szCs w:val="26"/>
      <w:lang w:val="hu-HU" w:eastAsia="hu-HU"/>
    </w:rPr>
  </w:style>
  <w:style w:type="character" w:customStyle="1" w:styleId="Heading3Char">
    <w:name w:val="Heading 3 Char"/>
    <w:link w:val="Heading3"/>
    <w:rsid w:val="005100D0"/>
    <w:rPr>
      <w:rFonts w:ascii="Cambria" w:hAnsi="Cambria"/>
      <w:b/>
      <w:bCs/>
      <w:color w:val="4F81BD"/>
      <w:sz w:val="22"/>
      <w:szCs w:val="22"/>
      <w:lang w:val="hu-HU" w:eastAsia="hu-HU"/>
    </w:rPr>
  </w:style>
  <w:style w:type="character" w:customStyle="1" w:styleId="Heading4Char">
    <w:name w:val="Heading 4 Char"/>
    <w:link w:val="Heading4"/>
    <w:rsid w:val="005100D0"/>
    <w:rPr>
      <w:rFonts w:ascii="Cambria" w:hAnsi="Cambria"/>
      <w:b/>
      <w:bCs/>
      <w:i/>
      <w:iCs/>
      <w:color w:val="4F81BD"/>
      <w:sz w:val="22"/>
      <w:szCs w:val="22"/>
      <w:lang w:val="hu-HU" w:eastAsia="hu-HU"/>
    </w:rPr>
  </w:style>
  <w:style w:type="character" w:customStyle="1" w:styleId="Heading5Char">
    <w:name w:val="Heading 5 Char"/>
    <w:link w:val="Heading5"/>
    <w:rsid w:val="005100D0"/>
    <w:rPr>
      <w:rFonts w:ascii="Cambria" w:hAnsi="Cambria"/>
      <w:color w:val="243F60"/>
      <w:sz w:val="22"/>
      <w:szCs w:val="22"/>
      <w:lang w:val="hu-HU" w:eastAsia="hu-HU"/>
    </w:rPr>
  </w:style>
  <w:style w:type="character" w:customStyle="1" w:styleId="Heading6Char">
    <w:name w:val="Heading 6 Char"/>
    <w:link w:val="Heading6"/>
    <w:rsid w:val="005100D0"/>
    <w:rPr>
      <w:rFonts w:ascii="Cambria" w:hAnsi="Cambria"/>
      <w:i/>
      <w:iCs/>
      <w:color w:val="243F60"/>
      <w:sz w:val="22"/>
      <w:szCs w:val="22"/>
      <w:lang w:val="hu-HU" w:eastAsia="hu-HU"/>
    </w:rPr>
  </w:style>
  <w:style w:type="character" w:customStyle="1" w:styleId="Heading7Char">
    <w:name w:val="Heading 7 Char"/>
    <w:link w:val="Heading7"/>
    <w:rsid w:val="005100D0"/>
    <w:rPr>
      <w:rFonts w:ascii="Cambria" w:hAnsi="Cambria"/>
      <w:i/>
      <w:iCs/>
      <w:color w:val="404040"/>
      <w:sz w:val="22"/>
      <w:szCs w:val="22"/>
      <w:lang w:val="hu-HU" w:eastAsia="hu-HU"/>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hu-HU"/>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hu-HU"/>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hu-HU"/>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u-HU" w:eastAsia="hu-HU"/>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hu-HU"/>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hu-HU"/>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u-HU"/>
    </w:rPr>
  </w:style>
  <w:style w:type="character" w:customStyle="1" w:styleId="subtitlenonumberChar">
    <w:name w:val="subtitle no number Char"/>
    <w:link w:val="subtitlenonumber"/>
    <w:rsid w:val="00AD63B8"/>
    <w:rPr>
      <w:b/>
      <w:i/>
      <w:sz w:val="24"/>
      <w:szCs w:val="24"/>
      <w:lang w:val="hu-HU" w:eastAsia="hu-HU"/>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hu-HU"/>
    </w:rPr>
  </w:style>
  <w:style w:type="character" w:customStyle="1" w:styleId="Heading2Char">
    <w:name w:val="Heading 2 Char"/>
    <w:link w:val="Heading2"/>
    <w:rsid w:val="005100D0"/>
    <w:rPr>
      <w:rFonts w:ascii="Cambria" w:hAnsi="Cambria"/>
      <w:b/>
      <w:bCs/>
      <w:color w:val="4F81BD"/>
      <w:sz w:val="26"/>
      <w:szCs w:val="26"/>
      <w:lang w:val="hu-HU" w:eastAsia="hu-HU"/>
    </w:rPr>
  </w:style>
  <w:style w:type="character" w:customStyle="1" w:styleId="Heading3Char">
    <w:name w:val="Heading 3 Char"/>
    <w:link w:val="Heading3"/>
    <w:rsid w:val="005100D0"/>
    <w:rPr>
      <w:rFonts w:ascii="Cambria" w:hAnsi="Cambria"/>
      <w:b/>
      <w:bCs/>
      <w:color w:val="4F81BD"/>
      <w:sz w:val="22"/>
      <w:szCs w:val="22"/>
      <w:lang w:val="hu-HU" w:eastAsia="hu-HU"/>
    </w:rPr>
  </w:style>
  <w:style w:type="character" w:customStyle="1" w:styleId="Heading4Char">
    <w:name w:val="Heading 4 Char"/>
    <w:link w:val="Heading4"/>
    <w:rsid w:val="005100D0"/>
    <w:rPr>
      <w:rFonts w:ascii="Cambria" w:hAnsi="Cambria"/>
      <w:b/>
      <w:bCs/>
      <w:i/>
      <w:iCs/>
      <w:color w:val="4F81BD"/>
      <w:sz w:val="22"/>
      <w:szCs w:val="22"/>
      <w:lang w:val="hu-HU" w:eastAsia="hu-HU"/>
    </w:rPr>
  </w:style>
  <w:style w:type="character" w:customStyle="1" w:styleId="Heading5Char">
    <w:name w:val="Heading 5 Char"/>
    <w:link w:val="Heading5"/>
    <w:rsid w:val="005100D0"/>
    <w:rPr>
      <w:rFonts w:ascii="Cambria" w:hAnsi="Cambria"/>
      <w:color w:val="243F60"/>
      <w:sz w:val="22"/>
      <w:szCs w:val="22"/>
      <w:lang w:val="hu-HU" w:eastAsia="hu-HU"/>
    </w:rPr>
  </w:style>
  <w:style w:type="character" w:customStyle="1" w:styleId="Heading6Char">
    <w:name w:val="Heading 6 Char"/>
    <w:link w:val="Heading6"/>
    <w:rsid w:val="005100D0"/>
    <w:rPr>
      <w:rFonts w:ascii="Cambria" w:hAnsi="Cambria"/>
      <w:i/>
      <w:iCs/>
      <w:color w:val="243F60"/>
      <w:sz w:val="22"/>
      <w:szCs w:val="22"/>
      <w:lang w:val="hu-HU" w:eastAsia="hu-HU"/>
    </w:rPr>
  </w:style>
  <w:style w:type="character" w:customStyle="1" w:styleId="Heading7Char">
    <w:name w:val="Heading 7 Char"/>
    <w:link w:val="Heading7"/>
    <w:rsid w:val="005100D0"/>
    <w:rPr>
      <w:rFonts w:ascii="Cambria" w:hAnsi="Cambria"/>
      <w:i/>
      <w:iCs/>
      <w:color w:val="404040"/>
      <w:sz w:val="22"/>
      <w:szCs w:val="22"/>
      <w:lang w:val="hu-HU" w:eastAsia="hu-HU"/>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hu-HU"/>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hu-HU"/>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hu-HU"/>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u-HU" w:eastAsia="hu-HU"/>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hu-HU"/>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hu-HU"/>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15B15-504F-49B8-AF60-6B6A4022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84</Pages>
  <Words>32431</Words>
  <Characters>188754</Characters>
  <Application>Microsoft Office Word</Application>
  <DocSecurity>0</DocSecurity>
  <Lines>14519</Lines>
  <Paragraphs>5266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6</cp:revision>
  <cp:lastPrinted>2016-10-27T14:00:00Z</cp:lastPrinted>
  <dcterms:created xsi:type="dcterms:W3CDTF">2018-02-27T20:51:00Z</dcterms:created>
  <dcterms:modified xsi:type="dcterms:W3CDTF">2018-09-07T12:37:00Z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