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A4" w:rsidRPr="00583DD0" w:rsidRDefault="008934A4" w:rsidP="00A15D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HU</w:t>
      </w:r>
    </w:p>
    <w:p w:rsidR="008934A4" w:rsidRDefault="008934A4" w:rsidP="00A15D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V. MELLÉKLET</w:t>
      </w:r>
    </w:p>
    <w:p w:rsidR="001F0676" w:rsidRDefault="001F0676" w:rsidP="00A15D28">
      <w:pPr>
        <w:jc w:val="center"/>
        <w:rPr>
          <w:rFonts w:ascii="Times New Roman" w:hAnsi="Times New Roman"/>
          <w:sz w:val="24"/>
          <w:szCs w:val="24"/>
        </w:rPr>
      </w:pPr>
    </w:p>
    <w:p w:rsidR="00BB7DB0" w:rsidRDefault="00BB7DB0" w:rsidP="00A15D28">
      <w:pPr>
        <w:jc w:val="center"/>
        <w:rPr>
          <w:rFonts w:ascii="Times New Roman" w:hAnsi="Times New Roman"/>
          <w:sz w:val="24"/>
          <w:szCs w:val="24"/>
        </w:rPr>
      </w:pPr>
    </w:p>
    <w:p w:rsidR="001807E9" w:rsidRPr="00583DD0" w:rsidRDefault="001807E9" w:rsidP="00A15D28">
      <w:pPr>
        <w:jc w:val="center"/>
        <w:rPr>
          <w:rFonts w:ascii="Times New Roman" w:hAnsi="Times New Roman"/>
          <w:sz w:val="24"/>
          <w:szCs w:val="24"/>
        </w:rPr>
      </w:pPr>
    </w:p>
    <w:p w:rsidR="00A15D28" w:rsidRPr="00C0500B" w:rsidRDefault="00A15D28" w:rsidP="00A15D28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4"/>
          <w:u w:val="single"/>
        </w:rPr>
        <w:t>„XI. MELLÉKLET</w:t>
      </w:r>
    </w:p>
    <w:p w:rsidR="00A15D28" w:rsidRPr="00E94154" w:rsidRDefault="00A15D28" w:rsidP="00A15D2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A TŐKEÁTTÉTELRE VONATKOZÓ ADATSZOLGÁLTATÁS</w:t>
      </w:r>
    </w:p>
    <w:p w:rsidR="00F4754B" w:rsidRPr="00E94154" w:rsidRDefault="00F4754B" w:rsidP="00F4754B">
      <w:pPr>
        <w:pStyle w:val="BodyText1"/>
        <w:rPr>
          <w:rFonts w:ascii="Times New Roman" w:hAnsi="Times New Roman"/>
        </w:rPr>
      </w:pPr>
    </w:p>
    <w:p w:rsidR="00A15D28" w:rsidRPr="00E94154" w:rsidRDefault="00A15D28" w:rsidP="00F4754B">
      <w:pPr>
        <w:pStyle w:val="BodyText1"/>
        <w:rPr>
          <w:rFonts w:ascii="Times New Roman" w:hAnsi="Times New Roman"/>
        </w:rPr>
      </w:pPr>
    </w:p>
    <w:p w:rsidR="00F4754B" w:rsidRPr="00E94154" w:rsidRDefault="00F4754B" w:rsidP="00F4754B">
      <w:pPr>
        <w:pStyle w:val="BodyText1"/>
        <w:rPr>
          <w:rFonts w:ascii="Times New Roman" w:hAnsi="Times New Roman"/>
        </w:rPr>
      </w:pPr>
    </w:p>
    <w:p w:rsidR="009112BB" w:rsidRPr="00E94154" w:rsidRDefault="009112BB" w:rsidP="009112BB">
      <w:pPr>
        <w:pStyle w:val="BodyText1"/>
        <w:ind w:left="720"/>
        <w:rPr>
          <w:rFonts w:ascii="Times New Roman" w:hAnsi="Times New Roman"/>
        </w:rPr>
      </w:pPr>
    </w:p>
    <w:p w:rsidR="000A5E8F" w:rsidRDefault="000A5E8F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GB" w:eastAsia="en-GB" w:bidi="ar-SA"/>
        </w:rPr>
      </w:pPr>
      <w:r>
        <w:rPr>
          <w:rFonts w:ascii="Times New Roman" w:hAnsi="Times New Roman"/>
          <w:b/>
        </w:rPr>
        <w:fldChar w:fldCharType="begin"/>
      </w:r>
      <w:r w:rsidR="00391EF9">
        <w:rPr>
          <w:rFonts w:ascii="Times New Roman" w:hAnsi="Times New Roman"/>
          <w:b/>
        </w:rPr>
        <w:instrText xml:space="preserve"> TOC \o "1-3" \h \z \u </w:instrText>
      </w:r>
      <w:r>
        <w:rPr>
          <w:rFonts w:ascii="Times New Roman" w:hAnsi="Times New Roman"/>
          <w:b/>
        </w:rPr>
        <w:fldChar w:fldCharType="separate"/>
      </w:r>
      <w:hyperlink w:anchor="_Toc524008510" w:history="1">
        <w:r w:rsidRPr="00AB2D75">
          <w:rPr>
            <w:rStyle w:val="Hyperlink"/>
            <w:rFonts w:ascii="Times New Roman" w:hAnsi="Times New Roman"/>
            <w:b/>
          </w:rPr>
          <w:t>I. RÉSZ: ÁLTALÁNOS ÚTMUTATÓ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08511" w:history="1">
        <w:r w:rsidRPr="00AB2D75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</w:rPr>
          <w:t>Táblák jelölése és egyéb szabályok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 w:bidi="ar-SA"/>
        </w:rPr>
      </w:pPr>
      <w:hyperlink w:anchor="_Toc524008512" w:history="1">
        <w:r w:rsidRPr="00AB2D75">
          <w:rPr>
            <w:rStyle w:val="Hyperlink"/>
            <w:rFonts w:ascii="Times New Roman" w:hAnsi="Times New Roman"/>
            <w:b/>
          </w:rPr>
          <w:t>1.1.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  <w:b/>
          </w:rPr>
          <w:t>Táblák jelölése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 w:bidi="ar-SA"/>
        </w:rPr>
      </w:pPr>
      <w:hyperlink w:anchor="_Toc524008513" w:history="1">
        <w:r w:rsidRPr="00AB2D75">
          <w:rPr>
            <w:rStyle w:val="Hyperlink"/>
            <w:rFonts w:ascii="Times New Roman" w:hAnsi="Times New Roman"/>
            <w:b/>
          </w:rPr>
          <w:t>1.2.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  <w:b/>
          </w:rPr>
          <w:t>Számozási szabályok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 w:bidi="ar-SA"/>
        </w:rPr>
      </w:pPr>
      <w:hyperlink w:anchor="_Toc524008514" w:history="1">
        <w:r w:rsidRPr="00AB2D75">
          <w:rPr>
            <w:rStyle w:val="Hyperlink"/>
            <w:rFonts w:ascii="Times New Roman" w:hAnsi="Times New Roman"/>
            <w:b/>
          </w:rPr>
          <w:t>1.3.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  <w:b/>
          </w:rPr>
          <w:t>Rövidítések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 w:bidi="ar-SA"/>
        </w:rPr>
      </w:pPr>
      <w:hyperlink w:anchor="_Toc524008515" w:history="1">
        <w:r w:rsidRPr="00AB2D75">
          <w:rPr>
            <w:rStyle w:val="Hyperlink"/>
            <w:rFonts w:ascii="Times New Roman" w:hAnsi="Times New Roman"/>
            <w:b/>
          </w:rPr>
          <w:t>1.4.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  <w:b/>
          </w:rPr>
          <w:t>Előjelre vonatkozó szabályok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GB" w:eastAsia="en-GB" w:bidi="ar-SA"/>
        </w:rPr>
      </w:pPr>
      <w:hyperlink w:anchor="_Toc524008516" w:history="1">
        <w:r w:rsidRPr="00AB2D75">
          <w:rPr>
            <w:rStyle w:val="Hyperlink"/>
            <w:rFonts w:ascii="Times New Roman" w:hAnsi="Times New Roman"/>
            <w:b/>
          </w:rPr>
          <w:t>II. RÉSZ: A TÁBLÁHOZ KAPCSOLÓDÓ ÚTMUTATÓ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08517" w:history="1">
        <w:r w:rsidRPr="00AB2D75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</w:rPr>
          <w:t>Szerkezet és gyakoriság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08518" w:history="1">
        <w:r w:rsidRPr="00AB2D75">
          <w:rPr>
            <w:rStyle w:val="Hyperlink"/>
            <w:rFonts w:ascii="Times New Roman" w:hAnsi="Times New Roman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</w:rPr>
          <w:t>A tőkeáttételi mutató számításának képletei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08519" w:history="1">
        <w:r w:rsidRPr="00AB2D75">
          <w:rPr>
            <w:rStyle w:val="Hyperlink"/>
            <w:rFonts w:ascii="Times New Roman" w:hAnsi="Times New Roman"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</w:rPr>
          <w:t>Lényegességi küszöbérték származtatott ügyletek esetében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08520" w:history="1">
        <w:r w:rsidRPr="00AB2D75">
          <w:rPr>
            <w:rStyle w:val="Hyperlink"/>
            <w:rFonts w:ascii="Times New Roman" w:hAnsi="Times New Roman"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</w:rPr>
          <w:t>C 47.00 – A tőkeáttételi mutató számítása (LRCalc)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08521" w:history="1">
        <w:r w:rsidRPr="00AB2D75">
          <w:rPr>
            <w:rStyle w:val="Hyperlink"/>
            <w:rFonts w:ascii="Times New Roman" w:hAnsi="Times New Roman"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</w:rPr>
          <w:t>C 40.00 – A kitettségérték alternatív meghatározása (LR1)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08522" w:history="1">
        <w:r w:rsidRPr="00AB2D75">
          <w:rPr>
            <w:rStyle w:val="Hyperlink"/>
            <w:rFonts w:ascii="Times New Roman" w:hAnsi="Times New Roman"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</w:rPr>
          <w:t>C 41.00 – Mérlegtételek és mérlegen kívüli tételek – a kitettségek további bontása (LR2)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08523" w:history="1">
        <w:r w:rsidRPr="00AB2D75">
          <w:rPr>
            <w:rStyle w:val="Hyperlink"/>
            <w:rFonts w:ascii="Times New Roman" w:hAnsi="Times New Roman"/>
          </w:rPr>
          <w:t>7.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</w:rPr>
          <w:t>C 42.00 – A tőke alternatív definíciója (LR3)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08524" w:history="1">
        <w:r w:rsidRPr="00AB2D75">
          <w:rPr>
            <w:rStyle w:val="Hyperlink"/>
            <w:rFonts w:ascii="Times New Roman" w:hAnsi="Times New Roman"/>
          </w:rPr>
          <w:t>8.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</w:rPr>
          <w:t>C 43.00 – A tőkeáttételi mutató számításához használt kitettségek alternatív bontása (LR4)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0A5E8F" w:rsidRDefault="000A5E8F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08525" w:history="1">
        <w:r w:rsidRPr="00AB2D75">
          <w:rPr>
            <w:rStyle w:val="Hyperlink"/>
            <w:rFonts w:ascii="Times New Roman" w:hAnsi="Times New Roman"/>
          </w:rPr>
          <w:t>9.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AB2D75">
          <w:rPr>
            <w:rStyle w:val="Hyperlink"/>
            <w:rFonts w:ascii="Times New Roman" w:hAnsi="Times New Roman"/>
          </w:rPr>
          <w:t>C 44.00 – Általános információk (LR5)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_Toc524008525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:rsidR="00E1380C" w:rsidRDefault="000A5E8F">
      <w:pPr>
        <w:pStyle w:val="BodyText1"/>
        <w:rPr>
          <w:rFonts w:ascii="Times New Roman" w:eastAsiaTheme="minorEastAsia" w:hAnsi="Times New Roman"/>
          <w:color w:val="auto"/>
          <w:sz w:val="22"/>
          <w:szCs w:val="22"/>
        </w:rPr>
        <w:sectPr w:rsidR="00E1380C" w:rsidSect="00DC2C28"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 w:code="9"/>
          <w:pgMar w:top="1417" w:right="1417" w:bottom="1134" w:left="1417" w:header="720" w:footer="720" w:gutter="0"/>
          <w:cols w:space="720"/>
          <w:titlePg/>
          <w:docGrid w:linePitch="360"/>
        </w:sectPr>
      </w:pPr>
      <w:r>
        <w:rPr>
          <w:rFonts w:ascii="Times New Roman" w:hAnsi="Times New Roman"/>
        </w:rPr>
        <w:fldChar w:fldCharType="end"/>
      </w:r>
    </w:p>
    <w:p w:rsidR="00F4754B" w:rsidRPr="00FE002E" w:rsidRDefault="00F4754B" w:rsidP="00F4754B">
      <w:pPr>
        <w:pStyle w:val="BodyText1"/>
        <w:rPr>
          <w:rFonts w:ascii="Times New Roman" w:hAnsi="Times New Roman"/>
        </w:rPr>
      </w:pPr>
    </w:p>
    <w:p w:rsidR="00217D1F" w:rsidRPr="00FE002E" w:rsidRDefault="00F4754B" w:rsidP="00217D1F">
      <w:pPr>
        <w:pStyle w:val="BodyText1"/>
        <w:outlineLvl w:val="0"/>
        <w:rPr>
          <w:rFonts w:ascii="Times New Roman" w:hAnsi="Times New Roman"/>
          <w:b/>
          <w:sz w:val="24"/>
          <w:szCs w:val="24"/>
        </w:rPr>
      </w:pPr>
      <w:bookmarkStart w:id="0" w:name="_Toc264038394"/>
      <w:bookmarkStart w:id="1" w:name="_Toc322687864"/>
      <w:bookmarkStart w:id="2" w:name="_Toc351048499"/>
      <w:bookmarkStart w:id="3" w:name="_Toc359414273"/>
      <w:bookmarkStart w:id="4" w:name="_Toc423089060"/>
      <w:bookmarkStart w:id="5" w:name="_Toc524008510"/>
      <w:r>
        <w:rPr>
          <w:rFonts w:ascii="Times New Roman" w:hAnsi="Times New Roman"/>
          <w:b/>
          <w:sz w:val="24"/>
        </w:rPr>
        <w:t>I. RÉSZ:</w:t>
      </w:r>
      <w:bookmarkEnd w:id="0"/>
      <w:r>
        <w:rPr>
          <w:rFonts w:ascii="Times New Roman" w:hAnsi="Times New Roman"/>
          <w:b/>
          <w:sz w:val="24"/>
        </w:rPr>
        <w:t xml:space="preserve"> ÁLTALÁNOS ÚTMUTATÓ</w:t>
      </w:r>
      <w:bookmarkEnd w:id="1"/>
      <w:bookmarkEnd w:id="2"/>
      <w:bookmarkEnd w:id="3"/>
      <w:bookmarkEnd w:id="4"/>
      <w:bookmarkEnd w:id="5"/>
    </w:p>
    <w:p w:rsidR="00FF2091" w:rsidRPr="00CF306A" w:rsidRDefault="00FF2091" w:rsidP="00A860E1">
      <w:pPr>
        <w:pStyle w:val="BodyText1"/>
      </w:pPr>
      <w:bookmarkStart w:id="6" w:name="_Toc351048500"/>
      <w:bookmarkStart w:id="7" w:name="_GoBack"/>
      <w:bookmarkEnd w:id="7"/>
    </w:p>
    <w:p w:rsidR="00217D1F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8" w:name="_Toc322687865"/>
      <w:bookmarkStart w:id="9" w:name="_Toc359414274"/>
      <w:bookmarkStart w:id="10" w:name="_Toc423089061"/>
      <w:bookmarkStart w:id="11" w:name="_Toc524008511"/>
      <w:r>
        <w:rPr>
          <w:rFonts w:ascii="Times New Roman" w:hAnsi="Times New Roman"/>
          <w:b/>
        </w:rPr>
        <w:t>1.</w:t>
      </w:r>
      <w:r>
        <w:tab/>
      </w:r>
      <w:r>
        <w:rPr>
          <w:rFonts w:ascii="Times New Roman" w:hAnsi="Times New Roman"/>
          <w:b/>
        </w:rPr>
        <w:t>Táblák jelölése és egyéb szabályok</w:t>
      </w:r>
      <w:bookmarkEnd w:id="6"/>
      <w:bookmarkEnd w:id="8"/>
      <w:bookmarkEnd w:id="9"/>
      <w:bookmarkEnd w:id="10"/>
      <w:bookmarkEnd w:id="11"/>
    </w:p>
    <w:p w:rsidR="00FF2091" w:rsidRPr="00CF306A" w:rsidRDefault="00FF2091" w:rsidP="00A860E1">
      <w:pPr>
        <w:pStyle w:val="BodyText1"/>
      </w:pPr>
    </w:p>
    <w:p w:rsidR="00217D1F" w:rsidRPr="00FE002E" w:rsidRDefault="00500508" w:rsidP="00500508">
      <w:pPr>
        <w:pStyle w:val="BodyText1"/>
        <w:ind w:left="357" w:hanging="357"/>
        <w:outlineLvl w:val="2"/>
        <w:rPr>
          <w:rFonts w:ascii="Times New Roman" w:hAnsi="Times New Roman"/>
          <w:b/>
        </w:rPr>
      </w:pPr>
      <w:bookmarkStart w:id="12" w:name="_Toc322687866"/>
      <w:bookmarkStart w:id="13" w:name="_Toc359414275"/>
      <w:bookmarkStart w:id="14" w:name="_Toc423089062"/>
      <w:bookmarkStart w:id="15" w:name="_Toc264038399"/>
      <w:bookmarkStart w:id="16" w:name="_Toc294018834"/>
      <w:bookmarkStart w:id="17" w:name="_Toc524008512"/>
      <w:r>
        <w:rPr>
          <w:rFonts w:ascii="Times New Roman" w:hAnsi="Times New Roman"/>
          <w:b/>
        </w:rPr>
        <w:t>1.1.</w:t>
      </w:r>
      <w:r>
        <w:tab/>
      </w:r>
      <w:r>
        <w:rPr>
          <w:rFonts w:ascii="Times New Roman" w:hAnsi="Times New Roman"/>
          <w:b/>
        </w:rPr>
        <w:t xml:space="preserve">Táblák </w:t>
      </w:r>
      <w:bookmarkEnd w:id="12"/>
      <w:r>
        <w:rPr>
          <w:rFonts w:ascii="Times New Roman" w:hAnsi="Times New Roman"/>
          <w:b/>
        </w:rPr>
        <w:t>jelölése</w:t>
      </w:r>
      <w:bookmarkEnd w:id="13"/>
      <w:bookmarkEnd w:id="14"/>
      <w:bookmarkEnd w:id="17"/>
    </w:p>
    <w:p w:rsidR="00FF2091" w:rsidRPr="00CF306A" w:rsidRDefault="00FF2091" w:rsidP="00A860E1">
      <w:pPr>
        <w:pStyle w:val="BodyText1"/>
      </w:pPr>
    </w:p>
    <w:p w:rsidR="00E22856" w:rsidRPr="00FE002E" w:rsidRDefault="00500508" w:rsidP="00500508">
      <w:pPr>
        <w:pStyle w:val="BodyText1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ab/>
      </w:r>
      <w:r>
        <w:rPr>
          <w:rFonts w:ascii="Times New Roman" w:hAnsi="Times New Roman"/>
        </w:rPr>
        <w:t xml:space="preserve">Ez a melléklet az e rendelet X. mellékletében szereplő táblákkal (a továbbiakban „LR”) kapcsolatos további útmutatót tartalmaz. </w:t>
      </w:r>
    </w:p>
    <w:p w:rsidR="00E22856" w:rsidRPr="00FE002E" w:rsidRDefault="00E22856" w:rsidP="00E22856">
      <w:pPr>
        <w:pStyle w:val="BodyText1"/>
        <w:ind w:left="720"/>
        <w:rPr>
          <w:rFonts w:ascii="Times New Roman" w:hAnsi="Times New Roman"/>
        </w:rPr>
      </w:pP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2.</w:t>
      </w:r>
      <w:r>
        <w:tab/>
        <w:t>Az adatszolgáltatási keret a következő hat táblából áll: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>C47.00: A tőkeáttételi mutató számítása (</w:t>
      </w:r>
      <w:proofErr w:type="spellStart"/>
      <w:r>
        <w:t>LRCalc</w:t>
      </w:r>
      <w:proofErr w:type="spellEnd"/>
      <w:r>
        <w:t>): a tőkeáttételi mutató számítása,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>C40.00: A tőkeáttételi mutatóra vonatkozó 1. tábla (LR1): a kitettségérték alternatív meghatározása,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>C41.00: A tőkeáttételi mutatóra vonatkozó 2. tábla (LR2): mérlegtételek és mérlegen kívüli tételek – a kitettségek további bontása,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>C42.00: A tőkeáttételi mutatóra vonatkozó 3. tábla (LR3): a tőke alternatív definíciója,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>C43.00: A tőkeáttételi mutatóra vonatkozó 4. tábla (LR4): a tőkeáttételi mutató számításához használt kitettségek bontása, valamint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>C44.00: A tőkeáttételi mutatóra vonatkozó 5. tábla (LR5): általános információk.</w:t>
      </w: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3.</w:t>
      </w:r>
      <w:r>
        <w:tab/>
        <w:t>Minden táblához rendelkezésre állnak a jogszabályi hivatkozások, valamint az adatszolgáltatás általánosabb szempontjaival kapcsolatos részletesebb információk.</w:t>
      </w:r>
    </w:p>
    <w:p w:rsidR="00FC2664" w:rsidRPr="00FE002E" w:rsidRDefault="00FC2664" w:rsidP="007E2A41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217D1F" w:rsidRPr="00FE002E" w:rsidRDefault="00500508" w:rsidP="00500508">
      <w:pPr>
        <w:pStyle w:val="BodyText1"/>
        <w:ind w:left="357" w:hanging="357"/>
        <w:outlineLvl w:val="2"/>
        <w:rPr>
          <w:rFonts w:ascii="Times New Roman" w:hAnsi="Times New Roman"/>
          <w:b/>
        </w:rPr>
      </w:pPr>
      <w:bookmarkStart w:id="18" w:name="_Toc359414277"/>
      <w:bookmarkStart w:id="19" w:name="_Toc322687867"/>
      <w:bookmarkStart w:id="20" w:name="_Toc351048502"/>
      <w:bookmarkStart w:id="21" w:name="_Toc359414278"/>
      <w:bookmarkStart w:id="22" w:name="_Toc423089063"/>
      <w:bookmarkStart w:id="23" w:name="_Toc524008513"/>
      <w:bookmarkEnd w:id="18"/>
      <w:r>
        <w:rPr>
          <w:rFonts w:ascii="Times New Roman" w:hAnsi="Times New Roman"/>
          <w:b/>
        </w:rPr>
        <w:t>1.2.</w:t>
      </w:r>
      <w:r>
        <w:tab/>
      </w:r>
      <w:r>
        <w:rPr>
          <w:rFonts w:ascii="Times New Roman" w:hAnsi="Times New Roman"/>
          <w:b/>
        </w:rPr>
        <w:t>Számozási szabályok</w:t>
      </w:r>
      <w:bookmarkEnd w:id="19"/>
      <w:bookmarkEnd w:id="20"/>
      <w:bookmarkEnd w:id="21"/>
      <w:bookmarkEnd w:id="22"/>
      <w:bookmarkEnd w:id="23"/>
    </w:p>
    <w:p w:rsidR="007E2A41" w:rsidRPr="00CF306A" w:rsidRDefault="007E2A41" w:rsidP="00217B44">
      <w:pPr>
        <w:pStyle w:val="BodyText1"/>
      </w:pP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4.</w:t>
      </w:r>
      <w:r>
        <w:tab/>
        <w:t>A táblák oszlopaira, soraira és mezőire való hivatkozáskor a dokumentum a következő pontokban meghatározott jelölési szabályokat követi. Ezeket a numerikus kódokat kimerítően használják az ellenőrzési szabályok.</w:t>
      </w: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5.</w:t>
      </w:r>
      <w:r>
        <w:tab/>
        <w:t>Az útmutató a következő általános jelölést követi: {Tábla;Sor;Oszlop}. A teljes sorokat vagy oszlopokat csillag jelöli.</w:t>
      </w: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6.</w:t>
      </w:r>
      <w:r>
        <w:tab/>
        <w:t>Táblán belüli – csak az adott tábla adatpontjaira támaszkodó – ellenőrzések esetében a jelölés nem hivatkozik a táblára: {Sor;Oszlop}.</w:t>
      </w: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7.</w:t>
      </w:r>
      <w:r>
        <w:tab/>
        <w:t xml:space="preserve">A tőkeáttételre vonatkozó adatszolgáltatási táblákban az „ebből” kifejezés egy magasabb szintű kitettségi kategória részhalmazára utal, a „tájékoztató adat” pedig olyan külön tételre, amely nem részhalmaza valamely kitettségi osztálynak. Eltérő utasítás hiányában mindkét mezőtípust ki kell tölteni. </w:t>
      </w:r>
    </w:p>
    <w:p w:rsidR="001D6F2F" w:rsidRPr="00FE002E" w:rsidRDefault="00500508" w:rsidP="00500508">
      <w:pPr>
        <w:pStyle w:val="BodyText1"/>
        <w:ind w:left="357" w:hanging="357"/>
        <w:outlineLvl w:val="2"/>
        <w:rPr>
          <w:rFonts w:ascii="Times New Roman" w:hAnsi="Times New Roman"/>
          <w:b/>
        </w:rPr>
      </w:pPr>
      <w:bookmarkStart w:id="24" w:name="_Toc423089064"/>
      <w:bookmarkStart w:id="25" w:name="_Toc524008514"/>
      <w:r>
        <w:rPr>
          <w:rFonts w:ascii="Times New Roman" w:hAnsi="Times New Roman"/>
          <w:b/>
        </w:rPr>
        <w:t>1.3.</w:t>
      </w:r>
      <w:r>
        <w:tab/>
      </w:r>
      <w:r>
        <w:rPr>
          <w:rFonts w:ascii="Times New Roman" w:hAnsi="Times New Roman"/>
          <w:b/>
        </w:rPr>
        <w:t>Rövidítések</w:t>
      </w:r>
      <w:bookmarkEnd w:id="24"/>
      <w:bookmarkEnd w:id="25"/>
    </w:p>
    <w:p w:rsidR="001D6F2F" w:rsidRPr="00CF306A" w:rsidRDefault="001D6F2F" w:rsidP="001D6F2F">
      <w:pPr>
        <w:pStyle w:val="BodyText1"/>
      </w:pPr>
      <w:bookmarkStart w:id="26" w:name="_Toc359414279"/>
      <w:bookmarkStart w:id="27" w:name="_Toc322687868"/>
      <w:bookmarkStart w:id="28" w:name="_Toc351048503"/>
      <w:bookmarkStart w:id="29" w:name="_Toc359414280"/>
      <w:bookmarkEnd w:id="26"/>
    </w:p>
    <w:p w:rsidR="00627E07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r>
        <w:t>8.</w:t>
      </w:r>
      <w:r>
        <w:tab/>
        <w:t>E melléklet és a vonatkozó táblák alkalmazásában a következő rövidítések használatosak:</w:t>
      </w:r>
    </w:p>
    <w:p w:rsidR="00627E07" w:rsidRDefault="00500508" w:rsidP="00500508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Cs w:val="17"/>
        </w:rPr>
      </w:pPr>
      <w:r>
        <w:t>a.</w:t>
      </w:r>
      <w:r>
        <w:tab/>
        <w:t xml:space="preserve">CRR: a tőkekövetelményekről szóló 575/2013/EU rendelet (Capital </w:t>
      </w:r>
      <w:proofErr w:type="spellStart"/>
      <w:r>
        <w:t>Requirements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);</w:t>
      </w:r>
    </w:p>
    <w:p w:rsidR="00627E07" w:rsidRDefault="00500508" w:rsidP="00500508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Cs w:val="17"/>
        </w:rPr>
      </w:pPr>
      <w:r>
        <w:lastRenderedPageBreak/>
        <w:t>b.</w:t>
      </w:r>
      <w:r>
        <w:tab/>
        <w:t>SFT: értékpapír-finanszírozási ügylet (</w:t>
      </w:r>
      <w:proofErr w:type="spellStart"/>
      <w:r>
        <w:t>Securities</w:t>
      </w:r>
      <w:proofErr w:type="spellEnd"/>
      <w:r>
        <w:t xml:space="preserve"> </w:t>
      </w:r>
      <w:proofErr w:type="spellStart"/>
      <w:r>
        <w:t>Financing</w:t>
      </w:r>
      <w:proofErr w:type="spellEnd"/>
      <w:r>
        <w:t xml:space="preserve"> </w:t>
      </w:r>
      <w:proofErr w:type="spellStart"/>
      <w:r>
        <w:t>Transactions</w:t>
      </w:r>
      <w:proofErr w:type="spellEnd"/>
      <w:r>
        <w:t>), azaz az 575/2013/EU rendeletben említett repoügylet, értékpapírok vagy áruk kölcsönbe adása vagy kölcsönbe vétele, hosszú teljesítési idejű ügylet és értékpapírügylethez kapcsolódó hitel.</w:t>
      </w:r>
    </w:p>
    <w:p w:rsidR="008E7068" w:rsidRPr="00627E07" w:rsidRDefault="00500508" w:rsidP="00500508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Cs w:val="17"/>
        </w:rPr>
      </w:pPr>
      <w:r>
        <w:t>c.</w:t>
      </w:r>
      <w:r>
        <w:tab/>
        <w:t xml:space="preserve">CRM: hitelkockázat-mérséklés (Credit </w:t>
      </w:r>
      <w:proofErr w:type="spellStart"/>
      <w:r>
        <w:t>Risk</w:t>
      </w:r>
      <w:proofErr w:type="spellEnd"/>
      <w:r>
        <w:t xml:space="preserve"> </w:t>
      </w:r>
      <w:proofErr w:type="spellStart"/>
      <w:r>
        <w:t>Mitigation</w:t>
      </w:r>
      <w:proofErr w:type="spellEnd"/>
      <w:r>
        <w:t>).</w:t>
      </w:r>
    </w:p>
    <w:p w:rsidR="00217D1F" w:rsidRPr="00FE002E" w:rsidRDefault="00500508" w:rsidP="00500508">
      <w:pPr>
        <w:pStyle w:val="BodyText1"/>
        <w:ind w:left="357" w:hanging="357"/>
        <w:outlineLvl w:val="2"/>
        <w:rPr>
          <w:rFonts w:ascii="Times New Roman" w:hAnsi="Times New Roman"/>
          <w:b/>
        </w:rPr>
      </w:pPr>
      <w:bookmarkStart w:id="30" w:name="_Toc423089065"/>
      <w:bookmarkStart w:id="31" w:name="_Toc524008515"/>
      <w:r>
        <w:rPr>
          <w:rFonts w:ascii="Times New Roman" w:hAnsi="Times New Roman"/>
          <w:b/>
        </w:rPr>
        <w:t>1.4.</w:t>
      </w:r>
      <w:r>
        <w:tab/>
      </w:r>
      <w:r>
        <w:rPr>
          <w:rFonts w:ascii="Times New Roman" w:hAnsi="Times New Roman"/>
          <w:b/>
        </w:rPr>
        <w:t>Előjelre vonatkozó szabályok</w:t>
      </w:r>
      <w:bookmarkEnd w:id="15"/>
      <w:bookmarkEnd w:id="16"/>
      <w:bookmarkEnd w:id="27"/>
      <w:bookmarkEnd w:id="28"/>
      <w:bookmarkEnd w:id="29"/>
      <w:bookmarkEnd w:id="30"/>
      <w:bookmarkEnd w:id="31"/>
    </w:p>
    <w:p w:rsidR="00FF2091" w:rsidRPr="00217B44" w:rsidRDefault="00FF2091" w:rsidP="007C2D57">
      <w:pPr>
        <w:pStyle w:val="BodyText1"/>
      </w:pPr>
    </w:p>
    <w:p w:rsidR="00B90CB5" w:rsidRPr="00FD2C06" w:rsidRDefault="00500508" w:rsidP="00500508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Cs w:val="17"/>
        </w:rPr>
      </w:pPr>
      <w:bookmarkStart w:id="32" w:name="_Toc322687869"/>
      <w:r>
        <w:t>9.</w:t>
      </w:r>
      <w:r>
        <w:tab/>
        <w:t>Minden összeget pozitív számként kell feltüntetni.</w:t>
      </w:r>
      <w:bookmarkStart w:id="33" w:name="_Toc264033192"/>
      <w:bookmarkEnd w:id="33"/>
      <w:r>
        <w:t xml:space="preserve"> Ez alól kivételt képeznek az {</w:t>
      </w:r>
      <w:proofErr w:type="spellStart"/>
      <w:r>
        <w:t>LRCalc</w:t>
      </w:r>
      <w:proofErr w:type="spellEnd"/>
      <w:r>
        <w:t>;050;010}, {</w:t>
      </w:r>
      <w:proofErr w:type="spellStart"/>
      <w:r>
        <w:t>LRCalc</w:t>
      </w:r>
      <w:proofErr w:type="spellEnd"/>
      <w:r>
        <w:t>;070;010}, {</w:t>
      </w:r>
      <w:proofErr w:type="spellStart"/>
      <w:r>
        <w:t>LRCalc</w:t>
      </w:r>
      <w:proofErr w:type="spellEnd"/>
      <w:r>
        <w:t>;080;010}, {</w:t>
      </w:r>
      <w:proofErr w:type="spellStart"/>
      <w:r>
        <w:t>LRCalc</w:t>
      </w:r>
      <w:proofErr w:type="spellEnd"/>
      <w:r>
        <w:t>;100;010}, {</w:t>
      </w:r>
      <w:proofErr w:type="spellStart"/>
      <w:r>
        <w:t>LRCalc</w:t>
      </w:r>
      <w:proofErr w:type="spellEnd"/>
      <w:r>
        <w:t>;120;010}, {</w:t>
      </w:r>
      <w:proofErr w:type="spellStart"/>
      <w:r>
        <w:t>LRCalc</w:t>
      </w:r>
      <w:proofErr w:type="spellEnd"/>
      <w:r>
        <w:t>;140;010}, {</w:t>
      </w:r>
      <w:proofErr w:type="spellStart"/>
      <w:r>
        <w:t>LRCalc</w:t>
      </w:r>
      <w:proofErr w:type="spellEnd"/>
      <w:r>
        <w:t>;210;010}, {</w:t>
      </w:r>
      <w:proofErr w:type="spellStart"/>
      <w:r>
        <w:t>LRCalc</w:t>
      </w:r>
      <w:proofErr w:type="spellEnd"/>
      <w:r>
        <w:t>;220;010}, {</w:t>
      </w:r>
      <w:proofErr w:type="spellStart"/>
      <w:r>
        <w:t>LRCalc</w:t>
      </w:r>
      <w:proofErr w:type="spellEnd"/>
      <w:r>
        <w:t>;240;010}, {</w:t>
      </w:r>
      <w:proofErr w:type="spellStart"/>
      <w:r>
        <w:t>LRCalc</w:t>
      </w:r>
      <w:proofErr w:type="spellEnd"/>
      <w:r>
        <w:t>;250;010}, {</w:t>
      </w:r>
      <w:proofErr w:type="spellStart"/>
      <w:r>
        <w:t>LRCalc</w:t>
      </w:r>
      <w:proofErr w:type="spellEnd"/>
      <w:r>
        <w:t>;260;010}, {</w:t>
      </w:r>
      <w:proofErr w:type="spellStart"/>
      <w:r>
        <w:t>LRCalc</w:t>
      </w:r>
      <w:proofErr w:type="spellEnd"/>
      <w:r>
        <w:t>;310;010}, {</w:t>
      </w:r>
      <w:proofErr w:type="spellStart"/>
      <w:r>
        <w:t>LRCalc</w:t>
      </w:r>
      <w:proofErr w:type="spellEnd"/>
      <w:r>
        <w:t>;320;010}, {</w:t>
      </w:r>
      <w:proofErr w:type="spellStart"/>
      <w:r>
        <w:t>LRCalc</w:t>
      </w:r>
      <w:proofErr w:type="spellEnd"/>
      <w:r>
        <w:t>;270;010}, {</w:t>
      </w:r>
      <w:proofErr w:type="spellStart"/>
      <w:r>
        <w:t>LRCalc</w:t>
      </w:r>
      <w:proofErr w:type="spellEnd"/>
      <w:r>
        <w:t>;280;010}, {</w:t>
      </w:r>
      <w:proofErr w:type="spellStart"/>
      <w:r>
        <w:t>LRCalc</w:t>
      </w:r>
      <w:proofErr w:type="spellEnd"/>
      <w:r>
        <w:t>;330;010}, {</w:t>
      </w:r>
      <w:proofErr w:type="spellStart"/>
      <w:r>
        <w:t>LRCalc</w:t>
      </w:r>
      <w:proofErr w:type="spellEnd"/>
      <w:r>
        <w:t>;340;010}, {LR3;010;</w:t>
      </w:r>
      <w:proofErr w:type="spellStart"/>
      <w:r>
        <w:t>010</w:t>
      </w:r>
      <w:proofErr w:type="spellEnd"/>
      <w:r>
        <w:t>}, {LR3;020;010}, {LR3;030;010}, {LR3;040;010}, {LR3;055;010}, {LR3;065;010}, {LR3;075;010} és {LR3;085;010} mezőben feltüntetett összegek. Itt ügyelni kell arra, hogy a {</w:t>
      </w:r>
      <w:proofErr w:type="spellStart"/>
      <w:r>
        <w:t>LRCalc</w:t>
      </w:r>
      <w:proofErr w:type="spellEnd"/>
      <w:r>
        <w:t>;050;010}, {</w:t>
      </w:r>
      <w:proofErr w:type="spellStart"/>
      <w:r>
        <w:t>LRCalc</w:t>
      </w:r>
      <w:proofErr w:type="spellEnd"/>
      <w:r>
        <w:t>;070;010}, {</w:t>
      </w:r>
      <w:proofErr w:type="spellStart"/>
      <w:r>
        <w:t>LRCalc</w:t>
      </w:r>
      <w:proofErr w:type="spellEnd"/>
      <w:r>
        <w:t>;080;010}, {</w:t>
      </w:r>
      <w:proofErr w:type="spellStart"/>
      <w:r>
        <w:t>LRCalc</w:t>
      </w:r>
      <w:proofErr w:type="spellEnd"/>
      <w:r>
        <w:t>;100;010}, {</w:t>
      </w:r>
      <w:proofErr w:type="spellStart"/>
      <w:r>
        <w:t>LRCalc</w:t>
      </w:r>
      <w:proofErr w:type="spellEnd"/>
      <w:r>
        <w:t>;120;010}, {</w:t>
      </w:r>
      <w:proofErr w:type="spellStart"/>
      <w:r>
        <w:t>LRCalc</w:t>
      </w:r>
      <w:proofErr w:type="spellEnd"/>
      <w:r>
        <w:t>;140;010}, {</w:t>
      </w:r>
      <w:proofErr w:type="spellStart"/>
      <w:r>
        <w:t>LRCalc</w:t>
      </w:r>
      <w:proofErr w:type="spellEnd"/>
      <w:r>
        <w:t>;210;010}, {</w:t>
      </w:r>
      <w:proofErr w:type="spellStart"/>
      <w:r>
        <w:t>LRCalc</w:t>
      </w:r>
      <w:proofErr w:type="spellEnd"/>
      <w:r>
        <w:t>;220;010}, {</w:t>
      </w:r>
      <w:proofErr w:type="spellStart"/>
      <w:r>
        <w:t>LRCalc</w:t>
      </w:r>
      <w:proofErr w:type="spellEnd"/>
      <w:r>
        <w:t>;240;010}, {</w:t>
      </w:r>
      <w:proofErr w:type="spellStart"/>
      <w:r>
        <w:t>LRCalc</w:t>
      </w:r>
      <w:proofErr w:type="spellEnd"/>
      <w:r>
        <w:t>;250;010}, {</w:t>
      </w:r>
      <w:proofErr w:type="spellStart"/>
      <w:r>
        <w:t>LRCalc</w:t>
      </w:r>
      <w:proofErr w:type="spellEnd"/>
      <w:r>
        <w:t>;260;010}, {</w:t>
      </w:r>
      <w:proofErr w:type="spellStart"/>
      <w:r>
        <w:t>LRCalc</w:t>
      </w:r>
      <w:proofErr w:type="spellEnd"/>
      <w:r>
        <w:t>;270;010}, {</w:t>
      </w:r>
      <w:proofErr w:type="spellStart"/>
      <w:r>
        <w:t>LRCalc</w:t>
      </w:r>
      <w:proofErr w:type="spellEnd"/>
      <w:r>
        <w:t>;280;010}, {LR3;055;010}, {LR3;065;010}, {LR3;075;010} és {LR3;085;010} csak negatív értékű lehet. Ügyelni kell arra is, hogy – a szélsőséges eseteket leszámítva – {</w:t>
      </w:r>
      <w:proofErr w:type="spellStart"/>
      <w:r>
        <w:t>LRCalc</w:t>
      </w:r>
      <w:proofErr w:type="spellEnd"/>
      <w:r>
        <w:t>;310;010}, {</w:t>
      </w:r>
      <w:proofErr w:type="spellStart"/>
      <w:r>
        <w:t>LRCalc</w:t>
      </w:r>
      <w:proofErr w:type="spellEnd"/>
      <w:r>
        <w:t>;320;010}, {</w:t>
      </w:r>
      <w:proofErr w:type="spellStart"/>
      <w:r>
        <w:t>LRCalc</w:t>
      </w:r>
      <w:proofErr w:type="spellEnd"/>
      <w:r>
        <w:t>;330;010}, {</w:t>
      </w:r>
      <w:proofErr w:type="spellStart"/>
      <w:r>
        <w:t>LRCalc</w:t>
      </w:r>
      <w:proofErr w:type="spellEnd"/>
      <w:r>
        <w:t>;340;010}, {LR3;010;</w:t>
      </w:r>
      <w:proofErr w:type="spellStart"/>
      <w:r>
        <w:t>010</w:t>
      </w:r>
      <w:proofErr w:type="spellEnd"/>
      <w:r>
        <w:t>}, {LR3;020;010}, {LR3;030;010} és {LR3;040;010} csak pozitív értékű lehet.</w:t>
      </w:r>
    </w:p>
    <w:p w:rsidR="001F28C3" w:rsidRPr="00FD2C06" w:rsidRDefault="001F28C3" w:rsidP="00FD2C06">
      <w:pPr>
        <w:pStyle w:val="InstructionsText2"/>
        <w:numPr>
          <w:ilvl w:val="0"/>
          <w:numId w:val="0"/>
        </w:numPr>
        <w:ind w:left="720"/>
        <w:rPr>
          <w:rFonts w:eastAsia="Times New Roman"/>
          <w:bCs/>
          <w:szCs w:val="17"/>
        </w:rPr>
      </w:pPr>
    </w:p>
    <w:p w:rsidR="00217D1F" w:rsidRPr="00FE002E" w:rsidRDefault="00F4754B" w:rsidP="00217D1F">
      <w:pPr>
        <w:pStyle w:val="BodyText1"/>
        <w:outlineLvl w:val="0"/>
        <w:rPr>
          <w:rFonts w:ascii="Times New Roman" w:hAnsi="Times New Roman"/>
          <w:b/>
          <w:sz w:val="24"/>
          <w:szCs w:val="24"/>
        </w:rPr>
      </w:pPr>
      <w:r>
        <w:br w:type="page"/>
      </w:r>
      <w:bookmarkStart w:id="34" w:name="_Toc351048504"/>
      <w:bookmarkStart w:id="35" w:name="_Toc359414281"/>
      <w:bookmarkStart w:id="36" w:name="_Toc423089066"/>
      <w:bookmarkStart w:id="37" w:name="_Toc524008516"/>
      <w:r>
        <w:rPr>
          <w:rFonts w:ascii="Times New Roman" w:hAnsi="Times New Roman"/>
          <w:b/>
          <w:sz w:val="24"/>
        </w:rPr>
        <w:lastRenderedPageBreak/>
        <w:t>II. RÉSZ: A TÁBLÁHOZ KAPCSOLÓDÓ ÚTMUTATÓ</w:t>
      </w:r>
      <w:bookmarkEnd w:id="32"/>
      <w:bookmarkEnd w:id="34"/>
      <w:bookmarkEnd w:id="35"/>
      <w:bookmarkEnd w:id="36"/>
      <w:bookmarkEnd w:id="37"/>
    </w:p>
    <w:p w:rsidR="00D91BC3" w:rsidRPr="00CF306A" w:rsidRDefault="00D91BC3" w:rsidP="00217B44">
      <w:pPr>
        <w:pStyle w:val="BodyText1"/>
      </w:pPr>
    </w:p>
    <w:p w:rsidR="00217D1F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38" w:name="_Toc359414282"/>
      <w:bookmarkStart w:id="39" w:name="_Toc423089067"/>
      <w:bookmarkStart w:id="40" w:name="_Toc322631544"/>
      <w:bookmarkStart w:id="41" w:name="_Toc322687870"/>
      <w:bookmarkStart w:id="42" w:name="_Toc524008517"/>
      <w:r>
        <w:rPr>
          <w:rFonts w:ascii="Times New Roman" w:hAnsi="Times New Roman"/>
          <w:b/>
        </w:rPr>
        <w:t>1.</w:t>
      </w:r>
      <w:r>
        <w:tab/>
      </w:r>
      <w:r>
        <w:rPr>
          <w:rFonts w:ascii="Times New Roman" w:hAnsi="Times New Roman"/>
          <w:b/>
        </w:rPr>
        <w:t>Szerkezet és gyakoriság</w:t>
      </w:r>
      <w:bookmarkEnd w:id="38"/>
      <w:bookmarkEnd w:id="39"/>
      <w:bookmarkEnd w:id="42"/>
      <w:r>
        <w:rPr>
          <w:rFonts w:ascii="Times New Roman" w:hAnsi="Times New Roman"/>
          <w:b/>
        </w:rPr>
        <w:t xml:space="preserve"> </w:t>
      </w:r>
      <w:bookmarkEnd w:id="40"/>
      <w:bookmarkEnd w:id="41"/>
    </w:p>
    <w:p w:rsidR="00D91BC3" w:rsidRPr="00CF306A" w:rsidRDefault="00D91BC3" w:rsidP="00217B44">
      <w:pPr>
        <w:pStyle w:val="BodyText1"/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bookmarkStart w:id="43" w:name="_Toc322533849"/>
      <w:r>
        <w:rPr>
          <w:rFonts w:ascii="Times New Roman" w:hAnsi="Times New Roman"/>
        </w:rPr>
        <w:t>1.</w:t>
      </w:r>
      <w:r>
        <w:tab/>
      </w:r>
      <w:r>
        <w:rPr>
          <w:rFonts w:ascii="Times New Roman" w:hAnsi="Times New Roman"/>
        </w:rPr>
        <w:t>A tőkeáttételi mutatóra vonatkozó tábla két részből áll. Az „A” rész tartalmazza a tőkeáttételi mutató kiszámításához szükséges összes olyan adatot, amelyet az intézményeknek a CRR 430. cikke (1) bekezdésének első albekezdése alapján kell benyújtaniuk az illetékes hatóságoknak, míg a „B” rész az összes olyan adatot tartalmazza, amelyet az intézményeknek a CRR 430. cikke (1) bekezdésének második albekezdése alapján kell benyújtaniuk (vagyis a CRR 511. cikkében említett jelentés céljából).</w:t>
      </w:r>
    </w:p>
    <w:p w:rsidR="00FC2664" w:rsidRPr="00FE002E" w:rsidRDefault="00FC2664" w:rsidP="00F4754B">
      <w:pPr>
        <w:pStyle w:val="BodyText1"/>
        <w:rPr>
          <w:rFonts w:ascii="Times New Roman" w:hAnsi="Times New Roman"/>
        </w:rPr>
      </w:pPr>
    </w:p>
    <w:p w:rsidR="00FF2091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tab/>
      </w:r>
      <w:r>
        <w:rPr>
          <w:rFonts w:ascii="Times New Roman" w:hAnsi="Times New Roman"/>
        </w:rPr>
        <w:t>A jelen adatszolgáltatáshoz szükséges adatok összeállításakor az intézményeknek figyelembe kell venniük a bizalmi vagyonkezelés keretében kezelt eszközöknek a CRR 429. cikkének (13) bekezdése szerinti kezelését.</w:t>
      </w:r>
    </w:p>
    <w:p w:rsidR="00FC2664" w:rsidRPr="00FE002E" w:rsidRDefault="00FC2664" w:rsidP="00F4754B">
      <w:pPr>
        <w:pStyle w:val="BodyText1"/>
        <w:rPr>
          <w:rFonts w:ascii="Times New Roman" w:hAnsi="Times New Roman"/>
        </w:rPr>
      </w:pPr>
    </w:p>
    <w:p w:rsidR="00505096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44" w:name="_Toc359414283"/>
      <w:bookmarkStart w:id="45" w:name="_Toc423089068"/>
      <w:bookmarkStart w:id="46" w:name="_Toc524008518"/>
      <w:r>
        <w:rPr>
          <w:rFonts w:ascii="Times New Roman" w:hAnsi="Times New Roman"/>
          <w:b/>
        </w:rPr>
        <w:t>2.</w:t>
      </w:r>
      <w:r>
        <w:tab/>
      </w:r>
      <w:r>
        <w:rPr>
          <w:rFonts w:ascii="Times New Roman" w:hAnsi="Times New Roman"/>
          <w:b/>
        </w:rPr>
        <w:t>A tőkeáttételi mutató számításának képletei</w:t>
      </w:r>
      <w:bookmarkEnd w:id="44"/>
      <w:bookmarkEnd w:id="45"/>
      <w:bookmarkEnd w:id="46"/>
    </w:p>
    <w:p w:rsidR="00B9185D" w:rsidRPr="00FE002E" w:rsidRDefault="00B9185D" w:rsidP="00FF2091">
      <w:pPr>
        <w:pStyle w:val="BodyText1"/>
        <w:spacing w:line="240" w:lineRule="auto"/>
        <w:rPr>
          <w:rFonts w:ascii="Times New Roman" w:hAnsi="Times New Roman"/>
        </w:rPr>
      </w:pPr>
    </w:p>
    <w:p w:rsidR="00505096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tab/>
      </w:r>
      <w:r>
        <w:rPr>
          <w:rFonts w:ascii="Times New Roman" w:hAnsi="Times New Roman"/>
        </w:rPr>
        <w:t xml:space="preserve">A tőkeáttételi mutató a tőkeértéken és a teljes </w:t>
      </w:r>
      <w:proofErr w:type="spellStart"/>
      <w:r>
        <w:rPr>
          <w:rFonts w:ascii="Times New Roman" w:hAnsi="Times New Roman"/>
        </w:rPr>
        <w:t>kitettségértékén</w:t>
      </w:r>
      <w:proofErr w:type="spellEnd"/>
      <w:r>
        <w:rPr>
          <w:rFonts w:ascii="Times New Roman" w:hAnsi="Times New Roman"/>
        </w:rPr>
        <w:t xml:space="preserve"> alapul, amelyet az „A” részben szereplő mezőkkel lehet kiszámítani. 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tab/>
      </w:r>
      <w:r>
        <w:rPr>
          <w:rFonts w:ascii="Times New Roman" w:hAnsi="Times New Roman"/>
        </w:rPr>
        <w:t>Tőkeáttételi mutató – teljes mértékben bevezetett fogalom =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;310;010} /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;290;010}.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tab/>
      </w:r>
      <w:r>
        <w:rPr>
          <w:rFonts w:ascii="Times New Roman" w:hAnsi="Times New Roman"/>
        </w:rPr>
        <w:t>Tőkeáttételi mutató – átmeneti fogalom =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;320;010} /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;300;010}.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  <w:bookmarkStart w:id="47" w:name="_Toc322533852"/>
      <w:bookmarkEnd w:id="43"/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505096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48" w:name="_Toc359414284"/>
      <w:bookmarkStart w:id="49" w:name="_Toc423089069"/>
      <w:bookmarkStart w:id="50" w:name="_Toc524008519"/>
      <w:r>
        <w:rPr>
          <w:rFonts w:ascii="Times New Roman" w:hAnsi="Times New Roman"/>
          <w:b/>
        </w:rPr>
        <w:t>3.</w:t>
      </w:r>
      <w:r>
        <w:tab/>
      </w:r>
      <w:r>
        <w:rPr>
          <w:rFonts w:ascii="Times New Roman" w:hAnsi="Times New Roman"/>
          <w:b/>
        </w:rPr>
        <w:t>Lényegességi küszöbérték származtatott ügyletek esetében</w:t>
      </w:r>
      <w:bookmarkEnd w:id="48"/>
      <w:bookmarkEnd w:id="49"/>
      <w:bookmarkEnd w:id="50"/>
    </w:p>
    <w:p w:rsidR="00505096" w:rsidRPr="00FE002E" w:rsidRDefault="00505096" w:rsidP="007E2A41">
      <w:pPr>
        <w:pStyle w:val="BodyText1"/>
        <w:spacing w:line="240" w:lineRule="auto"/>
        <w:rPr>
          <w:rFonts w:ascii="Times New Roman" w:hAnsi="Times New Roman"/>
        </w:rPr>
      </w:pPr>
    </w:p>
    <w:p w:rsidR="00505096" w:rsidRPr="00FE002E" w:rsidRDefault="00505096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tab/>
      </w:r>
      <w:r>
        <w:rPr>
          <w:rFonts w:ascii="Times New Roman" w:hAnsi="Times New Roman"/>
        </w:rPr>
        <w:t xml:space="preserve">Az adatszolgáltatási teher csökkentése érdekében a származtatott ügyletekből korlátozott mértékű kitettséggel rendelkező intézmények esetében a következő mérőszámok alkalmazandók a származtatott kitettségek teljes </w:t>
      </w:r>
      <w:proofErr w:type="spellStart"/>
      <w:r>
        <w:rPr>
          <w:rFonts w:ascii="Times New Roman" w:hAnsi="Times New Roman"/>
        </w:rPr>
        <w:t>kitettségértékhez</w:t>
      </w:r>
      <w:proofErr w:type="spellEnd"/>
      <w:r>
        <w:rPr>
          <w:rFonts w:ascii="Times New Roman" w:hAnsi="Times New Roman"/>
        </w:rPr>
        <w:t xml:space="preserve"> viszonyított relatív fontosságának mérésére a tőkeáttételi mutatóban. Az intézményeknek ezeket a mérőszámokat az alábbiak szerint kell kiszámítaniuk</w:t>
      </w:r>
      <w:bookmarkStart w:id="51" w:name="_Toc322533853"/>
      <w:bookmarkEnd w:id="47"/>
      <w:r>
        <w:rPr>
          <w:rFonts w:ascii="Times New Roman" w:hAnsi="Times New Roman"/>
        </w:rPr>
        <w:t>:</w:t>
      </w:r>
    </w:p>
    <w:p w:rsidR="00A30899" w:rsidRPr="00FE002E" w:rsidRDefault="00A30899" w:rsidP="007E2A41">
      <w:pPr>
        <w:pStyle w:val="ListParagraph"/>
        <w:rPr>
          <w:rFonts w:ascii="Times New Roman" w:hAnsi="Times New Roman"/>
          <w:szCs w:val="20"/>
        </w:rPr>
      </w:pPr>
    </w:p>
    <w:p w:rsidR="00A30899" w:rsidRPr="00E5591F" w:rsidRDefault="00500508" w:rsidP="00500508">
      <w:pPr>
        <w:pStyle w:val="BodyText1"/>
        <w:spacing w:line="240" w:lineRule="auto"/>
        <w:ind w:left="720" w:hanging="360"/>
        <w:jc w:val="left"/>
        <w:rPr>
          <w:rFonts w:ascii="Times New Roman" w:hAnsi="Times New Roman"/>
        </w:rPr>
      </w:pPr>
      <w:bookmarkStart w:id="52" w:name="_Toc322533854"/>
      <w:bookmarkEnd w:id="51"/>
      <w:r>
        <w:rPr>
          <w:rFonts w:ascii="Times New Roman" w:hAnsi="Times New Roman"/>
        </w:rPr>
        <w:t>7.</w:t>
      </w:r>
      <w:r>
        <w:tab/>
      </w:r>
      <w:r>
        <w:rPr>
          <w:rFonts w:ascii="Times New Roman" w:hAnsi="Times New Roman"/>
        </w:rPr>
        <w:t xml:space="preserve">Származtatott ügyletek </w:t>
      </w:r>
      <w:proofErr w:type="spellStart"/>
      <w:r>
        <w:rPr>
          <w:rFonts w:ascii="Times New Roman" w:hAnsi="Times New Roman"/>
        </w:rPr>
        <w:t>kitettségértéken</w:t>
      </w:r>
      <w:proofErr w:type="spellEnd"/>
      <w:r>
        <w:rPr>
          <w:rFonts w:ascii="Times New Roman" w:hAnsi="Times New Roman"/>
        </w:rPr>
        <w:t xml:space="preserve"> belüli részesedése = </w:t>
      </w:r>
      <m:oMath>
        <m:f>
          <m:fPr>
            <m:ctrlPr>
              <w:rPr>
                <w:rFonts w:ascii="Cambria Math" w:hAnsi="Times New Roman"/>
              </w:rPr>
            </m:ctrlPr>
          </m:fPr>
          <m:num>
            <m:eqArr>
              <m:eqArrPr>
                <m:ctrlPr>
                  <w:rPr>
                    <w:rFonts w:ascii="Cambria Math" w:hAnsi="Times New Roman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Times New Roman"/>
                  </w:rPr>
                  <m:t>[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LRCalc;060;010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/>
                  </w:rPr>
                  <m:t>+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LRCalc;070;010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/>
                  </w:rPr>
                  <m:t>+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LRCalc;080;010</m:t>
                    </m:r>
                  </m:e>
                </m:d>
                <m:r>
                  <w:rPr>
                    <w:rFonts w:ascii="Cambria Math" w:hAnsi="Times New Roman"/>
                  </w:rPr>
                  <m:t>+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LRCalc;090;010</m:t>
                    </m:r>
                  </m:e>
                </m:d>
                <m:r>
                  <w:rPr>
                    <w:rFonts w:ascii="Cambria Math" w:hAnsi="Times New Roman"/>
                  </w:rPr>
                  <m:t>+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LRCalc;100;010</m:t>
                    </m:r>
                  </m:e>
                </m:d>
                <m:ctrlPr>
                  <w:rPr>
                    <w:rFonts w:ascii="Cambria Math" w:eastAsia="Cambria Math" w:hAnsi="Cambria Math" w:cs="Cambria Math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Times New Roman"/>
                  </w:rPr>
                  <m:t>+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LRCalc;110;010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/>
                  </w:rPr>
                  <m:t xml:space="preserve">+ 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LRCalc;120;010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/>
                  </w:rPr>
                  <m:t>+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LRCalc;130;010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/>
                  </w:rPr>
                  <m:t>+{LRCalc;140;010}]</m:t>
                </m:r>
              </m:e>
            </m:eqArr>
          </m:num>
          <m:den>
            <m:r>
              <m:rPr>
                <m:sty m:val="p"/>
              </m:rPr>
              <w:rPr>
                <w:rFonts w:ascii="Cambria Math" w:hAnsi="Times New Roman"/>
              </w:rPr>
              <m:t>Total exposure measure</m:t>
            </m:r>
          </m:den>
        </m:f>
      </m:oMath>
      <w:r>
        <w:rPr>
          <w:rFonts w:ascii="Times New Roman" w:hAnsi="Times New Roman"/>
        </w:rPr>
        <w:t>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EB7F64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tab/>
      </w:r>
      <w:r>
        <w:rPr>
          <w:rFonts w:ascii="Times New Roman" w:hAnsi="Times New Roman"/>
        </w:rPr>
        <w:t>Ahol a teljes kitettségérték egyenlő: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;290;010}.</w:t>
      </w:r>
    </w:p>
    <w:p w:rsidR="00F4754B" w:rsidRPr="00EB7F64" w:rsidRDefault="00F4754B" w:rsidP="00E5591F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>
        <w:tab/>
      </w:r>
      <w:r>
        <w:rPr>
          <w:rFonts w:ascii="Times New Roman" w:hAnsi="Times New Roman"/>
        </w:rPr>
        <w:t>A származtatott ügyletek névértéke = {LR1; 010;070}. Ezt a mezőt mindig ki kell tölteniük az intézményeknek.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  <w:r>
        <w:tab/>
      </w:r>
      <w:proofErr w:type="spellStart"/>
      <w:r>
        <w:rPr>
          <w:rFonts w:ascii="Times New Roman" w:hAnsi="Times New Roman"/>
        </w:rPr>
        <w:t>Hitelderivatívák</w:t>
      </w:r>
      <w:proofErr w:type="spellEnd"/>
      <w:r>
        <w:rPr>
          <w:rFonts w:ascii="Times New Roman" w:hAnsi="Times New Roman"/>
        </w:rPr>
        <w:t xml:space="preserve"> értéke = {LR1;020;070} + {LR1;050;070}. Ezeket a mezőket mindig ki kell tölteniük az intézményeknek.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>
        <w:tab/>
      </w:r>
      <w:r>
        <w:rPr>
          <w:rFonts w:ascii="Times New Roman" w:hAnsi="Times New Roman"/>
        </w:rPr>
        <w:t>Az intézmények a következő adatszolgáltatási időszakban csak akkor kötelesek kitölteni a 14. pontban említett mezőket, ha a következő feltételek bármelyike teljesül:</w:t>
      </w:r>
    </w:p>
    <w:p w:rsidR="00607A1B" w:rsidRPr="00FE002E" w:rsidRDefault="00607A1B" w:rsidP="00607A1B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 xml:space="preserve">a származtatott ügyletek 7. pont szerinti, </w:t>
      </w:r>
      <w:proofErr w:type="spellStart"/>
      <w:r>
        <w:t>kitettségértéken</w:t>
      </w:r>
      <w:proofErr w:type="spellEnd"/>
      <w:r>
        <w:t xml:space="preserve"> belüli részesedése két egymást követő adatszolgáltatási vonatkozási időpontban meghaladja az 1,5 %-ot;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 xml:space="preserve">a származtatott ügyletek 7. pont szerinti, </w:t>
      </w:r>
      <w:proofErr w:type="spellStart"/>
      <w:r>
        <w:t>kitettségértéken</w:t>
      </w:r>
      <w:proofErr w:type="spellEnd"/>
      <w:r>
        <w:t xml:space="preserve"> belüli részesedése meghaladja a 2,0 %-ot.</w:t>
      </w:r>
    </w:p>
    <w:p w:rsidR="00F4754B" w:rsidRPr="00FE002E" w:rsidRDefault="00F4754B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12.</w:t>
      </w:r>
      <w:r>
        <w:tab/>
      </w:r>
      <w:r>
        <w:rPr>
          <w:rFonts w:ascii="Times New Roman" w:hAnsi="Times New Roman"/>
        </w:rPr>
        <w:t xml:space="preserve">Azon intézmények, amelyek esetében a származtatott ügyleteknek a 9. pontban meghatározott névértéke meghaladja a 10 milliárd EUR-t, akkor is kötelesek kitölteni a 14. pontban említett mezőket, </w:t>
      </w:r>
      <w:r>
        <w:rPr>
          <w:rFonts w:ascii="Times New Roman" w:hAnsi="Times New Roman"/>
        </w:rPr>
        <w:lastRenderedPageBreak/>
        <w:t xml:space="preserve">ha a származtatott ügyletek </w:t>
      </w:r>
      <w:proofErr w:type="spellStart"/>
      <w:r>
        <w:rPr>
          <w:rFonts w:ascii="Times New Roman" w:hAnsi="Times New Roman"/>
        </w:rPr>
        <w:t>kitettségértéken</w:t>
      </w:r>
      <w:proofErr w:type="spellEnd"/>
      <w:r>
        <w:rPr>
          <w:rFonts w:ascii="Times New Roman" w:hAnsi="Times New Roman"/>
        </w:rPr>
        <w:t xml:space="preserve"> belüli részesedése nem felel meg a 11. pontban leírt feltételeknek.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13.</w:t>
      </w:r>
      <w:r>
        <w:tab/>
      </w:r>
      <w:r>
        <w:rPr>
          <w:rFonts w:ascii="Times New Roman" w:hAnsi="Times New Roman"/>
        </w:rPr>
        <w:t>Az intézmények csak akkor kötelesek kitölteni a 15. pontban említett mezőket, ha a következő feltételek bármelyike teljesül:</w:t>
      </w:r>
    </w:p>
    <w:p w:rsidR="00607A1B" w:rsidRPr="00FE002E" w:rsidRDefault="00607A1B" w:rsidP="00607A1B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 xml:space="preserve">a </w:t>
      </w:r>
      <w:proofErr w:type="spellStart"/>
      <w:r>
        <w:t>hitelderivatíváknak</w:t>
      </w:r>
      <w:proofErr w:type="spellEnd"/>
      <w:r>
        <w:t xml:space="preserve"> a 10. pont szerinti értéke két egymást követő adatszolgáltatási vonatkozási időpontban meghaladja a 300 millió EUR-t;</w:t>
      </w:r>
    </w:p>
    <w:p w:rsidR="00675587" w:rsidRPr="00FE002E" w:rsidRDefault="00500508" w:rsidP="00500508">
      <w:pPr>
        <w:pStyle w:val="InstructionsText2"/>
        <w:numPr>
          <w:ilvl w:val="0"/>
          <w:numId w:val="0"/>
        </w:numPr>
        <w:ind w:left="1080" w:hanging="360"/>
        <w:rPr>
          <w:rFonts w:ascii="Symbol" w:eastAsia="Times New Roman" w:hAnsi="Symbol"/>
          <w:bCs/>
          <w:szCs w:val="17"/>
        </w:rPr>
      </w:pPr>
      <w:r>
        <w:tab/>
        <w:t xml:space="preserve">a </w:t>
      </w:r>
      <w:proofErr w:type="spellStart"/>
      <w:r>
        <w:t>hitelderivatíváknak</w:t>
      </w:r>
      <w:proofErr w:type="spellEnd"/>
      <w:r>
        <w:t xml:space="preserve"> a 10. pont szerinti értéke meghaladja az 500 millió EUR-t.</w:t>
      </w:r>
    </w:p>
    <w:p w:rsidR="00F4754B" w:rsidRPr="00FE002E" w:rsidRDefault="00F4754B" w:rsidP="00E5591F">
      <w:pPr>
        <w:pStyle w:val="BodyText1"/>
        <w:spacing w:line="240" w:lineRule="auto"/>
        <w:jc w:val="left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14.</w:t>
      </w:r>
      <w:r>
        <w:tab/>
      </w:r>
      <w:r>
        <w:rPr>
          <w:rFonts w:ascii="Times New Roman" w:hAnsi="Times New Roman"/>
        </w:rPr>
        <w:t>Az intézmények által a 11. pont értelmében kitöltendő mezők a következők: {LR1;010;</w:t>
      </w:r>
      <w:proofErr w:type="spellStart"/>
      <w:r>
        <w:rPr>
          <w:rFonts w:ascii="Times New Roman" w:hAnsi="Times New Roman"/>
        </w:rPr>
        <w:t>010</w:t>
      </w:r>
      <w:proofErr w:type="spellEnd"/>
      <w:r>
        <w:rPr>
          <w:rFonts w:ascii="Times New Roman" w:hAnsi="Times New Roman"/>
        </w:rPr>
        <w:t>}, {LR1;010;020}, {LR1;010;050}, {LR1;020;010}, {LR1;020;</w:t>
      </w:r>
      <w:proofErr w:type="spellStart"/>
      <w:r>
        <w:rPr>
          <w:rFonts w:ascii="Times New Roman" w:hAnsi="Times New Roman"/>
        </w:rPr>
        <w:t>020</w:t>
      </w:r>
      <w:proofErr w:type="spellEnd"/>
      <w:r>
        <w:rPr>
          <w:rFonts w:ascii="Times New Roman" w:hAnsi="Times New Roman"/>
        </w:rPr>
        <w:t>}, {LR1;020;050}, {LR1;030;050}, {LR1;030;070}, {LR1;040;050}, {LR1;040;070}, {LR1;050;010}, {LR1;050;020}, {LR1;050;</w:t>
      </w:r>
      <w:proofErr w:type="spellStart"/>
      <w:r>
        <w:rPr>
          <w:rFonts w:ascii="Times New Roman" w:hAnsi="Times New Roman"/>
        </w:rPr>
        <w:t>050</w:t>
      </w:r>
      <w:proofErr w:type="spellEnd"/>
      <w:r>
        <w:rPr>
          <w:rFonts w:ascii="Times New Roman" w:hAnsi="Times New Roman"/>
        </w:rPr>
        <w:t>}, {LR1;060;010}, {LR1;060;020}, {LR1;060;050} és {LR1;060;070}.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15.</w:t>
      </w:r>
      <w:r>
        <w:tab/>
      </w:r>
      <w:r>
        <w:rPr>
          <w:rFonts w:ascii="Times New Roman" w:hAnsi="Times New Roman"/>
        </w:rPr>
        <w:t>Az intézmények által a 13. pont értelmében kitöltendő mezők a következők: {LR1;020;075}, {LR1;050;075} és {LR1;050;085}.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  <w:b/>
        </w:rPr>
      </w:pPr>
      <w:bookmarkStart w:id="53" w:name="_Toc351048506"/>
      <w:bookmarkStart w:id="54" w:name="_Toc322687879"/>
      <w:bookmarkStart w:id="55" w:name="_Toc315961853"/>
      <w:bookmarkEnd w:id="52"/>
    </w:p>
    <w:p w:rsidR="00217D1F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56" w:name="_Toc359414285"/>
      <w:bookmarkStart w:id="57" w:name="_Toc423089070"/>
      <w:bookmarkStart w:id="58" w:name="_Toc524008520"/>
      <w:r>
        <w:rPr>
          <w:rFonts w:ascii="Times New Roman" w:hAnsi="Times New Roman"/>
          <w:b/>
        </w:rPr>
        <w:t>4.</w:t>
      </w:r>
      <w:r>
        <w:tab/>
      </w:r>
      <w:r>
        <w:rPr>
          <w:rFonts w:ascii="Times New Roman" w:hAnsi="Times New Roman"/>
          <w:b/>
        </w:rPr>
        <w:t>C 47.00 – A tőkeáttételi mutató számítása</w:t>
      </w:r>
      <w:bookmarkEnd w:id="53"/>
      <w:bookmarkEnd w:id="56"/>
      <w:r>
        <w:rPr>
          <w:rFonts w:ascii="Times New Roman" w:hAnsi="Times New Roman"/>
          <w:b/>
        </w:rPr>
        <w:t xml:space="preserve"> (</w:t>
      </w:r>
      <w:proofErr w:type="spellStart"/>
      <w:r>
        <w:rPr>
          <w:rFonts w:ascii="Times New Roman" w:hAnsi="Times New Roman"/>
          <w:b/>
        </w:rPr>
        <w:t>LRCalc</w:t>
      </w:r>
      <w:proofErr w:type="spellEnd"/>
      <w:r>
        <w:rPr>
          <w:rFonts w:ascii="Times New Roman" w:hAnsi="Times New Roman"/>
          <w:b/>
        </w:rPr>
        <w:t>)</w:t>
      </w:r>
      <w:bookmarkEnd w:id="57"/>
      <w:bookmarkEnd w:id="58"/>
    </w:p>
    <w:p w:rsidR="00F4754B" w:rsidRDefault="00F4754B" w:rsidP="00F4754B">
      <w:pPr>
        <w:pStyle w:val="BodyText1"/>
        <w:rPr>
          <w:rFonts w:ascii="Times New Roman" w:hAnsi="Times New Roman"/>
        </w:rPr>
      </w:pPr>
    </w:p>
    <w:p w:rsidR="00AE2798" w:rsidRPr="00FE002E" w:rsidRDefault="00AE2798" w:rsidP="00AE2798">
      <w:pPr>
        <w:pStyle w:val="BodyText1"/>
        <w:spacing w:line="240" w:lineRule="auto"/>
        <w:rPr>
          <w:rFonts w:ascii="Times New Roman" w:hAnsi="Times New Roman"/>
        </w:rPr>
      </w:pPr>
    </w:p>
    <w:p w:rsidR="00AE2798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16.</w:t>
      </w:r>
      <w:r>
        <w:tab/>
      </w:r>
      <w:r>
        <w:rPr>
          <w:rFonts w:ascii="Times New Roman" w:hAnsi="Times New Roman"/>
        </w:rPr>
        <w:t xml:space="preserve">Az adatszolgáltatási tábla e részében kell megadni azokat az adatokat, amelyekre a tőkeáttételi mutatónak a CRR 429., 429a. és 429b. cikke szerinti kiszámításához van szükség. </w:t>
      </w:r>
    </w:p>
    <w:p w:rsidR="00AE2798" w:rsidRPr="00FE002E" w:rsidRDefault="00AE2798" w:rsidP="00AE2798">
      <w:pPr>
        <w:pStyle w:val="BodyText1"/>
        <w:spacing w:line="240" w:lineRule="auto"/>
        <w:rPr>
          <w:rFonts w:ascii="Times New Roman" w:hAnsi="Times New Roman"/>
        </w:rPr>
      </w:pPr>
    </w:p>
    <w:p w:rsidR="00AE2798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17.</w:t>
      </w:r>
      <w:r>
        <w:tab/>
      </w:r>
      <w:r>
        <w:rPr>
          <w:rFonts w:ascii="Times New Roman" w:hAnsi="Times New Roman"/>
        </w:rPr>
        <w:t>Az intézményeknek negyedévente kell adatot szolgáltatniuk a tőkeáttételi mutatóról. Az „adatszolgáltatási vonatkozási időpont” szerinti érték mindig az adott negyedév harmadik hónapjának utolsó naptári napján fennálló érték.</w:t>
      </w:r>
    </w:p>
    <w:p w:rsidR="00C151ED" w:rsidRDefault="00C151ED" w:rsidP="00FD2C06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B011A0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18.</w:t>
      </w:r>
      <w:r>
        <w:tab/>
      </w:r>
      <w:r>
        <w:rPr>
          <w:rFonts w:ascii="Times New Roman" w:hAnsi="Times New Roman"/>
        </w:rPr>
        <w:t>Az intézményeknek a {010;</w:t>
      </w:r>
      <w:proofErr w:type="spellStart"/>
      <w:r>
        <w:rPr>
          <w:rFonts w:ascii="Times New Roman" w:hAnsi="Times New Roman"/>
        </w:rPr>
        <w:t>010</w:t>
      </w:r>
      <w:proofErr w:type="spellEnd"/>
      <w:r>
        <w:rPr>
          <w:rFonts w:ascii="Times New Roman" w:hAnsi="Times New Roman"/>
        </w:rPr>
        <w:t>} – {030;010}, a {060;010}, a {090;010}, a {110;010} és a {150;010} – {190;010} mezőt úgy kell kitölteniük, mintha a {050;010}, a {080;010}, a {100;010}, a {120;010} és a {220;010} mező szerinti mentességek nem lennének alkalmazandók.</w:t>
      </w:r>
    </w:p>
    <w:p w:rsidR="00F36D5B" w:rsidRDefault="00F36D5B" w:rsidP="00FD2C06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F36D5B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19.</w:t>
      </w:r>
      <w:r>
        <w:tab/>
      </w:r>
      <w:r>
        <w:rPr>
          <w:rFonts w:ascii="Times New Roman" w:hAnsi="Times New Roman"/>
        </w:rPr>
        <w:t>Az intézményeknek a {010;</w:t>
      </w:r>
      <w:proofErr w:type="spellStart"/>
      <w:r>
        <w:rPr>
          <w:rFonts w:ascii="Times New Roman" w:hAnsi="Times New Roman"/>
        </w:rPr>
        <w:t>010</w:t>
      </w:r>
      <w:proofErr w:type="spellEnd"/>
      <w:r>
        <w:rPr>
          <w:rFonts w:ascii="Times New Roman" w:hAnsi="Times New Roman"/>
        </w:rPr>
        <w:t>} – {240;010} mezőt úgy kell kitölteniük, mintha a {250;010} és a {260;010} mező szerinti mentességek nem lennének alkalmazandók.</w:t>
      </w:r>
    </w:p>
    <w:p w:rsidR="00720503" w:rsidRDefault="00720503" w:rsidP="00FD2C06">
      <w:pPr>
        <w:pStyle w:val="ListParagraph"/>
        <w:rPr>
          <w:rFonts w:ascii="Times New Roman" w:hAnsi="Times New Roman"/>
        </w:rPr>
      </w:pPr>
    </w:p>
    <w:p w:rsidR="00720503" w:rsidRPr="00B811B0" w:rsidRDefault="00500508" w:rsidP="00500508">
      <w:pPr>
        <w:pStyle w:val="InstructionsText2"/>
        <w:numPr>
          <w:ilvl w:val="0"/>
          <w:numId w:val="0"/>
        </w:numPr>
        <w:ind w:left="720" w:hanging="360"/>
      </w:pPr>
      <w:r>
        <w:t>20.</w:t>
      </w:r>
      <w:r>
        <w:tab/>
        <w:t>A szavatoló tőkét vagy a tőkeáttételi mutató számításához használt kitettségértéket növelő összegek előjele pozitív. Ugyanakkor a szavatoló tőke teljes összegét vagy a tőkeáttételi mutató számításához használt kitettségértéket csökkentő összegek előjele negatív. Ha egy tétel megjelölése előtt mínuszjel (–) található, akkor az adott tételről nem szolgáltatható pozitív adat.</w:t>
      </w:r>
    </w:p>
    <w:p w:rsidR="00720503" w:rsidRPr="00FE002E" w:rsidRDefault="00720503" w:rsidP="00FD2C06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AE2798" w:rsidRPr="00FE002E" w:rsidRDefault="00AE2798" w:rsidP="00AE2798">
      <w:pPr>
        <w:pStyle w:val="BodyText1"/>
        <w:rPr>
          <w:rFonts w:ascii="Times New Roman" w:hAnsi="Times New Roman"/>
        </w:rPr>
      </w:pPr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AE2798" w:rsidRPr="00FE002E" w:rsidTr="00FE0FF1">
        <w:trPr>
          <w:trHeight w:val="304"/>
        </w:trPr>
        <w:tc>
          <w:tcPr>
            <w:tcW w:w="1418" w:type="dxa"/>
            <w:shd w:val="clear" w:color="auto" w:fill="D9D9D9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</w:rPr>
            </w:pPr>
          </w:p>
        </w:tc>
        <w:tc>
          <w:tcPr>
            <w:tcW w:w="7590" w:type="dxa"/>
            <w:shd w:val="clear" w:color="auto" w:fill="D9D9D9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</w:rPr>
              <w:t>Jogszabályi hivatkozások és útmutató</w:t>
            </w: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shd w:val="clear" w:color="auto" w:fill="D9D9D9"/>
          </w:tcPr>
          <w:p w:rsidR="00AE2798" w:rsidRPr="00FE002E" w:rsidRDefault="00AE2798" w:rsidP="00500508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Sor és oszlop</w:t>
            </w:r>
          </w:p>
        </w:tc>
        <w:tc>
          <w:tcPr>
            <w:tcW w:w="7590" w:type="dxa"/>
            <w:shd w:val="clear" w:color="auto" w:fill="D9D9D9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Kitettségértékek</w:t>
            </w: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</w:t>
            </w:r>
            <w:proofErr w:type="spellStart"/>
            <w:r>
              <w:rPr>
                <w:rFonts w:ascii="Times New Roman" w:hAnsi="Times New Roman"/>
              </w:rPr>
              <w:t>010</w:t>
            </w:r>
            <w:proofErr w:type="spellEnd"/>
            <w:r>
              <w:rPr>
                <w:rFonts w:ascii="Times New Roman" w:hAnsi="Times New Roman"/>
              </w:rPr>
              <w:t>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>: A CRR 429. cikkének (5) bekezdése és 429. cikkének (8) bekezdése szerinti kitettség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cikke (5) bekezdésének d) pontja és 429. cikkének (8) bekezdése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429. cikke (5) bekezdésének d) pontja és 429. cikkének (8) bekezdése szerint számított </w:t>
            </w:r>
            <w:proofErr w:type="spellStart"/>
            <w:r>
              <w:rPr>
                <w:rFonts w:ascii="Times New Roman" w:hAnsi="Times New Roman"/>
              </w:rPr>
              <w:t>SFT-kitettség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 ebben a mezőben a 429b. cikk (6) bekezdésének c) pontja szerinti </w:t>
            </w:r>
            <w:r>
              <w:rPr>
                <w:rFonts w:ascii="Times New Roman" w:hAnsi="Times New Roman"/>
              </w:rPr>
              <w:lastRenderedPageBreak/>
              <w:t>ügyleteket veszik figyelembe.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 ebben a mezőben nem tüntethetik fel a kapott készpénzt vagy az említett tranzakciók során bármely ügyleti partnernek adott biztosítékot, ha az továbbra is szerepel a mérlegben (vagyis akkor, ha a kivezetés számviteli feltételei nem teljesülnek). Ezeket a tételeket az intézmények ehelyett a {190,010} mezőben tüntetik fel.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 ebben a mezőben nem tüntethetik fel azokat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>, amelyeknél megbízottként közreműködve a CRR 429b. cikke (6) bekezdése a) pontjának megfelelően kártalanítási vagy garanciakötelezettséget vállalnak egy ügyféllel vagy ügyleti partnerrel szemben, amely kötelezettség az ügyfél által kölcsönadott értékpapír vagy készpénz értéke és a kölcsönfelvevő által nyújtott biztosíték értéke közötti különbségre korlátozódik.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{020;010}</w:t>
            </w:r>
          </w:p>
        </w:tc>
        <w:tc>
          <w:tcPr>
            <w:tcW w:w="7590" w:type="dxa"/>
          </w:tcPr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>: Partnerkockázat miatti többlet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429b. cikkének (1) 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mérlegen belüli és a mérlegen kívüli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partnerkockázata miatti többlet, amelyet a CRR 429b. cikkének (2) vagy – adott esetben – (3) bekezdése alapján számítanak ki.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 ebben a mezőben a 429b. cikk (6) bekezdésének c) pontja szerinti ügyleteket veszik figyelembe.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 ebben a mezőben nem tüntethetik fel azokat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>, amelyeknél megbízottként közreműködve a CRR 429b. cikke (6) bekezdése a) pontjának megfelelően kártalanítási vagy garanciakötelezettséget vállalnak egy ügyféllel vagy ügyleti partnerrel szemben, amely kötelezettség az ügyfél által kölcsönadott értékpapír vagy készpénz értéke és a kölcsönfelvevő által nyújtott biztosíték értéke közötti különbségre korlátozódik. Ezeket a tételeket az intézmények ehelyett a {040;010} mezőben tüntetik fel.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{030;010}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Értékpapír-finanszírozási ügyletekre vonatkozó eltérés: a CRR 429b. cikkének (4) bekezdése és 222. cikke szerinti többlet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429b. cikkének (4) bekezdése és 222. cikke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mérlegen belüli és a mérlegen kívüli </w:t>
            </w:r>
            <w:proofErr w:type="spellStart"/>
            <w:r>
              <w:rPr>
                <w:rFonts w:ascii="Times New Roman" w:hAnsi="Times New Roman"/>
              </w:rPr>
              <w:t>SFT-knek</w:t>
            </w:r>
            <w:proofErr w:type="spellEnd"/>
            <w:r>
              <w:rPr>
                <w:rFonts w:ascii="Times New Roman" w:hAnsi="Times New Roman"/>
              </w:rPr>
              <w:t xml:space="preserve"> a CRR 222. cikke szerint számított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20 %-os küszöbértéket érvényesítve az alkalmazandó kockázati súlyra. 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 ebben a mezőben a CRR 429b. cikke (6) bekezdésének c) pontja szerinti ügyleteket veszik figyelembe.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 ebben a mezőben nem vehetik figyelembe azokat az ügyleteket, amelyek esetében a tőkeáttételi mutató számításához használt </w:t>
            </w:r>
            <w:proofErr w:type="spellStart"/>
            <w:r>
              <w:rPr>
                <w:rFonts w:ascii="Times New Roman" w:hAnsi="Times New Roman"/>
              </w:rPr>
              <w:t>kitettségértéknek</w:t>
            </w:r>
            <w:proofErr w:type="spellEnd"/>
            <w:r>
              <w:rPr>
                <w:rFonts w:ascii="Times New Roman" w:hAnsi="Times New Roman"/>
              </w:rPr>
              <w:t xml:space="preserve"> a többletet képviselő részét a CRR 429b. cikkének (1) bekezdésében meghatározott módszer szerint határozták meg.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{040;010}</w:t>
            </w:r>
          </w:p>
        </w:tc>
        <w:tc>
          <w:tcPr>
            <w:tcW w:w="7590" w:type="dxa"/>
          </w:tcPr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A CRR 429b. cikkének (6) bekezdése szerinti, megbízottként végzett </w:t>
            </w: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 xml:space="preserve"> partnerkockázata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429b. cikkének (6) bekezdése a) pontja, illetve (2) és (3) 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>, amelyeknél az intézmények megbízottként közreműködve a CRR 429b. cikke (6) bekezdése a) pontjának megfelelően kártalanítási vagy garanciakötelezettséget vállalnak egy ügyféllel vagy ügyleti partnerrel szemben, amely kötelezettség az ügyfél által kölcsönadott értékpapír vagy készpénz értéke és a kölcsönfelvevő által nyújtott biztosíték értéke közötti különbségre korlátozódik, és amely csak a CRR 429b. cikkének (2) vagy – adott esetben – (3) bekezdése szerint meghatározott többletből áll.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Az intézmények ebben a mezőben nem tüntethetik fel a 429b. cikk (6) bekezdésének c) pontja szerinti ügyleteket. Ezeket a tételeket az intézmények ehelyett a {010;</w:t>
            </w:r>
            <w:proofErr w:type="spellStart"/>
            <w:r>
              <w:rPr>
                <w:rFonts w:ascii="Times New Roman" w:hAnsi="Times New Roman"/>
              </w:rPr>
              <w:t>010</w:t>
            </w:r>
            <w:proofErr w:type="spellEnd"/>
            <w:r>
              <w:rPr>
                <w:rFonts w:ascii="Times New Roman" w:hAnsi="Times New Roman"/>
              </w:rPr>
              <w:t>} és a {020;010} vagy – adott esetben – a {010;</w:t>
            </w:r>
            <w:proofErr w:type="spellStart"/>
            <w:r>
              <w:rPr>
                <w:rFonts w:ascii="Times New Roman" w:hAnsi="Times New Roman"/>
              </w:rPr>
              <w:t>010</w:t>
            </w:r>
            <w:proofErr w:type="spellEnd"/>
            <w:r>
              <w:rPr>
                <w:rFonts w:ascii="Times New Roman" w:hAnsi="Times New Roman"/>
              </w:rPr>
              <w:t>} és a {030;010} mezőben tüntetik fel.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{050;010}</w:t>
            </w:r>
          </w:p>
        </w:tc>
        <w:tc>
          <w:tcPr>
            <w:tcW w:w="7590" w:type="dxa"/>
          </w:tcPr>
          <w:p w:rsidR="00AE2798" w:rsidRDefault="005556DC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(–) Ügyfél által elszámolt, központi szerződő féllel szembeni, mentesített </w:t>
            </w:r>
            <w:proofErr w:type="spellStart"/>
            <w:r>
              <w:rPr>
                <w:rFonts w:ascii="Times New Roman" w:hAnsi="Times New Roman"/>
                <w:b/>
              </w:rPr>
              <w:t>SFT-kitettségek</w:t>
            </w:r>
            <w:proofErr w:type="spellEnd"/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(11) bekezdése és 306. cikke (1) bekezdésének c) pontja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ügyfél által elszámolt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központi szerződő féllel szembeni, mentesített kereskedési kitettségei, amennyiben megfelelnek a CRR 306. cikke (1) bekezdésének c) pontjában megállapított feltételeknek.</w:t>
            </w:r>
          </w:p>
          <w:p w:rsidR="004052F0" w:rsidRDefault="004052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052F0" w:rsidRDefault="004052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Amennyiben a központi szerződő féllel szembeni mentesített kitettség biztosíték, az nem tüntethető fel ebben a mezőben, kivéve akkor, ha olyan újból elzálogosított biztosítékról van szó, amelyet az alkalmazandó számviteli szabályozás szerint (vagyis a CRR 111. cikke (1) bekezdése első mondatának megfelelően) teljes értéken kell figyelembe venni.</w:t>
            </w:r>
          </w:p>
          <w:p w:rsidR="004052F0" w:rsidRDefault="004052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052F0" w:rsidRDefault="004052F0" w:rsidP="00FD2C06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intézményeknek az ebben a mezőben feltüntetett összeget a {010;</w:t>
            </w:r>
            <w:proofErr w:type="spellStart"/>
            <w:r>
              <w:rPr>
                <w:rFonts w:ascii="Times New Roman" w:hAnsi="Times New Roman"/>
              </w:rPr>
              <w:t>010</w:t>
            </w:r>
            <w:proofErr w:type="spellEnd"/>
            <w:r>
              <w:rPr>
                <w:rFonts w:ascii="Times New Roman" w:hAnsi="Times New Roman"/>
              </w:rPr>
              <w:t>}, a {020;010} és a {030;010}, valamint az előző mondat második felében szereplő feltétel teljesülése esetén a {190;010} mezőben is szerepeltetniük kell, mintha nem lenne mentesség alkalmazandó.</w:t>
            </w:r>
          </w:p>
          <w:p w:rsidR="00AF6C6D" w:rsidRDefault="00AF6C6D" w:rsidP="00FD2C06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F6C6D" w:rsidRPr="00FE002E" w:rsidRDefault="00AF6C6D" w:rsidP="00FD2C06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Amennyiben az intézmény a mentesített </w:t>
            </w:r>
            <w:proofErr w:type="spellStart"/>
            <w:r>
              <w:rPr>
                <w:rFonts w:ascii="Times New Roman" w:hAnsi="Times New Roman"/>
              </w:rPr>
              <w:t>SFT-kitettségek</w:t>
            </w:r>
            <w:proofErr w:type="spellEnd"/>
            <w:r>
              <w:rPr>
                <w:rFonts w:ascii="Times New Roman" w:hAnsi="Times New Roman"/>
              </w:rPr>
              <w:t xml:space="preserve"> tekintetében olyan alapletétet helyezett el, amelyet a {190;010} mezőben feltüntetett, de a {020;010} vagy a {030;010} mezőben nem tüntetett fel, úgy azt ebben a mezőben tüntetheti fel.</w:t>
            </w:r>
          </w:p>
          <w:p w:rsidR="00AE2798" w:rsidRPr="0084012A" w:rsidRDefault="00AE2798" w:rsidP="00C0429A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{060;010}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Származtatott ügyletek: aktuális pótlási költség 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429a., 274., 295., 296., 297. és 298. cikke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II. mellékletében felsorolt szerződéseknek, továbbá a mérlegen belüli és a mérlegen kívüli </w:t>
            </w:r>
            <w:proofErr w:type="spellStart"/>
            <w:r>
              <w:rPr>
                <w:rFonts w:ascii="Times New Roman" w:hAnsi="Times New Roman"/>
              </w:rPr>
              <w:t>hitelderivatíváknak</w:t>
            </w:r>
            <w:proofErr w:type="spellEnd"/>
            <w:r>
              <w:rPr>
                <w:rFonts w:ascii="Times New Roman" w:hAnsi="Times New Roman"/>
              </w:rPr>
              <w:t xml:space="preserve"> a CRR 274. cikke (1) bekezdésében meghatározott, a kapott változó letéttel együtt számított aktuális pótlási költsége.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429a. cikkének (1) bekezdése szerint az intézmények a CRR 295. cikkével összhangban figyelembe vehetik a novációs szerződések és más nettósítási megállapodások hatásait. Az eltérő termékkategóriák közötti nettósítás nem alkalmazható. Megengedett azonban az intézmények számára a CRR 272. cikke 25. pontjának c) alpontjában említett termékkategórián és a </w:t>
            </w:r>
            <w:proofErr w:type="spellStart"/>
            <w:r>
              <w:rPr>
                <w:rFonts w:ascii="Times New Roman" w:hAnsi="Times New Roman"/>
              </w:rPr>
              <w:t>hitelderivatívákon</w:t>
            </w:r>
            <w:proofErr w:type="spellEnd"/>
            <w:r>
              <w:rPr>
                <w:rFonts w:ascii="Times New Roman" w:hAnsi="Times New Roman"/>
              </w:rPr>
              <w:t xml:space="preserve"> belüli nettósítás, ha a CRR 295. cikke c) pontjában említett, eltérő termékkategóriák közötti szerződéses nettósítási megállapodás vonatkozik rájuk.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intézmények ebben a mezőben nem tüntethetik fel a CRR 429a. cikkének (8) bekezdésével és 275. cikkével összhangban az eredeti kitettség szerinti módszerrel értékelt szerződéseket.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{070;010}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5556DC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(–) Kapott elismerhető változó készpénzletét beszámítása a származtatott ügylet piaci értékével szemben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429a. cikkének (3) 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ügyleti partnertől készpénzben kapott, a </w:t>
            </w:r>
            <w:proofErr w:type="spellStart"/>
            <w:r>
              <w:rPr>
                <w:rFonts w:ascii="Times New Roman" w:hAnsi="Times New Roman"/>
              </w:rPr>
              <w:t>derivatívakitettség</w:t>
            </w:r>
            <w:proofErr w:type="spellEnd"/>
            <w:r>
              <w:rPr>
                <w:rFonts w:ascii="Times New Roman" w:hAnsi="Times New Roman"/>
              </w:rPr>
              <w:t xml:space="preserve"> pótlási költséget jelentő részével szemben a CRR 429a. cikke (3) bekezdésének megfelelően beszámítható változó készpénzletét.</w:t>
            </w:r>
          </w:p>
          <w:p w:rsidR="00291B93" w:rsidRDefault="00291B93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291B93" w:rsidRDefault="00291B93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(11) bekezdése szerinti, központi szerződő féllel szembeni mentesített kitettségek tekintetében kapott változó készpénzletétet itt nem szabad feltüntetni.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{080;010}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5556DC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(–) Ügyfél által elszámolt, központi szerződő féllel szembeni, mentesített kereskedési kitettségek (pótlási költségek)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(11) 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ügyfél által elszámolt származtatott ügyletekből eredő, minősített központi szerződő féllel szembeni, mentesített kereskedési kitettségek pótlási költséget jelentő része, amennyiben e tételek teljesítik a CRR 306. cikke (1) bekezdésének c) pontjában foglalt feltételeket. Az összeget az e kitettségek tekintetében kapott változó készpénzletéttel együtt kell feltüntetni.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184D76" w:rsidRDefault="00184D76" w:rsidP="00184D76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intézményeknek az ebben a mezőben feltüntetett összeget a {060;010} mezőben is szerepeltetniük kell, mintha nem lenne mentesség alkalmazandó.</w:t>
            </w:r>
          </w:p>
          <w:p w:rsidR="00184D76" w:rsidRPr="0084012A" w:rsidRDefault="00184D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{090;010}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Származtatott ügyletek: a piaci árazás szerinti módszer miatti többlet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429a., 274., 295., 296., 297. és 298. cikke, valamint 299. cikkének (2) bekezdése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Ebben a mezőben a CRR II. mellékletében felsorolt szerződéseknek és a mérlegen belüli és mérlegen kívüli </w:t>
            </w:r>
            <w:proofErr w:type="spellStart"/>
            <w:r>
              <w:rPr>
                <w:rFonts w:ascii="Times New Roman" w:hAnsi="Times New Roman"/>
              </w:rPr>
              <w:t>hitelderivatíváknak</w:t>
            </w:r>
            <w:proofErr w:type="spellEnd"/>
            <w:r>
              <w:rPr>
                <w:rFonts w:ascii="Times New Roman" w:hAnsi="Times New Roman"/>
              </w:rPr>
              <w:t xml:space="preserve"> a piaci árazás szerinti módszer (a II. mellékletben felsorolt szerződések vonatkozásában a CRR 274. cikke, a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vonatkozásában pedig a CRR 299. cikkének (2) bekezdése) alapján számított potenciális jövőbeli kitettsége miatti többletet kell feltüntetni, a CRR 429a. cikkének (1) bekezdése szerinti nettósítási szabályok alkalmazásával. Ezen szerződések </w:t>
            </w:r>
            <w:proofErr w:type="spellStart"/>
            <w:r>
              <w:rPr>
                <w:rFonts w:ascii="Times New Roman" w:hAnsi="Times New Roman"/>
              </w:rPr>
              <w:t>kitettségértékének</w:t>
            </w:r>
            <w:proofErr w:type="spellEnd"/>
            <w:r>
              <w:rPr>
                <w:rFonts w:ascii="Times New Roman" w:hAnsi="Times New Roman"/>
              </w:rPr>
              <w:t xml:space="preserve"> meghatározása során az intézmények a CRR 295. cikkével összhangban figyelembe vehetik a novációs szerződések és más nettósítási megállapodások hatásait. Az eltérő termékkategóriák közötti nettósítás nem alkalmazható. Megengedett azonban az intézmények számára a CRR 272. cikke 25. pontjának c) alpontjában említett termékkategórián és a </w:t>
            </w:r>
            <w:proofErr w:type="spellStart"/>
            <w:r>
              <w:rPr>
                <w:rFonts w:ascii="Times New Roman" w:hAnsi="Times New Roman"/>
              </w:rPr>
              <w:t>hitelderivatívákon</w:t>
            </w:r>
            <w:proofErr w:type="spellEnd"/>
            <w:r>
              <w:rPr>
                <w:rFonts w:ascii="Times New Roman" w:hAnsi="Times New Roman"/>
              </w:rPr>
              <w:t xml:space="preserve"> belüli nettósítás, ha a CRR 295. cikke c) pontjában említett, eltérő termékkategóriák közötti szerződéses nettósítási megállapodás vonatkozik rájuk. 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429a. cikke (1) bekezdésének második albekezdésével összhangban az intézmények a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lehetséges jövőbeli </w:t>
            </w:r>
            <w:proofErr w:type="spellStart"/>
            <w:r>
              <w:rPr>
                <w:rFonts w:ascii="Times New Roman" w:hAnsi="Times New Roman"/>
              </w:rPr>
              <w:t>kitettségértékének</w:t>
            </w:r>
            <w:proofErr w:type="spellEnd"/>
            <w:r>
              <w:rPr>
                <w:rFonts w:ascii="Times New Roman" w:hAnsi="Times New Roman"/>
              </w:rPr>
              <w:t xml:space="preserve"> meghatározásakor a CRR 299. cikke (2) bekezdésének a) pontjában megállapított elveket valamennyi </w:t>
            </w:r>
            <w:proofErr w:type="spellStart"/>
            <w:r>
              <w:rPr>
                <w:rFonts w:ascii="Times New Roman" w:hAnsi="Times New Roman"/>
              </w:rPr>
              <w:t>hitelderivatívájukra</w:t>
            </w:r>
            <w:proofErr w:type="spellEnd"/>
            <w:r>
              <w:rPr>
                <w:rFonts w:ascii="Times New Roman" w:hAnsi="Times New Roman"/>
              </w:rPr>
              <w:t xml:space="preserve"> alkalmazzák, vagyis nem csak a kereskedési könyvben szereplőkre. 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intézmények ebben a mezőben nem tüntethetik fel a CRR 429a. cikkének (8) bekezdésével és 275. cikkével összhangban az eredeti kitettség szerinti módszerrel értékelt szerződéseket.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{100;010}</w:t>
            </w:r>
          </w:p>
        </w:tc>
        <w:tc>
          <w:tcPr>
            <w:tcW w:w="7590" w:type="dxa"/>
          </w:tcPr>
          <w:p w:rsidR="00AE2798" w:rsidRDefault="005556DC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(–) Ügyfél által elszámolt, központi szerződő féllel szembeni, mentesített kereskedési kitettségek (potenciális jövőbeli kitettség)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(11) 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ügyfél által elszámolt származtatott ügyletekből eredő, minősített központi szerződő féllel szembeni, mentesített kereskedési kitettségek potenciális jövőbeli kitettsége, amennyiben e tételek teljesítik a CRR 306. cikke (1) bekezdésének c) pontjában foglalt feltételeket.</w:t>
            </w:r>
          </w:p>
          <w:p w:rsidR="001B3BF0" w:rsidRDefault="001B3B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1B3BF0" w:rsidRDefault="001B3B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intézményeknek az ebben a mezőben feltüntetett összeget a {090;010} mezőben is szerepeltetniük kell, mintha nem lenne mentesség alkalmazandó.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{110;010}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Származtatott ügyletekre vonatkozó eltérés: az eredeti kitettség szerinti módszer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429a. cikkének (8) bekezdése és 275. cikke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Ebben a mezőben a CRR II. mellékletének 1. és 2. pontjában felsorolt szerződéseknek a CRR 275. cikkében megállapított eredeti kitettség szerinti módszer alapján számított </w:t>
            </w:r>
            <w:proofErr w:type="spellStart"/>
            <w:r>
              <w:rPr>
                <w:rFonts w:ascii="Times New Roman" w:hAnsi="Times New Roman"/>
              </w:rPr>
              <w:lastRenderedPageBreak/>
              <w:t>kitettségértékét</w:t>
            </w:r>
            <w:proofErr w:type="spellEnd"/>
            <w:r>
              <w:rPr>
                <w:rFonts w:ascii="Times New Roman" w:hAnsi="Times New Roman"/>
              </w:rPr>
              <w:t xml:space="preserve"> kell feltüntetni.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3F598C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429a. cikke (8) bekezdésének megfelelően az eredeti kitettség szerinti módszert alkalmazó intézmények nem csökkenthetik a kitettségértéket a készpénzben kapott változó letét összegével.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eredeti kitettség szerinti módszert nem alkalmazó intézményeknek ezt a mezőt nem szabad kitölteniük.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intézmények ebben a mezőben nem vehetik figyelembe a CRR 429a. cikkének (1) bekezdésével és 274. cikkével összhangban a piaci árazás szerinti módszerrel értékelt szerződéseket.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{120;010}</w:t>
            </w:r>
          </w:p>
        </w:tc>
        <w:tc>
          <w:tcPr>
            <w:tcW w:w="7590" w:type="dxa"/>
          </w:tcPr>
          <w:p w:rsidR="00AE2798" w:rsidRDefault="00422C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(–) Ügyfél által elszámolt, központi szerződő féllel szembeni, mentesített kereskedési kitettségek (eredeti kitettség szerinti módszer)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(11) 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ügyfél által elszámolt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központi szerződő féllel szembeni, a CRR 275. cikkében megállapított eredeti kitettség szerinti módszer alkalmazásával számított mentesített kereskedési kitettségei, amennyiben megfelelnek a CRR 306. cikke (1) bekezdésének c) pontjában megállapított feltételeknek.</w:t>
            </w:r>
          </w:p>
          <w:p w:rsidR="001B3BF0" w:rsidRDefault="001B3B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1B3BF0" w:rsidRDefault="001B3BF0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intézményeknek az ebben a mezőben feltüntetett összeget a {110;010} mezőben is szerepeltetniük kell, mintha nem lenne mentesség alkalmazandó.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{130;010}</w:t>
            </w:r>
          </w:p>
        </w:tc>
        <w:tc>
          <w:tcPr>
            <w:tcW w:w="7590" w:type="dxa"/>
          </w:tcPr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Eladott </w:t>
            </w: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csökkentett névleges összege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429a. cikkének (5)–(7) 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eladott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(az intézmény által ügyleti partnerének nyújtott hitelkockázati fedezet) csökkentett névleges összege a CRR 429a. cikkének (5)–(7) bekezdésének megfelelően.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{140;010}</w:t>
            </w:r>
          </w:p>
        </w:tc>
        <w:tc>
          <w:tcPr>
            <w:tcW w:w="7590" w:type="dxa"/>
          </w:tcPr>
          <w:p w:rsidR="00AE2798" w:rsidRDefault="00422C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(–) Az elismerhető vásárolt </w:t>
            </w: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beszámítása az eladott </w:t>
            </w:r>
            <w:proofErr w:type="spellStart"/>
            <w:r>
              <w:rPr>
                <w:rFonts w:ascii="Times New Roman" w:hAnsi="Times New Roman"/>
                <w:b/>
              </w:rPr>
              <w:t>hitelderivatívákkal</w:t>
            </w:r>
            <w:proofErr w:type="spellEnd"/>
            <w:r>
              <w:rPr>
                <w:rFonts w:ascii="Times New Roman" w:hAnsi="Times New Roman"/>
                <w:b/>
              </w:rPr>
              <w:t xml:space="preserve"> szemben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429a. cikkének (5)–(7) 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vásárolt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(az intézmény által ügyleti partnerétől vásárolt hitelkockázati fedezet) csökkentett névértéke, amelyek referencianeve azonos az intézmény által eladott </w:t>
            </w:r>
            <w:proofErr w:type="spellStart"/>
            <w:r>
              <w:rPr>
                <w:rFonts w:ascii="Times New Roman" w:hAnsi="Times New Roman"/>
              </w:rPr>
              <w:t>hitelderivatívákéval</w:t>
            </w:r>
            <w:proofErr w:type="spellEnd"/>
            <w:r>
              <w:rPr>
                <w:rFonts w:ascii="Times New Roman" w:hAnsi="Times New Roman"/>
              </w:rPr>
              <w:t>, amennyiben a vásárolt fedezet hátralévő futamideje nem rövidebb az eladott fedezet hátralévő futamidejénél. A megadott érték következésképpen nem lehet nagyobb, mint a {130;010} mezőben az egyes referencianevek vonatkozásában feltüntetett érték.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6E259E">
        <w:trPr>
          <w:trHeight w:val="983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{150;010}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A CRR 429. cikke (10) bekezdésének megfelelő, 10 %-os hitel-egyenértékesítési tényezővel rendelkező mérlegen kívüli tételek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(10) bekezdése, 111. cikke (1) bekezdésének d) pontja és 166. cikkének (9) bekezdése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alacsony kockázatú mérlegen kívüli tételek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 a CRR 429. cikkének (10) bekezdésével és 111. cikke (1) bekezdésének d) pontjával összhangban, amelyek a CRR I. melléklete 4. pontjának a)–c) alpontja szerint 0 %-os hitel-egyenértékesítési tényezőt kapnának (emlékeztetőül: a kitettségérték itt a névérték 10 %-a). Ezek olyan kötelezettségvállalások, amelyeket az intézmény bármikor, feltétel és előzetes értesítés nélkül felmondhat (UCC), vagy amelyeknél a hitelfelvevő hitelképességének romlása automatikusan a megállapodás felmondását eredményezi.</w:t>
            </w:r>
            <w:r>
              <w:t xml:space="preserve"> </w:t>
            </w:r>
            <w:r>
              <w:rPr>
                <w:rFonts w:ascii="Times New Roman" w:hAnsi="Times New Roman"/>
              </w:rPr>
              <w:t xml:space="preserve">Emlékeztetőül: a névérték nem </w:t>
            </w:r>
            <w:r>
              <w:rPr>
                <w:rFonts w:ascii="Times New Roman" w:hAnsi="Times New Roman"/>
              </w:rPr>
              <w:lastRenderedPageBreak/>
              <w:t>csökkenthető egyedi hitelkockázati kiigazításokkal.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Ha a kötelezettségvállalás egy másik kötelezettségvállalás meghosszabbításához kapcsolódik, akkor az egyedi kötelezettségvállaláshoz kapcsolódó két </w:t>
            </w:r>
            <w:proofErr w:type="spellStart"/>
            <w:r>
              <w:rPr>
                <w:rFonts w:ascii="Times New Roman" w:hAnsi="Times New Roman"/>
              </w:rPr>
              <w:t>egyenértékesítési</w:t>
            </w:r>
            <w:proofErr w:type="spellEnd"/>
            <w:r>
              <w:rPr>
                <w:rFonts w:ascii="Times New Roman" w:hAnsi="Times New Roman"/>
              </w:rPr>
              <w:t xml:space="preserve"> tényező közül a CRR 166. cikke (9) bekezdésének megfelelően az alacsonyabb alkalmazandó.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429. cikkének (10) bekezdése értelmében az intézmények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</w:rPr>
              <w:t>hitelderivatívákat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AE2798" w:rsidRPr="00FE002E" w:rsidTr="00FD2C06">
        <w:trPr>
          <w:trHeight w:val="712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{160;010}</w:t>
            </w: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 CRR 429. cikke (10) bekezdésének megfelelő, 20 %-os hitel-egyenértékesítési tényezővel rendelkező mérlegen kívüli tételek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(10) bekezdése, 111. cikke (1) bekezdésének c) pontja és 166. cikkének (9) bekezdése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közepes/alacsony kockázatú mérlegen kívüli tételek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 a CRR 429. cikkének (10) bekezdésével és 111. cikke (1) bekezdésének c) pontjával összhangban, amelyek a CRR I. melléklete 3. pontjának a) és b) alpontja szerint 20 %-os hitel-egyenértékesítési tényezőt kapnának (emlékeztetőül: a kitettségérték itt a névérték 20 %-a).</w:t>
            </w:r>
            <w:r>
              <w:t xml:space="preserve"> </w:t>
            </w:r>
            <w:r>
              <w:rPr>
                <w:rFonts w:ascii="Times New Roman" w:hAnsi="Times New Roman"/>
              </w:rPr>
              <w:t>Emlékeztetőül: a névérték nem csökkenthető egyedi hitelkockázati kiigazításokkal.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Ha a kötelezettségvállalás egy másik kötelezettségvállalás meghosszabbításához kapcsolódik, akkor az egyedi kötelezettségvállaláshoz kapcsolódó két </w:t>
            </w:r>
            <w:proofErr w:type="spellStart"/>
            <w:r>
              <w:rPr>
                <w:rFonts w:ascii="Times New Roman" w:hAnsi="Times New Roman"/>
              </w:rPr>
              <w:t>egyenértékesítési</w:t>
            </w:r>
            <w:proofErr w:type="spellEnd"/>
            <w:r>
              <w:rPr>
                <w:rFonts w:ascii="Times New Roman" w:hAnsi="Times New Roman"/>
              </w:rPr>
              <w:t xml:space="preserve"> tényező közül a CRR 166. cikke (9) bekezdésének megfelelően az alacsonyabb alkalmazandó.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433E1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A CRR 429. cikkének (10) bekezdése értelmében az intézmények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</w:rPr>
              <w:t>hitelderivatívákat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{170;010}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 CRR 429. cikke (10) bekezdésének megfelelő, 50 %-os hitel-egyenértékesítési tényezővel rendelkező mérlegen kívüli tételek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(10) bekezdése, 111. cikke (1) bekezdésének b) pontja és 166. cikkének (9) bekezdése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8C7B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közepes kockázatú mérlegen kívüli tételek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 a CRR 429. cikkének (10) bekezdésével és 111. cikke (1) bekezdésének b) pontjával összhangban, amelyek a hitelkockázat sztenderd módszerével a CRR I. melléklete 2. pontjának a) és b) alpontja szerint 50 %-os hitel-egyenértékesítési tényezőt kapnának (emlékeztetőül: a kitettségérték itt a névérték 50 %-a). Emlékeztetőül: a névérték nem csökkenthető egyedi hitelkockázati kiigazításokkal.</w:t>
            </w:r>
          </w:p>
          <w:p w:rsidR="008C7B98" w:rsidRDefault="008C7B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Ebben a mezőben kell feltüntetni a likviditási hitelkereteket és az egyéb értékpapírosítási kötelezettségvállalásokat. Más szóval: a likviditási hitelkeretek hitel-egyenértékesítési tényezője a CRR 255. cikkének megfelelően a lejárattól függetlenül 50 %. 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44777F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Ha a kötelezettségvállalás egy másik kötelezettségvállalás meghosszabbításához kapcsolódik, akkor az egyedi kötelezettségvállaláshoz kapcsolódó két </w:t>
            </w:r>
            <w:proofErr w:type="spellStart"/>
            <w:r>
              <w:rPr>
                <w:rFonts w:ascii="Times New Roman" w:hAnsi="Times New Roman"/>
              </w:rPr>
              <w:t>egyenértékesítési</w:t>
            </w:r>
            <w:proofErr w:type="spellEnd"/>
            <w:r>
              <w:rPr>
                <w:rFonts w:ascii="Times New Roman" w:hAnsi="Times New Roman"/>
              </w:rPr>
              <w:t xml:space="preserve"> tényező közül a CRR 166. cikke (9) bekezdésének megfelelően az alacsonyabb alkalmazandó.</w:t>
            </w:r>
          </w:p>
          <w:p w:rsidR="00AE2798" w:rsidRPr="0044777F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429. cikkének (10) bekezdése értelmében az intézmények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</w:rPr>
              <w:t>hitelderivatívákat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{180;010}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lastRenderedPageBreak/>
              <w:t>A CRR 429. cikke (10) bekezdésének megfelelő, 100 %-os hitel-egyenértékesítési tényezővel rendelkező mérlegen kívüli tételek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(10) bekezdése, 111. cikke (1) bekezdésének a) pontja és 166. cikkének (9) bekezdése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8C7B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magas kockázatú mérlegen kívüli tételek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 a CRR 429. cikkének (10) bekezdésével és 111. cikke (1) bekezdésének a) pontjával összhangban, amelyek a CRR I. melléklete 1. pontjának a)–k) alpontja szerint 100 %-os hitel-egyenértékesítési tényezőt kapnának (emlékeztetőül: a kitettségérték itt a névérték 100 %-a). Emlékeztetőül: a névérték nem csökkenthető egyedi hitelkockázati kiigazításokkal. </w:t>
            </w:r>
          </w:p>
          <w:p w:rsidR="008C7B98" w:rsidRDefault="008C7B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Ebben a mezőben kell feltüntetni a likviditási hitelkereteket és az egyéb értékpapírosítási kötelezettségvállalásokat. 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Ha a kötelezettségvállalás egy másik kötelezettségvállalás meghosszabbításához kapcsolódik, akkor az egyedi kötelezettségvállaláshoz kapcsolódó két </w:t>
            </w:r>
            <w:proofErr w:type="spellStart"/>
            <w:r>
              <w:rPr>
                <w:rFonts w:ascii="Times New Roman" w:hAnsi="Times New Roman"/>
              </w:rPr>
              <w:t>egyenértékesítési</w:t>
            </w:r>
            <w:proofErr w:type="spellEnd"/>
            <w:r>
              <w:rPr>
                <w:rFonts w:ascii="Times New Roman" w:hAnsi="Times New Roman"/>
              </w:rPr>
              <w:t xml:space="preserve"> tényező közül a CRR 166. cikke (9) bekezdésének megfelelően az alacsonyabb alkalmazandó.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429. cikkének (10) bekezdése értelmében az intézmények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</w:rPr>
              <w:t>hitelderivatívákat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{190;010}</w:t>
            </w:r>
          </w:p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Egyéb eszközök 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(5) bekezdése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összes olyan eszköz, amely nem tartozik a CRR II. mellékletében felsorolt szerződések, a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közé (többek között ebben a mezőben kell feltüntetni a változó készpénzletétre vonatkozó követeléseket – ha azokat az alkalmazott számviteli keretben megjelenítik –, a likviditásfedezeti ráta keretében meghatározott likvid eszközöket, a meghiúsult és kiegyenlítetlen ügyleteket). Az intézmények az értékelést a CRR 429. cikkének (5) bekezdésében meghatározott elvek alapján végzik.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 ebben a mezőben tüntetik fel a kapott készpénzt vagy az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során bármely ügyleti partnernek adott biztosítékot, ha az továbbra is szerepel a mérlegben (vagyis akkor, ha a kivezetés számviteli feltételei nem teljesülnek). Az intézmények itt tüntetik fel továbbá az elsődleges és az egyéb alapvető tőkéből levont tételeket (például immateriális javakat, halasztott adóköveteléseket stb.) </w:t>
            </w:r>
          </w:p>
          <w:p w:rsidR="00AE2798" w:rsidRPr="00FE002E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{200;010}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Származtatott ügylet során nyújtott biztosíték miatti visszaírás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429a. cikkének (2) 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származtatott ügyletek során nyújtott azon biztosítékok összege, amelyek – a CRR 429a. cikkének (2) bekezdésének meghatározása szerint – az alkalmazandó számviteli szabályozás értelmében csökkentik az eszközök összegét.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 ebben a mezőben nem tüntethetik fel a minősített központi szerződő féllel kötött, ügyfél által elszámolt származtatott ügyletek alapletétjét és a CRR 429a. cikkének (3) bekezdésében meghatározott elismerhető változó készpénzletétet.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{210;010}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422C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(–) Származtatott ügylet során nyújtott változó készpénzletétre vonatkozó követelések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6D3F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429a. cikke (3) bekezdésének harmadik albekezdése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származtatott ügyletbeli partnernek készpénzben fizetett változó letétre vonatkozó követelések, ha az intézménynek azokat az alkalmazandó számviteli szabályozás szerint eszközként kell megjelenítenie, amennyiben teljesülnek a CRR 429a. cikke (3) bekezdésének a)–e) pontjában megállapított feltételek.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itt feltüntetett összeget szerepeltetni kell a {190, 010} mezőben feltüntetett egyéb eszközök között is.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{220;010}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422C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(–) Ügyfél által elszámolt, központi szerződő féllel szembeni, mentesített kereskedési kitettségek (alapletét)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(11) 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ügyfél által elszámolt származtatott ügyletekből eredő, minősített központi szerződő féllel szembeni, mentesített kereskedési kitettségek (elhelyezett) alapletétet jelentő része, amennyiben e tételek teljesítik a CRR 306. cikke (1) bekezdésének c) pontjában foglalt feltételeket.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itt feltüntetett összeget szerepeltetni kell a {190, 010} mezőben feltüntetett egyéb eszközök között is.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{230;010}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Eladásként elszámolt </w:t>
            </w: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 xml:space="preserve"> miatti kiigazítás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429b. cikkének (5) 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</w:t>
            </w:r>
            <w:proofErr w:type="spellStart"/>
            <w:r>
              <w:rPr>
                <w:rFonts w:ascii="Times New Roman" w:hAnsi="Times New Roman"/>
              </w:rPr>
              <w:t>repoügyletek</w:t>
            </w:r>
            <w:proofErr w:type="spellEnd"/>
            <w:r>
              <w:rPr>
                <w:rFonts w:ascii="Times New Roman" w:hAnsi="Times New Roman"/>
              </w:rPr>
              <w:t xml:space="preserve"> során kölcsönadott azon értékpapírok értéke, amelyeket az ügyleteknek az alkalmazandó számviteli szabályozás szerinti eladásként való elszámolása miatt kivezetnek.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{240;010}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422C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(–) Bizalmi vagyonkezelés keretében kezelt eszközök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(13) 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IAS 39 standard szerinti kivezetési és – adott esetben – az IFRS 10 standard szerinti </w:t>
            </w:r>
            <w:proofErr w:type="spellStart"/>
            <w:r>
              <w:rPr>
                <w:rFonts w:ascii="Times New Roman" w:hAnsi="Times New Roman"/>
              </w:rPr>
              <w:t>dekonszolidációs</w:t>
            </w:r>
            <w:proofErr w:type="spellEnd"/>
            <w:r>
              <w:rPr>
                <w:rFonts w:ascii="Times New Roman" w:hAnsi="Times New Roman"/>
              </w:rPr>
              <w:t xml:space="preserve"> kritériumoknak megfelelő, bizalmi vagyonkezelés keretében kezelt eszközök értéke – a CRR 429. cikke (13) bekezdésének megfelelően – számviteli nettósítás vagy más CRM-hatás nélkül (vagyis a számviteli nettósítás vagy a CRM könyv szerinti értéket befolyásoló hatásait vissza kell írni).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itt feltüntetett összeget szerepeltetni kell a {190, 010} mezőben feltüntetett egyéb eszközök között is.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AE2798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AE2798" w:rsidRPr="00FE002E" w:rsidRDefault="00AE2798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{250;010}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AE2798" w:rsidRDefault="00422C76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(–) A CRR 429. cikkének (7) bekezdésével összhangban mentesített csoporton belüli kitettségek (egyedi alapon)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(7) bekezdése és a 113. cikk (6) bekezdése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konszolidáció alkalmazandó szintjén nem konszolidált azon kitettségek, amelyek tekintetében igénybe vehető a CRR 113. cikkének (6) bekezdése szerinti elbánás, amennyiben a CRR 113. cikke (6) bekezdésének a)–e) pontjában előírt összes feltétel teljesül, és az illetékes hatóság megadta az engedélyt.</w:t>
            </w: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E2798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feltüntetett összeget a megfelelő fenti mezőkben is szerepeltetni kell, mintha nem lenne mentesség alkalmazandó.</w:t>
            </w:r>
          </w:p>
          <w:p w:rsidR="00AE2798" w:rsidRPr="0084012A" w:rsidRDefault="00AE2798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4A1A27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4A1A27" w:rsidRDefault="004A1A27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{260;010}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4A1A27" w:rsidRDefault="00422C76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(–) A CRR 429. cikkének (14) bekezdésével összhangban mentesített kitettségek</w:t>
            </w:r>
          </w:p>
          <w:p w:rsidR="004A1A27" w:rsidRDefault="004A1A27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A1A27" w:rsidRDefault="004A1A27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(14) bekezdése</w:t>
            </w:r>
          </w:p>
          <w:p w:rsidR="004A1A27" w:rsidRDefault="004A1A27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A1A27" w:rsidRDefault="004A1A27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(14) bekezdése szerinti mentesített kitettségek, amennyiben az ott előírt összes feltétel teljesül, és az illetékes hatóság megadta az engedélyt.</w:t>
            </w:r>
          </w:p>
          <w:p w:rsidR="004A1A27" w:rsidRDefault="004A1A27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A1A27" w:rsidRDefault="004A1A27" w:rsidP="003113EE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feltüntetett összeget a megfelelő fenti mezőkben is szerepeltetni kell, mintha nem lenne mentesség alkalmazandó.</w:t>
            </w:r>
          </w:p>
          <w:p w:rsidR="004A1A27" w:rsidRDefault="004A1A27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{270;010}</w:t>
            </w:r>
          </w:p>
          <w:p w:rsidR="009264ED" w:rsidRDefault="009264ED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(–) Levont eszközérték – Alapvető tőke – teljes mértékben bevezetett fogalom</w:t>
            </w: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CRR 429. cikke (4) bekezdésének a) pontja és 499. cikke (1) bekezdésének a) pontja</w:t>
            </w: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alábbi rendelkezések által előírt, valamely eszköz értékét érintő kiigazítások összege:</w:t>
            </w:r>
          </w:p>
          <w:p w:rsidR="009264ED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 xml:space="preserve">a CRR 32–35. cikke, vagy </w:t>
            </w:r>
          </w:p>
          <w:p w:rsidR="009264ED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36–47. cikke, vagy</w:t>
            </w:r>
          </w:p>
          <w:p w:rsidR="009264ED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56–60. cikke,</w:t>
            </w:r>
          </w:p>
          <w:p w:rsidR="006D3F98" w:rsidRDefault="006D3F98" w:rsidP="002573FC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értelemszerűen.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az ilyen levonások tekintetében figyelembe kell venniük a 48., a 49. és a 79. cikkben megállapított kivételeket, alternatívákat és felmentéseket, a CRR tizedik része I. címének 1. és 2. fejezetében megállapított eltérés figyelembevétele nélkül. </w:t>
            </w:r>
            <w:r>
              <w:t>A</w:t>
            </w:r>
            <w:r>
              <w:rPr>
                <w:rFonts w:ascii="Times New Roman" w:hAnsi="Times New Roman"/>
              </w:rPr>
              <w:t xml:space="preserve"> kettős elszámolás elkerülése érdekében az intézmények nem vehetik figyelembe a CRR 111. cikke alapján a {010;</w:t>
            </w:r>
            <w:proofErr w:type="spellStart"/>
            <w:r>
              <w:rPr>
                <w:rFonts w:ascii="Times New Roman" w:hAnsi="Times New Roman"/>
              </w:rPr>
              <w:t>010</w:t>
            </w:r>
            <w:proofErr w:type="spellEnd"/>
            <w:r>
              <w:rPr>
                <w:rFonts w:ascii="Times New Roman" w:hAnsi="Times New Roman"/>
              </w:rPr>
              <w:t>} – {260;010} mezőben megadott kitettségértékek számítása során már alkalmazott kiigazításokat,</w:t>
            </w:r>
            <w:r>
              <w:t xml:space="preserve"> </w:t>
            </w:r>
            <w:r>
              <w:rPr>
                <w:rFonts w:ascii="Times New Roman" w:hAnsi="Times New Roman"/>
              </w:rPr>
              <w:t>sem azokat a kiigazításokat, amelyek nem csökkentik egy adott eszköz értékét.</w:t>
            </w: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Ezeket az összegeket már levonták a tőkeértékből, vagyis csökkentik a tőkeáttételi mutató </w:t>
            </w:r>
            <w:proofErr w:type="spellStart"/>
            <w:r>
              <w:rPr>
                <w:rFonts w:ascii="Times New Roman" w:hAnsi="Times New Roman"/>
              </w:rPr>
              <w:t>kitettségértékét</w:t>
            </w:r>
            <w:proofErr w:type="spellEnd"/>
            <w:r>
              <w:rPr>
                <w:rFonts w:ascii="Times New Roman" w:hAnsi="Times New Roman"/>
              </w:rPr>
              <w:t>, tehát előjelük negatív.</w:t>
            </w:r>
          </w:p>
          <w:p w:rsidR="009264ED" w:rsidRDefault="009264ED" w:rsidP="003113EE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{280;010}</w:t>
            </w:r>
          </w:p>
          <w:p w:rsidR="009264ED" w:rsidRDefault="009264ED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(–) Levont eszközérték – Alapvető tőke – átmeneti fogalom</w:t>
            </w: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cikke (4) bekezdésének a) pontja és 499. cikke (1) bekezdésének b) pontja</w:t>
            </w: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alábbi rendelkezések által előírt, valamely eszköz értékét módosító kiigazítások összege:</w:t>
            </w:r>
          </w:p>
          <w:p w:rsidR="009264ED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 xml:space="preserve">a CRR 32–35. cikke, vagy </w:t>
            </w:r>
          </w:p>
          <w:p w:rsidR="009264ED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 xml:space="preserve">a CRR 36–47. cikke, vagy </w:t>
            </w:r>
          </w:p>
          <w:p w:rsidR="00316050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56–60. cikke,</w:t>
            </w:r>
          </w:p>
          <w:p w:rsidR="009264ED" w:rsidRDefault="00316050" w:rsidP="002573FC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értelemszerűen.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intézményeknek az ilyen levonások tekintetében figyelembe kell venniük a 48., a 49. és a 79. cikkben megállapított kivételeket, alternatívákat és felmentéseket, továbbá a CRR tizedik része I. címének 1. és 2. fejezetében megállapított eltéréseket. A kettős elszámolás elkerülése érdekében az intézmények nem vehetik figyelembe a CRR 111. cikke alapján a {010;</w:t>
            </w:r>
            <w:proofErr w:type="spellStart"/>
            <w:r>
              <w:rPr>
                <w:rFonts w:ascii="Times New Roman" w:hAnsi="Times New Roman"/>
              </w:rPr>
              <w:t>010</w:t>
            </w:r>
            <w:proofErr w:type="spellEnd"/>
            <w:r>
              <w:rPr>
                <w:rFonts w:ascii="Times New Roman" w:hAnsi="Times New Roman"/>
              </w:rPr>
              <w:t>} – {260;010} mezőben megadott kitettségértékek számítása során már alkalmazott kiigazításokat, sem azokat a kiigazításokat, amelyek nem csökkentik egy adott eszköz értékét.</w:t>
            </w:r>
          </w:p>
          <w:p w:rsidR="009264ED" w:rsidRPr="00FE002E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2347A" w:rsidRPr="00FE002E" w:rsidRDefault="00F2347A" w:rsidP="00F2347A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Ezeket az összegeket már levonták a tőkeértékből, vagyis csökkentik a tőkeáttételi mutató </w:t>
            </w:r>
            <w:proofErr w:type="spellStart"/>
            <w:r>
              <w:rPr>
                <w:rFonts w:ascii="Times New Roman" w:hAnsi="Times New Roman"/>
              </w:rPr>
              <w:t>kitettségértékét</w:t>
            </w:r>
            <w:proofErr w:type="spellEnd"/>
            <w:r>
              <w:rPr>
                <w:rFonts w:ascii="Times New Roman" w:hAnsi="Times New Roman"/>
              </w:rPr>
              <w:t>, tehát előjelük negatív.</w:t>
            </w:r>
          </w:p>
          <w:p w:rsidR="009264ED" w:rsidRDefault="009264ED" w:rsidP="003113EE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{290;010}</w:t>
            </w:r>
          </w:p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A tőkeáttételi mutató teljes </w:t>
            </w:r>
            <w:proofErr w:type="spellStart"/>
            <w:r>
              <w:rPr>
                <w:rFonts w:ascii="Times New Roman" w:hAnsi="Times New Roman"/>
                <w:b/>
              </w:rPr>
              <w:t>kitettségértéke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az alapvető tőke teljes mértékben bevezetett fogalma alapján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intézményeknek a következő összeget kell feltüntetniük: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6A32F5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;010;</w:t>
            </w:r>
            <w:proofErr w:type="spellStart"/>
            <w:r>
              <w:rPr>
                <w:rFonts w:ascii="Times New Roman" w:hAnsi="Times New Roman"/>
              </w:rPr>
              <w:t>010</w:t>
            </w:r>
            <w:proofErr w:type="spellEnd"/>
            <w:r>
              <w:rPr>
                <w:rFonts w:ascii="Times New Roman" w:hAnsi="Times New Roman"/>
              </w:rPr>
              <w:t>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;020;010}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;030;010}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;040;010}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;050;010}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;060;010}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;070;010}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;080;010}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;090;010}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;100;010}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;110;010}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;120;010}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;130;010}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;140;010}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;150;010}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;160;010}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;170;010}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;180;010}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;190;010}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;200;010}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;210;010}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;220;010}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;230;010}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;240;010}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;250;010}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;260;010}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;270;010}.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  <w:tcBorders>
              <w:bottom w:val="single" w:sz="4" w:space="0" w:color="auto"/>
            </w:tcBorders>
          </w:tcPr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{300;010}</w:t>
            </w:r>
          </w:p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A tőkeáttételi mutató teljes </w:t>
            </w:r>
            <w:proofErr w:type="spellStart"/>
            <w:r>
              <w:rPr>
                <w:rFonts w:ascii="Times New Roman" w:hAnsi="Times New Roman"/>
                <w:b/>
              </w:rPr>
              <w:t>kitettségértéke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az alapvető tőke átmeneti fogalma </w:t>
            </w:r>
            <w:r>
              <w:rPr>
                <w:rFonts w:ascii="Times New Roman" w:hAnsi="Times New Roman"/>
                <w:b/>
              </w:rPr>
              <w:lastRenderedPageBreak/>
              <w:t>alapján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intézményeknek a következő összeget kell feltüntetniük: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;010;</w:t>
            </w:r>
            <w:proofErr w:type="spellStart"/>
            <w:r>
              <w:rPr>
                <w:rFonts w:ascii="Times New Roman" w:hAnsi="Times New Roman"/>
              </w:rPr>
              <w:t>010</w:t>
            </w:r>
            <w:proofErr w:type="spellEnd"/>
            <w:r>
              <w:rPr>
                <w:rFonts w:ascii="Times New Roman" w:hAnsi="Times New Roman"/>
              </w:rPr>
              <w:t>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;020;010}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;030;010}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;040;010}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;050;010}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;060;010}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;070;010}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;080;010}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;090;010}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;100;010}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;110;010}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;120;010}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;130;010} –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;140;010}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;150;010}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;160;010}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;170;010}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;180;010}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;190;010}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;200;010}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;210;010}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;220;010}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;230;010}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;240;010}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;250;010}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;260;010} +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;280;010}.</w:t>
            </w:r>
          </w:p>
          <w:p w:rsidR="009264ED" w:rsidRDefault="009264ED" w:rsidP="009264ED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  <w:shd w:val="pct25" w:color="auto" w:fill="auto"/>
          </w:tcPr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Sor </w:t>
            </w:r>
          </w:p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és oszlop</w:t>
            </w:r>
          </w:p>
        </w:tc>
        <w:tc>
          <w:tcPr>
            <w:tcW w:w="7590" w:type="dxa"/>
            <w:shd w:val="pct25" w:color="auto" w:fill="auto"/>
          </w:tcPr>
          <w:p w:rsidR="009264ED" w:rsidRPr="00FE002E" w:rsidRDefault="009264ED" w:rsidP="00970A0D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Jegyzett tőke </w:t>
            </w: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</w:tcPr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{310;010}</w:t>
            </w:r>
          </w:p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Alapvető tőke – teljes mértékben bevezetett fogalom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(3) bekezdése és a 499. cikk (1) bekezdése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25. cikke szerinti alapvető tőke összege, a CRR tizedik része I. címének 1. és 2. fejezetében megállapított eltérés figyelembevétele nélkül.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</w:tcPr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{320;010}</w:t>
            </w:r>
          </w:p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590" w:type="dxa"/>
          </w:tcPr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Alapvető tőke – átmeneti fogalom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(3) bekezdése és a 499. cikk (1) bekezdése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25. cikke szerinti alapvető tőke összege, a CRR tizedik része I. címének 1. és 2. fejezetében megállapított eltérés figyelembevétele után.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  <w:shd w:val="clear" w:color="auto" w:fill="A6A6A6" w:themeFill="background1" w:themeFillShade="A6"/>
          </w:tcPr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Sor </w:t>
            </w:r>
          </w:p>
          <w:p w:rsidR="009264ED" w:rsidRPr="00FE002E" w:rsidRDefault="009264ED" w:rsidP="00FE0FF1">
            <w:pPr>
              <w:pStyle w:val="BodyText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és oszlop</w:t>
            </w:r>
          </w:p>
        </w:tc>
        <w:tc>
          <w:tcPr>
            <w:tcW w:w="7590" w:type="dxa"/>
            <w:shd w:val="clear" w:color="auto" w:fill="A6A6A6" w:themeFill="background1" w:themeFillShade="A6"/>
          </w:tcPr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Tőkeáttételi mutató</w:t>
            </w: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</w:tcPr>
          <w:p w:rsidR="009264ED" w:rsidRPr="00FE002E" w:rsidRDefault="009264ED" w:rsidP="00FF01D7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{330;010}</w:t>
            </w:r>
          </w:p>
        </w:tc>
        <w:tc>
          <w:tcPr>
            <w:tcW w:w="7590" w:type="dxa"/>
          </w:tcPr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Tőkeáttételi mutató – az alapvető tőke teljes mértékben bevezetett fogalma alapján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(2) bekezdése és a 499. cikk (1) bekezdése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jelen melléklet II. részének 4. pontjában kiszámított tőkeáttételi mutató. 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264ED" w:rsidRPr="00FE002E" w:rsidTr="00FE0FF1">
        <w:trPr>
          <w:trHeight w:val="304"/>
        </w:trPr>
        <w:tc>
          <w:tcPr>
            <w:tcW w:w="1418" w:type="dxa"/>
          </w:tcPr>
          <w:p w:rsidR="009264ED" w:rsidRPr="00FE002E" w:rsidRDefault="009264ED" w:rsidP="009264ED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{340;010}</w:t>
            </w:r>
          </w:p>
        </w:tc>
        <w:tc>
          <w:tcPr>
            <w:tcW w:w="7590" w:type="dxa"/>
          </w:tcPr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Tőkeáttételi mutató – az alapvető tőke átmeneti fogalma alapján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429. cikkének (2) bekezdése és a 499. cikk (1) bekezdése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jelen melléklet II. részének 5. pontjában kiszámított tőkeáttételi mutató.</w:t>
            </w:r>
          </w:p>
          <w:p w:rsidR="009264ED" w:rsidRPr="00FE002E" w:rsidRDefault="009264ED" w:rsidP="00FE0FF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p w:rsidR="00AE2798" w:rsidRPr="00FE002E" w:rsidRDefault="00AE2798" w:rsidP="00AE2798">
      <w:pPr>
        <w:pStyle w:val="BodyText1"/>
        <w:rPr>
          <w:rFonts w:ascii="Times New Roman" w:hAnsi="Times New Roman"/>
        </w:rPr>
      </w:pPr>
    </w:p>
    <w:p w:rsidR="00AE2798" w:rsidRDefault="00AE2798" w:rsidP="00F4754B">
      <w:pPr>
        <w:pStyle w:val="BodyText1"/>
        <w:rPr>
          <w:rFonts w:ascii="Times New Roman" w:hAnsi="Times New Roman"/>
        </w:rPr>
      </w:pPr>
    </w:p>
    <w:p w:rsidR="00AE2798" w:rsidRPr="00FE002E" w:rsidRDefault="00AE2798" w:rsidP="00F4754B">
      <w:pPr>
        <w:pStyle w:val="BodyText1"/>
        <w:rPr>
          <w:rFonts w:ascii="Times New Roman" w:hAnsi="Times New Roman"/>
        </w:rPr>
      </w:pPr>
    </w:p>
    <w:p w:rsidR="00700DA6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59" w:name="_Toc351048507"/>
      <w:bookmarkStart w:id="60" w:name="_Toc359414286"/>
      <w:bookmarkStart w:id="61" w:name="_Toc423089071"/>
      <w:bookmarkStart w:id="62" w:name="_Toc524008521"/>
      <w:r>
        <w:rPr>
          <w:rFonts w:ascii="Times New Roman" w:hAnsi="Times New Roman"/>
          <w:b/>
        </w:rPr>
        <w:t>5.</w:t>
      </w:r>
      <w:r>
        <w:tab/>
      </w:r>
      <w:r>
        <w:rPr>
          <w:rFonts w:ascii="Times New Roman" w:hAnsi="Times New Roman"/>
          <w:b/>
        </w:rPr>
        <w:t>C 40.00 – A kitettségérték alternatív meghatározása</w:t>
      </w:r>
      <w:bookmarkEnd w:id="54"/>
      <w:bookmarkEnd w:id="59"/>
      <w:bookmarkEnd w:id="60"/>
      <w:r>
        <w:rPr>
          <w:rFonts w:ascii="Times New Roman" w:hAnsi="Times New Roman"/>
          <w:b/>
        </w:rPr>
        <w:t xml:space="preserve"> (LR1)</w:t>
      </w:r>
      <w:bookmarkEnd w:id="61"/>
      <w:bookmarkEnd w:id="62"/>
    </w:p>
    <w:p w:rsidR="006033AB" w:rsidRPr="00FE002E" w:rsidRDefault="006033AB" w:rsidP="006033AB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21.</w:t>
      </w:r>
      <w:r>
        <w:tab/>
      </w:r>
      <w:r>
        <w:rPr>
          <w:rFonts w:ascii="Times New Roman" w:hAnsi="Times New Roman"/>
        </w:rPr>
        <w:t xml:space="preserve">Az adatszolgáltatás ezen része a származtatott ügyletek, az </w:t>
      </w:r>
      <w:proofErr w:type="spellStart"/>
      <w:r>
        <w:rPr>
          <w:rFonts w:ascii="Times New Roman" w:hAnsi="Times New Roman"/>
        </w:rPr>
        <w:t>SFT-k</w:t>
      </w:r>
      <w:proofErr w:type="spellEnd"/>
      <w:r>
        <w:rPr>
          <w:rFonts w:ascii="Times New Roman" w:hAnsi="Times New Roman"/>
        </w:rPr>
        <w:t xml:space="preserve"> és a mérlegen kívüli tételek alternatív meghatározásához gyűjt adatokat. 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22.</w:t>
      </w:r>
      <w:r>
        <w:tab/>
      </w:r>
      <w:r>
        <w:rPr>
          <w:rFonts w:ascii="Times New Roman" w:hAnsi="Times New Roman"/>
        </w:rPr>
        <w:t xml:space="preserve">Az intézményeknek az LR1 tábla „mérleg szerinti értékeit” a CRR 4. cikke (1) bekezdésének 77. pontja szerinti alkalmazandó számviteli szabályozás alapján kell meghatározniuk. A „Nettósítás és más CRM nélküli könyv szerinti érték” az a mérleg szerinti érték, amely nem veszi figyelembe a nettósítás vagy más kockázatmérséklés hatásait. </w:t>
      </w:r>
    </w:p>
    <w:p w:rsidR="005556DC" w:rsidRDefault="005556DC" w:rsidP="00FD2C06">
      <w:pPr>
        <w:pStyle w:val="BodyText1"/>
        <w:spacing w:line="240" w:lineRule="auto"/>
        <w:rPr>
          <w:rFonts w:ascii="Times New Roman" w:hAnsi="Times New Roman"/>
        </w:rPr>
      </w:pPr>
    </w:p>
    <w:p w:rsidR="005556DC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23.</w:t>
      </w:r>
      <w:r>
        <w:tab/>
      </w:r>
      <w:r>
        <w:rPr>
          <w:rFonts w:ascii="Times New Roman" w:hAnsi="Times New Roman"/>
        </w:rPr>
        <w:t xml:space="preserve">Az intézményeknek a {250;120} és a {260;120} mező kivételével az LR1 táblát úgy kell kitölteniük, mintha az 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 xml:space="preserve"> tábla {050;010}, {080;010}, {100;010}, {120;010}, {220;010}, {250;010} és {260;010} mezője szerinti mentességek nem lennének alkalmazandók.</w:t>
      </w:r>
    </w:p>
    <w:p w:rsidR="005556DC" w:rsidRDefault="005556DC" w:rsidP="005556DC">
      <w:pPr>
        <w:pStyle w:val="BodyText1"/>
        <w:spacing w:line="240" w:lineRule="auto"/>
        <w:ind w:left="720"/>
        <w:rPr>
          <w:rFonts w:ascii="Times New Roman" w:hAnsi="Times New Roman"/>
        </w:rPr>
      </w:pPr>
    </w:p>
    <w:p w:rsidR="00675587" w:rsidRPr="00FE002E" w:rsidRDefault="00675587" w:rsidP="00675587">
      <w:pPr>
        <w:pStyle w:val="BodyText1"/>
        <w:rPr>
          <w:rFonts w:ascii="Times New Roman" w:hAnsi="Times New Roman"/>
        </w:rPr>
      </w:pP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F4754B" w:rsidRPr="00FE002E" w:rsidTr="00FC2664">
        <w:tc>
          <w:tcPr>
            <w:tcW w:w="1418" w:type="dxa"/>
            <w:shd w:val="clear" w:color="auto" w:fill="D9D9D9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Sor 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és oszlop</w:t>
            </w:r>
          </w:p>
        </w:tc>
        <w:tc>
          <w:tcPr>
            <w:tcW w:w="7620" w:type="dxa"/>
            <w:shd w:val="clear" w:color="auto" w:fill="D9D9D9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Jogszabályi hivatkozások és útmutató</w:t>
            </w: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</w:t>
            </w:r>
            <w:proofErr w:type="spellStart"/>
            <w:r>
              <w:rPr>
                <w:rFonts w:ascii="Times New Roman" w:hAnsi="Times New Roman"/>
              </w:rPr>
              <w:t>010</w:t>
            </w:r>
            <w:proofErr w:type="spellEnd"/>
            <w:r>
              <w:rPr>
                <w:rFonts w:ascii="Times New Roman" w:hAnsi="Times New Roman"/>
              </w:rPr>
              <w:t>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  <w:b/>
              </w:rPr>
              <w:t>Származtatott ügyletek – Mérleg szerinti érték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{020;010}, a {050;010} és a {060;010} mező összege.</w:t>
            </w:r>
          </w:p>
          <w:p w:rsidR="000A6437" w:rsidRPr="00FE002E" w:rsidRDefault="000A643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{010;020}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Származtatott ügyletek – Nettósítás és más CRM nélküli könyv szerinti érték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{020;</w:t>
            </w:r>
            <w:proofErr w:type="spellStart"/>
            <w:r>
              <w:rPr>
                <w:rFonts w:ascii="Times New Roman" w:hAnsi="Times New Roman"/>
              </w:rPr>
              <w:t>020</w:t>
            </w:r>
            <w:proofErr w:type="spellEnd"/>
            <w:r>
              <w:rPr>
                <w:rFonts w:ascii="Times New Roman" w:hAnsi="Times New Roman"/>
              </w:rPr>
              <w:t>}, a {050;020} és a {060;020} mező összege.</w:t>
            </w:r>
          </w:p>
          <w:p w:rsidR="00FF3AC1" w:rsidRPr="00FE002E" w:rsidRDefault="00FF3AC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{010;050}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Származtatott ügyletek – A piaci árazás szerinti módszer miatti többlet (nettósítás és más CRM nélkül)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{020;050}, a {050;</w:t>
            </w:r>
            <w:proofErr w:type="spellStart"/>
            <w:r>
              <w:rPr>
                <w:rFonts w:ascii="Times New Roman" w:hAnsi="Times New Roman"/>
              </w:rPr>
              <w:t>050</w:t>
            </w:r>
            <w:proofErr w:type="spellEnd"/>
            <w:r>
              <w:rPr>
                <w:rFonts w:ascii="Times New Roman" w:hAnsi="Times New Roman"/>
              </w:rPr>
              <w:t>} és a {060;050} mező összege.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{010;070}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Származtatott ügyletek – Névleges összeg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{020;070}, a {050;070} és a {060;070} mező összege.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{020;010}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(eladott hitelkockázati fedezet) – Mérleg szerinti érték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4. cikke (1) bekezdésének 77. pontja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mérleg szerinti értéke az alkalmazandó számviteli szabályozás értelmében, amelyeknél az intézmény hitelkockázati fedezetet ad el ügyleti partnerének, és a szerződést eszközként jeleníti meg a mérlegben.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{020;</w:t>
            </w:r>
            <w:proofErr w:type="spellStart"/>
            <w:r>
              <w:rPr>
                <w:rFonts w:ascii="Times New Roman" w:hAnsi="Times New Roman"/>
              </w:rPr>
              <w:t>020</w:t>
            </w:r>
            <w:proofErr w:type="spellEnd"/>
            <w:r>
              <w:rPr>
                <w:rFonts w:ascii="Times New Roman" w:hAnsi="Times New Roman"/>
              </w:rPr>
              <w:t>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(eladott hitelkockázati fedezet) – Nettósítás és más CRM nélküli könyv szerinti érték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4. cikke (1) bekezdésének 77. pontja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mérleg szerinti értéke az alkalmazandó számviteli szabályozás értelmében, amelyeknél az intézmény hitelkockázati fedezet ad el ügyleti partnerének, és a szerződést eszközként jeleníti meg a mérlegben; prudenciális vagy számviteli nettósítás és más CRM-hatások nélkül (vagyis a számviteli nettósítás vagy a CRM könyv szerinti értéket befolyásoló hatásait vissza kell írni).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{020;050}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(eladott hitelkockázati fedezet) – A piaci árazás szerinti módszer miatti többlet (nettósítás és más CRM nélkül)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{030;050} és a {040;050} mező összege.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{020;070}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(eladott hitelkockázati fedezet) – Névleges összeg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{030;070} és a {040;070} mező összege.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{020;075}</w:t>
            </w:r>
          </w:p>
        </w:tc>
        <w:tc>
          <w:tcPr>
            <w:tcW w:w="7620" w:type="dxa"/>
          </w:tcPr>
          <w:p w:rsidR="00410E47" w:rsidRPr="00FE002E" w:rsidRDefault="00410E47" w:rsidP="006B5E42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(eladott hitelkockázati fedezet) – Csökkentett névleges összeg</w:t>
            </w:r>
          </w:p>
          <w:p w:rsidR="00410E47" w:rsidRPr="00FE002E" w:rsidRDefault="00410E47" w:rsidP="006B5E42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6B5E42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Ebben a mezőben a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(eladott hitelkockázati fedezet) {020; 070} mező szerinti összegét kell feltüntetni, csökkentve az eladott </w:t>
            </w:r>
            <w:proofErr w:type="spellStart"/>
            <w:r>
              <w:rPr>
                <w:rFonts w:ascii="Times New Roman" w:hAnsi="Times New Roman"/>
              </w:rPr>
              <w:t>hitelderivatíva</w:t>
            </w:r>
            <w:proofErr w:type="spellEnd"/>
            <w:r>
              <w:rPr>
                <w:rFonts w:ascii="Times New Roman" w:hAnsi="Times New Roman"/>
              </w:rPr>
              <w:t xml:space="preserve"> vonatkozásában az alapvető tőkében figyelembe vett negatív valósérték-változásokkal.</w:t>
            </w:r>
          </w:p>
          <w:p w:rsidR="00410E47" w:rsidRPr="00FE002E" w:rsidRDefault="00410E47" w:rsidP="006B5E42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{030;050}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Pozíciózárási rendelkezés hatályába tartozó </w:t>
            </w: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(eladott hitelkockázati fedezet) – A piaci árazás szerinti módszer miatti többlet (nettósítás és más CRM nélkül)</w:t>
            </w:r>
          </w:p>
          <w:p w:rsidR="00410E47" w:rsidRPr="00FE002E" w:rsidRDefault="00410E47" w:rsidP="00406605">
            <w:pPr>
              <w:pStyle w:val="BodyText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299. cikkének (2) bekezdése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Ebben a mezőben azon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potenciális jövőbeli kitettségét kell feltüntetni, amelyeknél az intézmény pozíciózárási rendelkezés hatályába tartozó hitelkockázati fedezetet ad el ügyleti partnerének; nettósítás és más CRM nélkül. Az intézmények ebben a mezőben nem tüntethetik fel az azon </w:t>
            </w:r>
            <w:proofErr w:type="spellStart"/>
            <w:r>
              <w:rPr>
                <w:rFonts w:ascii="Times New Roman" w:hAnsi="Times New Roman"/>
              </w:rPr>
              <w:t>hitelderivatívákra</w:t>
            </w:r>
            <w:proofErr w:type="spellEnd"/>
            <w:r>
              <w:rPr>
                <w:rFonts w:ascii="Times New Roman" w:hAnsi="Times New Roman"/>
              </w:rPr>
              <w:t xml:space="preserve"> vonatkozó többletet, amelyeknél az intézmény pozíciózárási rendelkezés hatályába nem tartozó hitelkockázati fedezetet ad el ügyleti partnerének. Az intézményeknek ezt az adatot az {LR1;040;050} mezőben kell szerepeltetniük.</w:t>
            </w:r>
          </w:p>
          <w:p w:rsidR="00994DCE" w:rsidRPr="00FE002E" w:rsidRDefault="00994DCE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pozíciózárási rendelkezés olyan rendelkezés, amely biztosítja a teljesítő félnek az összes, az adott megállapodással kapcsolatos ügylet időben történő felmondásának és lezárásának jogát nemteljesítés esetén, beleértve a partner fizetésképtelenségét vagy felszámolási eljárás alá vonásának esetét is.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minden </w:t>
            </w:r>
            <w:proofErr w:type="spellStart"/>
            <w:r>
              <w:rPr>
                <w:rFonts w:ascii="Times New Roman" w:hAnsi="Times New Roman"/>
              </w:rPr>
              <w:t>hitelderivatívát</w:t>
            </w:r>
            <w:proofErr w:type="spellEnd"/>
            <w:r>
              <w:rPr>
                <w:rFonts w:ascii="Times New Roman" w:hAnsi="Times New Roman"/>
              </w:rPr>
              <w:t xml:space="preserve"> figyelembe kell venniük, nem csak a kereskedési könyvben szereplőket.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{030;070}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Pozíciózárási rendelkezés hatályába tartozó </w:t>
            </w: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(eladott hitelkockázati fedezet) – Névleges összeg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Ebben a mezőben azon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névleges összegét kell feltüntetni, amelyeknél az intézmény pozíciózárási rendelkezés hatályába tartozó hitelkockázati fedezetet ad el ügyleti partnerének.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pozíciózárási rendelkezés olyan rendelkezés, amely biztosítja a teljesítő félnek az összes, az adott megállapodással kapcsolatos ügylet időben történő felmondásának és lezárásának jogát nemteljesítés esetén, beleértve a partner fizetésképtelenségét vagy felszámolási eljárás alá vonásának esetét is.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minden </w:t>
            </w:r>
            <w:proofErr w:type="spellStart"/>
            <w:r>
              <w:rPr>
                <w:rFonts w:ascii="Times New Roman" w:hAnsi="Times New Roman"/>
              </w:rPr>
              <w:t>hitelderivatívát</w:t>
            </w:r>
            <w:proofErr w:type="spellEnd"/>
            <w:r>
              <w:rPr>
                <w:rFonts w:ascii="Times New Roman" w:hAnsi="Times New Roman"/>
              </w:rPr>
              <w:t xml:space="preserve"> figyelembe kell venniük, nem csak a kereskedési könyvben szereplőket.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{040;050}</w:t>
            </w:r>
          </w:p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Pozíciózárási rendelkezés hatályába nem tartozó </w:t>
            </w: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(eladott hitelkockázati fedezet) – A piaci árazás szerinti módszer miatti többlet (nettósítás és más CRM nélkül)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299. cikkének (2) bekezdése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tabs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Ebben a mezőben azon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potenciális jövőbeli kitettségét kell feltüntetni, amelyeknél az intézmény pozíciózárási rendelkezés hatályába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tartozó hitelkockázati fedezetet ad el ügyleti partnerének; nettósítás és más CRM nélkül.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pozíciózárási rendelkezés olyan rendelkezés, amely biztosítja a teljesítő félnek az összes, az adott megállapodással kapcsolatos ügylet időben történő felmondásának és lezárásának jogát nemteljesítés esetén, beleértve a partner fizetésképtelenségét vagy felszámolási eljárás alá vonásának esetét is.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 xml:space="preserve">Az intézményeknek minden </w:t>
            </w:r>
            <w:proofErr w:type="spellStart"/>
            <w:r>
              <w:rPr>
                <w:rFonts w:ascii="Times New Roman" w:hAnsi="Times New Roman"/>
              </w:rPr>
              <w:t>hitelderivatívát</w:t>
            </w:r>
            <w:proofErr w:type="spellEnd"/>
            <w:r>
              <w:rPr>
                <w:rFonts w:ascii="Times New Roman" w:hAnsi="Times New Roman"/>
              </w:rPr>
              <w:t xml:space="preserve"> figyelembe kell venniük, nem csak a kereskedési könyvben szereplőket.</w:t>
            </w: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{040;070}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Pozíciózárási rendelkezés hatályába nem tartozó </w:t>
            </w: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(eladott hitelkockázati fedezet) – Névleges összeg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Ebben a mezőben azon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névleges összegét kell feltüntetni, amelyeknél az </w:t>
            </w:r>
            <w:r>
              <w:rPr>
                <w:rFonts w:ascii="Times New Roman" w:hAnsi="Times New Roman"/>
              </w:rPr>
              <w:lastRenderedPageBreak/>
              <w:t xml:space="preserve">intézmény pozíciózárási rendelkezés hatályába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tartozó hitelkockázati fedezetet ad el ügyleti partnerének.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pozíciózárási rendelkezés olyan rendelkezés, amely biztosítja a teljesítő félnek az összes, az adott megállapodással kapcsolatos ügylet időben történő felmondásának és lezárásának jogát nemteljesítés esetén, beleértve a partner fizetésképtelenségét vagy felszámolási eljárás alá vonásának esetét is.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minden </w:t>
            </w:r>
            <w:proofErr w:type="spellStart"/>
            <w:r>
              <w:rPr>
                <w:rFonts w:ascii="Times New Roman" w:hAnsi="Times New Roman"/>
              </w:rPr>
              <w:t>hitelderivatívát</w:t>
            </w:r>
            <w:proofErr w:type="spellEnd"/>
            <w:r>
              <w:rPr>
                <w:rFonts w:ascii="Times New Roman" w:hAnsi="Times New Roman"/>
              </w:rPr>
              <w:t xml:space="preserve"> figyelembe kell venniük, nem csak a kereskedési könyvben szereplőket.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{050;010}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(vásárolt hitelkockázati fedezet) – Mérleg szerinti 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4. cikke (1) bekezdésének 77. pontja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mérleg szerinti értéke az alkalmazandó számviteli szabályozás értelmében, amelyeknél az intézmény hitelkockázati fedezetet vásárol ügyleti partnerétől, és a szerződést eszközként jeleníti meg a mérlegben.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minden </w:t>
            </w:r>
            <w:proofErr w:type="spellStart"/>
            <w:r>
              <w:rPr>
                <w:rFonts w:ascii="Times New Roman" w:hAnsi="Times New Roman"/>
              </w:rPr>
              <w:t>hitelderivatívát</w:t>
            </w:r>
            <w:proofErr w:type="spellEnd"/>
            <w:r>
              <w:rPr>
                <w:rFonts w:ascii="Times New Roman" w:hAnsi="Times New Roman"/>
              </w:rPr>
              <w:t xml:space="preserve"> figyelembe kell venniük, nem csak a kereskedési könyvben szereplőket.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{050;020}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(vásárolt hitelkockázati fedezet) – Nettósítás és más CRM nélküli könyv szerinti 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4. cikke (1) bekezdésének 77. pontja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mérleg szerinti értéke az alkalmazandó számviteli szabályozás értelmében, amelyeknél az intézmény hitelkockázati fedezet vásárol ügyleti partnerétől, és a szerződést eszközként jeleníti meg a mérlegben; prudenciális vagy számviteli nettósítás vagy más CRM-hatások nélkül (vagyis a számviteli nettósítás vagy a CRM könyv szerinti értéket befolyásoló hatásait vissza kell írni).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minden </w:t>
            </w:r>
            <w:proofErr w:type="spellStart"/>
            <w:r>
              <w:rPr>
                <w:rFonts w:ascii="Times New Roman" w:hAnsi="Times New Roman"/>
              </w:rPr>
              <w:t>hitelderivatívát</w:t>
            </w:r>
            <w:proofErr w:type="spellEnd"/>
            <w:r>
              <w:rPr>
                <w:rFonts w:ascii="Times New Roman" w:hAnsi="Times New Roman"/>
              </w:rPr>
              <w:t xml:space="preserve"> figyelembe kell venniük, nem csak a kereskedési könyvben szereplőket.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{050;</w:t>
            </w:r>
            <w:proofErr w:type="spellStart"/>
            <w:r>
              <w:rPr>
                <w:rFonts w:ascii="Times New Roman" w:hAnsi="Times New Roman"/>
              </w:rPr>
              <w:t>050</w:t>
            </w:r>
            <w:proofErr w:type="spellEnd"/>
            <w:r>
              <w:rPr>
                <w:rFonts w:ascii="Times New Roman" w:hAnsi="Times New Roman"/>
              </w:rPr>
              <w:t>}</w:t>
            </w:r>
          </w:p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(vásárolt hitelkockázati fedezet) – A piaci árazás szerinti módszer miatti többlet (nettósítás és más CRM nélkül)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299. cikkének (2) bekezdése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Ebben a mezőben azon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potenciális jövőbeli kitettségét kell feltüntetni, amelyeknél az intézmény hitelkockázati fedezetet vásárol ügyleti partnerétől; nettósítás és más CRM nélkül.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minden </w:t>
            </w:r>
            <w:proofErr w:type="spellStart"/>
            <w:r>
              <w:rPr>
                <w:rFonts w:ascii="Times New Roman" w:hAnsi="Times New Roman"/>
              </w:rPr>
              <w:t>hitelderivatívát</w:t>
            </w:r>
            <w:proofErr w:type="spellEnd"/>
            <w:r>
              <w:rPr>
                <w:rFonts w:ascii="Times New Roman" w:hAnsi="Times New Roman"/>
              </w:rPr>
              <w:t xml:space="preserve"> figyelembe kell venniük, nem csak a kereskedési könyvben szereplőket.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{050;070}</w:t>
            </w:r>
          </w:p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(vásárolt hitelkockázati fedezet) – Névleges összeg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Ebben a mezőben azon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névleges összegét kell feltüntetni, amelyeknél az intézmény hitelkockázati fedezetet vásárol ügyleti partnerétől.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minden </w:t>
            </w:r>
            <w:proofErr w:type="spellStart"/>
            <w:r>
              <w:rPr>
                <w:rFonts w:ascii="Times New Roman" w:hAnsi="Times New Roman"/>
              </w:rPr>
              <w:t>hitelderivatívát</w:t>
            </w:r>
            <w:proofErr w:type="spellEnd"/>
            <w:r>
              <w:rPr>
                <w:rFonts w:ascii="Times New Roman" w:hAnsi="Times New Roman"/>
              </w:rPr>
              <w:t xml:space="preserve"> figyelembe kell venniük, nem csak a kereskedési könyvben szereplőket.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{050;075}</w:t>
            </w:r>
          </w:p>
        </w:tc>
        <w:tc>
          <w:tcPr>
            <w:tcW w:w="7620" w:type="dxa"/>
          </w:tcPr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(vásárolt hitelkockázati fedezet) – Csökkentett névleges összeg</w:t>
            </w: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410E47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Ebben a mezőben a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(vásárolt hitelkockázati fedezet) {050;</w:t>
            </w:r>
            <w:proofErr w:type="spellStart"/>
            <w:r>
              <w:rPr>
                <w:rFonts w:ascii="Times New Roman" w:hAnsi="Times New Roman"/>
              </w:rPr>
              <w:t>050</w:t>
            </w:r>
            <w:proofErr w:type="spellEnd"/>
            <w:r>
              <w:rPr>
                <w:rFonts w:ascii="Times New Roman" w:hAnsi="Times New Roman"/>
              </w:rPr>
              <w:t xml:space="preserve">} mező </w:t>
            </w:r>
            <w:r>
              <w:rPr>
                <w:rFonts w:ascii="Times New Roman" w:hAnsi="Times New Roman"/>
              </w:rPr>
              <w:lastRenderedPageBreak/>
              <w:t xml:space="preserve">szerinti összegét kell feltüntetni, csökkentve a vásárolt </w:t>
            </w:r>
            <w:proofErr w:type="spellStart"/>
            <w:r>
              <w:rPr>
                <w:rFonts w:ascii="Times New Roman" w:hAnsi="Times New Roman"/>
              </w:rPr>
              <w:t>hitelderivatíva</w:t>
            </w:r>
            <w:proofErr w:type="spellEnd"/>
            <w:r>
              <w:rPr>
                <w:rFonts w:ascii="Times New Roman" w:hAnsi="Times New Roman"/>
              </w:rPr>
              <w:t xml:space="preserve"> vonatkozásában az alapvető tőkében figyelembe vett pozitív valósérték-változásokkal.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{050;085}</w:t>
            </w:r>
          </w:p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410E47" w:rsidRPr="00FE002E" w:rsidRDefault="00ED7412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(vásárolt hitelkockázati fedezet) – Csökkentett névleges összeg (azonos referencianév)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vásárolt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névleges értéke, amelyek referencianeve azonos az intézmény által eladott </w:t>
            </w:r>
            <w:proofErr w:type="spellStart"/>
            <w:r>
              <w:rPr>
                <w:rFonts w:ascii="Times New Roman" w:hAnsi="Times New Roman"/>
              </w:rPr>
              <w:t>hitelderivatívákéval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e mezőben történő adatszolgáltatás céljából az alaptermékek referencianeve akkor tekinthető azonosnak, ha azonos jogalanyra és azonos </w:t>
            </w:r>
            <w:proofErr w:type="spellStart"/>
            <w:r>
              <w:rPr>
                <w:rFonts w:ascii="Times New Roman" w:hAnsi="Times New Roman"/>
              </w:rPr>
              <w:t>szenioritásra</w:t>
            </w:r>
            <w:proofErr w:type="spellEnd"/>
            <w:r>
              <w:rPr>
                <w:rFonts w:ascii="Times New Roman" w:hAnsi="Times New Roman"/>
              </w:rPr>
              <w:t xml:space="preserve"> vonatkozik.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referencia-jogalanyok egy halmaza (</w:t>
            </w:r>
            <w:proofErr w:type="spellStart"/>
            <w:r>
              <w:rPr>
                <w:rFonts w:ascii="Times New Roman" w:hAnsi="Times New Roman"/>
              </w:rPr>
              <w:t>poolja</w:t>
            </w:r>
            <w:proofErr w:type="spellEnd"/>
            <w:r>
              <w:rPr>
                <w:rFonts w:ascii="Times New Roman" w:hAnsi="Times New Roman"/>
              </w:rPr>
              <w:t xml:space="preserve">) tekintetében vásárolt hitelkockázati fedezet akkor tekinthető azonosnak, ha gazdasági szempontból egyenértékű a </w:t>
            </w:r>
            <w:proofErr w:type="spellStart"/>
            <w:r>
              <w:rPr>
                <w:rFonts w:ascii="Times New Roman" w:hAnsi="Times New Roman"/>
              </w:rPr>
              <w:t>poolba</w:t>
            </w:r>
            <w:proofErr w:type="spellEnd"/>
            <w:r>
              <w:rPr>
                <w:rFonts w:ascii="Times New Roman" w:hAnsi="Times New Roman"/>
              </w:rPr>
              <w:t xml:space="preserve"> tartozó jogalanyokra vonatkozó hitelkockázati fedezetek külön-külön történő megvásárlásával.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Ha egy intézmény referencianevek egy </w:t>
            </w:r>
            <w:proofErr w:type="spellStart"/>
            <w:r>
              <w:rPr>
                <w:rFonts w:ascii="Times New Roman" w:hAnsi="Times New Roman"/>
              </w:rPr>
              <w:t>poolja</w:t>
            </w:r>
            <w:proofErr w:type="spellEnd"/>
            <w:r>
              <w:rPr>
                <w:rFonts w:ascii="Times New Roman" w:hAnsi="Times New Roman"/>
              </w:rPr>
              <w:t xml:space="preserve"> tekintetében vásárol hitelkockázati fedezetet, akkor ez a hitelkockázati fedezet csak akkor tekinthető azonosnak, ha hatálya az eladott hitelkockázati fedezet hatályába tartozó </w:t>
            </w:r>
            <w:proofErr w:type="spellStart"/>
            <w:r>
              <w:rPr>
                <w:rFonts w:ascii="Times New Roman" w:hAnsi="Times New Roman"/>
              </w:rPr>
              <w:t>pool</w:t>
            </w:r>
            <w:proofErr w:type="spellEnd"/>
            <w:r>
              <w:rPr>
                <w:rFonts w:ascii="Times New Roman" w:hAnsi="Times New Roman"/>
              </w:rPr>
              <w:t xml:space="preserve"> összes alcsoportjára kiterjed. Más szóval: beszámítást csak akkor lehet megjeleníteni, ha a referencia-jogalanyok </w:t>
            </w:r>
            <w:proofErr w:type="spellStart"/>
            <w:r>
              <w:rPr>
                <w:rFonts w:ascii="Times New Roman" w:hAnsi="Times New Roman"/>
              </w:rPr>
              <w:t>poolja</w:t>
            </w:r>
            <w:proofErr w:type="spellEnd"/>
            <w:r>
              <w:rPr>
                <w:rFonts w:ascii="Times New Roman" w:hAnsi="Times New Roman"/>
              </w:rPr>
              <w:t xml:space="preserve"> és az alárendeltség szintje mindkét ügylet tekintetében megegyezik. </w:t>
            </w:r>
          </w:p>
          <w:p w:rsidR="006B3B83" w:rsidRPr="00FE002E" w:rsidRDefault="006B3B83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e mezőben figyelembe vett vásárolt hitelvédelem névleges összege az egyes referencianevek esetében nem haladhatja meg a {020;075} és a {050;075} mezőben feltüntetett összegeket.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{060;010}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Pénzügyi </w:t>
            </w:r>
            <w:proofErr w:type="spellStart"/>
            <w:r>
              <w:rPr>
                <w:rFonts w:ascii="Times New Roman" w:hAnsi="Times New Roman"/>
                <w:b/>
              </w:rPr>
              <w:t>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Mérleg szerinti 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4. cikke (1) bekezdésének 77. pontja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II. mellékletében felsorolt azon szerződések mérleg szerinti értéke az alkalmazandó számviteli szabályozás értelmében, amelyeknél a szerződést eszközként jelenítik meg a mérlegben.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{060;020}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Pénzügyi </w:t>
            </w:r>
            <w:proofErr w:type="spellStart"/>
            <w:r>
              <w:rPr>
                <w:rFonts w:ascii="Times New Roman" w:hAnsi="Times New Roman"/>
                <w:b/>
              </w:rPr>
              <w:t>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Nettósítás és más CRM nélküli könyv szerinti érték</w:t>
            </w:r>
          </w:p>
          <w:p w:rsidR="00410E47" w:rsidRPr="00FE002E" w:rsidRDefault="00410E47" w:rsidP="006162F0">
            <w:pPr>
              <w:pStyle w:val="BodyText1"/>
              <w:spacing w:line="240" w:lineRule="auto"/>
              <w:ind w:firstLine="720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4. cikke (1) bekezdésének 77. pontja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II. mellékletében felsorolt azon szerződések mérleg szerinti értéke az alkalmazandó számviteli szabályozás értelmében, amelyeket eszközként jelenítenek meg a mérlegben; prudenciális vagy számviteli nettósítás és más CRM-hatások nélkül (vagyis a számviteli nettósítás vagy a CRM könyv szerinti értéket befolyásoló hatásait vissza kell írni).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{060;050}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Pénzügyi </w:t>
            </w:r>
            <w:proofErr w:type="spellStart"/>
            <w:r>
              <w:rPr>
                <w:rFonts w:ascii="Times New Roman" w:hAnsi="Times New Roman"/>
                <w:b/>
              </w:rPr>
              <w:t>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A piaci árazás szerinti módszer miatti többlet (nettósítás és más CRM nélkül)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tőkekövetelmény-rendelet 274. cikke.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Ebben a mezőben a CRR II. mellékletében felsorolt szerződések szabályozói potenciális jövőbeli kitettségét kell feltüntetni, nettósítás és más CRM nélkül.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{060;070}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Pénzügyi </w:t>
            </w:r>
            <w:proofErr w:type="spellStart"/>
            <w:r>
              <w:rPr>
                <w:rFonts w:ascii="Times New Roman" w:hAnsi="Times New Roman"/>
                <w:b/>
              </w:rPr>
              <w:t>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Névleges összeg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Ebben a mezőben a CRR II. mellékletében felsorolt szerződések névleges összegét kell feltüntetni.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{070;010}</w:t>
            </w:r>
          </w:p>
        </w:tc>
        <w:tc>
          <w:tcPr>
            <w:tcW w:w="7620" w:type="dxa"/>
          </w:tcPr>
          <w:p w:rsidR="00410E47" w:rsidRPr="00FE002E" w:rsidRDefault="00A36A43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Nettósítási keretmegállapodás hatályába tartozó </w:t>
            </w: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Mérleg szerinti 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4. cikke (1) bekezdésének 77. pontja és 206. cikke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mérleg szerinti értéke az alkalmazandó számviteli szabályozás értelmében, amelyek a CRR 206. cikke szerinti elismerhető nettósítási keretmegállapodás hatályába tartoznak.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Az intézmények ebben a mezőben nem tüntethetik fel a kapott készpénzt vagy az említett tranzakciók során bármely ügyleti partnernek adott biztosítékot, ha az továbbra is szerepel a mérlegben (vagyis akkor, ha a kivezetés számviteli feltételei nem teljesülnek). Az intézményeknek ezt az adatot a {090,010} mezőben kell szerepeltetniük.</w:t>
            </w: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{070;020}</w:t>
            </w:r>
          </w:p>
        </w:tc>
        <w:tc>
          <w:tcPr>
            <w:tcW w:w="7620" w:type="dxa"/>
          </w:tcPr>
          <w:p w:rsidR="00410E47" w:rsidRPr="00FE002E" w:rsidRDefault="00A36A43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Nettósítási keretmegállapodás hatályába tartozó </w:t>
            </w: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Nettósítás és más CRM nélküli könyv szerinti 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4. cikkének 77. pontja és 206. cikke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mérleg szerinti értéke az alkalmazandó számviteli szabályozás értelmében, amelyek a CRR 206. cikke szerinti elismerhető nettósítási keretmegállapodás hatályába tartoznak, és amelyeknél a szerződéseket eszközként jelenítik meg a mérlegben; prudenciális vagy számviteli nettósítás és más CRM-hatások nélkül (vagyis a számviteli nettósítás vagy a CRM könyv szerinti értéket befolyásoló hatásait vissza kell írni). Emellett, ha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 xml:space="preserve"> az alkalmazandó számviteli szabályozás szerint eladásként számolják el, az intézménynek vissza kell írnia az értékesítéssel kapcsolatban nyilvántartott valamennyi könyvelési tételt.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 ebben a mezőben nem tüntethetik fel a kapott készpénzt vagy az említett tranzakciók során bármely ügyleti partnernek adott biztosítékot, ha az továbbra is szerepel a mérlegben (vagyis akkor, ha a kivezetés számviteli feltételei nem teljesülnek). Az intézményeknek ezt az adatot a {090,020} mezőben kell szerepeltetniük.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{070;040}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Nettósítási keretmegállapodás hatályába tartozó </w:t>
            </w: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/>
              </w:rPr>
              <w:t>SFT-többlet</w:t>
            </w:r>
            <w:proofErr w:type="spellEnd"/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206. cikke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Az intézményeknek a CRR 206. cikke szerinti követelményeknek megfelelő nettósítási megállapodás hatályába tartozó mérlegen belüli és mérlegen kívüli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tekintetében nettósítási halmazokat kell kialakítaniuk. Az intézményeknek az egyes nettósítási halmazok aktuális partnerkitettsége (</w:t>
            </w:r>
            <w:proofErr w:type="spellStart"/>
            <w:r>
              <w:rPr>
                <w:rFonts w:ascii="Times New Roman" w:hAnsi="Times New Roman"/>
              </w:rPr>
              <w:t>current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counterparty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exposure</w:t>
            </w:r>
            <w:proofErr w:type="spellEnd"/>
            <w:r>
              <w:rPr>
                <w:rFonts w:ascii="Times New Roman" w:hAnsi="Times New Roman"/>
              </w:rPr>
              <w:t>, CCE) miatti többletet a következő képletnek megfelelően kell kiszámítaniuk: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m:oMath>
              <m:r>
                <w:rPr>
                  <w:rFonts w:ascii="Cambria Math" w:hAnsi="Cambria Math"/>
                </w:rPr>
                <m:t>CCE</m:t>
              </m:r>
              <m:r>
                <w:rPr>
                  <w:rFonts w:ascii="Cambria Math" w:hAnsi="Times New Roman"/>
                </w:rPr>
                <m:t xml:space="preserve">= </m:t>
              </m:r>
              <m:r>
                <w:rPr>
                  <w:rFonts w:ascii="Cambria Math" w:hAnsi="Cambria Math"/>
                </w:rPr>
                <m:t>max</m:t>
              </m:r>
              <m:d>
                <m:dPr>
                  <m:begChr m:val="{"/>
                  <m:endChr m:val="}"/>
                  <m:ctrlPr>
                    <w:rPr>
                      <w:rFonts w:ascii="Cambria Math" w:hAnsi="Times New Roman"/>
                      <w:bCs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Times New Roman"/>
                          <w:bCs/>
                          <w:i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Times New Roman"/>
                              <w:bCs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Times New Roman"/>
                                  <w:bCs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Times New Roman" w:hAnsi="Times New Roman"/>
                            </w:rPr>
                            <m:t>-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Times New Roman"/>
                                  <w:bCs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bCs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</m:nary>
                    </m:e>
                  </m:d>
                  <m:r>
                    <w:rPr>
                      <w:rFonts w:ascii="Cambria Math" w:hAnsi="Times New Roman"/>
                    </w:rPr>
                    <m:t>;0</m:t>
                  </m:r>
                </m:e>
              </m:d>
            </m:oMath>
            <w:r>
              <w:rPr>
                <w:rFonts w:ascii="Times New Roman" w:hAnsi="Times New Roman"/>
              </w:rPr>
              <w:t xml:space="preserve">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ahol: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i = a nettósítási halmazba bevont adott ügylet sorszáma;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= a CRR 220. cikkének (3) bekezdése szerinti </w:t>
            </w:r>
            <w:proofErr w:type="spellStart"/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érték az </w:t>
            </w:r>
            <w:proofErr w:type="spellStart"/>
            <w:r>
              <w:rPr>
                <w:rFonts w:ascii="Times New Roman" w:hAnsi="Times New Roman"/>
              </w:rPr>
              <w:t>i-edik</w:t>
            </w:r>
            <w:proofErr w:type="spellEnd"/>
            <w:r>
              <w:rPr>
                <w:rFonts w:ascii="Times New Roman" w:hAnsi="Times New Roman"/>
              </w:rPr>
              <w:t xml:space="preserve"> ügylet tekintetében;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= a CRR 220. cikkének (3) bekezdése szerinti </w:t>
            </w:r>
            <w:proofErr w:type="spellStart"/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érték az </w:t>
            </w:r>
            <w:proofErr w:type="spellStart"/>
            <w:r>
              <w:rPr>
                <w:rFonts w:ascii="Times New Roman" w:hAnsi="Times New Roman"/>
              </w:rPr>
              <w:t>i-edik</w:t>
            </w:r>
            <w:proofErr w:type="spellEnd"/>
            <w:r>
              <w:rPr>
                <w:rFonts w:ascii="Times New Roman" w:hAnsi="Times New Roman"/>
              </w:rPr>
              <w:t xml:space="preserve"> ügylet tekintetében.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Az intézményeknek a képletet minden nettósítási halmaz tekintetében be kell helyettesíteniük, és ebben a mezőben a kapott eredmények összesített értékét kell feltüntetniük.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{080;010}</w:t>
            </w:r>
          </w:p>
        </w:tc>
        <w:tc>
          <w:tcPr>
            <w:tcW w:w="7620" w:type="dxa"/>
          </w:tcPr>
          <w:p w:rsidR="00410E47" w:rsidRPr="00FE002E" w:rsidRDefault="00CF66B5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Nettósítási keretmegállapodás hatályába nem tartozó </w:t>
            </w: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Mérleg szerinti 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4. cikke (1) bekezdésének 77. pontja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mérleg szerinti értéke az alkalmazandó számviteli szabályozás értelmében, amelyek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tartoznak a CRR 206. cikke szerint elismerhető nettósítási keretmegállapodás hatályába, és amelyeknél a szerződést eszközként jelenítik meg a mérlegben.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 ebben a mezőben nem tüntethetik fel a kapott készpénzt vagy az említett tranzakciók során bármely ügyleti partnernek adott biztosítékot, ha az továbbra is szerepel a </w:t>
            </w:r>
            <w:r>
              <w:rPr>
                <w:rFonts w:ascii="Times New Roman" w:hAnsi="Times New Roman"/>
              </w:rPr>
              <w:lastRenderedPageBreak/>
              <w:t>mérlegben (vagyis akkor, ha a kivezetés számviteli feltételei nem teljesülnek). Az intézményeknek ezt az adatot a {090,010} mezőben kell szerepeltetniük.</w:t>
            </w: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{080;020}</w:t>
            </w:r>
          </w:p>
        </w:tc>
        <w:tc>
          <w:tcPr>
            <w:tcW w:w="7620" w:type="dxa"/>
          </w:tcPr>
          <w:p w:rsidR="00410E47" w:rsidRPr="00FE002E" w:rsidRDefault="00CF66B5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Nettósítási keretmegállapodás hatályába nem tartozó </w:t>
            </w: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Nettósítás és más CRM nélküli könyv szerinti 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4. cikke (1) bekezdésének 77. pontja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mérleg szerinti értéke az alkalmazandó számviteli szabályozás értelmében, amelyek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tartoznak a CRR 206. cikke szerinti elismerhető nettósítási keretmegállapodás hatályába, és amelyeknél a szerződéseket eszközként jelenítik meg a mérlegben; számviteli nettósítás és más CRM-hatások nélkül (vagyis a számviteli nettósítás vagy a CRM könyv szerinti értéket befolyásoló hatásait vissza kell írni). Emellett, ha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 xml:space="preserve"> az alkalmazandó számviteli szabályozás szerint eladásként számolják el, az intézménynek vissza kell írnia az értékesítéssel kapcsolatban nyilvántartott valamennyi könyvelési tételt.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 ebben a mezőben nem tüntethetik fel a kapott készpénzt vagy az említett tranzakciók során bármely ügyleti partnernek adott biztosítékot, ha az továbbra is szerepel a mérlegben (vagyis akkor, ha a kivezetés számviteli feltételei nem teljesülnek). Az intézményeknek ezt az adatot a {090,020} mezőben kell szerepeltetniük.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{080;040}</w:t>
            </w:r>
          </w:p>
        </w:tc>
        <w:tc>
          <w:tcPr>
            <w:tcW w:w="7620" w:type="dxa"/>
          </w:tcPr>
          <w:p w:rsidR="00410E47" w:rsidRPr="00FE002E" w:rsidRDefault="00CF66B5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Nettósítási keretmegállapodás hatályába nem tartozó </w:t>
            </w: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/>
              </w:rPr>
              <w:t>SFT-többlet</w:t>
            </w:r>
            <w:proofErr w:type="spellEnd"/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206. cikke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217B44">
            <w:pPr>
              <w:pStyle w:val="BodyText1"/>
              <w:spacing w:line="240" w:lineRule="auto"/>
              <w:rPr>
                <w:color w:val="auto"/>
              </w:rPr>
            </w:pPr>
            <w:r>
              <w:rPr>
                <w:rFonts w:ascii="Times New Roman" w:hAnsi="Times New Roman"/>
              </w:rPr>
              <w:t xml:space="preserve">Az intézményeknek a CRR 206. cikke szerinti követelményeknek megfelelő nettósítási megállapodás hatályába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tartozó mérlegen belüli és mérlegen kívüli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tekintetében az adott ügyletbe bevont összes eszközt tartalmazó halmazokat kell kialakítaniuk (vagyis minden SFT külön halmazként kezelendő), és az egyes halmazok aktuális partnerkitettsége (CCE) miatti többletet a következő képletnek megfelelően kell kiszámítaniuk: 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CCE = </w:t>
            </w:r>
            <w:proofErr w:type="spellStart"/>
            <w:r>
              <w:rPr>
                <w:rFonts w:ascii="Times New Roman" w:hAnsi="Times New Roman"/>
              </w:rPr>
              <w:t>max</w:t>
            </w:r>
            <w:proofErr w:type="spellEnd"/>
            <w:r>
              <w:rPr>
                <w:rFonts w:ascii="Times New Roman" w:hAnsi="Times New Roman"/>
              </w:rPr>
              <w:t xml:space="preserve"> {(E – C); 0}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ahol: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 = a CRR 220. cikkének (3) bekezdése szerinti </w:t>
            </w:r>
            <w:proofErr w:type="spellStart"/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érték;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C = a CRR 220. cikkének (3) bekezdése szerinti </w:t>
            </w:r>
            <w:proofErr w:type="spellStart"/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érték.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Az intézményeknek a képletet minden halmaz tekintetében be kell helyettesíteniük, és ebben a mezőben a kapott eredmények összesített értékét kell feltüntetniük.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{090;010}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Egyéb eszközök – Mérleg szerinti 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4. cikke (1) bekezdésének 77. pontja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összes olyan eszköz mérleg szerinti értéke az alkalmazandó számviteli szabályozás értelmében, amely nem tartozik a CRR II. mellékletében felsorolt szerződések, a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közé.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{090;020}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Egyéb eszközök – Nettósítás és más CRM nélküli könyv szerinti 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4. cikke (1) bekezdésének 77. pontja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II. mellékletében felsorolt szerződések, a </w:t>
            </w:r>
            <w:proofErr w:type="spellStart"/>
            <w:r>
              <w:rPr>
                <w:rFonts w:ascii="Times New Roman" w:hAnsi="Times New Roman"/>
              </w:rPr>
              <w:t>hitelderivatívák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közé nem tartozó összes eszköz mérleg szerinti értéke az alkalmazandó számviteli szabályozás értelmében, számviteli nettósítás és más CRM-hatások nélkül (vagyis a számviteli nettósítás vagy a CRM könyv szerinti értéket befolyásoló hatásait vissza kell írni).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{100;070}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RSA (módosított sztenderd módszer) szerinti alacsony kockázatú mérlegen kívüli tételek; ebből: – Névérték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tőkekövetelmény-rendelet 111. cikke.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Ebben a mezőben azon mérlegen kívüli tételek névértékét kell feltüntetni, amelyek a hitelkockázat sztenderd módszerével 0 %-os hitel-egyenértékesítési tényezőt kapnának.</w:t>
            </w:r>
            <w:r>
              <w:t xml:space="preserve"> </w:t>
            </w:r>
            <w:r>
              <w:rPr>
                <w:rFonts w:ascii="Times New Roman" w:hAnsi="Times New Roman"/>
              </w:rPr>
              <w:t>Ez az érték nem csökkenthető egyedi hitelkockázati kiigazításokkal.</w:t>
            </w:r>
          </w:p>
          <w:p w:rsidR="004D36F1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D36F1" w:rsidRPr="00FE002E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429. cikkének (10) bekezdése értelmében az intézmények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</w:rPr>
              <w:t>hitelderivatívákat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{110;070}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Lakossággal szembeni rulírozó kitettségek; ebből: – Névérték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111. cikke és 154. cikkének (4) bekezdése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F66B5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Ebben a mezőben azon, lakossággal szembeni rulírozó kitettségnek minősülő mérlegen kívüli tételek névértékét kell feltüntetni, amelyek megfelelnek a CRR 154. cikke (4) bekezdésének a)–c) pontjaiban meghatározott feltételeknek. Ez az érték nem csökkenthető egyedi hitelkockázati kiigazításokkal.</w:t>
            </w:r>
          </w:p>
          <w:p w:rsidR="00CF66B5" w:rsidRDefault="00CF66B5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Idetartozik minden olyan kitettség, amely magánszemélyekkel szembeni, rulírozó és a CRR 149. cikkének b) pontjában részletezettek szerint feltétel nélkül felmondható, </w:t>
            </w:r>
            <w:proofErr w:type="spellStart"/>
            <w:r>
              <w:rPr>
                <w:rFonts w:ascii="Times New Roman" w:hAnsi="Times New Roman"/>
              </w:rPr>
              <w:t>kötelezettenként</w:t>
            </w:r>
            <w:proofErr w:type="spellEnd"/>
            <w:r>
              <w:rPr>
                <w:rFonts w:ascii="Times New Roman" w:hAnsi="Times New Roman"/>
              </w:rPr>
              <w:t xml:space="preserve"> legfeljebb 100 000 EUR értékben.</w:t>
            </w:r>
          </w:p>
          <w:p w:rsidR="004D36F1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D36F1" w:rsidRPr="00FE002E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429. cikkének (10) bekezdése értelmében az intézmények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</w:rPr>
              <w:t>hitelderivatívákat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{120;070}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Feltétel nélkül felmondható hitelkártya-kötelezettségek – Névérték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111. cikke és 154. cikkének (4) bekezdése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A51BD1" w:rsidRDefault="001005A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Ebben a mezőben azon hitelkártya-kötelezettségek névértékét kell feltüntetni, amelyeket az intézmény bármikor, feltétel és előzetes értesítés nélkül felmondhat (UCC), és amelyek a hitelkockázat sztenderd módszerével 0 %-os hitel-egyenértékesítési tényezőt kapnának.</w:t>
            </w:r>
            <w:r>
              <w:t xml:space="preserve"> </w:t>
            </w:r>
            <w:r>
              <w:rPr>
                <w:rFonts w:ascii="Times New Roman" w:hAnsi="Times New Roman"/>
              </w:rPr>
              <w:t>Ez az érték nem csökkenthető egyedi hitelkockázati kiigazításokkal.</w:t>
            </w:r>
          </w:p>
          <w:p w:rsidR="00A51BD1" w:rsidRDefault="00A51BD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 ebben a mezőben nem tüntethetik fel azon hitelkötelezettségeket, amelyeknél a hitelfelvevő hitelképességének romlása automatikusan a megállapodás felmondását eredményezi, amelyek azonban nem UCC jellegűek.</w:t>
            </w:r>
          </w:p>
          <w:p w:rsidR="004D36F1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D36F1" w:rsidRPr="00FE002E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429. cikkének (10) bekezdése értelmében az intézmények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</w:rPr>
              <w:t>hitelderivatívákat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{130;070}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Nem rulírozó, feltétel nélkül felmondható kötelezettségek – Névérték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111. cikke és 154. cikkének (4) bekezdése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A51BD1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Ez a mező adja meg azoknak az egyéb kötelezettségeknek a névértékét, amelyeket az intézmény bármikor feltétel és előzetes értesítés nélkül felmondhat (UCC), és amelyekhez rendelt hitel-egyenértékesítési tényező a hitelkockázat sztenderd módszere alapján 0 % lenne. Ez az érték nem csökkenthető egyedi hitelkockázati kiigazításokkal.</w:t>
            </w:r>
          </w:p>
          <w:p w:rsidR="00A51BD1" w:rsidRDefault="00A51BD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 ebben a mezőben nem tüntethetik fel azon hitelkötelezettségeket, amelyeknél a hitelfelvevő hitelképességének romlása automatikusan a megállapodás felmondását eredményezi, amelyek azonban nem UCC jellegűek.</w:t>
            </w:r>
          </w:p>
          <w:p w:rsidR="004D36F1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D36F1" w:rsidRPr="00FE002E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429. cikkének (10) bekezdése értelmében az intézmények ebben a mezőben nem </w:t>
            </w:r>
            <w:r>
              <w:rPr>
                <w:rFonts w:ascii="Times New Roman" w:hAnsi="Times New Roman"/>
              </w:rPr>
              <w:lastRenderedPageBreak/>
              <w:t xml:space="preserve">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</w:rPr>
              <w:t>hitelderivatívákat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{140;070}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RSA szerinti közepes/alacsony kockázatú mérlegen kívüli tételek – Névérték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tőkekövetelmény-rendelet 111. cikke.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Ebben a mezőben azon mérlegen kívüli tételek névértékét kell feltüntetni, amelyek a hitelkockázat sztenderd módszerével 20 %-os hitel-egyenértékesítési tényezőt kapnának.</w:t>
            </w:r>
            <w:r>
              <w:t xml:space="preserve"> </w:t>
            </w:r>
            <w:r>
              <w:rPr>
                <w:rFonts w:ascii="Times New Roman" w:hAnsi="Times New Roman"/>
              </w:rPr>
              <w:t>Ez az érték nem csökkenthető egyedi hitelkockázati kiigazításokkal.</w:t>
            </w:r>
          </w:p>
          <w:p w:rsidR="004D36F1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D36F1" w:rsidRPr="00FE002E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429. cikkének (10) bekezdése értelmében az intézmények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</w:rPr>
              <w:t>hitelderivatívákat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108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{150;070}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RSA szerinti közepes kockázatú mérlegen kívüli tételek – Névérték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tőkekövetelmény-rendelet 111. cikke.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Ebben a mezőben azon mérlegen kívüli tételek névértékét kell feltüntetni, amelyek a hitelkockázat sztenderd módszerével 50 %-os hitel-egyenértékesítési tényezőt kapnának.</w:t>
            </w:r>
            <w:r>
              <w:t xml:space="preserve"> </w:t>
            </w:r>
            <w:r>
              <w:rPr>
                <w:rFonts w:ascii="Times New Roman" w:hAnsi="Times New Roman"/>
              </w:rPr>
              <w:t>Ez az érték nem csökkenthető egyedi hitelkockázati kiigazításokkal.</w:t>
            </w:r>
          </w:p>
          <w:p w:rsidR="004D36F1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D36F1" w:rsidRPr="00FE002E" w:rsidRDefault="004D36F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429. cikkének (10) bekezdése értelmében az intézmények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</w:rPr>
              <w:t>hitelderivatívákat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{160;070}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RSA szerinti teljes kockázatú mérlegen kívüli tételek – Névérték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tőkekövetelmény-rendelet 111. cikke.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A51BD1" w:rsidRDefault="00410E47" w:rsidP="00A51BD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Ebben a mezőben azon mérlegen kívüli tételek névértékét kell feltüntetni, amelyek a hitelkockázat sztenderd módszerével 100 %-os hitel-egyenértékesítési tényezőt kapnának. Ez az érték nem csökkenthető egyedi hitelkockázati kiigazításokkal.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34348F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429. cikkének (10) bekezdése értelmében az intézmények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</w:rPr>
              <w:t>hitelderivatívákat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{170;070}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(tájékoztató adat) Lakossággal szembeni rulírozó kitettségek lehívott összegei – Névérték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154. cikkének (4) bekezdése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Ebben a mezőben a lakossággal szembeni, mérlegen kívüli rulírozó kitettségek lehívott összegeinek a névértékét kell feltüntetni.</w:t>
            </w:r>
            <w:r>
              <w:t xml:space="preserve"> </w:t>
            </w:r>
            <w:r>
              <w:rPr>
                <w:rFonts w:ascii="Times New Roman" w:hAnsi="Times New Roman"/>
              </w:rPr>
              <w:t>Ez az érték nem csökkenthető egyedi hitelkockázati kiigazításokkal.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{180;070}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(tájékoztató adat) Feltétel nélkül felmondható hitelkártya-kötelezettségek lehívott összegei – Névérték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111. cikke és 154. cikkének (4) bekezdése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Ebben a mezőben a feltétel nélkül felmondható hitelkártya-kötelezettségek lehívott összegeinek a névértékét kell feltüntetni. Ez az érték nem csökkenthető egyedi hitelkockázati kiigazításokkal.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{190;070}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(tájékoztató adat) Nem rulírozó, feltétel nélkül felmondható kötelezettségek lehívott összegei – Névérték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CRR 111. cikke és 154. cikkének (4) bekezdése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Ebben a mezőben a nem rulírozó, feltétel nélkül felmondható kötelezettségek lehívott összegeinek a névértékét kell feltüntetni.</w:t>
            </w:r>
            <w:r>
              <w:t xml:space="preserve"> </w:t>
            </w:r>
            <w:r>
              <w:rPr>
                <w:rFonts w:ascii="Times New Roman" w:hAnsi="Times New Roman"/>
              </w:rPr>
              <w:t>Ez az érték nem csökkenthető egyedi hitelkockázati kiigazításokkal.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{210;020}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Származtatott ügyletekben kapott készpénzbiztosíték – Nettósítás és más CRM nélküli könyv szerinti 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származtatott ügyletekben kapott készpénzbiztosíték mérleg szerinti értéke az alkalmazandó számviteli szabályozás értelmében, számviteli nettósítás és más CRM-hatások nélkül (vagyis a számviteli nettósítás vagy a CRM könyv szerinti értéket befolyásoló hatásait vissza kell írni).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10E47" w:rsidRPr="00FE002E" w:rsidRDefault="00410E47" w:rsidP="00217B44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E mező vonatkozásában a készpénz a készpénz teljes összegét jelenti, beleértve az érméket és bankjegyeket/devizát. A központi bankoknál tartott betétek teljes összege is ideértendő, amennyiben e betétek stresszhelyzetben felvehetők. Az intézmények ebben a mezőben nem tüntethetik fel a más intézményeknél tartott készpénzbetéteket.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{220;020}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Származtatott ügyletekben nyújtott készpénzbiztosítékhoz kapcsolódó követelések – Nettósítás és más CRM nélküli könyv szerinti 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A származtatott ügyletekben nyújtott készpénzbiztosítékhoz kapcsolódó követelések mérleg szerinti értéke az alkalmazandó számviteli szabályozás értelmében, számviteli nettósítás és CRM-hatások nélkül (vagyis a számviteli nettósítás vagy a CRM könyv szerinti értéket befolyásoló hatásait vissza kell írni). Azon intézményeknek, amelyek az alkalmazandó számviteli szabályozás értelmében a nyújtott készpénzbiztosítékhoz kapcsolódó követelést nettósíthatják a kapcsolódó származtatott kötelezettséggel szemben (negatív valós érték), és ennek megfelelően is járnak el, a nettósítást vissza kell írniuk és a nettó készpénzkövetelést kell feltüntetniük.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{230;020}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SFT során kapott, a mérlegben eszközként megjelenített értékpapírok – Nettósítás és más CRM nélküli könyv szerinti érték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Az SFT során kapott, a mérlegben az alkalmazandó számviteli szabályozás értelmében eszközként megjelenített értékpapírok mérleg szerinti értéke az alkalmazandó számviteli szabályozás értelmében, számviteli nettósítás és más CRM-hatások nélkül (vagyis a számviteli nettósítás vagy a CRM könyv szerinti értéket befolyásoló hatásait vissza kell írni).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10E47" w:rsidRPr="00FE002E" w:rsidTr="00FC2664">
        <w:tc>
          <w:tcPr>
            <w:tcW w:w="1418" w:type="dxa"/>
          </w:tcPr>
          <w:p w:rsidR="00410E47" w:rsidRPr="00FE002E" w:rsidRDefault="00410E47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{240;020}</w:t>
            </w:r>
          </w:p>
        </w:tc>
        <w:tc>
          <w:tcPr>
            <w:tcW w:w="7620" w:type="dxa"/>
          </w:tcPr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SFT készpénz-közvetítési hitelezési ügylet (készpénzkövetelések) – Nettósítás és más CRM nélküli könyv szerinti érték</w:t>
            </w: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minősített készpénz-közvetítési hitelezési ügylet (CCLT) során az értékpapír-tulajdonosnak továbbkölcsönzött készpénz utáni készpénzkövetelés mérleg szerinti értéke az alkalmazandó számviteli szabályozás értelmében, számviteli nettósítás és más CRM-hatások nélkül (vagyis a számviteli nettósítás vagy a CRM könyv szerinti értéket befolyásoló hatásait vissza kell írni).</w:t>
            </w: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</w:rPr>
            </w:pP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 mező vonatkozásában a készpénz a készpénz teljes összegét jelenti, beleértve az érméket és bankjegyeket/devizát. A központi bankoknál tartott betétek teljes összege is ideértendő, amennyiben e betétek stresszhelyzetben felvehetők. Az intézmények ebben a mezőben nem tüntethetik fel a más intézményeknél tartott készpénzbetéteket.</w:t>
            </w: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</w:rPr>
            </w:pP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CCLT két ügylet kombinációja, amelynek során egy intézmény értékpapírt vesz kölcsön az értékpapír-tulajdonostól, és azt továbbkölcsönzi az értékpapírok kölcsönvevőjének. Ezzel egyidejűleg az intézmény az értékpapírok kölcsönvevőjétől készpénzbiztosítékot kap, és a kapott készpénzt kölcsönadja az értékpapír-tulajdonosnak. A minősített </w:t>
            </w:r>
            <w:proofErr w:type="spellStart"/>
            <w:r>
              <w:rPr>
                <w:rFonts w:ascii="Times New Roman" w:hAnsi="Times New Roman"/>
              </w:rPr>
              <w:t>CCLT-nek</w:t>
            </w:r>
            <w:proofErr w:type="spellEnd"/>
            <w:r>
              <w:rPr>
                <w:rFonts w:ascii="Times New Roman" w:hAnsi="Times New Roman"/>
              </w:rPr>
              <w:t xml:space="preserve"> a </w:t>
            </w:r>
            <w:r>
              <w:rPr>
                <w:rFonts w:ascii="Times New Roman" w:hAnsi="Times New Roman"/>
              </w:rPr>
              <w:lastRenderedPageBreak/>
              <w:t>következő feltételeknek kell megfelelnie:</w:t>
            </w:r>
          </w:p>
          <w:p w:rsidR="00410E47" w:rsidRPr="00FE002E" w:rsidRDefault="00410E47" w:rsidP="007E2A41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</w:rPr>
            </w:pPr>
          </w:p>
          <w:p w:rsidR="00410E47" w:rsidRPr="00FE002E" w:rsidRDefault="00500508" w:rsidP="00500508">
            <w:pPr>
              <w:pStyle w:val="Paragraph"/>
              <w:ind w:left="794" w:hanging="79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a)</w:t>
            </w:r>
            <w:r>
              <w:tab/>
            </w:r>
            <w:proofErr w:type="spellStart"/>
            <w:r>
              <w:rPr>
                <w:rFonts w:ascii="Times New Roman" w:hAnsi="Times New Roman"/>
                <w:color w:val="000000"/>
              </w:rPr>
              <w:t>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két egyedi ügyletet azonos kereskedési napon, vagy nemzetközi ügyletek esetében két egymást követő munkanapon hajtják végre;</w:t>
            </w:r>
          </w:p>
          <w:p w:rsidR="00410E47" w:rsidRPr="00FE002E" w:rsidRDefault="00500508" w:rsidP="00500508">
            <w:pPr>
              <w:pStyle w:val="Paragraph"/>
              <w:ind w:left="794" w:hanging="79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b)</w:t>
            </w:r>
            <w:r>
              <w:tab/>
            </w:r>
            <w:r>
              <w:rPr>
                <w:rFonts w:ascii="Times New Roman" w:hAnsi="Times New Roman"/>
                <w:color w:val="000000"/>
              </w:rPr>
              <w:t>ha a két egyedi ügyletnek nincs lejárata, az intézménynek törvényes joga, hogy a CCLT mindkét oldalát – vagyis mindkét egyedi ügyletet – bármikor, előzetes értesítés nélkül lezárja;</w:t>
            </w:r>
          </w:p>
          <w:p w:rsidR="00410E47" w:rsidRPr="00FE002E" w:rsidRDefault="00500508" w:rsidP="00500508">
            <w:pPr>
              <w:pStyle w:val="Paragraph"/>
              <w:ind w:left="794" w:hanging="79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c)</w:t>
            </w:r>
            <w:r>
              <w:tab/>
            </w:r>
            <w:r>
              <w:rPr>
                <w:rFonts w:ascii="Times New Roman" w:hAnsi="Times New Roman"/>
                <w:color w:val="000000"/>
              </w:rPr>
              <w:t>ha a két egyedi ügyletnek van lejárata, a CCLT akkor sem vezet lejárati eltéréshez az intézménynél; az intézménynek törvényes joga, hogy a CCLT mindkét oldalát – vagyis mindkét egyedi ügyletet – bármikor, előzetes értesítés nélkül lezárja;</w:t>
            </w:r>
          </w:p>
          <w:p w:rsidR="00410E47" w:rsidRPr="00FE002E" w:rsidRDefault="00500508" w:rsidP="00500508">
            <w:pPr>
              <w:pStyle w:val="Paragraph"/>
              <w:ind w:left="794" w:hanging="79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d)</w:t>
            </w:r>
            <w:r>
              <w:tab/>
            </w:r>
            <w:r>
              <w:rPr>
                <w:rFonts w:ascii="Times New Roman" w:hAnsi="Times New Roman"/>
                <w:color w:val="000000"/>
              </w:rPr>
              <w:t>nem vezet egyéb járulékos kitettségekhez.</w:t>
            </w:r>
          </w:p>
          <w:p w:rsidR="00410E47" w:rsidRPr="00FE002E" w:rsidRDefault="00410E47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B5877" w:rsidRPr="00FE002E" w:rsidTr="004B5877">
        <w:tc>
          <w:tcPr>
            <w:tcW w:w="1418" w:type="dxa"/>
          </w:tcPr>
          <w:p w:rsidR="004B5877" w:rsidRPr="00FE002E" w:rsidRDefault="004B5877" w:rsidP="004178C8">
            <w:pPr>
              <w:pStyle w:val="BodyText1"/>
              <w:rPr>
                <w:rFonts w:ascii="Times New Roman" w:hAnsi="Times New Roman"/>
                <w:bCs/>
              </w:rPr>
            </w:pPr>
            <w:bookmarkStart w:id="63" w:name="_Toc322687882"/>
            <w:bookmarkEnd w:id="55"/>
            <w:r>
              <w:rPr>
                <w:rFonts w:ascii="Times New Roman" w:hAnsi="Times New Roman"/>
              </w:rPr>
              <w:lastRenderedPageBreak/>
              <w:t>{250;120}</w:t>
            </w:r>
          </w:p>
        </w:tc>
        <w:tc>
          <w:tcPr>
            <w:tcW w:w="7620" w:type="dxa"/>
          </w:tcPr>
          <w:p w:rsidR="004B5877" w:rsidRDefault="004B5877" w:rsidP="004B5877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A CRR 113. cikke (6) bekezdésének megfelelően kezelhető kitettségek – Elméletileg mentesített tőkeáttételi kitettségérték</w:t>
            </w:r>
          </w:p>
          <w:p w:rsidR="00A46F6B" w:rsidRDefault="00A46F6B" w:rsidP="004178C8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4B5877" w:rsidRDefault="004B5877" w:rsidP="004178C8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tőkeáttételi mutató számításához használt teljes kitettségérték azon összege, amely akkor lenne mentesített, ha az illetékes hatóság teljeskörűen engedélyezné azon kitettségek mentesítését, amelyek esetében a CRR 113. cikke (6) bekezdésének a)–e) pontjában előírt összes feltétel teljesül, és az illetékes hatóság megadta a CRR 113. cikke (6) bekezdése szerinti engedélyt. Ha az illetékes hatóság már megadta a teljes körű engedélyt, akkor a mező értéke megegyezik az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;250;010} mező értékével.</w:t>
            </w:r>
          </w:p>
          <w:p w:rsidR="004B5877" w:rsidRPr="00FE002E" w:rsidRDefault="004B5877" w:rsidP="006A32F5">
            <w:pPr>
              <w:pStyle w:val="Paragraph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4B5877" w:rsidRPr="00FE002E" w:rsidTr="004B5877">
        <w:tc>
          <w:tcPr>
            <w:tcW w:w="1418" w:type="dxa"/>
          </w:tcPr>
          <w:p w:rsidR="004B5877" w:rsidRPr="00FE002E" w:rsidRDefault="004B5877" w:rsidP="004178C8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{260;120}</w:t>
            </w:r>
          </w:p>
        </w:tc>
        <w:tc>
          <w:tcPr>
            <w:tcW w:w="7620" w:type="dxa"/>
          </w:tcPr>
          <w:p w:rsidR="004B5877" w:rsidRPr="00FE002E" w:rsidRDefault="004B5877" w:rsidP="004B5877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 CRR 429. cikke (14) bekezdése a)–c) alpontjának feltételeit teljesítő kitettségek – Elméletileg mentesített tőkeáttételi kitettségérték</w:t>
            </w:r>
          </w:p>
          <w:p w:rsidR="004B5877" w:rsidRDefault="004B5877" w:rsidP="004B5877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214D62" w:rsidRDefault="00214D62" w:rsidP="004B5877">
            <w:pPr>
              <w:pStyle w:val="BodyText1"/>
              <w:tabs>
                <w:tab w:val="left" w:pos="4755"/>
              </w:tabs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tőkeáttételi mutató számításához használt teljes kitettségérték azon összege, amely akkor lenne mentesített, ha az illetékes hatóság teljeskörűen engedélyezné azon kitettségek mentesítését, amelyek teljesítik a CRR 429. cikke (14) bekezdése a)–c) alpontjának feltételeit. Ha az illetékes hatóság már megadta a teljes körű engedélyt, akkor a mező értéke megegyezik az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;260;010} mező értékével.</w:t>
            </w:r>
          </w:p>
          <w:p w:rsidR="004B5877" w:rsidRPr="00FE002E" w:rsidRDefault="004B5877" w:rsidP="006A32F5">
            <w:pPr>
              <w:pStyle w:val="Paragraph"/>
              <w:ind w:left="794" w:firstLine="0"/>
              <w:rPr>
                <w:rFonts w:ascii="Times New Roman" w:hAnsi="Times New Roman"/>
                <w:b/>
                <w:bCs/>
              </w:rPr>
            </w:pPr>
          </w:p>
        </w:tc>
      </w:tr>
    </w:tbl>
    <w:p w:rsidR="00F4754B" w:rsidRPr="00FE002E" w:rsidRDefault="00F4754B" w:rsidP="00F4754B">
      <w:pPr>
        <w:pStyle w:val="BodyText1"/>
        <w:rPr>
          <w:rFonts w:ascii="Times New Roman" w:hAnsi="Times New Roman"/>
          <w:b/>
        </w:rPr>
      </w:pPr>
    </w:p>
    <w:p w:rsidR="00217D1F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64" w:name="_Toc338669914"/>
      <w:bookmarkStart w:id="65" w:name="_Toc338669915"/>
      <w:bookmarkStart w:id="66" w:name="_Toc338669918"/>
      <w:bookmarkStart w:id="67" w:name="_Toc351048508"/>
      <w:bookmarkStart w:id="68" w:name="_Toc359414287"/>
      <w:bookmarkStart w:id="69" w:name="_Toc423089072"/>
      <w:bookmarkStart w:id="70" w:name="_Toc524008522"/>
      <w:bookmarkEnd w:id="64"/>
      <w:bookmarkEnd w:id="65"/>
      <w:bookmarkEnd w:id="66"/>
      <w:r>
        <w:rPr>
          <w:rFonts w:ascii="Times New Roman" w:hAnsi="Times New Roman"/>
          <w:b/>
        </w:rPr>
        <w:t>6.</w:t>
      </w:r>
      <w:r>
        <w:tab/>
      </w:r>
      <w:r>
        <w:rPr>
          <w:rFonts w:ascii="Times New Roman" w:hAnsi="Times New Roman"/>
          <w:b/>
        </w:rPr>
        <w:t>C 41.00 – Mérlegtételek és mérlegen kívüli tételek – a kitettségek további bontása</w:t>
      </w:r>
      <w:bookmarkEnd w:id="67"/>
      <w:bookmarkEnd w:id="68"/>
      <w:r>
        <w:rPr>
          <w:rFonts w:ascii="Times New Roman" w:hAnsi="Times New Roman"/>
          <w:b/>
        </w:rPr>
        <w:t xml:space="preserve"> (LR2)</w:t>
      </w:r>
      <w:bookmarkEnd w:id="69"/>
      <w:bookmarkEnd w:id="70"/>
    </w:p>
    <w:p w:rsidR="00675587" w:rsidRPr="00FE002E" w:rsidRDefault="00675587" w:rsidP="007E2A41">
      <w:pPr>
        <w:pStyle w:val="BodyText1"/>
        <w:spacing w:line="240" w:lineRule="auto"/>
        <w:ind w:left="720"/>
        <w:rPr>
          <w:rFonts w:ascii="Times New Roman" w:hAnsi="Times New Roman"/>
          <w:bCs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  <w:bCs/>
        </w:rPr>
      </w:pPr>
      <w:r>
        <w:rPr>
          <w:rFonts w:ascii="Times New Roman" w:hAnsi="Times New Roman"/>
        </w:rPr>
        <w:t>24.</w:t>
      </w:r>
      <w:r>
        <w:tab/>
      </w:r>
      <w:r>
        <w:rPr>
          <w:rFonts w:ascii="Times New Roman" w:hAnsi="Times New Roman"/>
        </w:rPr>
        <w:t>Az LR2 tábla a kereskedési könyvben nem szereplő mérlegen belüli és mérlegen kívüli kitettségek</w:t>
      </w:r>
      <w:r>
        <w:rPr>
          <w:rFonts w:ascii="Times New Roman" w:hAnsi="Times New Roman"/>
          <w:vertAlign w:val="superscript"/>
        </w:rPr>
        <w:footnoteReference w:id="2"/>
      </w:r>
      <w:r>
        <w:rPr>
          <w:rFonts w:ascii="Times New Roman" w:hAnsi="Times New Roman"/>
        </w:rPr>
        <w:t xml:space="preserve">, valamint a kereskedési könyvben szereplő, partnerkockázattal érintett kitettségek további bontásáról szolgáltat információt. A bontás a CRR hitelkockázati szakaszában alkalmazott kockázati súlyok szerint történik. A sztenderd (SA) módszer, illetve a belső minősítésen alapuló (IRB) módszer alá tartozó kitettségekre vonatkozó információkat eltérő módon származtatják. 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25.</w:t>
      </w:r>
      <w:r>
        <w:tab/>
      </w:r>
      <w:r>
        <w:rPr>
          <w:rFonts w:ascii="Times New Roman" w:hAnsi="Times New Roman"/>
        </w:rPr>
        <w:t xml:space="preserve">A partner kockázati súlyát a garancia kockázati súlyával helyettesítő CRM-technikákkal támogatott kitettségek esetében az intézményeknek a helyettesítési hatás utáni kockázati súlyt kell figyelembe venniük. Az IRB módszer keretében az intézményeknek el kell végezniük a következő számítást: a speciális szabályozói kockázati súlyt kapó kitettségek kivételével meg kell határozniuk az egyes </w:t>
      </w:r>
      <w:proofErr w:type="spellStart"/>
      <w:r>
        <w:rPr>
          <w:rFonts w:ascii="Times New Roman" w:hAnsi="Times New Roman"/>
        </w:rPr>
        <w:t>ügyfélkategóriákba</w:t>
      </w:r>
      <w:proofErr w:type="spellEnd"/>
      <w:r>
        <w:rPr>
          <w:rFonts w:ascii="Times New Roman" w:hAnsi="Times New Roman"/>
        </w:rPr>
        <w:t xml:space="preserve"> tartozó kitettségek kockázati súlyát: a hitelkockázat esetében a kockázati súlyra vonatkozó képlet szerinti, az értékpapírosítási kitettségek esetében pedig a felügyeleti képlet szerinti, kockázattal súlyozott kitettségértéket el kell osztaniuk a kitettségre helyettesítő hatást gyakorló CRM-technikák miatti ki- és beáramlásokat figyelembe vevő </w:t>
      </w:r>
      <w:proofErr w:type="spellStart"/>
      <w:r>
        <w:rPr>
          <w:rFonts w:ascii="Times New Roman" w:hAnsi="Times New Roman"/>
        </w:rPr>
        <w:t>kitettségértékkel</w:t>
      </w:r>
      <w:proofErr w:type="spellEnd"/>
      <w:r>
        <w:rPr>
          <w:rFonts w:ascii="Times New Roman" w:hAnsi="Times New Roman"/>
        </w:rPr>
        <w:t xml:space="preserve">. Az IRB módszer keretében a </w:t>
      </w:r>
      <w:proofErr w:type="spellStart"/>
      <w:r>
        <w:rPr>
          <w:rFonts w:ascii="Times New Roman" w:hAnsi="Times New Roman"/>
        </w:rPr>
        <w:t>nemteljesítőnek</w:t>
      </w:r>
      <w:proofErr w:type="spellEnd"/>
      <w:r>
        <w:rPr>
          <w:rFonts w:ascii="Times New Roman" w:hAnsi="Times New Roman"/>
        </w:rPr>
        <w:t xml:space="preserve"> minősített kitettségek nem vehetők figyelembe a {020;010} – {090;010} mezőben, viszont feltüntetendők a {100;010} mezőben. A sztenderd módszer keretében a CRR 112. cikke j) pontjának hatályába eső kitettségek nem vehetők figyelembe a {020;</w:t>
      </w:r>
      <w:proofErr w:type="spellStart"/>
      <w:r>
        <w:rPr>
          <w:rFonts w:ascii="Times New Roman" w:hAnsi="Times New Roman"/>
        </w:rPr>
        <w:t>020</w:t>
      </w:r>
      <w:proofErr w:type="spellEnd"/>
      <w:r>
        <w:rPr>
          <w:rFonts w:ascii="Times New Roman" w:hAnsi="Times New Roman"/>
        </w:rPr>
        <w:t>} – {090;020} mezőben, viszont feltüntetendők a {100;020} mezőben.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26.</w:t>
      </w:r>
      <w:r>
        <w:tab/>
      </w:r>
      <w:r>
        <w:rPr>
          <w:rFonts w:ascii="Times New Roman" w:hAnsi="Times New Roman"/>
        </w:rPr>
        <w:t>A szavatoló tőkéből levont kitettségeket az intézményeknek mindkét módszer keretében 1250 %-os kockázati súly alkalmazásával kell figyelembe venniük.</w:t>
      </w:r>
    </w:p>
    <w:p w:rsidR="00675587" w:rsidRPr="00FE002E" w:rsidRDefault="00675587" w:rsidP="00675587">
      <w:pPr>
        <w:pStyle w:val="BodyText1"/>
        <w:rPr>
          <w:rFonts w:ascii="Times New Roman" w:hAnsi="Times New Roman"/>
        </w:rPr>
      </w:pP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F4754B" w:rsidRPr="00FE002E" w:rsidTr="00FC2664">
        <w:tc>
          <w:tcPr>
            <w:tcW w:w="1418" w:type="dxa"/>
            <w:shd w:val="clear" w:color="auto" w:fill="D9D9D9"/>
          </w:tcPr>
          <w:p w:rsidR="00F4754B" w:rsidRPr="00FE002E" w:rsidRDefault="00F4754B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Sor </w:t>
            </w:r>
          </w:p>
          <w:p w:rsidR="00F4754B" w:rsidRPr="00FE002E" w:rsidRDefault="00F4754B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620" w:type="dxa"/>
            <w:shd w:val="clear" w:color="auto" w:fill="D9D9D9"/>
          </w:tcPr>
          <w:p w:rsidR="00F4754B" w:rsidRPr="00FE002E" w:rsidRDefault="00F4754B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Jogszabályi hivatkozások és útmutató</w:t>
            </w:r>
          </w:p>
          <w:p w:rsidR="00F4754B" w:rsidRPr="00FE002E" w:rsidRDefault="00F4754B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010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 kereskedési könyvben nem szereplő mérlegen belüli és mérlegen kívüli kitettségek, valamint a kereskedési könyvben szereplő, partnerkockázattal érintett kitettségek (kockázati súly szerinti bontásban):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{020:*} – {100;*} mező összege.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020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= 0%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0 %-os kockázati súlyú kitettségek.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030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0% és ≤ 12%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0 %-nál nagyobb, de legfeljebb 12 %-os kockázati súlyú kitettségek.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bottom w:val="single" w:sz="4" w:space="0" w:color="auto"/>
            </w:tcBorders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040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12 % és ≤ 20 %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12 %-nál nagyobb, de legfeljebb 20 %-os kockázati súlyú kitettségek.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050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20 % és ≤ 50 %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20 %-nál nagyobb, de legfeljebb 50 %-os kockázati súlyú kitettségek.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060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50 % és ≤ 75 %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50 %-nál nagyobb, de legfeljebb 75 %-os kockázati súlyú kitettségek.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070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75 % és ≤ 100 %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75 %-nál nagyobb, de legfeljebb 100 %-os kockázati súlyú kitettségek.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080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100 % és ≤ 425 %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100 %-nál nagyobb, de legfeljebb 425 %-os kockázati súlyú kitettségek.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090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&gt; 425 % és ≤ 1 250 %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425 %-nál nagyobb, de legfeljebb 1 250 %-os kockázati súlyú kitettségek.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Nemteljesítő</w:t>
            </w:r>
            <w:proofErr w:type="spellEnd"/>
            <w:r>
              <w:rPr>
                <w:rFonts w:ascii="Times New Roman" w:hAnsi="Times New Roman"/>
                <w:b/>
              </w:rPr>
              <w:t xml:space="preserve"> kitettségek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sztenderd módszer keretében a CRR 112. cikke j) pontjának hatályába eső kitettségek.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IRB módszer keretében a 100 %-os nemteljesítési valószínűséggel (PD) rendelkező kitettségek. 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0756A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(tájékoztató adat) Alacsony kockázatú mérlegen kívüli tételek vagy a tőkemegfelelési mutató keretében 0 %-os hitel-egyenértékesítési tényezőt kapó mérlegen kívüli tételek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CRR 111. cikke szerinti alacsony kockázatú mérlegen kívüli tételek és a CRR 166. cikke alapján 0 %-os hitel-egyenértékesítési tényezőt kapó mérlegen kívüli tételek.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6E25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4754B" w:rsidRDefault="00F4754B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Oszlop</w:t>
            </w:r>
          </w:p>
          <w:p w:rsidR="00F0756A" w:rsidRPr="00FE002E" w:rsidDel="00C94DF9" w:rsidRDefault="00F0756A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4754B" w:rsidRPr="00FE002E" w:rsidRDefault="00F4754B" w:rsidP="00F0756A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lastRenderedPageBreak/>
              <w:t>Jogszabályi hivatkozások és útmutató</w:t>
            </w:r>
          </w:p>
          <w:p w:rsidR="002509B1" w:rsidRPr="00FE002E" w:rsidRDefault="002509B1" w:rsidP="00BE6AC4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513244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Mérlegen belüli és mérlegen kívüli kitettségek (SA-kitettségek)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Mérlegen belüli és mérlegen kívüli kitettségértékek az értékelési korrekciók, a CRM és a hitel-egyenértékesítési tényezők figyelembevétele után, a CRR harmadik része II. címének 2. fejezetével összhangban kiszámítva.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513244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Mérlegen belüli és mérlegen kívüli kitettségek (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CRR 166. cikke és 230. cikke (1) bekezdése második albekezdésének első mondata szerinti mérlegen belüli és mérlegen kívüli kitettségértékek a kitettségre helyettesítő hatást gyakorló CRM-technikák miatti ki- és beáramlások figyelembevétele után.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mérlegen kívüli tételek esetében az intézménynek alkalmaznia kell a CRR 166. cikke (8)–(10) bekezdésében meghatározott hitel-egyenértékesítési tényezőket.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513244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Névérték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mérlegen kívüli tételek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 a CRR 111. és 166. cikkében meghatározottak szerint, </w:t>
            </w:r>
            <w:proofErr w:type="spellStart"/>
            <w:r>
              <w:rPr>
                <w:rFonts w:ascii="Times New Roman" w:hAnsi="Times New Roman"/>
              </w:rPr>
              <w:t>egyenértékesítési</w:t>
            </w:r>
            <w:proofErr w:type="spellEnd"/>
            <w:r>
              <w:rPr>
                <w:rFonts w:ascii="Times New Roman" w:hAnsi="Times New Roman"/>
              </w:rPr>
              <w:t xml:space="preserve"> tényezők alkalmazása nélkül.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F4754B" w:rsidRPr="00FE002E" w:rsidRDefault="00F4754B" w:rsidP="00F4754B">
      <w:pPr>
        <w:pStyle w:val="BodyText1"/>
        <w:rPr>
          <w:rFonts w:ascii="Times New Roman" w:hAnsi="Times New Roman"/>
        </w:rPr>
      </w:pPr>
    </w:p>
    <w:p w:rsidR="00217D1F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71" w:name="_Toc338669922"/>
      <w:bookmarkStart w:id="72" w:name="_Toc338669923"/>
      <w:bookmarkStart w:id="73" w:name="_Toc338669924"/>
      <w:bookmarkStart w:id="74" w:name="_Toc338669925"/>
      <w:bookmarkStart w:id="75" w:name="_Toc338669926"/>
      <w:bookmarkStart w:id="76" w:name="_Toc338669927"/>
      <w:bookmarkStart w:id="77" w:name="_Toc338669928"/>
      <w:bookmarkStart w:id="78" w:name="_Toc351048509"/>
      <w:bookmarkStart w:id="79" w:name="_Toc359414288"/>
      <w:bookmarkStart w:id="80" w:name="_Toc423089073"/>
      <w:bookmarkStart w:id="81" w:name="_Toc322687894"/>
      <w:bookmarkStart w:id="82" w:name="_Toc524008523"/>
      <w:bookmarkEnd w:id="63"/>
      <w:bookmarkEnd w:id="71"/>
      <w:bookmarkEnd w:id="72"/>
      <w:bookmarkEnd w:id="73"/>
      <w:bookmarkEnd w:id="74"/>
      <w:bookmarkEnd w:id="75"/>
      <w:bookmarkEnd w:id="76"/>
      <w:bookmarkEnd w:id="77"/>
      <w:r>
        <w:rPr>
          <w:rFonts w:ascii="Times New Roman" w:hAnsi="Times New Roman"/>
          <w:b/>
        </w:rPr>
        <w:t>7.</w:t>
      </w:r>
      <w:r>
        <w:tab/>
      </w:r>
      <w:r>
        <w:rPr>
          <w:rFonts w:ascii="Times New Roman" w:hAnsi="Times New Roman"/>
          <w:b/>
        </w:rPr>
        <w:t>C 42.00 – A tőke alternatív definíciója</w:t>
      </w:r>
      <w:bookmarkEnd w:id="78"/>
      <w:bookmarkEnd w:id="79"/>
      <w:r>
        <w:rPr>
          <w:rFonts w:ascii="Times New Roman" w:hAnsi="Times New Roman"/>
          <w:b/>
        </w:rPr>
        <w:t xml:space="preserve"> (LR3)</w:t>
      </w:r>
      <w:bookmarkEnd w:id="80"/>
      <w:bookmarkEnd w:id="82"/>
      <w:r>
        <w:rPr>
          <w:rFonts w:ascii="Times New Roman" w:hAnsi="Times New Roman"/>
          <w:b/>
        </w:rPr>
        <w:t xml:space="preserve"> </w:t>
      </w:r>
      <w:bookmarkEnd w:id="81"/>
    </w:p>
    <w:p w:rsidR="00675587" w:rsidRPr="00FE002E" w:rsidRDefault="00675587" w:rsidP="00675587">
      <w:pPr>
        <w:pStyle w:val="BodyText1"/>
        <w:ind w:left="720"/>
        <w:rPr>
          <w:rFonts w:ascii="Times New Roman" w:hAnsi="Times New Roman"/>
        </w:rPr>
      </w:pPr>
    </w:p>
    <w:p w:rsidR="00675587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27.</w:t>
      </w:r>
      <w:r>
        <w:tab/>
      </w:r>
      <w:r>
        <w:rPr>
          <w:rFonts w:ascii="Times New Roman" w:hAnsi="Times New Roman"/>
        </w:rPr>
        <w:t>Az LR3 tábla a CRR 511. cikkében előírt felülvizsgálathoz szükséges tőkeértékekről szolgáltat információkat.</w:t>
      </w:r>
    </w:p>
    <w:p w:rsidR="00F4754B" w:rsidRPr="00FE002E" w:rsidRDefault="00F4754B" w:rsidP="007E2A41">
      <w:pPr>
        <w:pStyle w:val="BodyText1"/>
        <w:spacing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F4754B" w:rsidRPr="00FE002E" w:rsidTr="00FC2664">
        <w:tc>
          <w:tcPr>
            <w:tcW w:w="1418" w:type="dxa"/>
            <w:shd w:val="clear" w:color="auto" w:fill="D9D9D9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Sor 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</w:rPr>
              <w:t>és oszlop</w:t>
            </w:r>
          </w:p>
        </w:tc>
        <w:tc>
          <w:tcPr>
            <w:tcW w:w="7620" w:type="dxa"/>
            <w:shd w:val="clear" w:color="auto" w:fill="D9D9D9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</w:rPr>
              <w:t>Jogszabályi hivatkozások és útmutató</w:t>
            </w:r>
          </w:p>
        </w:tc>
      </w:tr>
      <w:tr w:rsidR="00F4754B" w:rsidRPr="00FE002E" w:rsidTr="00FC2664">
        <w:trPr>
          <w:trHeight w:val="1561"/>
        </w:trPr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</w:t>
            </w:r>
            <w:proofErr w:type="spellStart"/>
            <w:r>
              <w:rPr>
                <w:rFonts w:ascii="Times New Roman" w:hAnsi="Times New Roman"/>
              </w:rPr>
              <w:t>010</w:t>
            </w:r>
            <w:proofErr w:type="spellEnd"/>
            <w:r>
              <w:rPr>
                <w:rFonts w:ascii="Times New Roman" w:hAnsi="Times New Roman"/>
              </w:rPr>
              <w:t>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Elsődleges alapvető tőke – teljes mértékben bevezetett fogalom 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tőkekövetelmény-rendelet 50. cikke.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A0E3A">
            <w:pPr>
              <w:pStyle w:val="BodyText1"/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A CRR 50. cikke szerinti elsődleges alapvető tőke összege, a CRR tizedik részének 1. és 2. fejezetében megállapított eltérés figyelembevétele nélkül.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F4754B" w:rsidRPr="00FE002E" w:rsidTr="00FC2664">
        <w:trPr>
          <w:trHeight w:val="1561"/>
        </w:trPr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{020;010}</w:t>
            </w:r>
          </w:p>
        </w:tc>
        <w:tc>
          <w:tcPr>
            <w:tcW w:w="7620" w:type="dxa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Elsődleges alapvető tőke – átmeneti fogalom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tőkekövetelmény-rendelet 50. cikke.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A0E3A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CRR 50. cikke szerinti elsődleges alapvető tőke összege, a CRR tizedik részének 1. és 2. fejezetében megállapított eltérés figyelembevétele után.</w:t>
            </w:r>
          </w:p>
        </w:tc>
      </w:tr>
      <w:tr w:rsidR="00F4754B" w:rsidRPr="00FE002E" w:rsidTr="00FC2664">
        <w:tc>
          <w:tcPr>
            <w:tcW w:w="1418" w:type="dxa"/>
            <w:tcBorders>
              <w:bottom w:val="single" w:sz="4" w:space="0" w:color="auto"/>
            </w:tcBorders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</w:rPr>
              <w:t>{030;010}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Szavatoló tőke összesen – teljes mértékben bevezetett fogalom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  <w:u w:val="single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A tőkekövetelmény-rendelet 72. cikke.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  <w:u w:val="single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A CRR 72. cikke szerinti szavatoló tőke összege, a CRR tizedik részének 1. és 2. fejezetében megállapított eltérés figyelembevétele nélkül.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i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  <w:tcBorders>
              <w:bottom w:val="single" w:sz="4" w:space="0" w:color="auto"/>
            </w:tcBorders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{040;010}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Szavatoló tőke összesen – átmeneti fogalom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tőkekövetelmény-rendelet 72. cikke.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CRR 72. cikke szerinti szavatoló tőke összege, a CRR tizedik részének 1. és 2. fejezetében megállapított eltérés figyelembevétele után.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{055;010}</w:t>
            </w:r>
          </w:p>
        </w:tc>
        <w:tc>
          <w:tcPr>
            <w:tcW w:w="7620" w:type="dxa"/>
          </w:tcPr>
          <w:p w:rsidR="00F4754B" w:rsidRPr="00FE002E" w:rsidRDefault="00E818E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Levont eszközérték – az elsődleges alapvető tőke tételeiből – teljes mértékben bevezetett fogalom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  <w:p w:rsidR="00C8171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alábbi rendelkezések által előírt, valamely eszköz értékét az elsődleges alapvető tőke tételeinek kiigazítása révén módosító szabályozói kiigazítások összege:</w:t>
            </w:r>
          </w:p>
          <w:p w:rsidR="00C81710" w:rsidRPr="00FD2C06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32–35. cikke, vagy</w:t>
            </w:r>
          </w:p>
          <w:p w:rsidR="00C81710" w:rsidRPr="006914A2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36–47. cikke,</w:t>
            </w:r>
          </w:p>
          <w:p w:rsidR="007A0E3A" w:rsidRPr="00FD2C06" w:rsidRDefault="007A0E3A" w:rsidP="006914A2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értelemszerűen.</w:t>
            </w:r>
          </w:p>
          <w:p w:rsidR="00C81710" w:rsidRDefault="00C81710" w:rsidP="005556DC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422C76" w:rsidRDefault="00C81710" w:rsidP="00422C76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Az intézményeknek az ilyen levonások tekintetében figyelembe kell venniük a 48., a 49. és a 79. cikkben megállapított kivételeket, alternatívákat és felmentéseket, a CRR tizedik részének 1. és 2. fejezetében megállapított eltérés figyelembevétele nélkül. A kettős elszámolás elkerülése érdekében az intézmények nem vehetik figyelembe a CRR 111. cikke alapján az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;10;</w:t>
            </w:r>
            <w:proofErr w:type="spellStart"/>
            <w:r>
              <w:rPr>
                <w:rFonts w:ascii="Times New Roman" w:hAnsi="Times New Roman"/>
              </w:rPr>
              <w:t>10</w:t>
            </w:r>
            <w:proofErr w:type="spellEnd"/>
            <w:r>
              <w:rPr>
                <w:rFonts w:ascii="Times New Roman" w:hAnsi="Times New Roman"/>
              </w:rPr>
              <w:t>} –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;260;10} mezőben megadott kitettségértékek számítása során már alkalmazott kiigazításokat, sem azokat a kiigazításokat, amelyek nem csökkentik egy adott eszköz értékét.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C81710" w:rsidRDefault="00C81710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C81710" w:rsidRPr="00FE002E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Ezek a kiigazítások csökkentik a szavatoló tőke összegét, tehát előjelük negatív. 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{065;010}</w:t>
            </w:r>
          </w:p>
        </w:tc>
        <w:tc>
          <w:tcPr>
            <w:tcW w:w="7620" w:type="dxa"/>
          </w:tcPr>
          <w:p w:rsidR="00F4754B" w:rsidRPr="00FE002E" w:rsidRDefault="00E818E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Levont eszközérték – az elsődleges alapvető tőke tételeiből – átmeneti fogalom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alábbi rendelkezések által előírt, valamely eszköz értékét az elsődleges alapvető tőke kiigazítása révén módosító szabályozói kiigazítások összege:</w:t>
            </w:r>
          </w:p>
          <w:p w:rsidR="00C81710" w:rsidRPr="00D74CC1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32–35. cikke, vagy</w:t>
            </w:r>
          </w:p>
          <w:p w:rsidR="00C81710" w:rsidRPr="006914A2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36–47. cikke,</w:t>
            </w:r>
          </w:p>
          <w:p w:rsidR="007A0E3A" w:rsidRPr="00D74CC1" w:rsidRDefault="007A0E3A" w:rsidP="006914A2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értelemszerűen.</w:t>
            </w:r>
          </w:p>
          <w:p w:rsidR="00C81710" w:rsidRDefault="00C8171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81710" w:rsidRPr="00D74CC1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Az intézményeknek az ilyen levonások tekintetében figyelembe kell venniük a 48., a 49. és a 79. cikkben megállapított kivételeket, alternatívákat és felmentéseket, továbbá a CRR tizedik részének 1. és 2. fejezetében megállapított eltérést. A kettős elszámolás elkerülése érdekében az intézmények nem vehetik figyelembe a CRR 111. cikke alapján az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;10;</w:t>
            </w:r>
            <w:proofErr w:type="spellStart"/>
            <w:r>
              <w:rPr>
                <w:rFonts w:ascii="Times New Roman" w:hAnsi="Times New Roman"/>
              </w:rPr>
              <w:t>10</w:t>
            </w:r>
            <w:proofErr w:type="spellEnd"/>
            <w:r>
              <w:rPr>
                <w:rFonts w:ascii="Times New Roman" w:hAnsi="Times New Roman"/>
              </w:rPr>
              <w:t>} –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;260;10} mezőben megadott kitettségértékek számítása során már alkalmazott kiigazításokat, sem azokat a kiigazításokat, amelyek nem csökkentik egy adott eszköz értékét.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C81710" w:rsidRPr="00FE002E" w:rsidRDefault="00C8171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</w:rPr>
              <w:t>Ezek a kiigazítások csökkentik a szavatoló tőke összegét, tehát előjelük negatív.</w:t>
            </w: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{075;010}</w:t>
            </w:r>
          </w:p>
        </w:tc>
        <w:tc>
          <w:tcPr>
            <w:tcW w:w="7620" w:type="dxa"/>
          </w:tcPr>
          <w:p w:rsidR="00F4754B" w:rsidRPr="00FE002E" w:rsidRDefault="00E818E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Levont eszközérték – a szavatoló tőke tételeiből – teljes mértékben bevezetett fogalom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alábbi rendelkezések által előírt, valamely eszköz értékét a szavatoló tőke kiigazítása révén módosító szabályozói kiigazítások összege:</w:t>
            </w:r>
          </w:p>
          <w:p w:rsidR="00C81710" w:rsidRPr="00D74CC1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32–35. cikke, vagy</w:t>
            </w:r>
          </w:p>
          <w:p w:rsidR="00C81710" w:rsidRPr="00FD2C06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36–47. cikke, vagy</w:t>
            </w:r>
          </w:p>
          <w:p w:rsidR="00C81710" w:rsidRPr="00FD2C06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56–60. cikke, vagy</w:t>
            </w:r>
          </w:p>
          <w:p w:rsidR="00C81710" w:rsidRPr="00877186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66–70. cikke,</w:t>
            </w:r>
          </w:p>
          <w:p w:rsidR="007A0E3A" w:rsidRPr="00D74CC1" w:rsidRDefault="007A0E3A" w:rsidP="00877186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értelemszerűen.</w:t>
            </w: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81710" w:rsidRPr="00D74CC1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Az intézményeknek az ilyen levonások tekintetében figyelembe kell venniük a 48., a 49. és a 79. cikkben megállapított kivételeket, alternatívákat és felmentéseket, a CRR tizedik részének 1. és 2. fejezetében megállapított eltérés figyelembevétele nélkül. A kettős elszámolás elkerülése érdekében az intézmények nem vehetik figyelembe a CRR 111. cikke alapján az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;10;</w:t>
            </w:r>
            <w:proofErr w:type="spellStart"/>
            <w:r>
              <w:rPr>
                <w:rFonts w:ascii="Times New Roman" w:hAnsi="Times New Roman"/>
              </w:rPr>
              <w:t>10</w:t>
            </w:r>
            <w:proofErr w:type="spellEnd"/>
            <w:r>
              <w:rPr>
                <w:rFonts w:ascii="Times New Roman" w:hAnsi="Times New Roman"/>
              </w:rPr>
              <w:t>} –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;260;10} sorban megadott kitettségértékek számítása során már alkalmazott kiigazításokat, sem azokat a kiigazításokat, amelyek nem csökkentik egy adott eszköz értékét.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C81710" w:rsidRPr="00FE002E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Ezek a kiigazítások csökkentik a szavatoló tőke összegét, tehát előjelük negatív. </w:t>
            </w:r>
          </w:p>
          <w:p w:rsidR="00F4754B" w:rsidRPr="00FE002E" w:rsidRDefault="00F4754B" w:rsidP="005556DC">
            <w:pPr>
              <w:pStyle w:val="BodyText1"/>
              <w:spacing w:line="240" w:lineRule="auto"/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{085,010}</w:t>
            </w:r>
          </w:p>
        </w:tc>
        <w:tc>
          <w:tcPr>
            <w:tcW w:w="7620" w:type="dxa"/>
          </w:tcPr>
          <w:p w:rsidR="00F4754B" w:rsidRPr="00FE002E" w:rsidRDefault="00E818E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Levont eszközérték – a szavatoló tőke tételeiből – átmeneti fogalom</w:t>
            </w: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alábbi rendelkezések által előírt, valamely eszköz értékét a szavatoló tőke kiigazítása </w:t>
            </w:r>
            <w:r>
              <w:rPr>
                <w:rFonts w:ascii="Times New Roman" w:hAnsi="Times New Roman"/>
              </w:rPr>
              <w:lastRenderedPageBreak/>
              <w:t>révén módosító szabályozói kiigazítások összege:</w:t>
            </w:r>
          </w:p>
          <w:p w:rsidR="00C81710" w:rsidRPr="00D74CC1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32–35. cikke, vagy</w:t>
            </w:r>
          </w:p>
          <w:p w:rsidR="00C81710" w:rsidRPr="00D74CC1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36–47. cikke, vagy</w:t>
            </w:r>
          </w:p>
          <w:p w:rsidR="00C81710" w:rsidRPr="00D74CC1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56–60. cikke, vagy</w:t>
            </w:r>
          </w:p>
          <w:p w:rsidR="00C81710" w:rsidRPr="00877186" w:rsidRDefault="00500508" w:rsidP="00500508">
            <w:pPr>
              <w:pStyle w:val="BodyText1"/>
              <w:spacing w:line="240" w:lineRule="auto"/>
              <w:ind w:left="72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CRR 66–70. cikke,</w:t>
            </w:r>
          </w:p>
          <w:p w:rsidR="007A0E3A" w:rsidRPr="00D74CC1" w:rsidRDefault="007A0E3A" w:rsidP="00877186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értelemszerűen.</w:t>
            </w: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C81710" w:rsidRPr="00D74CC1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Az intézményeknek az ilyen levonások tekintetében figyelembe kell venniük a 48., a 49. és a 79. cikkben megállapított kivételeket, alternatívákat és felmentéseket, továbbá a CRR tizedik részének 1. és 2. fejezetében megállapított eltérést. A kettős elszámolás elkerülése érdekében az intézmények nem vehetik figyelembe a CRR 111. cikke alapján az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;10;</w:t>
            </w:r>
            <w:proofErr w:type="spellStart"/>
            <w:r>
              <w:rPr>
                <w:rFonts w:ascii="Times New Roman" w:hAnsi="Times New Roman"/>
              </w:rPr>
              <w:t>10</w:t>
            </w:r>
            <w:proofErr w:type="spellEnd"/>
            <w:r>
              <w:rPr>
                <w:rFonts w:ascii="Times New Roman" w:hAnsi="Times New Roman"/>
              </w:rPr>
              <w:t>} –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;260;10} mezőben megadott kitettségértékek számítása során már alkalmazott kiigazításokat, sem azokat a kiigazításokat, amelyek nem csökkentik egy adott eszköz értékét.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C81710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C81710" w:rsidRPr="00FE002E" w:rsidRDefault="00C81710" w:rsidP="00C81710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Ezek a kiigazítások csökkentik a szavatoló tőke összegét, tehát előjelük negatív. </w:t>
            </w:r>
          </w:p>
          <w:p w:rsidR="002509B1" w:rsidRPr="00FE002E" w:rsidRDefault="002509B1" w:rsidP="005556DC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217D1F" w:rsidRPr="00FE002E" w:rsidRDefault="00217D1F" w:rsidP="00217D1F">
      <w:pPr>
        <w:pStyle w:val="BodyText1"/>
        <w:ind w:left="567"/>
        <w:rPr>
          <w:rFonts w:ascii="Times New Roman" w:hAnsi="Times New Roman"/>
          <w:b/>
        </w:rPr>
      </w:pPr>
      <w:bookmarkStart w:id="83" w:name="_Toc322687900"/>
      <w:bookmarkStart w:id="84" w:name="_Toc322533879"/>
    </w:p>
    <w:p w:rsidR="00217D1F" w:rsidRPr="00FE002E" w:rsidRDefault="00500508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bookmarkStart w:id="85" w:name="_Toc351048510"/>
      <w:bookmarkStart w:id="86" w:name="_Toc359414289"/>
      <w:bookmarkStart w:id="87" w:name="_Toc423089074"/>
      <w:bookmarkStart w:id="88" w:name="_Toc524008524"/>
      <w:r>
        <w:rPr>
          <w:rFonts w:ascii="Times New Roman" w:hAnsi="Times New Roman"/>
          <w:b/>
        </w:rPr>
        <w:t>8.</w:t>
      </w:r>
      <w:r>
        <w:tab/>
      </w:r>
      <w:r>
        <w:rPr>
          <w:rFonts w:ascii="Times New Roman" w:hAnsi="Times New Roman"/>
          <w:b/>
        </w:rPr>
        <w:t>C 43.00 – A tőkeáttételi mutató számításához használt kitettségek alternatív bontása</w:t>
      </w:r>
      <w:bookmarkEnd w:id="83"/>
      <w:bookmarkEnd w:id="85"/>
      <w:bookmarkEnd w:id="86"/>
      <w:r>
        <w:rPr>
          <w:rFonts w:ascii="Times New Roman" w:hAnsi="Times New Roman"/>
          <w:b/>
        </w:rPr>
        <w:t xml:space="preserve"> (LR4)</w:t>
      </w:r>
      <w:bookmarkEnd w:id="87"/>
      <w:bookmarkEnd w:id="88"/>
    </w:p>
    <w:p w:rsidR="00675587" w:rsidRPr="00FE002E" w:rsidRDefault="00675587" w:rsidP="00675587">
      <w:pPr>
        <w:pStyle w:val="BodyText1"/>
        <w:ind w:left="720"/>
        <w:rPr>
          <w:rFonts w:ascii="Times New Roman" w:hAnsi="Times New Roman"/>
        </w:rPr>
      </w:pPr>
    </w:p>
    <w:p w:rsidR="004E437E" w:rsidRDefault="00500508" w:rsidP="00500508">
      <w:pPr>
        <w:pStyle w:val="BodyText1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28.</w:t>
      </w:r>
      <w:r>
        <w:tab/>
      </w:r>
      <w:r>
        <w:rPr>
          <w:rFonts w:ascii="Times New Roman" w:hAnsi="Times New Roman"/>
        </w:rPr>
        <w:t xml:space="preserve">Az intézmények a tőkeáttételi mutató számításához használt </w:t>
      </w:r>
      <w:proofErr w:type="spellStart"/>
      <w:r>
        <w:rPr>
          <w:rFonts w:ascii="Times New Roman" w:hAnsi="Times New Roman"/>
        </w:rPr>
        <w:t>kitettségértékeket</w:t>
      </w:r>
      <w:proofErr w:type="spellEnd"/>
      <w:r>
        <w:rPr>
          <w:rFonts w:ascii="Times New Roman" w:hAnsi="Times New Roman"/>
        </w:rPr>
        <w:t xml:space="preserve"> az 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 xml:space="preserve"> tábla alábbi mezőiben szereplő kivételek értelemszerű alkalmazása után tüntetik fel az LR4 táblában: {050;010}, {080;010}, {100;010}, {120;010}, {220; 010}, {250;010} és {260;010}.</w:t>
      </w:r>
    </w:p>
    <w:p w:rsidR="004E437E" w:rsidRPr="004E437E" w:rsidRDefault="004E437E" w:rsidP="00FD2C06">
      <w:pPr>
        <w:pStyle w:val="BodyText1"/>
        <w:ind w:left="720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29.</w:t>
      </w:r>
      <w:r>
        <w:tab/>
      </w:r>
      <w:r>
        <w:rPr>
          <w:rFonts w:ascii="Times New Roman" w:hAnsi="Times New Roman"/>
        </w:rPr>
        <w:t xml:space="preserve">A kettős elszámolás elkerülése érdekében az intézményeknek gondoskodniuk kell a következő pontban szereplő egyenlőség teljesüléséről. </w:t>
      </w:r>
    </w:p>
    <w:p w:rsidR="00FC2664" w:rsidRPr="00FE002E" w:rsidRDefault="00FC2664" w:rsidP="007E2A41">
      <w:pPr>
        <w:pStyle w:val="BodyText1"/>
        <w:spacing w:line="240" w:lineRule="auto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30.</w:t>
      </w:r>
      <w:r>
        <w:tab/>
      </w:r>
      <w:r>
        <w:rPr>
          <w:rFonts w:ascii="Times New Roman" w:hAnsi="Times New Roman"/>
        </w:rPr>
        <w:t>Az intézményeknek a 29. pont értelmében a következő egyenlőség teljesüléséről kell gondoskodniuk: [{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;010;</w:t>
      </w:r>
      <w:proofErr w:type="spellStart"/>
      <w:r>
        <w:rPr>
          <w:rFonts w:ascii="Times New Roman" w:hAnsi="Times New Roman"/>
        </w:rPr>
        <w:t>010</w:t>
      </w:r>
      <w:proofErr w:type="spellEnd"/>
      <w:r>
        <w:rPr>
          <w:rFonts w:ascii="Times New Roman" w:hAnsi="Times New Roman"/>
        </w:rPr>
        <w:t>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;020;010}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;030;010}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;040;010}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;050;010}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;060;010}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;070;010}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;080;010}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;090;010}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;100;010}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;110;010}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;120;010}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;130;010}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;140;010}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;150;010}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;160;010}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;170;010}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;180;010}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;190;010}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;200;010}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;210;010}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;220;010}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;230;010}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;240;010}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;250;010} + {</w:t>
      </w:r>
      <w:proofErr w:type="spellStart"/>
      <w:r>
        <w:rPr>
          <w:rFonts w:ascii="Times New Roman" w:hAnsi="Times New Roman"/>
        </w:rPr>
        <w:t>LRCalc</w:t>
      </w:r>
      <w:proofErr w:type="spellEnd"/>
      <w:r>
        <w:rPr>
          <w:rFonts w:ascii="Times New Roman" w:hAnsi="Times New Roman"/>
        </w:rPr>
        <w:t>;260;010}] = [{LR4;010;</w:t>
      </w:r>
      <w:proofErr w:type="spellStart"/>
      <w:r>
        <w:rPr>
          <w:rFonts w:ascii="Times New Roman" w:hAnsi="Times New Roman"/>
        </w:rPr>
        <w:t>010</w:t>
      </w:r>
      <w:proofErr w:type="spellEnd"/>
      <w:r>
        <w:rPr>
          <w:rFonts w:ascii="Times New Roman" w:hAnsi="Times New Roman"/>
        </w:rPr>
        <w:t>} + {LR4;040;010} + {LR4;050;010} + {LR4;060;010} + {LR4;065;010} + {LR4;070;010} + {LR4;080;010} + {LR4;080;020} + {LR4;090;010} + {LR4;090;020} + {LR4;140;010} + {LR4;140;020} + {LR4;180;010} + {LR4;180;020} + {LR4;190;010} + {LR4;190;020} + {LR4;210;010} + {LR4;210;020} + {LR4;230;010} + {LR4;230;020} + {LR4;280;010} + {LR4;280;020} + {LR4;290;010} + {LR4;290;020}].</w:t>
      </w:r>
    </w:p>
    <w:p w:rsidR="00675587" w:rsidRPr="00FE002E" w:rsidRDefault="00675587" w:rsidP="00675587">
      <w:pPr>
        <w:pStyle w:val="BodyText1"/>
        <w:rPr>
          <w:rFonts w:ascii="Times New Roman" w:hAnsi="Times New Roman"/>
        </w:rPr>
      </w:pPr>
    </w:p>
    <w:tbl>
      <w:tblPr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111"/>
        <w:gridCol w:w="8133"/>
      </w:tblGrid>
      <w:tr w:rsidR="00F4754B" w:rsidRPr="00FE002E" w:rsidTr="0053335C">
        <w:trPr>
          <w:trHeight w:val="297"/>
        </w:trPr>
        <w:tc>
          <w:tcPr>
            <w:tcW w:w="1111" w:type="dxa"/>
            <w:shd w:val="clear" w:color="auto" w:fill="BFBFBF" w:themeFill="background1" w:themeFillShade="B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</w:rPr>
              <w:t>Sor és oszlop</w:t>
            </w:r>
          </w:p>
        </w:tc>
        <w:tc>
          <w:tcPr>
            <w:tcW w:w="8133" w:type="dxa"/>
            <w:shd w:val="clear" w:color="auto" w:fill="BFBFBF" w:themeFill="background1" w:themeFillShade="B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</w:rPr>
              <w:t>Jogszabályi hivatkozások és útmutató</w:t>
            </w:r>
          </w:p>
        </w:tc>
      </w:tr>
      <w:tr w:rsidR="00F4754B" w:rsidRPr="00FE002E" w:rsidTr="0053335C">
        <w:trPr>
          <w:trHeight w:val="445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{010;</w:t>
            </w:r>
            <w:proofErr w:type="spellStart"/>
            <w:r>
              <w:rPr>
                <w:rFonts w:ascii="Times New Roman" w:hAnsi="Times New Roman"/>
              </w:rPr>
              <w:t>010</w:t>
            </w:r>
            <w:proofErr w:type="spellEnd"/>
            <w:r>
              <w:rPr>
                <w:rFonts w:ascii="Times New Roman" w:hAnsi="Times New Roman"/>
              </w:rPr>
              <w:t>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Mérlegen kívüli tételek; ebből: – A tőkeáttételi mutató számításához használt kitettségérték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tőkeáttételi mutató számításához használt kitettségérték az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;150;010},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;160;010},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;170;010} és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;180;010} mező összege, kivéve a CRR 429. cikke (7) bekezdésének megfelelően mentesülő vonatkozó csoporton belüli kitettségeket (egyedi alapon).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1179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{010;020}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Mérlegen kívüli tételek; ebből: – Kockázattal súlyozott eszközök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mérlegen kívüli tételek – ide nem értve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 xml:space="preserve"> és a származtatott ügyleteket –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 a sztenderd módszer és az IRB módszer szerint. A sztenderd módszer szerinti kitettségek esetében az intézményeknek a kockázattal súlyozott kitettségértéket a CRR harmadik része II. címének 2. fejezetével összhangban kell meghatározniuk. Az IRB módszer </w:t>
            </w:r>
            <w:r>
              <w:rPr>
                <w:rFonts w:ascii="Times New Roman" w:hAnsi="Times New Roman"/>
              </w:rPr>
              <w:lastRenderedPageBreak/>
              <w:t>szerinti kitettségek esetében az intézményeknek a kockázattal súlyozott kitettségértéket a CRR harmadik része II. címének 3. fejezetével összhangban kell meghatározniuk.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4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{020;010}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Kereskedelemfinanszírozás; ebből: – A tőkeáttételi mutató számításához használt kitettségérték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 kereskedelemfinanszírozáshoz kapcsolódó mérlegen kívüli tételek esetében. Az LR4 táblában való adatszolgáltatás céljából a kereskedelemfinanszírozáshoz kapcsolódó mérlegen kívüli tételek olyan megnyitott és igazolt import- és </w:t>
            </w:r>
            <w:proofErr w:type="spellStart"/>
            <w:r>
              <w:rPr>
                <w:rFonts w:ascii="Times New Roman" w:hAnsi="Times New Roman"/>
              </w:rPr>
              <w:t>exportakkreditívek</w:t>
            </w:r>
            <w:proofErr w:type="spellEnd"/>
            <w:r>
              <w:rPr>
                <w:rFonts w:ascii="Times New Roman" w:hAnsi="Times New Roman"/>
              </w:rPr>
              <w:t>, amelyek rövid lejáratúak és öntörlesztőek, illetve hasonló ügyletek.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1038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{020;</w:t>
            </w:r>
            <w:proofErr w:type="spellStart"/>
            <w:r>
              <w:rPr>
                <w:rFonts w:ascii="Times New Roman" w:hAnsi="Times New Roman"/>
              </w:rPr>
              <w:t>020</w:t>
            </w:r>
            <w:proofErr w:type="spellEnd"/>
            <w:r>
              <w:rPr>
                <w:rFonts w:ascii="Times New Roman" w:hAnsi="Times New Roman"/>
              </w:rPr>
              <w:t>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Kereskedelemfinanszírozás; ebből: – Kockázattal súlyozott eszközök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kereskedelemfinanszírozáshoz kapcsolódó mérlegen kívüli tételek – ide nem értve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 xml:space="preserve"> és a származtatott ügyleteket –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. Az LR4 táblában való adatszolgáltatás céljából a kereskedelemfinanszírozáshoz kapcsolódó mérlegen kívüli tételek olyan megnyitott és igazolt import- és </w:t>
            </w:r>
            <w:proofErr w:type="spellStart"/>
            <w:r>
              <w:rPr>
                <w:rFonts w:ascii="Times New Roman" w:hAnsi="Times New Roman"/>
              </w:rPr>
              <w:t>exportakkreditívek</w:t>
            </w:r>
            <w:proofErr w:type="spellEnd"/>
            <w:r>
              <w:rPr>
                <w:rFonts w:ascii="Times New Roman" w:hAnsi="Times New Roman"/>
              </w:rPr>
              <w:t>, amelyek rövid lejáratúak és öntörlesztőek, illetve hasonló ügyletek.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1030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{030;010}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Hivatalos exporthitel-biztosítási program keretében – A tőkeáttételi mutató számításához használt kitettségérték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1F28E7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tőkeáttételi mutató számításához használt kitettségérték a hivatalos exporthitel-biztosítási program keretében megvalósuló kereskedelemfinanszírozáshoz kapcsolódó mérlegen kívüli tételek esetében.</w:t>
            </w:r>
          </w:p>
          <w:p w:rsidR="001F28E7" w:rsidRDefault="001F28E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LR4 táblában való adatszolgáltatás céljából a hivatalos exporthitel-biztosítási program a kormány vagy más jogalany, például exporthitel-ügynökség által többek között közvetlen hitel/finanszírozás, refinanszírozás, kamatláb-támogatás (ahol a rögzített kamatláb a hitel teljes futamidejére biztosított), segélyfinanszírozás (hitelek és támogatások), exporthitel-biztosítás és garanciák formájában biztosított hivatalos támogatás.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60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{030;020}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Hivatalos exporthitel-biztosítási program keretében – Kockázattal súlyozott eszközök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1F28E7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hivatalos exporthitel-biztosítási program keretében megvalósuló kereskedelemfinanszírozáshoz kapcsolódó mérlegen kívüli tételek – ide nem értve az </w:t>
            </w:r>
            <w:proofErr w:type="spellStart"/>
            <w:r>
              <w:rPr>
                <w:rFonts w:ascii="Times New Roman" w:hAnsi="Times New Roman"/>
              </w:rPr>
              <w:t>SFT-ket</w:t>
            </w:r>
            <w:proofErr w:type="spellEnd"/>
            <w:r>
              <w:rPr>
                <w:rFonts w:ascii="Times New Roman" w:hAnsi="Times New Roman"/>
              </w:rPr>
              <w:t xml:space="preserve"> és a származtatott ügyleteket –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1F28E7" w:rsidRDefault="001F28E7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LR4 táblában való adatszolgáltatás céljából a hivatalos exporthitel-biztosítási program a kormány vagy más jogalany, például exporthitel-ügynökség által többek között közvetlen hitel/finanszírozás, refinanszírozás, kamatláb-támogatás (ahol a rögzített kamatláb a hitel teljes futamidejére biztosított), segélyfinanszírozás (hitelek és támogatások), exporthitel-biztosítás és garanciák formájában biztosított hivatalos támogatás.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{040;010}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Eltérő termékkategóriák közötti nettósításról szóló megállapodások hatályába tartozó származtatott ügyletek és </w:t>
            </w: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A tőkeáttételi mutató számításához használt kitettségérték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 CRR 272. cikkének 25. pontja szerinti eltérő termékkategóriák közötti nettósításról szóló megállapodás hatályába tartozó származtatott ügyletek és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esetében.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{040;020}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Eltérő termékkategóriák közötti nettósításról szóló megállapodások hatályába tartozó származtatott ügyletek és </w:t>
            </w: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Kockázattal súlyozott eszközök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2509B1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272. cikkének 25. pontja szerinti eltérő termékkategóriák közötti nettósításról szóló </w:t>
            </w:r>
            <w:r>
              <w:rPr>
                <w:rFonts w:ascii="Times New Roman" w:hAnsi="Times New Roman"/>
              </w:rPr>
              <w:lastRenderedPageBreak/>
              <w:t xml:space="preserve">megállapodás hatályába tartozó, mérlegen belüli és mérlegen kívüli származtatott ügyletek és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hitel- és partnerkockázattal szembeni,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 a CRR harmadik részének II. címe szerinti számítás alapján.</w:t>
            </w: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{050;010}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Eltérő termékkategóriák közötti nettósításról szóló megállapodások hatályába nem tartozó származtatott ügyletek – A tőkeáttételi mutató számításához használt kitettségérték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 CRR 272. cikkének 25. pontja szerinti eltérő termékkategóriák közötti nettósításról szóló megállapodás hatályába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tartozó származtatott ügyletek esetében.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{050;020}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Eltérő termékkategóriák közötti nettósításról szóló megállapodások hatályába nem tartozó származtatott ügyletek – Kockázattal súlyozott eszközök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272. cikkének 25. pontja szerinti eltérő termékkategóriák közötti nettósításról szóló megállapodás hatályába nem tartozó, mérlegen belüli és mérlegen kívüli származtatott ügyletek hitel- és partnerkockázattal szembeni,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 a CRR harmadik részének II. címe szerinti számítás alapján.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{060;010}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Eltérő termékkategóriák közötti nettósításról szóló megállapodások hatályába nem tartozó </w:t>
            </w: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A tőkeáttételi mutató számításához használt kitettségérték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 CRR 272. cikkének 25. pontja szerinti eltérő termékkategóriák közötti nettósításról szóló megállapodás hatályába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tartozó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esetében.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{060;020}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Eltérő termékkategóriák közötti nettósításról szóló megállapodások hatályába nem tartozó </w:t>
            </w:r>
            <w:proofErr w:type="spellStart"/>
            <w:r>
              <w:rPr>
                <w:rFonts w:ascii="Times New Roman" w:hAnsi="Times New Roman"/>
                <w:b/>
              </w:rPr>
              <w:t>SFT-k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Kockázattal súlyozott eszközök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272. cikkének 25. pontja szerinti eltérő termékkategóriák közötti nettósításról szóló megállapodás hatályába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tartozó, mérlegen belüli és mérlegen kívüli </w:t>
            </w:r>
            <w:proofErr w:type="spellStart"/>
            <w:r>
              <w:rPr>
                <w:rFonts w:ascii="Times New Roman" w:hAnsi="Times New Roman"/>
              </w:rPr>
              <w:t>SFT-k</w:t>
            </w:r>
            <w:proofErr w:type="spellEnd"/>
            <w:r>
              <w:rPr>
                <w:rFonts w:ascii="Times New Roman" w:hAnsi="Times New Roman"/>
              </w:rPr>
              <w:t xml:space="preserve"> hitel- és partnerkockázattal szembeni,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 a CRR harmadik részének II. címe szerinti számítás alapján.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65521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465521" w:rsidRPr="00FE002E" w:rsidRDefault="00465521" w:rsidP="00F70A8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{065;010}</w:t>
            </w:r>
          </w:p>
        </w:tc>
        <w:tc>
          <w:tcPr>
            <w:tcW w:w="8133" w:type="dxa"/>
            <w:shd w:val="clear" w:color="auto" w:fill="FFFFFF"/>
          </w:tcPr>
          <w:p w:rsidR="00465521" w:rsidRDefault="004968DF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A </w:t>
            </w:r>
            <w:proofErr w:type="spellStart"/>
            <w:r>
              <w:rPr>
                <w:rFonts w:ascii="Times New Roman" w:hAnsi="Times New Roman"/>
                <w:b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</w:rPr>
              <w:t xml:space="preserve"> kiegészítő kezeléséből adódó kitettségérték – A tőkeáttételi mutató számításához használt kitettségérték</w:t>
            </w:r>
          </w:p>
          <w:p w:rsidR="004968DF" w:rsidRDefault="004968DF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4968DF" w:rsidRDefault="000D3973" w:rsidP="00DB61A5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E mező értéke megegyezik a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;130;010} és a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;140;010} különbségével, kivéve a CRR 429. cikke (7) bekezdésének megfelelően mentesülő vonatkozó csoporton belüli kitettségeket (egyedi alapon).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EC2C14" w:rsidRPr="00FE002E" w:rsidRDefault="00EC2C14" w:rsidP="00DB61A5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70A8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{070;010}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 kereskedési könyvben szereplő egyéb eszközök – A tőkeáttételi mutató számításához használt kitettségérték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tőkeáttételi mutató számításához használt kitettségérték az {</w:t>
            </w:r>
            <w:proofErr w:type="spellStart"/>
            <w:r>
              <w:rPr>
                <w:rFonts w:ascii="Times New Roman" w:hAnsi="Times New Roman"/>
              </w:rPr>
              <w:t>LRCalc</w:t>
            </w:r>
            <w:proofErr w:type="spellEnd"/>
            <w:r>
              <w:rPr>
                <w:rFonts w:ascii="Times New Roman" w:hAnsi="Times New Roman"/>
              </w:rPr>
              <w:t>;190;010} mezőben feltüntetett tételek esetében, a kereskedési könyvben nem szereplő tételek nélkül.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465521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{070;020}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 kereskedési könyvben szereplő egyéb eszközök – Kockázattal súlyozott eszközök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harmadik része IV. címének hatályába tartozó tételek </w:t>
            </w:r>
            <w:proofErr w:type="spellStart"/>
            <w:r>
              <w:rPr>
                <w:rFonts w:ascii="Times New Roman" w:hAnsi="Times New Roman"/>
              </w:rPr>
              <w:t>szavatalótőke-követelménye</w:t>
            </w:r>
            <w:proofErr w:type="spellEnd"/>
            <w:r>
              <w:rPr>
                <w:rFonts w:ascii="Times New Roman" w:hAnsi="Times New Roman"/>
              </w:rPr>
              <w:t xml:space="preserve"> szorozva 12,5-tel.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{080;010}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Fedezett kötvények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129. cikke szerinti fedezett kötvények formájában fennálló kitettségek.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{080;020}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Fedezett kötvények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9C4E79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161. cikke (1) bekezdésének d) pontja szerinti fedezett kötvények formájában fennálló kitettségek.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{080;030}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Fedezett kötvények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129. cikke szerinti fedezett kötvények formájában fennálló kitettségek. 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2509B1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{080;040}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Fedezett kötvények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161. cikke (1) bekezdésének d) pontja szerinti fedezett kötvények formájában fennálló kitettségek.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{090;010}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Kormányzatként kezelt kitettségek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{100,010} – {130,010} mező összege.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{090;020}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Kormányzatként kezelt kitettségek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{100 020} – {130 020} mező összege.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{090;030}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Kormányzatként kezelt kitettségek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{100 030} – {130 030} mező összege.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{090;040}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Kormányzatként kezelt kitettségek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{100 040} – {130 040} mező összege.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{100;010}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Központi kormányzatok és központi bankok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114. cikke szerinti, központi kormányzatokkal vagy központi bankokkal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{100;020}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Központi kormányzatok és központi bankok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147. cikke (2) bekezdésének a) pontja szerinti, központi kormányzatokkal vagy központi bankokkal szembeni kitettségek.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{100;030}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Központi kormányzatok és központi bankok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114. cikke szerinti, központi kormányzatokkal vagy központi bankokkal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{100;040}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Központi kormányzatok és központi bankok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(2) bekezdésének a) pontja szerinti, központi kormányzatokkal vagy központi bankokkal szembeni kitettségek.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{110;010}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Kormányzatként kezelt regionális kormányzatok és helyi hatóságok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115. cikkének (2) és (4) bekezdése szerinti, kormányzatként kezelt regionális kormányzatokkal és helyi hatóságokkal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{110;020}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Kormányzatként kezelt regionális kormányzatok és helyi hatóságok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147. cikke (3) bekezdésének a) pontja szerinti, regionális kormányzatokkal és helyi hatóságokkal szembeni kitettségek.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{110;030}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Kormányzatként kezelt regionális kormányzatok és helyi hatóságok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>, amelyek a CRR 115. cikkének (2) és (4) bekezdése szerinti, kormányzatként kezelt regionális kormányzatokkal és helyi hatóságokkal szembeni kitettségek.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{110;040}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Kormányzatként kezelt regionális kormányzatok és helyi hatóságok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(3) bekezdésének a) pontja szerinti, regionális kormányzatokkal és helyi hatóságokkal szembeni kitettségek.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{120;010}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Kormányzatként kezelt multilaterális fejlesztési bankok és nemzetközi szervezetek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117. cikkének (2) bekezdése és 118. cikke szerinti multilaterális fejlesztési bankokkal és nemzetközi szervezetekkel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{120;020}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Kormányzatként kezelt multilaterális fejlesztési bankok és nemzetközi szervezetek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147. cikke (3) bekezdésének b) és c) pontja szerinti, multilaterális fejlesztési bankokkal és nemzetközi szervezetekkel szembeni kitettségek.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{120;030}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Kormányzatként kezelt multilaterális fejlesztési bankok és nemzetközi szervezetek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117. cikkének (2) bekezdése és 118. cikke szerinti multilaterális fejlesztési bankokkal és nemzetközi szervezetekkel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{120;040}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Kormányzatként kezelt multilaterális fejlesztési bankok és nemzetközi szervezetek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(3) bekezdésének b) és c) pontja szerinti, multilaterális fejlesztési bankokkal és nemzetközi szervezetekkel szembeni kitettségek.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{130;010}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Kormányzatként kezelt közszektorbeli intézmények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116. cikkének (4) bekezdése szerinti, közszektorbeli intézményekkel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{130;020}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Kormányzatként kezelt közszektorbeli intézmények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2509B1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tőkeáttételi mutató számításához használt kitettségérték azon eszközök esetében, amelyek a CRR 147. cikke (3) bekezdésének a) pontja szerinti, közszektorbeli intézményekkel szembeni kitettségek.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{130;030}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Kormányzatként kezelt közszektorbeli intézmények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116. cikkének (4) bekezdése szerinti, közszektorbeli intézményekkel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{130;040}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Kormányzatként kezelt közszektorbeli intézmények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(3) bekezdésének a) pontja szerinti, közszektorbeli intézményekkel szembeni kitettségek.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{140;010}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regionális kormányzatokkal, multilaterális fejlesztési bankokkal, nemzetközi szervezetekkel és közszektorbeli intézményekkel szembeni kitettségek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{150 010} – {170 010} mező összege.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{140;020}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regionális kormányzatokkal, multilaterális fejlesztési bankokkal, nemzetközi szervezetekkel és közszektorbeli intézményekkel szembeni kitettségek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{150 020} – {170 020} mező összege.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{140;030}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regionális kormányzatokkal, multilaterális fejlesztési bankokkal, nemzetközi szervezetekkel és közszektorbeli intézményekkel szembeni kitettségek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{150 030} – {170 030} mező összege.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{140;040}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regionális kormányzatokkal, multilaterális fejlesztési bankokkal, nemzetközi szervezetekkel és közszektorbeli intézményekkel szembeni kitettségek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{150 040} – {170 040} mező összege.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{150;010}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regionális kormányzatok és helyi hatóságok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115. cikkének (1), (3) és (5) bekezdése szerinti, nem kormányzatként kezelt regionális kormányzatokkal és helyi hatóságokkal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{150;020}</w:t>
            </w:r>
          </w:p>
        </w:tc>
        <w:tc>
          <w:tcPr>
            <w:tcW w:w="8133" w:type="dxa"/>
            <w:shd w:val="clear" w:color="auto" w:fill="FFFFFF"/>
          </w:tcPr>
          <w:p w:rsidR="002509B1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regionális kormányzatok és helyi hatóságok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:rsidR="002509B1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147. cikke (4) bekezdésének a) pontja szerinti, nem kormányzatként kezelt regionális </w:t>
            </w:r>
            <w:r>
              <w:rPr>
                <w:rFonts w:ascii="Times New Roman" w:hAnsi="Times New Roman"/>
              </w:rPr>
              <w:lastRenderedPageBreak/>
              <w:t xml:space="preserve">kormányzatokkal és helyi hatóságokkal szembeni kitettségek.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F4754B" w:rsidRPr="00FE002E" w:rsidDel="00F559E6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{150;030}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regionális kormányzatok és helyi hatóságok – Kockázattal súlyozott eszközök – SA-kitettségek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115. cikkének (1) (3) és (5) bekezdése szerinti, nem kormányzatként kezelt regionális kormányzatokkal és helyi hatóságokkal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{150;040}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regionális kormányzatok és helyi hatóságok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>, amelyek a CRR 147. cikke (4) bekezdésének a) pontja szerinti, nem kormányzatként kezelt regionális kormányzatok és helyi hatóságokkal szembeni kitettségek.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{160;010}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multilaterális fejlesztési bankok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117. cikkének (1) és (3) bekezdése szerinti multilaterális fejlesztési bankokkal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{160;020}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multilaterális fejlesztési bankok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2509B1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147. cikke (4) bekezdésének c) pontja szerinti, nem kormányzatként kezelt multilaterális fejlesztési bankokkal szembeni kitettségek. </w:t>
            </w:r>
          </w:p>
          <w:p w:rsidR="00315160" w:rsidRDefault="00315160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Del="009A4B38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{160;030}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multilaterális fejlesztési bankok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>, amelyek a CRR 117. cikkének (1) és (3) bekezdése szerinti multilaterális fejlesztési bankokkal szembeni kitettségek.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086A8A" w:rsidRPr="00E5591F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{160;040}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multilaterális fejlesztési bankok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(4) bekezdésének c) pontja szerinti, nem kormányzatként kezelt multilaterális fejlesztési bankokkal szembeni kitettségek.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{170;010}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közszektorbeli intézmények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116. cikkének (1), (2), (3) és (5) bekezdése szerinti közszektorbeli intézményekkel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{170;020}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közszektorbeli intézmények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147. cikke (4) bekezdésének b) pontja szerinti, nem kormányzatként kezelt közszektorbeli intézményekkel szembeni kitettségek.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Del="00973F1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{170;030}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közszektorbeli intézmények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116. cikkének (1), (2), (3) és (5) bekezdése szerinti közszektorbeli intézményekkel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{170;040}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  <w:b/>
              </w:rPr>
              <w:t xml:space="preserve"> kormányzatként kezelt közszektorbeli intézmények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(4) bekezdésének b) pontja szerinti, nem kormányzatként kezelt közszektorbeli intézményekkel szembeni kitettségek.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{180;010}</w:t>
            </w:r>
          </w:p>
        </w:tc>
        <w:tc>
          <w:tcPr>
            <w:tcW w:w="8133" w:type="dxa"/>
            <w:shd w:val="clear" w:color="auto" w:fill="FFFFFF"/>
          </w:tcPr>
          <w:p w:rsidR="00F4754B" w:rsidRPr="0070675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Intézmények – A tőkeáttételi mutató számításához használt kitettségérték – SA-kitettségek</w:t>
            </w:r>
          </w:p>
          <w:p w:rsidR="002509B1" w:rsidRPr="00706750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119–121. cikke szerinti, intézményekkel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{180;020}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Intézmények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147. cikke (2) bekezdésének b) pontja szerinti, intézményekkel szembeni kitettségek, és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a CRR 161. cikke (1) bekezdése d) pontja szerinti fedezett kötvények formájában fennálló kitettségek, és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tartoznak a CRR 147. cikke (4) bekezdése a)–c) pontjának hatályába.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{180;030}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Intézmények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119–121. cikke szerinti, intézményekkel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{180;040}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Intézmények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(2) bekezdésének </w:t>
            </w:r>
            <w:r>
              <w:rPr>
                <w:rFonts w:ascii="Times New Roman" w:hAnsi="Times New Roman"/>
              </w:rPr>
              <w:lastRenderedPageBreak/>
              <w:t xml:space="preserve">b) pontja szerinti, intézményekkel szembeni kitettségek, és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a CRR 161. cikke (1) bekezdésének d) pontja szerinti fedezett kötvények formájában fennálló kitettségek, és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tartoznak a CRR 147. cikke (4) bekezdése a)–c) pontjának hatályába.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{190;010}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Ingatlan-jelzálogjoggal fedezett; ebből: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tőkeáttételi mutató számításához használt kitettségérték azon eszközök esetében, amelyek a CRR 124. cikke szerinti, ingatlan-jelzálogjoggal fedezett kitettségek.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{190;020}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Ingatlan-jelzálogjoggal fedezett; ebből: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tőkeáttételi mutató számításához használt kitettségérték azon eszközök esetében, amelyek a CRR 147. cikke (2) bekezdésének c) pontja szerinti, vállalatokkal szembeni kitettségek, vagy a CRR 147. cikke (2) bekezdésének d) pontja szerinti, lakossággal szembeni kitettségek, ha ezek a kitettségek a CRR 199. cikke (1) bekezdésének a) pontja szerinti ingatlan-jelzálogjoggal fedezettek.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{190;030}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Ingatlan-jelzálogjoggal fedezett; ebből: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>, amelyek a CRR 124. cikke szerinti, ingatlan-jelzálogjoggal fedezett kitettségek.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086A8A" w:rsidRPr="00E5591F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{190;040}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06750">
            <w:pPr>
              <w:pStyle w:val="BodyText1"/>
              <w:tabs>
                <w:tab w:val="left" w:pos="6382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Ingatlan-jelzálogjoggal fedezett; ebből: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  <w:r>
              <w:tab/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>, amelyek a CRR 147. cikke (2) bekezdésének c) pontja szerinti, vállalatokkal szembeni kitettségek, vagy a CRR 147. cikke (2) bekezdésének d) pontja szerinti, lakossággal szembeni kitettségek, ha ezek a kitettségek a CRR 199. cikke (1) bekezdésének a) pontja szerinti ingatlan-jelzálogjoggal fedezettek.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{200;010}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Lakóingatlan-jelzálogjoggal fedezett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tőkeáttételi mutató számításához használt kitettségérték azon eszközök esetében, amelyek teljes mértékben a CRR 125. cikke szerinti, lakóingatlan-jelzálogjoggal fedezett kitettségek.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{200;020}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Lakóingatlan-jelzálogjoggal fedezett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tőkeáttételi mutató számításához használt kitettségérték azon eszközök esetében, amelyek a CRR 147. cikke (2) bekezdésének c) pontja szerinti, vállalatokkal szembeni kitettségek, vagy a CRR 147. cikke (2) bekezdésének d) pontja szerinti, lakossággal szembeni kitettségek, ha ezek a kitettségek a CRR 199. cikke (1) bekezdésének a) pontja szerinti lakóingatlan-jelzálogjoggal fedezettek.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2509B1" w:rsidRPr="00FE002E" w:rsidDel="003A59D6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lastRenderedPageBreak/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{200;030}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Lakóingatlan-jelzálogjoggal fedezett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>, amelyek teljes mértékben a CRR 125. cikke szerinti, lakóingatlan-jelzálogjoggal fedezett kitettségek.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{200;040}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Lakóingatlan-jelzálogjoggal fedezett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(2) bekezdésének c) pontja szerinti, vállalatokkal szembeni kitettségek, vagy a CRR 147. cikke (2) bekezdésének d) pontja szerinti, lakossággal szembeni kitettségek, ha ezek a kitettségek a CRR 199. cikke (1) bekezdésének a) pontja szerinti lakóingatlan-jelzálogjoggal fedezettek.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2509B1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{210;010}</w:t>
            </w:r>
          </w:p>
        </w:tc>
        <w:tc>
          <w:tcPr>
            <w:tcW w:w="8133" w:type="dxa"/>
            <w:shd w:val="clear" w:color="auto" w:fill="FFFFFF"/>
          </w:tcPr>
          <w:p w:rsidR="00F4754B" w:rsidRPr="00967213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Lakossággal szembeni kitettségek; ebből: – A tőkeáttételi mutató számításához használt kitettségérték – SA-kitettségek</w:t>
            </w:r>
          </w:p>
          <w:p w:rsidR="002509B1" w:rsidRPr="00967213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123. cikke szerinti, lakossággal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{210;020}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Lakossággal szembeni kitettségek; ebből: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BB5324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147. cikke (2) bekezdésének d) pontja szerinti, lakossággal szembeni kitettségek, ha ezek a kitettségek a CRR 199. cikke (1) bekezdésének a) pontja szerinti ingatlan-jelzálogjoggal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fedezettek. </w:t>
            </w:r>
          </w:p>
          <w:p w:rsidR="009C4E79" w:rsidRPr="00BB5324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{210;030}</w:t>
            </w:r>
          </w:p>
        </w:tc>
        <w:tc>
          <w:tcPr>
            <w:tcW w:w="8133" w:type="dxa"/>
            <w:shd w:val="clear" w:color="auto" w:fill="FFFFFF"/>
          </w:tcPr>
          <w:p w:rsidR="00F4754B" w:rsidRPr="007129B2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Lakossággal szembeni kitettségek; ebből: – Kockázattal súlyozott eszközök – SA-kitettségek</w:t>
            </w:r>
          </w:p>
          <w:p w:rsidR="002509B1" w:rsidRPr="007129B2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123. cikke szerinti, lakossággal szembeni kitettségek.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{210;040}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Lakossággal szembeni kitettségek; ebből: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(2) bekezdésének d) pontja szerinti, lakossággal szembeni kitettségek, ha ezek a kitettségek a CRR 199. cikke (1) bekezdésének a) pontja szerinti ingatlan-jelzálogjoggal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fedezettek.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{220;010}</w:t>
            </w:r>
          </w:p>
        </w:tc>
        <w:tc>
          <w:tcPr>
            <w:tcW w:w="8133" w:type="dxa"/>
            <w:shd w:val="clear" w:color="auto" w:fill="FFFFFF"/>
          </w:tcPr>
          <w:p w:rsidR="00F4754B" w:rsidRPr="0070675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Lakossági (kkv) – A tőkeáttételi mutató számításához használt kitettségérték – SA-kitettségek</w:t>
            </w:r>
          </w:p>
          <w:p w:rsidR="002509B1" w:rsidRPr="00706750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123. cikke szerinti, kis- és középvállalkozásokkal szembeni lakossági kitettségek. </w:t>
            </w:r>
          </w:p>
          <w:p w:rsidR="00BB5324" w:rsidRDefault="00BB5324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B653A" w:rsidRDefault="004B653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 mező alkalmazásában kis- és középvállalkozások alatt a CRR 501. cikke (2) bekezdésének b) pontja szerinti fogalom értendő.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{220;020}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Lakossági (kkv)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31516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147. cikke (2) bekezdésének d) pontja szerinti, lakossággal szembeni kitettségek, ha ezek a kitettségek kis- és középvállalkozásokkal szembeni kitettségek és a CRR 199. cikke (1) bekezdésének a) pontja szerinti ingatlan-jelzálogjoggal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fedezettek.</w:t>
            </w:r>
          </w:p>
          <w:p w:rsidR="00F4754B" w:rsidRPr="00FE002E" w:rsidRDefault="0031516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4B653A" w:rsidRDefault="004B653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 mező alkalmazásában kis- és középvállalkozások alatt a CRR 501. cikke (2) bekezdésének b) pontja szerinti fogalom értendő.</w:t>
            </w:r>
          </w:p>
          <w:p w:rsidR="009C4E79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Del="00EC6E42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{220;030}</w:t>
            </w:r>
          </w:p>
        </w:tc>
        <w:tc>
          <w:tcPr>
            <w:tcW w:w="8133" w:type="dxa"/>
            <w:shd w:val="clear" w:color="auto" w:fill="FFFFFF"/>
          </w:tcPr>
          <w:p w:rsidR="00F4754B" w:rsidRPr="007129B2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Lakossági (kkv) – Kockázattal súlyozott eszközök – SA-kitettségek</w:t>
            </w:r>
          </w:p>
          <w:p w:rsidR="002509B1" w:rsidRPr="007129B2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123. cikke szerinti, kis- és középvállalkozásokkal szembeni lakossági kitettségek. </w:t>
            </w:r>
          </w:p>
          <w:p w:rsidR="00BB5324" w:rsidRDefault="00BB5324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B653A" w:rsidRDefault="004B653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 mező alkalmazásában kis- és középvállalkozások alatt a CRR 501. cikke (2) bekezdésének b) pontja szerinti fogalom értendő.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{220;040}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Lakossági (kkv)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(2) bekezdésének d) pontja szerinti, lakossággal szembeni kitettségek, ha ezek a kitettségek kis- és középvállalkozásokkal szembeni kitettségek és a CRR 199. cikke (1) bekezdésének a) pontja szerinti ingatlan-jelzálogjoggal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fedezettek. </w:t>
            </w:r>
          </w:p>
          <w:p w:rsidR="00BB5324" w:rsidRDefault="00BB5324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B653A" w:rsidRPr="00FE002E" w:rsidRDefault="004B653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 mező alkalmazásában kis- és középvállalkozások alatt a CRR 501. cikke (2) bekezdésének b) pontja szerinti fogalom értendő.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{230;010}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Vállalati; ebből: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{240,010} és a {250,010} mező összege.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{230;020}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Vállalati; ebből: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{240;020} és a {250;020} mező összege.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{230;030}</w:t>
            </w:r>
          </w:p>
        </w:tc>
        <w:tc>
          <w:tcPr>
            <w:tcW w:w="8133" w:type="dxa"/>
            <w:shd w:val="clear" w:color="auto" w:fill="FFFFFF"/>
          </w:tcPr>
          <w:p w:rsidR="00F4754B" w:rsidRPr="007129B2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Vállalati; ebből: – Kockázattal súlyozott eszközök – SA-kitettségek</w:t>
            </w:r>
          </w:p>
          <w:p w:rsidR="002509B1" w:rsidRPr="007129B2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{240;030} és a {250;030} mező összege.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{230;040}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Vállalati; ebből: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A {240;040} és a {250;040} mező összege.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{240;010}</w:t>
            </w:r>
          </w:p>
        </w:tc>
        <w:tc>
          <w:tcPr>
            <w:tcW w:w="8133" w:type="dxa"/>
            <w:shd w:val="clear" w:color="auto" w:fill="FFFFFF"/>
          </w:tcPr>
          <w:p w:rsidR="00F4754B" w:rsidRPr="006F6EA7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Pénzügyi – A tőkeáttételi mutató számításához használt kitettségérték – SA-kitettségek</w:t>
            </w:r>
          </w:p>
          <w:p w:rsidR="002509B1" w:rsidRPr="00706750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122. cikke szerinti, pénzügyi vállalkozásokkal szembeni kitettségek. Az LR4 táblában való adatszolgáltatás céljából a pénzügyi vállalkozás a {180;010} mezőben említett intézményektől eltérő olyan szabályozott vagy nem szabályozott vállalkozást jelent, amelynek fő tevékenysége tulajdoni részesedések megszerzése vagy a 2013/36/EU irányelv I. mellékletében felsorolt tevékenységek közül egy vagy több folytatása, valamint a CRR 4. cikke (1) bekezdésének 27. pontja szerinti, a {180;010} mezőben említett intézményektől eltérő vállalkozást. </w:t>
            </w:r>
          </w:p>
          <w:p w:rsidR="00086A8A" w:rsidRDefault="00BB5324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{240;020}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Pénzügyi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147. cikke (2) bekezdésének c) pontja szerinti, pénzügyi vállalkozásokkal szembeni kitettségek, ha ezek a kitettségek a CRR 199. cikke (1) bekezdésének a) pontja szerinti ingatlan-jelzálogjoggal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fedezettek. Az LR4 táblában való adatszolgáltatás céljából a pénzügyi vállalkozás a {180;10} mezőben említett intézményektől eltérő olyan szabályozott vagy nem szabályozott vállalkozást jelent, amelynek fő tevékenysége tulajdoni részesedések megszerzése vagy a 2013/36/EU irányelv I. mellékletében felsorolt tevékenységek közül egy vagy több folytatása, valamint a CRR 4. cikke (1) bekezdésének 27. pontja szerinti, a {180;10} mezőben említett intézményektől eltérő vállalkozást.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{240;030}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Pénzügyi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122. cikke szerinti, pénzügyi vállalkozásokkal szembeni kitettségek. Az LR4 táblában való adatszolgáltatás céljából a pénzügyi vállalkozás a {180;10} mezőben említett intézményektől eltérő olyan szabályozott vagy nem szabályozott vállalkozást jelent, amelynek fő tevékenysége tulajdoni részesedések megszerzése vagy a 2013/36/EU irányelv I. mellékletében felsorolt tevékenységek közül egy vagy több folytatása, valamint a CRR 4. cikke (1) bekezdésének 27. pontja szerinti, a {180;10} mezőben említett intézményektől eltérő vállalkozást.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{240;040}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Pénzügyi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(2) bekezdésének c) pontja szerinti, pénzügyi vállalkozásokkal szembeni kitettségek, ha ezek a kitettségek a CRR 199. cikke (1) bekezdésének a) pontja szerinti ingatlan-jelzálogjoggal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fedezettek. Az LR4 táblában való adatszolgáltatás céljából a pénzügyi vállalkozás a {180;10} mezőben említett intézményektől eltérő olyan szabályozott vagy nem szabályozott vállalkozást jelent, amelynek fő tevékenysége tulajdoni részesedések megszerzése vagy a 2013/36/EU irányelv I. mellékletében felsorolt tevékenységek közül egy vagy több folytatása, valamint a CRR 4. cikke (1) bekezdésének 27. pontja szerinti, a {180;10} mezőben említett intézményektől eltérő vállalkozást.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{250;010}</w:t>
            </w:r>
          </w:p>
        </w:tc>
        <w:tc>
          <w:tcPr>
            <w:tcW w:w="8133" w:type="dxa"/>
            <w:shd w:val="clear" w:color="auto" w:fill="FFFFFF"/>
          </w:tcPr>
          <w:p w:rsidR="00F4754B" w:rsidRPr="00BE6AC4" w:rsidRDefault="00CD1DA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Nem pénzügyi; ebből: – A tőkeáttételi mutató számításához használt kitettségérték – SA-kitettségek</w:t>
            </w:r>
          </w:p>
          <w:p w:rsidR="002509B1" w:rsidRPr="00BE6AC4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</w:t>
            </w:r>
            <w:proofErr w:type="spellStart"/>
            <w:r>
              <w:rPr>
                <w:rFonts w:ascii="Times New Roman" w:hAnsi="Times New Roman"/>
              </w:rPr>
              <w:t>tőkeáttételimutató-számításhoz</w:t>
            </w:r>
            <w:proofErr w:type="spellEnd"/>
            <w:r>
              <w:rPr>
                <w:rFonts w:ascii="Times New Roman" w:hAnsi="Times New Roman"/>
              </w:rPr>
              <w:t xml:space="preserve"> használt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122. </w:t>
            </w:r>
            <w:r>
              <w:rPr>
                <w:rFonts w:ascii="Times New Roman" w:hAnsi="Times New Roman"/>
              </w:rPr>
              <w:lastRenderedPageBreak/>
              <w:t xml:space="preserve">cikkében meghatározottak szerinti </w:t>
            </w:r>
            <w:r>
              <w:rPr>
                <w:rFonts w:ascii="Times New Roman" w:hAnsi="Times New Roman"/>
                <w:b/>
              </w:rPr>
              <w:t>nem</w:t>
            </w:r>
            <w:r>
              <w:rPr>
                <w:rFonts w:ascii="Times New Roman" w:hAnsi="Times New Roman"/>
              </w:rPr>
              <w:t xml:space="preserve"> pénzügyi vállalkozásokkal szembeni kitettségek. 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{260;010} és a {270;010} mező összege.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{250;020}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CD1DA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Nem pénzügyi; ebből: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A71D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</w:t>
            </w:r>
            <w:proofErr w:type="spellStart"/>
            <w:r>
              <w:rPr>
                <w:rFonts w:ascii="Times New Roman" w:hAnsi="Times New Roman"/>
              </w:rPr>
              <w:t>tőkeáttételimutató-számításhoz</w:t>
            </w:r>
            <w:proofErr w:type="spellEnd"/>
            <w:r>
              <w:rPr>
                <w:rFonts w:ascii="Times New Roman" w:hAnsi="Times New Roman"/>
              </w:rPr>
              <w:t xml:space="preserve"> használt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(2) bekezdésének c) pontjában meghatározottak szerinti </w:t>
            </w:r>
            <w:r>
              <w:rPr>
                <w:rFonts w:ascii="Times New Roman" w:hAnsi="Times New Roman"/>
                <w:b/>
              </w:rPr>
              <w:t>nem</w:t>
            </w:r>
            <w:r>
              <w:rPr>
                <w:rFonts w:ascii="Times New Roman" w:hAnsi="Times New Roman"/>
              </w:rPr>
              <w:t xml:space="preserve"> pénzügyi vállalkozásokkal szembeni kitettségek, ha ezek a kitettségek a CRR 199 cikke (1) bekezdésének a) pontjával összhangban ingatlan-jelzálogjoggal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fedezettek. </w:t>
            </w:r>
          </w:p>
          <w:p w:rsidR="00BE6AC4" w:rsidRDefault="00BE6AC4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{260;020} és a {270;020} mező összege.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{250;030}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CD1DA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Nem pénzügyi; ebből: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kockázati súlyozás alá tartozó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122. cikkében meghatározottak szerinti </w:t>
            </w:r>
            <w:r>
              <w:rPr>
                <w:rFonts w:ascii="Times New Roman" w:hAnsi="Times New Roman"/>
                <w:b/>
              </w:rPr>
              <w:t>nem</w:t>
            </w:r>
            <w:r>
              <w:rPr>
                <w:rFonts w:ascii="Times New Roman" w:hAnsi="Times New Roman"/>
              </w:rPr>
              <w:t xml:space="preserve"> pénzügyi vállalkozásokkal szembeni kitettségek. 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{260;030} és a {270;030} mező összege.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Del="00504CFF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{250;040}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CD1DA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Nem pénzügyi; ebből: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(2) bekezdésének c) pontja szerinti, </w:t>
            </w:r>
            <w:r>
              <w:rPr>
                <w:rFonts w:ascii="Times New Roman" w:hAnsi="Times New Roman"/>
                <w:b/>
              </w:rPr>
              <w:t>nem</w:t>
            </w:r>
            <w:r>
              <w:rPr>
                <w:rFonts w:ascii="Times New Roman" w:hAnsi="Times New Roman"/>
              </w:rPr>
              <w:t xml:space="preserve"> pénzügyi vállalkozásokkal szembeni kitettségek, ha ezek a kitettségek a CRR 199. cikke (1) bekezdésének a) pontja szerinti ingatlan-jelzálogjoggal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fedezettek. 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{260;040} és a {270;040} mező összege.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Del="00504CFF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{260;010}</w:t>
            </w:r>
          </w:p>
        </w:tc>
        <w:tc>
          <w:tcPr>
            <w:tcW w:w="8133" w:type="dxa"/>
            <w:shd w:val="clear" w:color="auto" w:fill="FFFFFF"/>
          </w:tcPr>
          <w:p w:rsidR="00F4754B" w:rsidRPr="006F6EA7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Kkv-kitettségek – A tőkeáttételi mutató számításához használt kitettségérték – SA-kitettségek</w:t>
            </w:r>
          </w:p>
          <w:p w:rsidR="002509B1" w:rsidRPr="00706750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122. cikke szerinti, kis- és középvállalkozások formájában működő vállalkozásokkal szembeni kitettségek. 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F39F5" w:rsidRDefault="004F39F5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 mező alkalmazásában kis- és középvállalkozások alatt a CRR 501. cikke (2) bekezdésének b) pontja szerinti fogalom értendő.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{260;020}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Kkv-kitettségek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147. cikke (2) bekezdésének c) pontja szerinti, vállalkozásokkal szembeni kitettségek, ha ezek a kitettségek kis- és középvállalkozásokkal szembeni kitettségek és a CRR 199. cikke (1) bekezdésének a) pontja szerinti ingatlan-jelzálogjoggal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fedezettek.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2509B1" w:rsidRDefault="004F39F5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E mező alkalmazásában kis- és középvállalkozások alatt a CRR 501. cikke (2) bekezdésének b) pontja szerinti fogalom értendő.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Del="00504CFF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{260;030}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Kkv-kitettségek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122. cikke szerinti, kis- és középvállalkozások formájában működő vállalkozásokkal szembeni kitettségek. 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F39F5" w:rsidRDefault="004F39F5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 mező alkalmazásában kis- és középvállalkozások alatt a CRR 501. cikke (2) bekezdésének b) pontja szerinti fogalom értendő.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{260;040}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Kkv-kitettségek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(2) bekezdésének c) pontja szerinti, vállalkozásokkal szembeni kitettségek, ha ezek a kitettségek kis- és középvállalkozásokkal szembeni kitettségek és a CRR 199. cikke (1) bekezdésének a) pontja szerinti ingatlan-jelzálogjoggal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fedezettek. </w:t>
            </w:r>
          </w:p>
          <w:p w:rsidR="00FA71DB" w:rsidRDefault="00FA71D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F39F5" w:rsidRDefault="004F39F5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 mező alkalmazásában kis- és középvállalkozások alatt a CRR 501. cikke (2) bekezdésének b) pontja szerinti fogalom értendő.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{270;010}</w:t>
            </w:r>
          </w:p>
        </w:tc>
        <w:tc>
          <w:tcPr>
            <w:tcW w:w="8133" w:type="dxa"/>
            <w:shd w:val="clear" w:color="auto" w:fill="FFFFFF"/>
          </w:tcPr>
          <w:p w:rsidR="00F4754B" w:rsidRPr="00706750" w:rsidRDefault="00BE6AC4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Nem kkv-kitettségek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122. cikke szerinti, vállalkozásokkal szembeni kitettségek, és nem szerepelnek a {230;040} és a {250;040} mezőben.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{270;020}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BE6AC4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Nem kkv-kitettségek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2509B1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a CRR 147. cikke (2) bekezdésének c) pontja szerinti, vállalkozásokkal szembeni kitettségek, ha ezek a kitettségek a CRR 199. cikke (1) bekezdésének a) pontja szerinti ingatlan-jelzálogjoggal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fedezettek, és nem szerepelnek a {230;040} és a {250;040} mezőben.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{270;030}</w:t>
            </w:r>
          </w:p>
        </w:tc>
        <w:tc>
          <w:tcPr>
            <w:tcW w:w="8133" w:type="dxa"/>
            <w:shd w:val="clear" w:color="auto" w:fill="FFFFFF"/>
          </w:tcPr>
          <w:p w:rsidR="00F4754B" w:rsidRPr="00706750" w:rsidRDefault="00BE6AC4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Nem kkv-kitettségek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122. cikke szerinti, vállalkozásokkal szembeni kitettségek, és nem szerepelnek a {230;040} és a {250;040} mezőben.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{270;040}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BE6AC4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Nem kkv-kitettségek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a CRR 147. cikke (2) bekezdésének c) pontja szerinti, vállalkozásokkal szembeni kitettségek, ha ezek a kitettségek a CRR 199. cikke (1) bekezdésének a) pontja szerinti ingatlan-jelzálogjoggal </w:t>
            </w:r>
            <w:r>
              <w:rPr>
                <w:rFonts w:ascii="Times New Roman" w:hAnsi="Times New Roman"/>
                <w:b/>
                <w:u w:val="single"/>
              </w:rPr>
              <w:t>nem</w:t>
            </w:r>
            <w:r>
              <w:rPr>
                <w:rFonts w:ascii="Times New Roman" w:hAnsi="Times New Roman"/>
              </w:rPr>
              <w:t xml:space="preserve"> fedezettek, és nem szerepelnek a {230;040} és a {250;040} mezőben.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{280;010}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Nemteljesítő</w:t>
            </w:r>
            <w:proofErr w:type="spellEnd"/>
            <w:r>
              <w:rPr>
                <w:rFonts w:ascii="Times New Roman" w:hAnsi="Times New Roman"/>
                <w:b/>
              </w:rPr>
              <w:t xml:space="preserve"> kitettségek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kitettségek, és ezért a CRR 127. cikkének hatályába esnek.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{280;020}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Nemteljesítő</w:t>
            </w:r>
            <w:proofErr w:type="spellEnd"/>
            <w:r>
              <w:rPr>
                <w:rFonts w:ascii="Times New Roman" w:hAnsi="Times New Roman"/>
                <w:b/>
              </w:rPr>
              <w:t xml:space="preserve"> kitettségek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 CRR 147. cikkének (2) bekezdése szerinti kitettségi osztályokba sorolt azon eszközök esetében, amelyeknél bekövetkezett a CRR 178. cikke szerinti nemteljesítés.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{280;030}</w:t>
            </w:r>
          </w:p>
        </w:tc>
        <w:tc>
          <w:tcPr>
            <w:tcW w:w="8133" w:type="dxa"/>
            <w:shd w:val="clear" w:color="auto" w:fill="FFFFFF"/>
          </w:tcPr>
          <w:p w:rsidR="00F4754B" w:rsidRPr="00BB7DB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Nemteljesítő</w:t>
            </w:r>
            <w:proofErr w:type="spellEnd"/>
            <w:r>
              <w:rPr>
                <w:rFonts w:ascii="Times New Roman" w:hAnsi="Times New Roman"/>
                <w:b/>
              </w:rPr>
              <w:t xml:space="preserve"> kitettségek – Kockázattal súlyozott eszközök – SA-kitettségek</w:t>
            </w:r>
          </w:p>
          <w:p w:rsidR="002509B1" w:rsidRPr="00BB7DB0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kitettségek, és ezért a CRR 127. cikkének hatályába esnek.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{280;040}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Nemteljesítő</w:t>
            </w:r>
            <w:proofErr w:type="spellEnd"/>
            <w:r>
              <w:rPr>
                <w:rFonts w:ascii="Times New Roman" w:hAnsi="Times New Roman"/>
                <w:b/>
              </w:rPr>
              <w:t xml:space="preserve"> kitettségek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147. cikkének (2) bekezdése szerinti kitettségi osztályokba sorolt 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amelyeknél bekövetkezett a CRR 178. cikke szerinti nemteljesítés. 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{290;010}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</w:rPr>
            </w:pPr>
          </w:p>
        </w:tc>
        <w:tc>
          <w:tcPr>
            <w:tcW w:w="8133" w:type="dxa"/>
            <w:shd w:val="clear" w:color="auto" w:fill="FFFFFF"/>
          </w:tcPr>
          <w:p w:rsidR="00F4754B" w:rsidRPr="0070675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Egyéb kitettségek; ebből: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 CRR 112. cikkének k), m), n), o), p) és q) pontja szerinti kitettségi osztályokba sorolt eszközök esetében. </w:t>
            </w:r>
          </w:p>
          <w:p w:rsidR="00482670" w:rsidRDefault="0048267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82670" w:rsidRPr="00FE002E" w:rsidRDefault="0048267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intézményeknek e helyen a szavatoló tőkéből levont, de itt más osztályba nem besorolható eszközöket (például immateriális javakat) kell feltüntetniük, még akkor is, ha az effajta besorolás nem szükséges a {*; 030} és a {*; 040} oszlopokban.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{290;020}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Egyéb kitettségek; ebből: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 CRR 147. cikke (2) bekezdésének e), f) és g) pontja szerinti kitettségi osztályokba sorolt eszközök esetében. </w:t>
            </w:r>
          </w:p>
          <w:p w:rsidR="00482670" w:rsidRDefault="0048267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482670" w:rsidRDefault="00482670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intézményeknek e helyen a szavatoló tőkéből levont, de itt más osztályba nem besorolható eszközöket (például immateriális javakat) kell feltüntetniük, még akkor is, ha az effajta besorolás nem szükséges a {*; 030} és a {*; 040} oszlopokban.</w:t>
            </w:r>
          </w:p>
          <w:p w:rsidR="00BB388D" w:rsidRDefault="00BB388D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BB388D" w:rsidRPr="00FE002E" w:rsidRDefault="00BB388D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{290;030}</w:t>
            </w:r>
          </w:p>
        </w:tc>
        <w:tc>
          <w:tcPr>
            <w:tcW w:w="8133" w:type="dxa"/>
            <w:shd w:val="clear" w:color="auto" w:fill="FFFFFF"/>
          </w:tcPr>
          <w:p w:rsidR="00F4754B" w:rsidRPr="0070675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Egyéb kitettségek; ebből: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CRR 112. cikkének k), m), n), o), p) és q) pontja szerinti kitettségi osztályokba sorolt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{290;040}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Egyéb kitettségek; ebből: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A CRR 147. cikke (2) bekezdésének e), f), és g) pontja szerinti kitettségi osztályokba sorolt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BB388D" w:rsidRDefault="00BB388D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BB388D" w:rsidRPr="00FE002E" w:rsidRDefault="00BB388D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{300;010}</w:t>
            </w:r>
          </w:p>
        </w:tc>
        <w:tc>
          <w:tcPr>
            <w:tcW w:w="8133" w:type="dxa"/>
            <w:shd w:val="clear" w:color="auto" w:fill="FFFFFF"/>
          </w:tcPr>
          <w:p w:rsidR="00F4754B" w:rsidRPr="00706750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Értékpapírosítási kitettségek – A tőkeáttételi mutató számításához használt kitettségérték – SA-kitettségek</w:t>
            </w:r>
          </w:p>
          <w:p w:rsidR="002509B1" w:rsidRPr="00706750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 tőkeáttételi mutató számításához használt kitettségérték azon eszközök esetében, amelyek értékpapírosítással szembeni kitettségek, és a CRR 112. cikke m) pontjának hatályába esnek.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2509B1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{300;020}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Értékpapírosítási kitettségek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azon eszközök esetében, amelyek értékpapírosítással szembeni kitettségek, és a CRR 147. cikke (2) bekezdése f) pontjának hatályába esnek.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Del="00B9734C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{300;030}</w:t>
            </w:r>
          </w:p>
        </w:tc>
        <w:tc>
          <w:tcPr>
            <w:tcW w:w="8133" w:type="dxa"/>
            <w:shd w:val="clear" w:color="auto" w:fill="FFFFFF"/>
          </w:tcPr>
          <w:p w:rsidR="00F4754B" w:rsidRPr="007129B2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Értékpapírosítási kitettségek – Kockázattal súlyozott eszközök – SA-kitettségek</w:t>
            </w:r>
          </w:p>
          <w:p w:rsidR="002509B1" w:rsidRPr="007129B2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értékpapírosítással szembeni kitettségek, és a CRR 112. cikke m) pontjának hatályába esnek.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{300;040}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Értékpapírosítási kitettségek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Azon eszközök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, amelyek értékpapírosítással szembeni kitettségek, és a CRR 147. cikke (2) bekezdése f) pontjának hatályába esnek.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EA3F88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{310;010}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Kereskedelemfinanszírozás (tájékoztató adat); ebből: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 import- és exporthitelek vagy hasonló ügyletek révén áruk vagy szolgáltatások exportőrének vagy importőrének nyújtott hitelezéshez kapcsolódó mérlegtételek esetében.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{310;020}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Kereskedelemfinanszírozás (tájékoztató adat); ebből: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2509B1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az import- és exporthitelek vagy hasonló ügyletek révén áruk vagy szolgáltatások exportőrének vagy importőrének nyújtott hitelezéshez kapcsolódó mérlegtételek esetében. </w:t>
            </w:r>
          </w:p>
          <w:p w:rsidR="00BE6AC4" w:rsidRDefault="00BE6AC4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{310;030}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Kereskedelemfinanszírozás (tájékoztató adat); ebből: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Import- és exporthitelek vagy hasonló ügyletek révén áruk vagy szolgáltatások exportőrének vagy importőrének nyújtott hitelezéshez kapcsolódó mérlegtételek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{310;040}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Kereskedelemfinanszírozás (tájékoztató adat); ebből: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Import- és exporthitelek vagy hasonló ügyletek révén áruk vagy szolgáltatások exportőrének vagy importőrének nyújtott hitelezéshez kapcsolódó mérlegtételek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2509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 w:rsidR="009C4E79" w:rsidRPr="00FE002E" w:rsidRDefault="009C4E79" w:rsidP="009C4E79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A60C43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{320;010}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Hivatalos exporthitel-biztosítási program keretében – A tőkeáttételi mutató számításához használt kitettségérték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 hivatalos exporthitel-biztosítási program keretében megvalósuló kereskedelemfinanszírozáshoz kapcsolódó mérlegtételek esetében. Az LR4 táblában való adatszolgáltatás céljából a hivatalos exporthitel-biztosítási program a kormány vagy más jogalany, például exporthitel-ügynökség által többek között közvetlen hitel/finanszírozás, refinanszírozás, kamatláb-támogatás (ahol a rögzített kamatláb a hitel teljes futamidejére biztosított), segélyfinanszírozás (hitelek és támogatások), exporthitel-biztosítás és garanciák formájában biztosított hivatalos támogatás.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{320;020}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Hivatalos exporthitel-biztosítási program keretében – A tőkeáttételi mutató számításához használt kitettségérték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tőkeáttételi mutató számításához használt kitettségérték a hivatalos exporthitel-biztosítási program keretében megvalósuló kereskedelemfinanszírozáshoz kapcsolódó mérlegtételek esetében. Az LR4 táblában való adatszolgáltatás céljából a hivatalos exporthitel-biztosítási program a kormány vagy más jogalany, például exporthitel-ügynökség által többek között közvetlen hitel/finanszírozás, refinanszírozás, kamatláb-támogatás (ahol a rögzített kamatláb a hitel teljes futamidejére biztosított), segélyfinanszírozás (hitelek és támogatások), exporthitel-biztosítás és garanciák formájában biztosított hivatalos támogatás.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9C4E79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Del="00600AB1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{320;030}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Hivatalos exporthitel-biztosítási program keretében – Kockázattal súlyozott eszközök – SA-kitettségek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F4754B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hivatalos exporthitel-biztosítási program keretében megvalósuló kereskedelemfinanszírozáshoz kapcsolódó mérlegtételek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. Az LR4 táblában való adatszolgáltatás céljából a hivatalos exporthitel-biztosítási program a kormány vagy más jogalany, például exporthitel-ügynökség által többek között közvetlen hitel/finanszírozás, refinanszírozás, kamatláb-támogatás (ahol a rögzített kamatláb a hitel teljes futamidejére biztosított), segélyfinanszírozás (hitelek és támogatások), exporthitel-biztosítás és garanciák formájában biztosított hivatalos támogatás. </w:t>
            </w:r>
          </w:p>
          <w:p w:rsidR="00086A8A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086A8A" w:rsidRPr="00FE002E" w:rsidRDefault="00086A8A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F4754B" w:rsidRPr="00FE002E" w:rsidTr="0053335C">
        <w:trPr>
          <w:trHeight w:val="71"/>
        </w:trPr>
        <w:tc>
          <w:tcPr>
            <w:tcW w:w="1111" w:type="dxa"/>
            <w:shd w:val="clear" w:color="auto" w:fill="FFFFFF"/>
          </w:tcPr>
          <w:p w:rsidR="00F4754B" w:rsidRPr="00FE002E" w:rsidRDefault="00F4754B" w:rsidP="006423CC">
            <w:pPr>
              <w:pStyle w:val="BodyText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{320;040}</w:t>
            </w:r>
          </w:p>
        </w:tc>
        <w:tc>
          <w:tcPr>
            <w:tcW w:w="8133" w:type="dxa"/>
            <w:shd w:val="clear" w:color="auto" w:fill="FFFFFF"/>
          </w:tcPr>
          <w:p w:rsidR="00F4754B" w:rsidRPr="00FE002E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Hivatalos exporthitel-biztosítási program keretében – Kockázattal súlyozott eszközök – </w:t>
            </w:r>
            <w:proofErr w:type="spellStart"/>
            <w:r>
              <w:rPr>
                <w:rFonts w:ascii="Times New Roman" w:hAnsi="Times New Roman"/>
                <w:b/>
              </w:rPr>
              <w:t>IRB-kitettségek</w:t>
            </w:r>
            <w:proofErr w:type="spellEnd"/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9C4E79" w:rsidRDefault="00F4754B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hivatalos exporthitel-biztosítási program keretében megvalósuló kereskedelemfinanszírozáshoz kapcsolódó mérlegtételek kockázattal súlyozott </w:t>
            </w:r>
            <w:proofErr w:type="spellStart"/>
            <w:r>
              <w:rPr>
                <w:rFonts w:ascii="Times New Roman" w:hAnsi="Times New Roman"/>
              </w:rPr>
              <w:t>kitettségértéke</w:t>
            </w:r>
            <w:proofErr w:type="spellEnd"/>
            <w:r>
              <w:rPr>
                <w:rFonts w:ascii="Times New Roman" w:hAnsi="Times New Roman"/>
              </w:rPr>
              <w:t xml:space="preserve">. Az LR4 táblában való adatszolgáltatás céljából a hivatalos exporthitel-biztosítási program a kormány vagy más jogalany, például exporthitel-ügynökség által többek között közvetlen hitel/finanszírozás, refinanszírozás, kamatláb-támogatás (ahol a rögzített kamatláb a hitel teljes futamidejére biztosított), segélyfinanszírozás (hitelek és támogatások), exporthitel-biztosítás és garanciák formájában </w:t>
            </w:r>
            <w:r>
              <w:rPr>
                <w:rFonts w:ascii="Times New Roman" w:hAnsi="Times New Roman"/>
              </w:rPr>
              <w:lastRenderedPageBreak/>
              <w:t xml:space="preserve">biztosított hivatalos támogatás. </w:t>
            </w:r>
          </w:p>
          <w:p w:rsidR="009C4E79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</w:p>
          <w:p w:rsidR="00F4754B" w:rsidRPr="00FE002E" w:rsidRDefault="009C4E79" w:rsidP="007E2A41">
            <w:pPr>
              <w:pStyle w:val="BodyText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intézményeknek a </w:t>
            </w:r>
            <w:proofErr w:type="spellStart"/>
            <w:r>
              <w:rPr>
                <w:rFonts w:ascii="Times New Roman" w:hAnsi="Times New Roman"/>
              </w:rPr>
              <w:t>nemteljesítő</w:t>
            </w:r>
            <w:proofErr w:type="spellEnd"/>
            <w:r>
              <w:rPr>
                <w:rFonts w:ascii="Times New Roman" w:hAnsi="Times New Roman"/>
              </w:rPr>
              <w:t xml:space="preserve"> kitettségek nélküli értéket kell feltüntetniük.</w:t>
            </w:r>
          </w:p>
          <w:p w:rsidR="002509B1" w:rsidRPr="00FE002E" w:rsidRDefault="002509B1" w:rsidP="007E2A4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bookmarkEnd w:id="84"/>
    </w:tbl>
    <w:p w:rsidR="00217D1F" w:rsidRPr="00FE002E" w:rsidRDefault="00F4754B" w:rsidP="00500508">
      <w:pPr>
        <w:pStyle w:val="BodyText1"/>
        <w:ind w:left="357" w:hanging="357"/>
        <w:outlineLvl w:val="1"/>
        <w:rPr>
          <w:rFonts w:ascii="Times New Roman" w:hAnsi="Times New Roman"/>
          <w:b/>
        </w:rPr>
      </w:pPr>
      <w:r>
        <w:lastRenderedPageBreak/>
        <w:br w:type="page"/>
      </w:r>
      <w:bookmarkStart w:id="89" w:name="_Toc351048511"/>
      <w:bookmarkStart w:id="90" w:name="_Toc359414290"/>
      <w:bookmarkStart w:id="91" w:name="_Toc423089075"/>
      <w:bookmarkStart w:id="92" w:name="_Toc524008525"/>
      <w:r>
        <w:rPr>
          <w:rFonts w:ascii="Times New Roman" w:hAnsi="Times New Roman"/>
          <w:b/>
        </w:rPr>
        <w:lastRenderedPageBreak/>
        <w:t>9.</w:t>
      </w:r>
      <w:r>
        <w:tab/>
      </w:r>
      <w:r>
        <w:rPr>
          <w:rFonts w:ascii="Times New Roman" w:hAnsi="Times New Roman"/>
          <w:b/>
        </w:rPr>
        <w:t>C 44.00 – Általános információk</w:t>
      </w:r>
      <w:bookmarkEnd w:id="89"/>
      <w:bookmarkEnd w:id="90"/>
      <w:r>
        <w:rPr>
          <w:rFonts w:ascii="Times New Roman" w:hAnsi="Times New Roman"/>
          <w:b/>
        </w:rPr>
        <w:t xml:space="preserve"> (LR5)</w:t>
      </w:r>
      <w:bookmarkEnd w:id="91"/>
      <w:bookmarkEnd w:id="92"/>
    </w:p>
    <w:p w:rsidR="00675587" w:rsidRPr="00FE002E" w:rsidRDefault="00675587" w:rsidP="00675587">
      <w:pPr>
        <w:pStyle w:val="BodyText1"/>
        <w:ind w:left="720"/>
        <w:rPr>
          <w:rFonts w:ascii="Times New Roman" w:hAnsi="Times New Roman"/>
        </w:rPr>
      </w:pPr>
    </w:p>
    <w:p w:rsidR="00F4754B" w:rsidRPr="00FE002E" w:rsidRDefault="00500508" w:rsidP="00500508">
      <w:pPr>
        <w:pStyle w:val="BodyText1"/>
        <w:spacing w:line="24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>31.</w:t>
      </w:r>
      <w:r>
        <w:tab/>
      </w:r>
      <w:r>
        <w:rPr>
          <w:rFonts w:ascii="Times New Roman" w:hAnsi="Times New Roman"/>
        </w:rPr>
        <w:t>Itt az intézmény tevékenységeinek kategorizálása és az intézmény által választott szabályozói lehetőségek feltüntetése céljából további információkat kell megadni.</w:t>
      </w:r>
    </w:p>
    <w:p w:rsidR="00675587" w:rsidRPr="00FE002E" w:rsidRDefault="00675587" w:rsidP="00675587">
      <w:pPr>
        <w:pStyle w:val="BodyText1"/>
        <w:ind w:left="720"/>
        <w:rPr>
          <w:rFonts w:ascii="Times New Roman" w:hAnsi="Times New Roman"/>
        </w:rPr>
      </w:pP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F4754B" w:rsidRPr="00FE002E" w:rsidTr="00FC2664">
        <w:tc>
          <w:tcPr>
            <w:tcW w:w="1418" w:type="dxa"/>
            <w:shd w:val="clear" w:color="auto" w:fill="D9D9D9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Sor </w:t>
            </w:r>
          </w:p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és oszlop</w:t>
            </w:r>
          </w:p>
        </w:tc>
        <w:tc>
          <w:tcPr>
            <w:tcW w:w="7620" w:type="dxa"/>
            <w:shd w:val="clear" w:color="auto" w:fill="D9D9D9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Útmutató</w:t>
            </w: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4754B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{010;</w:t>
            </w:r>
            <w:proofErr w:type="spellStart"/>
            <w:r>
              <w:rPr>
                <w:rFonts w:ascii="Times New Roman" w:hAnsi="Times New Roman"/>
              </w:rPr>
              <w:t>010</w:t>
            </w:r>
            <w:proofErr w:type="spellEnd"/>
            <w:r>
              <w:rPr>
                <w:rFonts w:ascii="Times New Roman" w:hAnsi="Times New Roman"/>
              </w:rPr>
              <w:t>}</w:t>
            </w:r>
          </w:p>
        </w:tc>
        <w:tc>
          <w:tcPr>
            <w:tcW w:w="7620" w:type="dxa"/>
          </w:tcPr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Az intézmény társasági formája</w:t>
            </w:r>
          </w:p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intézménynek társasági formáját az alább megadott kategóriákba kell sorolnia:</w:t>
            </w:r>
          </w:p>
          <w:p w:rsidR="00F4754B" w:rsidRPr="00FE002E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Részvénytársaság;</w:t>
            </w:r>
          </w:p>
          <w:p w:rsidR="00F4754B" w:rsidRPr="00FE002E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Kölcsönös/szövetkezet;</w:t>
            </w:r>
          </w:p>
          <w:p w:rsidR="00F4754B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Egyéb nem részvénytársaság jellegű társaság.</w:t>
            </w:r>
          </w:p>
          <w:p w:rsidR="00BE6AC4" w:rsidRPr="00FE002E" w:rsidRDefault="00BE6AC4" w:rsidP="00BE6AC4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A1A9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{020;010}</w:t>
            </w:r>
          </w:p>
        </w:tc>
        <w:tc>
          <w:tcPr>
            <w:tcW w:w="7620" w:type="dxa"/>
          </w:tcPr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Származtatott ügyletek kezelése</w:t>
            </w:r>
          </w:p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intézménynek a származtatott ügyletek szabályozói kezelését az alább megadott kategóriákba kell sorolnia:</w:t>
            </w:r>
          </w:p>
          <w:p w:rsidR="00F4754B" w:rsidRPr="00FE002E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Az eredeti kitettség szerinti módszer;</w:t>
            </w:r>
          </w:p>
          <w:p w:rsidR="00F4754B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A piaci árazás szerinti módszer.</w:t>
            </w:r>
          </w:p>
          <w:p w:rsidR="00BE6AC4" w:rsidRPr="00FE002E" w:rsidRDefault="00BE6AC4" w:rsidP="00BE6AC4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4754B" w:rsidRPr="00FE002E" w:rsidTr="00FC2664">
        <w:tc>
          <w:tcPr>
            <w:tcW w:w="1418" w:type="dxa"/>
          </w:tcPr>
          <w:p w:rsidR="00F4754B" w:rsidRPr="00FE002E" w:rsidRDefault="00F4754B" w:rsidP="00FA1A9C">
            <w:pPr>
              <w:pStyle w:val="BodyText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{040;010}</w:t>
            </w:r>
          </w:p>
        </w:tc>
        <w:tc>
          <w:tcPr>
            <w:tcW w:w="7620" w:type="dxa"/>
          </w:tcPr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Az intézmény típusa</w:t>
            </w:r>
          </w:p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  <w:p w:rsidR="00F4754B" w:rsidRPr="00FE002E" w:rsidRDefault="00F4754B" w:rsidP="002509B1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Az intézménynek típusát az alább megadott kategóriákba kell sorolnia:</w:t>
            </w:r>
          </w:p>
          <w:p w:rsidR="00F4754B" w:rsidRPr="00FE002E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Univerzális banki tevékenység (lakossági/kereskedelmi és befektetési banki tevékenység);</w:t>
            </w:r>
          </w:p>
          <w:p w:rsidR="00F4754B" w:rsidRPr="00FE002E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Lakossági/kereskedelmi banki tevékenység;</w:t>
            </w:r>
          </w:p>
          <w:p w:rsidR="00F4754B" w:rsidRPr="00FE002E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Befektetési banki tevékenység;</w:t>
            </w:r>
          </w:p>
          <w:p w:rsidR="00875832" w:rsidRDefault="00500508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Szakosodott hitelező</w:t>
            </w:r>
          </w:p>
          <w:p w:rsidR="00F4754B" w:rsidRDefault="00875832" w:rsidP="0077269C">
            <w:pPr>
              <w:pStyle w:val="BodyText1"/>
              <w:spacing w:line="240" w:lineRule="auto"/>
              <w:ind w:left="360" w:hanging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–</w:t>
            </w:r>
            <w:r>
              <w:tab/>
            </w:r>
            <w:r>
              <w:rPr>
                <w:rFonts w:ascii="Times New Roman" w:hAnsi="Times New Roman"/>
              </w:rPr>
              <w:t>Egyéb üzleti modell.</w:t>
            </w:r>
          </w:p>
          <w:p w:rsidR="00BE6AC4" w:rsidRPr="00FE002E" w:rsidRDefault="00BE6AC4" w:rsidP="00BE6AC4">
            <w:pPr>
              <w:pStyle w:val="BodyText1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565261" w:rsidRPr="00C743F2" w:rsidRDefault="006D1C09" w:rsidP="008717E3">
      <w:pPr>
        <w:pStyle w:val="BodyText1"/>
        <w:ind w:left="567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”</w:t>
      </w:r>
    </w:p>
    <w:sectPr w:rsidR="00565261" w:rsidRPr="00C743F2" w:rsidSect="005315D3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522" w:right="1418" w:bottom="1560" w:left="1418" w:header="851" w:footer="141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AC4" w:rsidRDefault="00BE6AC4">
      <w:r>
        <w:separator/>
      </w:r>
    </w:p>
  </w:endnote>
  <w:endnote w:type="continuationSeparator" w:id="0">
    <w:p w:rsidR="00BE6AC4" w:rsidRDefault="00BE6AC4">
      <w:r>
        <w:continuationSeparator/>
      </w:r>
    </w:p>
  </w:endnote>
  <w:endnote w:type="continuationNotice" w:id="1">
    <w:p w:rsidR="00BE6AC4" w:rsidRDefault="00BE6A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C4" w:rsidRPr="00A772B4" w:rsidRDefault="00BE6AC4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44</w:t>
    </w:r>
    <w:r w:rsidRPr="00A772B4">
      <w:rPr>
        <w:rFonts w:ascii="Times New Roman" w:hAnsi="Times New Roman"/>
      </w:rPr>
      <w:fldChar w:fldCharType="end"/>
    </w:r>
  </w:p>
  <w:p w:rsidR="00BE6AC4" w:rsidRDefault="00BE6A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83053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5BBB" w:rsidRDefault="00665B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5E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5BBB" w:rsidRDefault="00665B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</w:rPr>
      <w:id w:val="17201704"/>
      <w:docPartObj>
        <w:docPartGallery w:val="Page Numbers (Bottom of Page)"/>
        <w:docPartUnique/>
      </w:docPartObj>
    </w:sdtPr>
    <w:sdtEndPr/>
    <w:sdtContent>
      <w:p w:rsidR="00BE6AC4" w:rsidRPr="009A78F0" w:rsidRDefault="00BE6AC4" w:rsidP="009A78F0">
        <w:pPr>
          <w:pStyle w:val="Footer"/>
          <w:spacing w:line="240" w:lineRule="auto"/>
          <w:jc w:val="center"/>
          <w:rPr>
            <w:rFonts w:ascii="Times New Roman" w:hAnsi="Times New Roman"/>
            <w:sz w:val="20"/>
          </w:rPr>
        </w:pPr>
        <w:r w:rsidRPr="009A78F0">
          <w:rPr>
            <w:rFonts w:ascii="Times New Roman" w:hAnsi="Times New Roman"/>
            <w:sz w:val="20"/>
          </w:rPr>
          <w:fldChar w:fldCharType="begin"/>
        </w:r>
        <w:r w:rsidRPr="009A78F0">
          <w:rPr>
            <w:rFonts w:ascii="Times New Roman" w:hAnsi="Times New Roman"/>
            <w:sz w:val="20"/>
          </w:rPr>
          <w:instrText xml:space="preserve"> PAGE   \* MERGEFORMAT </w:instrText>
        </w:r>
        <w:r w:rsidRPr="009A78F0">
          <w:rPr>
            <w:rFonts w:ascii="Times New Roman" w:hAnsi="Times New Roman"/>
            <w:sz w:val="20"/>
          </w:rPr>
          <w:fldChar w:fldCharType="separate"/>
        </w:r>
        <w:r w:rsidR="000A5E8F">
          <w:rPr>
            <w:rFonts w:ascii="Times New Roman" w:hAnsi="Times New Roman"/>
            <w:noProof/>
            <w:sz w:val="20"/>
          </w:rPr>
          <w:t>2</w:t>
        </w:r>
        <w:r w:rsidRPr="009A78F0">
          <w:rPr>
            <w:rFonts w:ascii="Times New Roman" w:hAnsi="Times New Roman"/>
            <w:noProof/>
            <w:sz w:val="2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1700"/>
      <w:docPartObj>
        <w:docPartGallery w:val="Page Numbers (Bottom of Page)"/>
        <w:docPartUnique/>
      </w:docPartObj>
    </w:sdtPr>
    <w:sdtEndPr/>
    <w:sdtContent>
      <w:p w:rsidR="00BE6AC4" w:rsidRDefault="00BE6A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BE6AC4" w:rsidRDefault="00BE6A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AC4" w:rsidRPr="004D223F" w:rsidRDefault="00BE6AC4" w:rsidP="00C7701D">
      <w:r>
        <w:continuationSeparator/>
      </w:r>
    </w:p>
  </w:footnote>
  <w:footnote w:type="continuationSeparator" w:id="0">
    <w:p w:rsidR="00BE6AC4" w:rsidRDefault="00BE6AC4">
      <w:r>
        <w:continuationSeparator/>
      </w:r>
    </w:p>
  </w:footnote>
  <w:footnote w:type="continuationNotice" w:id="1">
    <w:p w:rsidR="00BE6AC4" w:rsidRDefault="00BE6AC4"/>
  </w:footnote>
  <w:footnote w:id="2">
    <w:p w:rsidR="00BE6AC4" w:rsidRPr="00AD756F" w:rsidRDefault="00BE6AC4" w:rsidP="00F4754B">
      <w:pPr>
        <w:pStyle w:val="FootnoteText"/>
        <w:rPr>
          <w:sz w:val="12"/>
          <w:szCs w:val="12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2"/>
        </w:rPr>
        <w:t>Ide tartoznak a hitelkockázatnak kitett értékpapírosítások és részvényjellegű kitettségek.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C4" w:rsidRDefault="00BE6A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C4" w:rsidRDefault="00BE6AC4">
    <w:pPr>
      <w:pStyle w:val="Header"/>
    </w:pPr>
    <w:r>
      <w:rPr>
        <w:noProof/>
        <w:lang w:val="en-GB" w:eastAsia="en-GB" w:bidi="ar-SA"/>
      </w:rPr>
      <mc:AlternateContent>
        <mc:Choice Requires="wps">
          <w:drawing>
            <wp:anchor distT="4294967294" distB="4294967294" distL="114300" distR="114300" simplePos="0" relativeHeight="251688448" behindDoc="0" locked="0" layoutInCell="1" allowOverlap="1" wp14:anchorId="0D41E113" wp14:editId="33644602">
              <wp:simplePos x="0" y="0"/>
              <wp:positionH relativeFrom="column">
                <wp:posOffset>-14605</wp:posOffset>
              </wp:positionH>
              <wp:positionV relativeFrom="paragraph">
                <wp:posOffset>2539</wp:posOffset>
              </wp:positionV>
              <wp:extent cx="5760085" cy="0"/>
              <wp:effectExtent l="0" t="0" r="12065" b="19050"/>
              <wp:wrapNone/>
              <wp:docPr id="4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xmlns:o="urn:schemas-microsoft-com:office:office" xmlns:w14="http://schemas.microsoft.com/office/word/2010/wordml" xmlns:v="urn:schemas-microsoft-com:vml" w14:anchorId="4042D745" id="_x0000_t32" coordsize="21600,21600" o:spt="32" o:oned="t" path="m,l21600,21600e" filled="f">
              <v:path arrowok="t" fillok="f" o:connecttype="none"/>
              <o:lock v:ext="edit" shapetype="t"/>
            </v:shapetype>
            <v:shape xmlns:o="urn:schemas-microsoft-com:office:office" xmlns:v="urn:schemas-microsoft-com:vml" id="AutoShape 23" o:spid="_x0000_s1026" type="#_x0000_t32" style="position:absolute;margin-left:-1.15pt;margin-top:.2pt;width:453.55pt;height:0;flip:x;z-index:2516884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" strokecolor="#48748f [3204]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C4" w:rsidRDefault="00BE6AC4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GB" w:eastAsia="en-GB" w:bidi="ar-SA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28DE85BB" wp14:editId="7BBD29F3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xmlns:o="urn:schemas-microsoft-com:office:office" xmlns:w14="http://schemas.microsoft.com/office/word/2010/wordml" xmlns:v="urn:schemas-microsoft-com:vml" w14:anchorId="28BB0DC1" id="_x0000_t32" coordsize="21600,21600" o:spt="32" o:oned="t" path="m,l21600,21600e" filled="f">
              <v:path arrowok="t" fillok="f" o:connecttype="none"/>
              <o:lock v:ext="edit" shapetype="t"/>
            </v:shapetype>
            <v:shape xmlns:o="urn:schemas-microsoft-com:office:office" xmlns:v="urn:schemas-microsoft-com:vml"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xmlns:w10="urn:schemas-microsoft-com:office:word" anchorx="page" anchory="page"/>
              <w10:anchorlock xmlns:w10="urn:schemas-microsoft-com:office:word"/>
            </v:shape>
          </w:pict>
        </mc:Fallback>
      </mc:AlternateContent>
    </w:r>
  </w:p>
  <w:p w:rsidR="00BE6AC4" w:rsidRDefault="00BE6AC4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57CB8"/>
    <w:multiLevelType w:val="hybridMultilevel"/>
    <w:tmpl w:val="2698E4A4"/>
    <w:lvl w:ilvl="0" w:tplc="8FD0AD34">
      <w:start w:val="1"/>
      <w:numFmt w:val="decimal"/>
      <w:pStyle w:val="InstructionsText2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RIKSAS Gintaras (FISMA)">
    <w15:presenceInfo w15:providerId="None" w15:userId="GRIKSAS Gintaras (FISMA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7372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5E8F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636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1057"/>
    <w:rsid w:val="00132069"/>
    <w:rsid w:val="00132855"/>
    <w:rsid w:val="00132A0E"/>
    <w:rsid w:val="00141FF2"/>
    <w:rsid w:val="00142ED4"/>
    <w:rsid w:val="00143338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7E9"/>
    <w:rsid w:val="00180FB9"/>
    <w:rsid w:val="00181A8D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4BA5"/>
    <w:rsid w:val="001E58D0"/>
    <w:rsid w:val="001E5F9C"/>
    <w:rsid w:val="001F0676"/>
    <w:rsid w:val="001F0ECD"/>
    <w:rsid w:val="001F28C3"/>
    <w:rsid w:val="001F28E7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91C"/>
    <w:rsid w:val="00237DD1"/>
    <w:rsid w:val="0024092A"/>
    <w:rsid w:val="0024434F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2F2179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1B6C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6829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3E1A"/>
    <w:rsid w:val="00434439"/>
    <w:rsid w:val="00436233"/>
    <w:rsid w:val="004379F7"/>
    <w:rsid w:val="0044777F"/>
    <w:rsid w:val="0045378E"/>
    <w:rsid w:val="00453BD6"/>
    <w:rsid w:val="004573B6"/>
    <w:rsid w:val="00460502"/>
    <w:rsid w:val="004612B9"/>
    <w:rsid w:val="004618EC"/>
    <w:rsid w:val="00462168"/>
    <w:rsid w:val="0046231D"/>
    <w:rsid w:val="00463240"/>
    <w:rsid w:val="00465521"/>
    <w:rsid w:val="00467C7D"/>
    <w:rsid w:val="00467F98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3560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0508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5D3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624C"/>
    <w:rsid w:val="0057643F"/>
    <w:rsid w:val="00576B1D"/>
    <w:rsid w:val="00580256"/>
    <w:rsid w:val="00583DD0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2987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23CC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84"/>
    <w:rsid w:val="006646F1"/>
    <w:rsid w:val="00665BBB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659"/>
    <w:rsid w:val="006C07C1"/>
    <w:rsid w:val="006C0C0A"/>
    <w:rsid w:val="006C1A7F"/>
    <w:rsid w:val="006C69BD"/>
    <w:rsid w:val="006D1BFE"/>
    <w:rsid w:val="006D1C09"/>
    <w:rsid w:val="006D3F98"/>
    <w:rsid w:val="006D7886"/>
    <w:rsid w:val="006D7B47"/>
    <w:rsid w:val="006E1E69"/>
    <w:rsid w:val="006E259E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6EA7"/>
    <w:rsid w:val="006F7AAD"/>
    <w:rsid w:val="00700DA6"/>
    <w:rsid w:val="007022DC"/>
    <w:rsid w:val="0070279B"/>
    <w:rsid w:val="00703D5A"/>
    <w:rsid w:val="00706750"/>
    <w:rsid w:val="007100CC"/>
    <w:rsid w:val="007129B2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69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4B43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FD8"/>
    <w:rsid w:val="00801179"/>
    <w:rsid w:val="008011A3"/>
    <w:rsid w:val="008043B3"/>
    <w:rsid w:val="00805DD8"/>
    <w:rsid w:val="00806216"/>
    <w:rsid w:val="00810EDB"/>
    <w:rsid w:val="00811D20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5832"/>
    <w:rsid w:val="00877186"/>
    <w:rsid w:val="00882BCA"/>
    <w:rsid w:val="008838D5"/>
    <w:rsid w:val="00883C1E"/>
    <w:rsid w:val="00884D28"/>
    <w:rsid w:val="008934A4"/>
    <w:rsid w:val="008934D6"/>
    <w:rsid w:val="00897B7D"/>
    <w:rsid w:val="008A0524"/>
    <w:rsid w:val="008A6888"/>
    <w:rsid w:val="008B0457"/>
    <w:rsid w:val="008B54AB"/>
    <w:rsid w:val="008C2320"/>
    <w:rsid w:val="008C4E32"/>
    <w:rsid w:val="008C5950"/>
    <w:rsid w:val="008C5D3D"/>
    <w:rsid w:val="008C7B98"/>
    <w:rsid w:val="008D076A"/>
    <w:rsid w:val="008D5977"/>
    <w:rsid w:val="008D70E9"/>
    <w:rsid w:val="008E267D"/>
    <w:rsid w:val="008E57C0"/>
    <w:rsid w:val="008E5E14"/>
    <w:rsid w:val="008E5EFD"/>
    <w:rsid w:val="008E7068"/>
    <w:rsid w:val="008F4A14"/>
    <w:rsid w:val="008F5AFD"/>
    <w:rsid w:val="008F6658"/>
    <w:rsid w:val="008F79EC"/>
    <w:rsid w:val="00902868"/>
    <w:rsid w:val="0090360B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67213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4DCE"/>
    <w:rsid w:val="009958C0"/>
    <w:rsid w:val="009A1D61"/>
    <w:rsid w:val="009A298D"/>
    <w:rsid w:val="009A3377"/>
    <w:rsid w:val="009A78F0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36A43"/>
    <w:rsid w:val="00A40786"/>
    <w:rsid w:val="00A442D0"/>
    <w:rsid w:val="00A446E2"/>
    <w:rsid w:val="00A45762"/>
    <w:rsid w:val="00A45B87"/>
    <w:rsid w:val="00A46F6B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B7DB0"/>
    <w:rsid w:val="00BC107F"/>
    <w:rsid w:val="00BC1513"/>
    <w:rsid w:val="00BC2711"/>
    <w:rsid w:val="00BC49E8"/>
    <w:rsid w:val="00BD1CFF"/>
    <w:rsid w:val="00BD24F1"/>
    <w:rsid w:val="00BD608A"/>
    <w:rsid w:val="00BD793A"/>
    <w:rsid w:val="00BD7A36"/>
    <w:rsid w:val="00BE6AC4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500B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43F2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A32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E594E"/>
    <w:rsid w:val="00CF306A"/>
    <w:rsid w:val="00CF3C75"/>
    <w:rsid w:val="00CF4BD1"/>
    <w:rsid w:val="00CF66B5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044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48CE"/>
    <w:rsid w:val="00DB01EC"/>
    <w:rsid w:val="00DB033A"/>
    <w:rsid w:val="00DB38A5"/>
    <w:rsid w:val="00DB61A5"/>
    <w:rsid w:val="00DB7DDB"/>
    <w:rsid w:val="00DC235A"/>
    <w:rsid w:val="00DC2C28"/>
    <w:rsid w:val="00DC423C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379D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052C6"/>
    <w:rsid w:val="00E10A87"/>
    <w:rsid w:val="00E1380C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5650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91D94"/>
    <w:rsid w:val="00E940DF"/>
    <w:rsid w:val="00E94154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1F3E"/>
    <w:rsid w:val="00ED6FE2"/>
    <w:rsid w:val="00ED7412"/>
    <w:rsid w:val="00ED76D2"/>
    <w:rsid w:val="00EE00B8"/>
    <w:rsid w:val="00EE6CA0"/>
    <w:rsid w:val="00EE771E"/>
    <w:rsid w:val="00EF2098"/>
    <w:rsid w:val="00EF7B4B"/>
    <w:rsid w:val="00F0756A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footnote reference" w:uiPriority="0" w:qFormat="1"/>
    <w:lsdException w:name="endnote reference" w:uiPriority="1"/>
    <w:lsdException w:name="endnote text" w:uiPriority="1"/>
    <w:lsdException w:name="List Bulle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hu-HU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rsid w:val="0095041F"/>
    <w:rPr>
      <w:rFonts w:ascii="Arial" w:hAnsi="Arial"/>
      <w:color w:val="000000"/>
      <w:sz w:val="18"/>
      <w:lang w:eastAsia="hu-HU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hu-HU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hu-HU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hu-HU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hu-HU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hu-HU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hu-HU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hu-HU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hu-HU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hu-HU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hu-HU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hu-HU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hu-HU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hu-HU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hu-HU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hu-HU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hu-HU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hu-HU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hu-HU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hu-HU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hu-HU" w:eastAsia="hu-HU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hu-HU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numPr>
        <w:numId w:val="21"/>
      </w:numPr>
      <w:spacing w:after="24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hu-HU" w:eastAsia="hu-HU" w:bidi="hu-HU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hu-HU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hu-HU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hu-HU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hu-HU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hu-HU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footnote reference" w:uiPriority="0" w:qFormat="1"/>
    <w:lsdException w:name="endnote reference" w:uiPriority="1"/>
    <w:lsdException w:name="endnote text" w:uiPriority="1"/>
    <w:lsdException w:name="List Bulle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hu-HU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rsid w:val="0095041F"/>
    <w:rPr>
      <w:rFonts w:ascii="Arial" w:hAnsi="Arial"/>
      <w:color w:val="000000"/>
      <w:sz w:val="18"/>
      <w:lang w:eastAsia="hu-HU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hu-HU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hu-HU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hu-HU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hu-HU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hu-HU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hu-HU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hu-HU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hu-HU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hu-HU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hu-HU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hu-HU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hu-HU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hu-HU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hu-HU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hu-HU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hu-HU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hu-HU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hu-HU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hu-HU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hu-HU" w:eastAsia="hu-HU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hu-HU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numPr>
        <w:numId w:val="21"/>
      </w:numPr>
      <w:spacing w:after="24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hu-HU" w:eastAsia="hu-HU" w:bidi="hu-HU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hu-HU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hu-HU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hu-HU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hu-HU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hu-HU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FE63F-1C4D-4A6E-A47A-A0626FE458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4CA216-79B1-41AB-8DE1-DE9B72EFA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7AB256-3F61-44D6-A4A8-BA96159D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47</Pages>
  <Words>15171</Words>
  <Characters>113266</Characters>
  <Application>Microsoft Office Word</Application>
  <DocSecurity>0</DocSecurity>
  <Lines>3539</Lines>
  <Paragraphs>1668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126769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LASANCZ Judit (DGT)</cp:lastModifiedBy>
  <cp:revision>13</cp:revision>
  <cp:lastPrinted>2015-04-10T08:05:00Z</cp:lastPrinted>
  <dcterms:created xsi:type="dcterms:W3CDTF">2018-02-06T16:20:00Z</dcterms:created>
  <dcterms:modified xsi:type="dcterms:W3CDTF">2018-09-06T12:46:00Z</dcterms:modified>
</cp:coreProperties>
</file>