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0D" w:rsidRPr="00F60AC1" w:rsidRDefault="00CE3D39" w:rsidP="00F60AC1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80FD8654-30BD-44AC-84CF-762220123D5D" style="width:450.6pt;height:381.6pt">
            <v:imagedata r:id="rId9" o:title=""/>
          </v:shape>
        </w:pict>
      </w:r>
    </w:p>
    <w:p w:rsidR="00075C77" w:rsidRPr="00F60AC1" w:rsidRDefault="00075C77">
      <w:pPr>
        <w:sectPr w:rsidR="00075C77" w:rsidRPr="00F60AC1" w:rsidSect="005415D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075C77" w:rsidRPr="00F60AC1" w:rsidRDefault="00F60AC1" w:rsidP="00F60AC1">
      <w:pPr>
        <w:pStyle w:val="Typedudocument"/>
      </w:pPr>
      <w:r>
        <w:t>PROVEDBENA UREDBA KOMISIJE (EU) …/...</w:t>
      </w:r>
    </w:p>
    <w:p w:rsidR="00075C77" w:rsidRPr="00F60AC1" w:rsidRDefault="00F60AC1" w:rsidP="00F60AC1">
      <w:pPr>
        <w:pStyle w:val="Datedadoption"/>
      </w:pPr>
      <w:r>
        <w:t xml:space="preserve">оd </w:t>
      </w:r>
      <w:r w:rsidRPr="000F662B">
        <w:rPr>
          <w:color w:val="FF0000"/>
        </w:rPr>
        <w:t>XXX</w:t>
      </w:r>
    </w:p>
    <w:p w:rsidR="00075C77" w:rsidRPr="00F60AC1" w:rsidRDefault="00F60AC1" w:rsidP="00F60AC1">
      <w:pPr>
        <w:pStyle w:val="Titreobjet"/>
      </w:pPr>
      <w:r w:rsidRPr="00F60AC1">
        <w:t>o izmjeni Provedbene uredbe (EU) br. 680/2014 u pogledu bonitetnog vrednovanja za potrebe nadzornog izvješćivanja</w:t>
      </w:r>
    </w:p>
    <w:p w:rsidR="00F16FEC" w:rsidRPr="00F60AC1" w:rsidRDefault="00F60AC1" w:rsidP="00F60AC1">
      <w:pPr>
        <w:pStyle w:val="IntrtEEE"/>
      </w:pPr>
      <w:r w:rsidRPr="00F60AC1">
        <w:t>(Tekst značajan za EGP)</w:t>
      </w:r>
    </w:p>
    <w:p w:rsidR="00075C77" w:rsidRPr="00F60AC1" w:rsidRDefault="00075C77" w:rsidP="004E1EF9">
      <w:pPr>
        <w:pStyle w:val="Institutionquiagit"/>
      </w:pPr>
      <w:r w:rsidRPr="00F60AC1">
        <w:t>EUROPSKA KOMISIJA,</w:t>
      </w:r>
    </w:p>
    <w:p w:rsidR="00075C77" w:rsidRPr="00F60AC1" w:rsidRDefault="00075C77" w:rsidP="004E1EF9">
      <w:r w:rsidRPr="00F60AC1">
        <w:rPr>
          <w:color w:val="000000"/>
        </w:rPr>
        <w:t>uzimajući u obzir Ugovor o funkcioniranju Europske unije</w:t>
      </w:r>
      <w:r w:rsidRPr="00F60AC1">
        <w:t>,</w:t>
      </w:r>
    </w:p>
    <w:p w:rsidR="00075C77" w:rsidRPr="00F60AC1" w:rsidRDefault="00075C77" w:rsidP="004E1EF9">
      <w:r w:rsidRPr="00F60AC1">
        <w:t>uzimajući u obzir Uredbu (EU) br. 575/2013 Europskog parlamenta i Vijeća od 26. lipnja 2013. o bonitetnim zahtjevima za kreditne institucije i investicijska društva i o izmjeni Uredbe (EU) br. 648/2012</w:t>
      </w:r>
      <w:r w:rsidRPr="00F60AC1">
        <w:rPr>
          <w:rStyle w:val="FootnoteReference"/>
        </w:rPr>
        <w:footnoteReference w:id="2"/>
      </w:r>
      <w:r w:rsidRPr="00F60AC1">
        <w:t>, a posebno njezin članak 99. stavak 5. četvrti podstavak, članak 99. stavak 6. četvrti podstavak, članak 394. stavak 4. treći podstavak, članak 415. stavak 3. četvrti podstavak i članak 430. stavak 2. treći podstavak,</w:t>
      </w:r>
    </w:p>
    <w:p w:rsidR="00075C77" w:rsidRPr="00F60AC1" w:rsidRDefault="00075C77" w:rsidP="004E1EF9">
      <w:r w:rsidRPr="00F60AC1">
        <w:t>budući da:</w:t>
      </w:r>
    </w:p>
    <w:p w:rsidR="00075C77" w:rsidRPr="00F60AC1" w:rsidRDefault="00075C77" w:rsidP="003C1FB8">
      <w:pPr>
        <w:pStyle w:val="Considrant"/>
        <w:numPr>
          <w:ilvl w:val="0"/>
          <w:numId w:val="1"/>
        </w:numPr>
        <w:rPr>
          <w:noProof/>
          <w:color w:val="000000"/>
        </w:rPr>
      </w:pPr>
      <w:r w:rsidRPr="00F60AC1">
        <w:rPr>
          <w:noProof/>
          <w:color w:val="000000"/>
        </w:rPr>
        <w:t>Provedbenom uredbom Komisije (EU) br. 680/2014</w:t>
      </w:r>
      <w:r w:rsidRPr="00F60AC1">
        <w:rPr>
          <w:rStyle w:val="FootnoteReference"/>
          <w:noProof/>
          <w:color w:val="000000"/>
        </w:rPr>
        <w:footnoteReference w:id="3"/>
      </w:r>
      <w:r w:rsidRPr="00F60AC1">
        <w:rPr>
          <w:noProof/>
          <w:color w:val="000000"/>
        </w:rPr>
        <w:t xml:space="preserve"> određuju se modaliteti prema kojima su institucije dužne izvješćivati o svojoj usklađenosti s Uredbom (EU) br. 575/2013. Regulatorni okvir utvrđen Uredbom (EU) br. 575/2013 postupno se dopunjuje i mijenja u dijelovima koji nisu ključni donošenjem dodatnih regulatornih tehničkih standarda. Potrebno je ažurirati Provedbenu uredbu (EU) br. 680/2014 kako bi se uzele u obzir te promjene.</w:t>
      </w:r>
    </w:p>
    <w:p w:rsidR="00075C77" w:rsidRPr="00F60AC1" w:rsidRDefault="00075C77" w:rsidP="00075C77">
      <w:pPr>
        <w:pStyle w:val="Considrant"/>
        <w:rPr>
          <w:color w:val="000000"/>
        </w:rPr>
      </w:pPr>
      <w:r w:rsidRPr="00F60AC1">
        <w:rPr>
          <w:color w:val="000000"/>
        </w:rPr>
        <w:t>Uredba (EU) br. 575/2013 dopunjena je donošenjem Delegirane uredbe Komisije (EU) 2016/101</w:t>
      </w:r>
      <w:r w:rsidRPr="00F60AC1">
        <w:rPr>
          <w:rStyle w:val="FootnoteReference"/>
          <w:color w:val="000000"/>
        </w:rPr>
        <w:footnoteReference w:id="4"/>
      </w:r>
      <w:r w:rsidRPr="00F60AC1">
        <w:rPr>
          <w:color w:val="000000"/>
        </w:rPr>
        <w:t xml:space="preserve"> u pogledu bonitetnog vrednovanja te Uredbom Europskog parlamenta i Vijeća (EU) 2017/2401</w:t>
      </w:r>
      <w:r w:rsidRPr="00F60AC1">
        <w:rPr>
          <w:rStyle w:val="FootnoteReference"/>
          <w:color w:val="000000"/>
        </w:rPr>
        <w:footnoteReference w:id="5"/>
      </w:r>
      <w:r w:rsidRPr="00F60AC1">
        <w:rPr>
          <w:color w:val="000000"/>
        </w:rPr>
        <w:t xml:space="preserve"> u pogledu sekuritizacije. Provedbenu uredbu (EU) br. 680/2014 trebalo bi ažurirati kako bi se uzele u obzir te promjene i osigurala dodatna preciznost uputa i definicija koje se koriste za potrebe nadzornog izvješćivanja institucija. Trebalo bi pojasniti i određena upućivanja i neusklađenosti u formatiranju koji su se pokazali netočni tijekom primjene Provedbene uredbe (EU) br. 680/2014.</w:t>
      </w:r>
    </w:p>
    <w:p w:rsidR="00075C77" w:rsidRPr="00F60AC1" w:rsidRDefault="00195568" w:rsidP="00075C77">
      <w:pPr>
        <w:pStyle w:val="Considrant"/>
        <w:rPr>
          <w:noProof/>
          <w:color w:val="000000"/>
        </w:rPr>
      </w:pPr>
      <w:r w:rsidRPr="00F60AC1">
        <w:rPr>
          <w:noProof/>
          <w:color w:val="000000"/>
        </w:rPr>
        <w:t>Delegiranom uredbom Komisije (EU) 2016/101 utvrđuju se zahtjevi koji se odnose na bonitetne prilagodbe vrednovanja pozicija po fer vrijednosti. Njome se predviđaju dva pristupa za provedbu zahtjeva za bonitetno vrednovanje: osnovni pristup i pojednostavljeni pristup. Kako bi se pratila usklađenost institucija s tim zahtjevima i ocijenio učinak te uredbe na prilagodbe vrednovanja, potrebno je dodatno izvješćivanje koje se odnosi na zahtjeve za bonitetno vrednovanje.</w:t>
      </w:r>
    </w:p>
    <w:p w:rsidR="00075C77" w:rsidRPr="00F60AC1" w:rsidRDefault="00075C77" w:rsidP="00075C77">
      <w:pPr>
        <w:pStyle w:val="Considrant"/>
        <w:rPr>
          <w:noProof/>
          <w:color w:val="000000"/>
        </w:rPr>
      </w:pPr>
      <w:r w:rsidRPr="00F60AC1">
        <w:rPr>
          <w:color w:val="000000"/>
        </w:rPr>
        <w:t>Uredbom (EU) 2017/2401 izmjenjuje se Uredba (EU) br. 575/2013 kako bi tretman kapitala za sekuritizacije bio osjetljiviji na rizik i mogao primjereno odraziti specifične značajke jednostavnih, transparentnih i standardiziranih sekuritizacija. Trebalo bi izmijeniti Provedbenu uredbu (EU) br. 680/2014 kako bi se prilagodila izvješćivanju o sekuritizacijskim pozicijama na koje se primjenjuje taj revidirani sekuritizacijski okvir.</w:t>
      </w:r>
    </w:p>
    <w:p w:rsidR="00075C77" w:rsidRPr="00F60AC1" w:rsidRDefault="00075C77" w:rsidP="00075C77">
      <w:pPr>
        <w:pStyle w:val="Considrant"/>
        <w:rPr>
          <w:noProof/>
          <w:color w:val="000000"/>
        </w:rPr>
      </w:pPr>
      <w:r w:rsidRPr="00F60AC1">
        <w:rPr>
          <w:noProof/>
          <w:color w:val="000000"/>
        </w:rPr>
        <w:t>Izmjene Provedbene uredbe (EU) br. 680/2014 potrebne su i kako bi se poboljšala sposobnost nadležnih tijela da učinkovito prate i procjenjuju profile rizičnosti institucija i dobio uvid u rizike kojima je izložen financijski sektor, što zahtijeva manje promjene u zahtjevima za izvješćivanje o geografskoj distribuciji izloženosti.</w:t>
      </w:r>
    </w:p>
    <w:p w:rsidR="00075C77" w:rsidRPr="00F60AC1" w:rsidRDefault="00075C77" w:rsidP="00075C77">
      <w:pPr>
        <w:pStyle w:val="Considrant"/>
        <w:rPr>
          <w:noProof/>
        </w:rPr>
      </w:pPr>
      <w:r w:rsidRPr="00F60AC1">
        <w:t xml:space="preserve">Ova se Uredba temelji na nacrtu provedbenih tehničkih standarda koji je Komisiji dostavilo Europsko nadzorno tijelo za bankarstvo (EBA). </w:t>
      </w:r>
    </w:p>
    <w:p w:rsidR="00075C77" w:rsidRPr="00F60AC1" w:rsidRDefault="00075C77" w:rsidP="00075C77">
      <w:pPr>
        <w:pStyle w:val="Considrant"/>
        <w:rPr>
          <w:noProof/>
        </w:rPr>
      </w:pPr>
      <w:r w:rsidRPr="00F60AC1">
        <w:t>EBA je provela otvorena javna savjetovanja o nacrtu provedbenih tehničkih standarda na kojima se temelji ova Uredba, koji se odnose na bonitetno vrednovanje i ukupnu geografsku raščlambu, analizirala je moguće povezane troškove i koristi te u vezi s tim zatražila mišljenje Interesne skupine za bankarstvo osnovane u skladu s člankom 37. Uredbe (EU) br. 1093/2010 Europskog parlamenta i Vijeća</w:t>
      </w:r>
      <w:r w:rsidRPr="00F60AC1">
        <w:rPr>
          <w:rStyle w:val="FootnoteReference"/>
          <w:noProof/>
        </w:rPr>
        <w:footnoteReference w:id="6"/>
      </w:r>
      <w:r w:rsidRPr="00F60AC1">
        <w:t>. U skladu s člankom 15. stavkom 1. drugim podstavkom te Uredbe EBA nije provela otvoreno javno savjetovanje u pogledu onih dijelova nacrta provedbenih tehničkih standarda na kojima se temelji ova Uredba koji su uredničke prirode ili uvode samo ograničeni broj stavki u okvir za nadzorno izvješćivanje jer bi takvo savjetovanje bilo nerazmjerno s obzirom na područje primjene i učinak predmetnog nacrta provedbenih tehničkih standarda.</w:t>
      </w:r>
    </w:p>
    <w:p w:rsidR="00075C77" w:rsidRPr="00F60AC1" w:rsidRDefault="00075C77" w:rsidP="00075C77">
      <w:pPr>
        <w:pStyle w:val="Considrant"/>
      </w:pPr>
      <w:r w:rsidRPr="00F60AC1">
        <w:t>Provedbenu uredbu (EU) br. 680/2014 trebalo bi stoga na odgovarajući način izmijeniti,</w:t>
      </w:r>
    </w:p>
    <w:p w:rsidR="00075C77" w:rsidRPr="00F60AC1" w:rsidRDefault="00075C77" w:rsidP="004E1EF9">
      <w:pPr>
        <w:pStyle w:val="Formuledadoption"/>
      </w:pPr>
      <w:r w:rsidRPr="00F60AC1">
        <w:t>DONIJELA JE OVU UREDBU:</w:t>
      </w:r>
    </w:p>
    <w:p w:rsidR="00075C77" w:rsidRPr="00F60AC1" w:rsidRDefault="00075C77" w:rsidP="004E1EF9">
      <w:pPr>
        <w:pStyle w:val="Titrearticle"/>
      </w:pPr>
      <w:r w:rsidRPr="00F60AC1">
        <w:t>Članak 1.</w:t>
      </w:r>
    </w:p>
    <w:p w:rsidR="00075C77" w:rsidRPr="00F60AC1" w:rsidRDefault="00075C77" w:rsidP="00075C77">
      <w:pPr>
        <w:rPr>
          <w:noProof/>
        </w:rPr>
      </w:pPr>
      <w:r w:rsidRPr="00F60AC1">
        <w:t>Provedbena uredba (EU) br. 680/2014 mijenja se kako slijedi:</w:t>
      </w:r>
    </w:p>
    <w:p w:rsidR="00591517" w:rsidRPr="00F60AC1" w:rsidRDefault="00591517" w:rsidP="00591517">
      <w:pPr>
        <w:pStyle w:val="Point0number"/>
        <w:numPr>
          <w:ilvl w:val="0"/>
          <w:numId w:val="3"/>
        </w:numPr>
        <w:rPr>
          <w:noProof/>
        </w:rPr>
      </w:pPr>
      <w:r w:rsidRPr="00F60AC1">
        <w:t>članak 5. mijenja se kako slijedi:</w:t>
      </w:r>
    </w:p>
    <w:p w:rsidR="00591517" w:rsidRPr="00F60AC1" w:rsidRDefault="00591517" w:rsidP="00703993">
      <w:pPr>
        <w:pStyle w:val="Point1letter"/>
      </w:pPr>
      <w:r w:rsidRPr="00F60AC1">
        <w:t>stavak (a) mijenja se kako slijedi:</w:t>
      </w:r>
    </w:p>
    <w:p w:rsidR="00075C77" w:rsidRPr="00F60AC1" w:rsidRDefault="008F3946" w:rsidP="00BC47EF">
      <w:pPr>
        <w:pStyle w:val="Point1"/>
      </w:pPr>
      <w:r w:rsidRPr="00F60AC1">
        <w:t xml:space="preserve">i. </w:t>
      </w:r>
      <w:r w:rsidRPr="00F60AC1">
        <w:tab/>
        <w:t>točka 4. zamjenjuje se sljedećim:</w:t>
      </w:r>
    </w:p>
    <w:p w:rsidR="00075C77" w:rsidRPr="00F60AC1" w:rsidRDefault="00EA38CD" w:rsidP="00C34F30">
      <w:pPr>
        <w:pStyle w:val="Text2"/>
        <w:rPr>
          <w:noProof/>
        </w:rPr>
      </w:pPr>
      <w:r w:rsidRPr="00F60AC1">
        <w:t>„(4)</w:t>
      </w:r>
      <w:r w:rsidRPr="00F60AC1">
        <w:tab/>
        <w:t>informacije o geografskoj distribuciji izloženosti po zemljama te agregiranima na ukupnoj razini, kako je navedeno u obrascu 9. u Prilogu I., u skladu s uputama iz Priloga II. dijela II. točke 3.4. Posebno u pogledu informacija navedenih u obrascima 9.1. i 9.2., informacije o geografskoj distribuciji izloženosti po zemljama izvješćuju se ako su inozemne originalne izloženosti u svim „inozemnim” zemljama i svim kategorijama izloženosti, kako je navedeno u retku 850 obrasca 4. u Prilogu I., jednake ili veće od 10 % ukupnih domaćih i inozemnih originalnih izloženosti navedenih u retku 860 obrasca 4. u Prilogu I. U tu se svrhu domaćim izloženostima smatraju izloženosti prema drugim ugovornim stranama koje se nalaze u državi članici u kojoj se nalazi institucija. Primjenjuju se ulazni i izlazni kriteriji iz članka 4.;”;</w:t>
      </w:r>
    </w:p>
    <w:p w:rsidR="00075C77" w:rsidRPr="00F60AC1" w:rsidRDefault="008F3946" w:rsidP="00BC47EF">
      <w:pPr>
        <w:pStyle w:val="Point1"/>
        <w:rPr>
          <w:noProof/>
        </w:rPr>
      </w:pPr>
      <w:r w:rsidRPr="00F60AC1">
        <w:t xml:space="preserve">ii. </w:t>
      </w:r>
      <w:r w:rsidRPr="00F60AC1">
        <w:tab/>
        <w:t>dodaje se sljedeća točka 12.:</w:t>
      </w:r>
    </w:p>
    <w:p w:rsidR="00075C77" w:rsidRPr="00F60AC1" w:rsidRDefault="00EA38CD" w:rsidP="00C34F30">
      <w:pPr>
        <w:pStyle w:val="Text2"/>
        <w:rPr>
          <w:noProof/>
        </w:rPr>
      </w:pPr>
      <w:r w:rsidRPr="00F60AC1">
        <w:t>„(12)</w:t>
      </w:r>
      <w:r w:rsidRPr="00F60AC1">
        <w:tab/>
        <w:t>informacije o bonitetnom vrednovanju navedene u obrascu 32. u Prilogu I. u skladu s uputama iz Priloga II. dijela II. točke 6. kako slijedi:</w:t>
      </w:r>
    </w:p>
    <w:p w:rsidR="00075C77" w:rsidRPr="00F60AC1" w:rsidRDefault="008D3748" w:rsidP="00BC47EF">
      <w:pPr>
        <w:pStyle w:val="Text4"/>
        <w:rPr>
          <w:noProof/>
        </w:rPr>
      </w:pPr>
      <w:r w:rsidRPr="00F60AC1">
        <w:t>i. sve institucije izvješćuju o informacijama navedenima u obrascu 32.1 u Prilogu I. u skladu s uputama iz Priloga II. dijela II. točke 6.;</w:t>
      </w:r>
    </w:p>
    <w:p w:rsidR="00075C77" w:rsidRPr="00F60AC1" w:rsidRDefault="008D3748" w:rsidP="00BC47EF">
      <w:pPr>
        <w:pStyle w:val="Text4"/>
        <w:rPr>
          <w:noProof/>
        </w:rPr>
      </w:pPr>
      <w:r w:rsidRPr="00F60AC1">
        <w:t>ii. uz izvješćivanje iz podtočke i., institucije koje primjenjuju osnovni pristup na temelju Uredbe (EU) 2016/101 izvješćuju i o informacijama navedenima u obrascu 32.2 u Prilogu I. u skladu s uputama iz Priloga II. dijela II. točke 6.;</w:t>
      </w:r>
    </w:p>
    <w:p w:rsidR="00075C77" w:rsidRPr="00F60AC1" w:rsidRDefault="008D3748" w:rsidP="00BC47EF">
      <w:pPr>
        <w:pStyle w:val="Text4"/>
        <w:rPr>
          <w:noProof/>
        </w:rPr>
      </w:pPr>
      <w:r w:rsidRPr="00F60AC1">
        <w:t>iii. uz zahtjeve iz podtočaka i. i ii. institucije koje primjenjuju osnovni pristup na temelju Uredbe (EU) 2016/101 i koje prelaze prag iz članka 4. stavka 1. te Uredbe na svojoj razini izvješćivanja, izvješćuju i o informacijama navedenima u obrascima 32.3. i 32.4. u Prilogu I. u skladu s uputama iz Priloga II. dijela II. točke 6.;</w:t>
      </w:r>
    </w:p>
    <w:p w:rsidR="00075C77" w:rsidRPr="00F60AC1" w:rsidRDefault="00591517" w:rsidP="00703993">
      <w:pPr>
        <w:pStyle w:val="Text2"/>
        <w:rPr>
          <w:noProof/>
        </w:rPr>
      </w:pPr>
      <w:r w:rsidRPr="00F60AC1">
        <w:t>Za potrebe stavka (a) točke12. ne primjenjuju se ulazni i izlazni kriteriji iz članka 4.”;</w:t>
      </w:r>
    </w:p>
    <w:p w:rsidR="00591517" w:rsidRPr="00F60AC1" w:rsidRDefault="00591517" w:rsidP="00703993">
      <w:pPr>
        <w:pStyle w:val="Point1letter"/>
        <w:rPr>
          <w:noProof/>
        </w:rPr>
      </w:pPr>
      <w:r w:rsidRPr="00F60AC1">
        <w:t>stavak (b) mijenja se kako slijedi:</w:t>
      </w:r>
    </w:p>
    <w:p w:rsidR="00075C77" w:rsidRPr="00F60AC1" w:rsidRDefault="00075C77" w:rsidP="00BC47EF">
      <w:pPr>
        <w:pStyle w:val="Text1"/>
        <w:rPr>
          <w:noProof/>
        </w:rPr>
      </w:pPr>
      <w:r w:rsidRPr="00F60AC1">
        <w:t>u točki 3. podtočkama (a), (b) i (c) riječi „Priloga II. dijela II. točke 6.” zamjenjuju se riječima „Priloga II. dijela II. točke 7.”;</w:t>
      </w:r>
    </w:p>
    <w:p w:rsidR="00075C77" w:rsidRPr="00F60AC1" w:rsidRDefault="00FA5963" w:rsidP="00075C77">
      <w:pPr>
        <w:pStyle w:val="Point0number"/>
        <w:rPr>
          <w:noProof/>
        </w:rPr>
      </w:pPr>
      <w:r w:rsidRPr="00F60AC1">
        <w:t>u članku 9. stavku 2. točka (d) zamjenjuje se sljedećom:</w:t>
      </w:r>
    </w:p>
    <w:p w:rsidR="00075C77" w:rsidRPr="00F60AC1" w:rsidRDefault="00EA38CD" w:rsidP="00C34F30">
      <w:pPr>
        <w:pStyle w:val="Text1"/>
        <w:rPr>
          <w:noProof/>
        </w:rPr>
      </w:pPr>
      <w:r w:rsidRPr="00F60AC1">
        <w:t>„(d)</w:t>
      </w:r>
      <w:r w:rsidRPr="00F60AC1">
        <w:tab/>
        <w:t>informacije iz obrasca 20. u Prilogu III. dijelu 2. tromjesečno ako institucija prelazi prag utvrđen u članku 5. stavku (a) točki 4. drugoj rečenici. Primjenjuju se ulazni i izlazni kriteriji iz članka 4.;”;</w:t>
      </w:r>
    </w:p>
    <w:p w:rsidR="00075C77" w:rsidRPr="00F60AC1" w:rsidRDefault="00075C77" w:rsidP="00075C77">
      <w:pPr>
        <w:pStyle w:val="Point0number"/>
        <w:rPr>
          <w:noProof/>
        </w:rPr>
      </w:pPr>
      <w:r w:rsidRPr="00F60AC1">
        <w:t xml:space="preserve">Prilog I. Provedbenoj uredbi (EU) br. 680/2014 zamjenjuje se tekstom iz Priloga I. ovoj Uredbi; </w:t>
      </w:r>
    </w:p>
    <w:p w:rsidR="00075C77" w:rsidRPr="00F60AC1" w:rsidRDefault="00075C77" w:rsidP="00075C77">
      <w:pPr>
        <w:pStyle w:val="Point0number"/>
        <w:rPr>
          <w:noProof/>
        </w:rPr>
      </w:pPr>
      <w:r w:rsidRPr="00F60AC1">
        <w:t xml:space="preserve">Prilog II. Provedbenoj uredbi (EU) br. 680/2014 zamjenjuje se tekstom iz Priloga II. ovoj Uredbi; </w:t>
      </w:r>
    </w:p>
    <w:p w:rsidR="00075C77" w:rsidRPr="00F60AC1" w:rsidRDefault="00075C77" w:rsidP="00075C77">
      <w:pPr>
        <w:pStyle w:val="Point0number"/>
        <w:rPr>
          <w:noProof/>
        </w:rPr>
      </w:pPr>
      <w:r w:rsidRPr="00F60AC1">
        <w:t>Prilog V. Provedbenoj uredbi (EU) br. 680/2014 zamjenjuje se tekstom iz Priloga III. ovoj Uredbi;</w:t>
      </w:r>
    </w:p>
    <w:p w:rsidR="00075C77" w:rsidRPr="00F60AC1" w:rsidRDefault="00075C77" w:rsidP="00075C77">
      <w:pPr>
        <w:pStyle w:val="Point0number"/>
        <w:rPr>
          <w:noProof/>
        </w:rPr>
      </w:pPr>
      <w:r w:rsidRPr="00F60AC1">
        <w:t>Prilog IX. Provedbenoj uredbi (EU) br. 680/2014 zamjenjuje se tekstom iz Priloga IV. ovoj Uredbi;</w:t>
      </w:r>
    </w:p>
    <w:p w:rsidR="00075C77" w:rsidRPr="00F60AC1" w:rsidRDefault="00075C77" w:rsidP="00075C77">
      <w:pPr>
        <w:pStyle w:val="Point0number"/>
        <w:rPr>
          <w:noProof/>
        </w:rPr>
      </w:pPr>
      <w:r w:rsidRPr="00F60AC1">
        <w:t>Prilog XI. Provedbenoj uredbi (EU) br. 680/2014 zamjenjuje se tekstom iz Priloga V. ovoj Uredbi;</w:t>
      </w:r>
    </w:p>
    <w:p w:rsidR="00075C77" w:rsidRPr="00F60AC1" w:rsidRDefault="00075C77" w:rsidP="00075C77">
      <w:pPr>
        <w:pStyle w:val="Point0number"/>
        <w:rPr>
          <w:noProof/>
        </w:rPr>
      </w:pPr>
      <w:r w:rsidRPr="00F60AC1">
        <w:t>Prilog XVI. Provedbenoj uredbi (EU) br. 680/2014 zamjenjuje se Prilogom VI. ovoj Uredbi;</w:t>
      </w:r>
    </w:p>
    <w:p w:rsidR="00075C77" w:rsidRPr="00F60AC1" w:rsidRDefault="00075C77" w:rsidP="00075C77">
      <w:pPr>
        <w:pStyle w:val="Point0number"/>
        <w:rPr>
          <w:noProof/>
        </w:rPr>
      </w:pPr>
      <w:r w:rsidRPr="00F60AC1">
        <w:t>Prilog XIX. Provedbenoj uredbi (EU) br. 680/2014 zamjenjuje se tekstom iz Priloga VII. ovoj Uredbi;</w:t>
      </w:r>
    </w:p>
    <w:p w:rsidR="00075C77" w:rsidRPr="00F60AC1" w:rsidRDefault="00075C77" w:rsidP="00075C77">
      <w:pPr>
        <w:pStyle w:val="Point0number"/>
        <w:rPr>
          <w:noProof/>
        </w:rPr>
      </w:pPr>
      <w:r w:rsidRPr="00F60AC1">
        <w:t>Prilog XXI. Provedbenoj uredbi (EU) br. 680/2014 zamjenjuje se tekstom iz Priloga VIII. ovoj Uredbi;</w:t>
      </w:r>
    </w:p>
    <w:p w:rsidR="00075C77" w:rsidRPr="00F60AC1" w:rsidRDefault="00075C77" w:rsidP="00075C77">
      <w:pPr>
        <w:pStyle w:val="Point0number"/>
        <w:rPr>
          <w:noProof/>
        </w:rPr>
      </w:pPr>
      <w:r w:rsidRPr="00F60AC1">
        <w:t>Prilog XXII. Provedbenoj uredbi (EU) br. 680/2014 zamjenjuje se tekstom iz Priloga IX. ovoj Uredbi;</w:t>
      </w:r>
    </w:p>
    <w:p w:rsidR="00075C77" w:rsidRPr="00F60AC1" w:rsidRDefault="00075C77" w:rsidP="00075C77">
      <w:pPr>
        <w:pStyle w:val="Point0number"/>
      </w:pPr>
      <w:r w:rsidRPr="00F60AC1">
        <w:t>Prilog XXIII. Provedbenoj uredbi (EU) br. 680/2014 zamjenjuje se tekstom iz Priloga X. ovoj Uredbi.</w:t>
      </w:r>
    </w:p>
    <w:p w:rsidR="00075C77" w:rsidRPr="00F60AC1" w:rsidRDefault="00075C77" w:rsidP="004E1EF9">
      <w:pPr>
        <w:pStyle w:val="Titrearticle"/>
      </w:pPr>
      <w:r w:rsidRPr="00F60AC1">
        <w:t>Članak 2.</w:t>
      </w:r>
    </w:p>
    <w:p w:rsidR="00075C77" w:rsidRPr="00F60AC1" w:rsidRDefault="00075C77" w:rsidP="004E1EF9">
      <w:r w:rsidRPr="00F60AC1">
        <w:t xml:space="preserve">Ova Uredba stupa na snagu </w:t>
      </w:r>
      <w:r w:rsidRPr="00F60AC1">
        <w:rPr>
          <w:noProof/>
          <w:color w:val="000000"/>
        </w:rPr>
        <w:t xml:space="preserve">dvadesetog </w:t>
      </w:r>
      <w:r w:rsidRPr="00F60AC1">
        <w:t xml:space="preserve">dana od dana objave u </w:t>
      </w:r>
      <w:r w:rsidRPr="00F60AC1">
        <w:rPr>
          <w:i/>
        </w:rPr>
        <w:t>Službenom listu Europske unije</w:t>
      </w:r>
      <w:r w:rsidRPr="00F60AC1">
        <w:t>.</w:t>
      </w:r>
    </w:p>
    <w:p w:rsidR="00075C77" w:rsidRPr="00F60AC1" w:rsidRDefault="00075C77" w:rsidP="004E1EF9">
      <w:r w:rsidRPr="00F60AC1">
        <w:t>Primjenjuje se od 1. prosinca 2018.</w:t>
      </w:r>
    </w:p>
    <w:p w:rsidR="00075C77" w:rsidRPr="00F60AC1" w:rsidRDefault="00075C77" w:rsidP="004E1EF9">
      <w:pPr>
        <w:pStyle w:val="Applicationdirecte"/>
      </w:pPr>
      <w:r w:rsidRPr="00F60AC1">
        <w:t>Ova je Uredba u cijelosti obvezujuća i izravno se primjenjuje u svim državama članicama.</w:t>
      </w:r>
    </w:p>
    <w:p w:rsidR="00075C77" w:rsidRPr="00F60AC1" w:rsidRDefault="00F60AC1" w:rsidP="00F60AC1">
      <w:pPr>
        <w:pStyle w:val="Fait"/>
      </w:pPr>
      <w:r w:rsidRPr="00F60AC1">
        <w:t>Sastavljeno u Bruxellesu</w:t>
      </w:r>
    </w:p>
    <w:p w:rsidR="00C52F7E" w:rsidRPr="00F60AC1" w:rsidRDefault="00075C77" w:rsidP="00C52F7E">
      <w:pPr>
        <w:pStyle w:val="Institutionquisigne"/>
      </w:pPr>
      <w:r w:rsidRPr="00F60AC1">
        <w:tab/>
        <w:t>Za Komisiju</w:t>
      </w:r>
    </w:p>
    <w:p w:rsidR="00C52F7E" w:rsidRPr="00F60AC1" w:rsidRDefault="00C52F7E" w:rsidP="00B44BBC">
      <w:pPr>
        <w:pStyle w:val="Personnequisigne"/>
      </w:pPr>
      <w:r w:rsidRPr="00F60AC1">
        <w:tab/>
        <w:t>Predsjednik</w:t>
      </w:r>
    </w:p>
    <w:p w:rsidR="00075C77" w:rsidRPr="00F60AC1" w:rsidRDefault="00C52F7E" w:rsidP="00B44BBC">
      <w:pPr>
        <w:pStyle w:val="Personnequisigne"/>
      </w:pPr>
      <w:r w:rsidRPr="00F60AC1">
        <w:tab/>
        <w:t>Jean-Claude JUNCKER</w:t>
      </w:r>
      <w:r w:rsidRPr="00F60AC1">
        <w:tab/>
      </w:r>
      <w:r w:rsidRPr="00F60AC1">
        <w:br/>
      </w:r>
      <w:r w:rsidRPr="00F60AC1">
        <w:tab/>
      </w:r>
      <w:r w:rsidRPr="00F60AC1">
        <w:br/>
      </w:r>
    </w:p>
    <w:sectPr w:rsidR="00075C77" w:rsidRPr="00F60AC1" w:rsidSect="005415D7">
      <w:footerReference w:type="default" r:id="rId16"/>
      <w:footerReference w:type="first" r:id="rId17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546" w:rsidRDefault="00C72546" w:rsidP="00075C77">
      <w:pPr>
        <w:spacing w:before="0" w:after="0"/>
      </w:pPr>
      <w:r>
        <w:separator/>
      </w:r>
    </w:p>
  </w:endnote>
  <w:endnote w:type="continuationSeparator" w:id="0">
    <w:p w:rsidR="00C72546" w:rsidRDefault="00C72546" w:rsidP="00075C77">
      <w:pPr>
        <w:spacing w:before="0" w:after="0"/>
      </w:pPr>
      <w:r>
        <w:continuationSeparator/>
      </w:r>
    </w:p>
  </w:endnote>
  <w:endnote w:type="continuationNotice" w:id="1">
    <w:p w:rsidR="00C72546" w:rsidRDefault="00C7254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D7" w:rsidRPr="005415D7" w:rsidRDefault="005415D7" w:rsidP="005415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490" w:rsidRPr="005415D7" w:rsidRDefault="005415D7" w:rsidP="005415D7">
    <w:pPr>
      <w:pStyle w:val="Footer"/>
      <w:rPr>
        <w:rFonts w:ascii="Arial" w:hAnsi="Arial" w:cs="Arial"/>
        <w:b/>
        <w:sz w:val="48"/>
      </w:rPr>
    </w:pPr>
    <w:r w:rsidRPr="005415D7">
      <w:rPr>
        <w:rFonts w:ascii="Arial" w:hAnsi="Arial" w:cs="Arial"/>
        <w:b/>
        <w:sz w:val="48"/>
      </w:rPr>
      <w:t>HR</w:t>
    </w:r>
    <w:r w:rsidRPr="005415D7">
      <w:rPr>
        <w:rFonts w:ascii="Arial" w:hAnsi="Arial" w:cs="Arial"/>
        <w:b/>
        <w:sz w:val="48"/>
      </w:rPr>
      <w:tab/>
    </w:r>
    <w:r w:rsidRPr="005415D7">
      <w:rPr>
        <w:rFonts w:ascii="Arial" w:hAnsi="Arial" w:cs="Arial"/>
        <w:b/>
        <w:sz w:val="48"/>
      </w:rPr>
      <w:tab/>
    </w:r>
    <w:r w:rsidRPr="005415D7">
      <w:tab/>
    </w:r>
    <w:r w:rsidRPr="005415D7">
      <w:rPr>
        <w:rFonts w:ascii="Arial" w:hAnsi="Arial" w:cs="Arial"/>
        <w:b/>
        <w:sz w:val="48"/>
      </w:rPr>
      <w:t>HR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D7" w:rsidRPr="005415D7" w:rsidRDefault="005415D7" w:rsidP="005415D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D7" w:rsidRPr="005415D7" w:rsidRDefault="005415D7" w:rsidP="005415D7">
    <w:pPr>
      <w:pStyle w:val="Footer"/>
      <w:rPr>
        <w:rFonts w:ascii="Arial" w:hAnsi="Arial" w:cs="Arial"/>
        <w:b/>
        <w:sz w:val="48"/>
      </w:rPr>
    </w:pPr>
    <w:r w:rsidRPr="005415D7">
      <w:rPr>
        <w:rFonts w:ascii="Arial" w:hAnsi="Arial" w:cs="Arial"/>
        <w:b/>
        <w:sz w:val="48"/>
      </w:rPr>
      <w:t>HR</w:t>
    </w:r>
    <w:r w:rsidRPr="005415D7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5415D7">
      <w:tab/>
    </w:r>
    <w:r w:rsidRPr="005415D7">
      <w:rPr>
        <w:rFonts w:ascii="Arial" w:hAnsi="Arial" w:cs="Arial"/>
        <w:b/>
        <w:sz w:val="48"/>
      </w:rPr>
      <w:t>HR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D7" w:rsidRPr="005415D7" w:rsidRDefault="005415D7" w:rsidP="005415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546" w:rsidRDefault="00C72546" w:rsidP="00075C77">
      <w:pPr>
        <w:spacing w:before="0" w:after="0"/>
      </w:pPr>
      <w:r>
        <w:separator/>
      </w:r>
    </w:p>
  </w:footnote>
  <w:footnote w:type="continuationSeparator" w:id="0">
    <w:p w:rsidR="00C72546" w:rsidRDefault="00C72546" w:rsidP="00075C77">
      <w:pPr>
        <w:spacing w:before="0" w:after="0"/>
      </w:pPr>
      <w:r>
        <w:continuationSeparator/>
      </w:r>
    </w:p>
  </w:footnote>
  <w:footnote w:type="continuationNotice" w:id="1">
    <w:p w:rsidR="00C72546" w:rsidRDefault="00C72546">
      <w:pPr>
        <w:spacing w:before="0" w:after="0"/>
      </w:pPr>
    </w:p>
  </w:footnote>
  <w:footnote w:id="2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SL L 176, 27.6.2013., str. 1.</w:t>
      </w:r>
    </w:p>
  </w:footnote>
  <w:footnote w:id="3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Provedbena uredba Komisije (EU) br. 680/2014 o utvrđivanju provedbenih tehničkih standarda o nadzornom izvješćivanju institucija u skladu s Uredbom (EU) br. 575/2013 (SL L 191, 28.6.2014., str. 1.).</w:t>
      </w:r>
    </w:p>
  </w:footnote>
  <w:footnote w:id="4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Delegirana uredba Komisije (EU) 2016/101 оd 26. listopada 2015. o dopuni Uredbe (EU) br. 575/2013 Europskog parlamenta i Vijeća u pogledu regulatornih tehničkih standarda za bonitetno vrednovanje u skladu s člankom 105. stavkom 14. (SL L 21, 28.1.2016., str. 54.).</w:t>
      </w:r>
    </w:p>
  </w:footnote>
  <w:footnote w:id="5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Uredba (EU) 2017/2401 Europskog parlamenta i Vijeća od 12. prosinca 2017. o izmjeni Uredbe (EU) br. 575/2013 o bonitetnim zahtjevima za kreditne institucije i investicijska društva (SL L 347, 28.12.2017., str. 1.).</w:t>
      </w:r>
    </w:p>
  </w:footnote>
  <w:footnote w:id="6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Uredba (EU) br. 1093/2010 Europskog parlamenta i Vijeća od 24. studenoga 2020. o osnivanju europskog nadzornog tijela (Europskog nadzornog tijela za bankarstvo), kojom se izmjenjuje Odluka br. 716/2009/EZ i stavlja izvan snage Odluka Komisije 2009/78/EZ (SL L 331, 15.12.2010., str. 12.)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D7" w:rsidRPr="005415D7" w:rsidRDefault="005415D7" w:rsidP="005415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D7" w:rsidRPr="005415D7" w:rsidRDefault="005415D7" w:rsidP="005415D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D7" w:rsidRPr="005415D7" w:rsidRDefault="005415D7" w:rsidP="005415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4CB058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E3F2410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02C6A41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723AA5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3356B93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0D445FA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E18684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2C1EE9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18"/>
  </w:num>
  <w:num w:numId="12">
    <w:abstractNumId w:val="12"/>
  </w:num>
  <w:num w:numId="13">
    <w:abstractNumId w:val="20"/>
  </w:num>
  <w:num w:numId="14">
    <w:abstractNumId w:val="11"/>
  </w:num>
  <w:num w:numId="15">
    <w:abstractNumId w:val="13"/>
  </w:num>
  <w:num w:numId="16">
    <w:abstractNumId w:val="9"/>
  </w:num>
  <w:num w:numId="17">
    <w:abstractNumId w:val="19"/>
  </w:num>
  <w:num w:numId="18">
    <w:abstractNumId w:val="8"/>
  </w:num>
  <w:num w:numId="19">
    <w:abstractNumId w:val="14"/>
  </w:num>
  <w:num w:numId="20">
    <w:abstractNumId w:val="16"/>
  </w:num>
  <w:num w:numId="21">
    <w:abstractNumId w:val="17"/>
  </w:num>
  <w:num w:numId="22">
    <w:abstractNumId w:val="10"/>
  </w:num>
  <w:num w:numId="23">
    <w:abstractNumId w:val="15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attachedTemplate r:id="rId1"/>
  <w:defaultTabStop w:val="720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18-09-21 10:56:09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80FD8654-30BD-44AC-84CF-762220123D5D"/>
    <w:docVar w:name="LW_COVERPAGE_TYPE" w:val="1"/>
    <w:docVar w:name="LW_CROSSREFERENCE" w:val="&lt;UNUSED&gt;"/>
    <w:docVar w:name="LW_DATE.ADOPT.CP" w:val="\u1086?d XXX"/>
    <w:docVar w:name="LW_DATE.ADOPT.CP_DATEFORMAT" w:val="\u1086?d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les,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kst zna\u269?ajan za EGP)"/>
    <w:docVar w:name="LW_LANGUE" w:val="HR"/>
    <w:docVar w:name="LW_LANGUESFAISANTFOI.CP" w:val="&lt;UNUSED&gt;"/>
    <w:docVar w:name="LW_LEVEL_OF_SENSITIVITY" w:val="Standard treatment"/>
    <w:docVar w:name="LW_NOM.INST" w:val="EUROPSKA KOMISIJ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8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o izmjeni Provedbene uredbe (EU) br. 680/2014 u pogledu bonitetnog vrednovanja za potrebe nadzornog izvje\u353?\u263?ivanja"/>
    <w:docVar w:name="LW_TYPE.DOC.CP" w:val="PROVEDBENA UREDBA KOMISIJE (EU) \u8230?/..."/>
  </w:docVars>
  <w:rsids>
    <w:rsidRoot w:val="00075C77"/>
    <w:rsid w:val="000057D4"/>
    <w:rsid w:val="000059F6"/>
    <w:rsid w:val="00045213"/>
    <w:rsid w:val="00050818"/>
    <w:rsid w:val="00054D77"/>
    <w:rsid w:val="00075C77"/>
    <w:rsid w:val="000B1896"/>
    <w:rsid w:val="000B6375"/>
    <w:rsid w:val="000D4A87"/>
    <w:rsid w:val="000E01B6"/>
    <w:rsid w:val="000F662B"/>
    <w:rsid w:val="00114009"/>
    <w:rsid w:val="0011702C"/>
    <w:rsid w:val="00153178"/>
    <w:rsid w:val="00183733"/>
    <w:rsid w:val="00187556"/>
    <w:rsid w:val="00195568"/>
    <w:rsid w:val="001B4957"/>
    <w:rsid w:val="001B7B9B"/>
    <w:rsid w:val="001D5ED6"/>
    <w:rsid w:val="0021262B"/>
    <w:rsid w:val="002368E9"/>
    <w:rsid w:val="00245E42"/>
    <w:rsid w:val="00254390"/>
    <w:rsid w:val="00270069"/>
    <w:rsid w:val="002B2B93"/>
    <w:rsid w:val="002B7A5C"/>
    <w:rsid w:val="002C0C3E"/>
    <w:rsid w:val="002D47A7"/>
    <w:rsid w:val="002E30FD"/>
    <w:rsid w:val="002E476B"/>
    <w:rsid w:val="002F2F88"/>
    <w:rsid w:val="00316051"/>
    <w:rsid w:val="00322268"/>
    <w:rsid w:val="00337032"/>
    <w:rsid w:val="00345BFD"/>
    <w:rsid w:val="00352527"/>
    <w:rsid w:val="003805E1"/>
    <w:rsid w:val="003C1FB8"/>
    <w:rsid w:val="003C4B9E"/>
    <w:rsid w:val="003D0541"/>
    <w:rsid w:val="003D2AE0"/>
    <w:rsid w:val="003E1023"/>
    <w:rsid w:val="004739C1"/>
    <w:rsid w:val="00487658"/>
    <w:rsid w:val="004A2CE3"/>
    <w:rsid w:val="004B24D6"/>
    <w:rsid w:val="004D6264"/>
    <w:rsid w:val="004D64A2"/>
    <w:rsid w:val="004D69DD"/>
    <w:rsid w:val="004F6673"/>
    <w:rsid w:val="005415D7"/>
    <w:rsid w:val="00550B8C"/>
    <w:rsid w:val="00556044"/>
    <w:rsid w:val="00562AA6"/>
    <w:rsid w:val="00591517"/>
    <w:rsid w:val="005D65B6"/>
    <w:rsid w:val="006063E0"/>
    <w:rsid w:val="00611636"/>
    <w:rsid w:val="0062608B"/>
    <w:rsid w:val="00635D8A"/>
    <w:rsid w:val="00644EC4"/>
    <w:rsid w:val="006572EF"/>
    <w:rsid w:val="00683624"/>
    <w:rsid w:val="00686C9B"/>
    <w:rsid w:val="00690FCA"/>
    <w:rsid w:val="00693969"/>
    <w:rsid w:val="006B0779"/>
    <w:rsid w:val="006C1BB8"/>
    <w:rsid w:val="006C3766"/>
    <w:rsid w:val="006D4BD3"/>
    <w:rsid w:val="006E6DF9"/>
    <w:rsid w:val="00703993"/>
    <w:rsid w:val="007137E5"/>
    <w:rsid w:val="0079753D"/>
    <w:rsid w:val="007A5482"/>
    <w:rsid w:val="007B6C11"/>
    <w:rsid w:val="007D178B"/>
    <w:rsid w:val="007E3D3C"/>
    <w:rsid w:val="007F22F0"/>
    <w:rsid w:val="007F7024"/>
    <w:rsid w:val="00832BE2"/>
    <w:rsid w:val="00834A0D"/>
    <w:rsid w:val="00843C38"/>
    <w:rsid w:val="008548F9"/>
    <w:rsid w:val="00856A5A"/>
    <w:rsid w:val="00861E33"/>
    <w:rsid w:val="00876EF2"/>
    <w:rsid w:val="00877878"/>
    <w:rsid w:val="008831F5"/>
    <w:rsid w:val="00886F23"/>
    <w:rsid w:val="00894D1D"/>
    <w:rsid w:val="00896C0C"/>
    <w:rsid w:val="008A4D11"/>
    <w:rsid w:val="008B38C4"/>
    <w:rsid w:val="008D3748"/>
    <w:rsid w:val="008F190E"/>
    <w:rsid w:val="008F3946"/>
    <w:rsid w:val="00907ADD"/>
    <w:rsid w:val="00926443"/>
    <w:rsid w:val="00930743"/>
    <w:rsid w:val="009743F5"/>
    <w:rsid w:val="009848BD"/>
    <w:rsid w:val="009856E0"/>
    <w:rsid w:val="009A0F50"/>
    <w:rsid w:val="009A41B1"/>
    <w:rsid w:val="009A5117"/>
    <w:rsid w:val="009D1315"/>
    <w:rsid w:val="009D2666"/>
    <w:rsid w:val="00A011C2"/>
    <w:rsid w:val="00A44BB4"/>
    <w:rsid w:val="00A67A6E"/>
    <w:rsid w:val="00A729A6"/>
    <w:rsid w:val="00A9549D"/>
    <w:rsid w:val="00AB57B6"/>
    <w:rsid w:val="00AB7C3D"/>
    <w:rsid w:val="00AE410E"/>
    <w:rsid w:val="00AF5D3B"/>
    <w:rsid w:val="00B356A6"/>
    <w:rsid w:val="00B37490"/>
    <w:rsid w:val="00B4358B"/>
    <w:rsid w:val="00B44BBC"/>
    <w:rsid w:val="00B526BE"/>
    <w:rsid w:val="00B6250D"/>
    <w:rsid w:val="00B8279F"/>
    <w:rsid w:val="00BB074E"/>
    <w:rsid w:val="00BC47EF"/>
    <w:rsid w:val="00BC5893"/>
    <w:rsid w:val="00BD6B06"/>
    <w:rsid w:val="00BD7EE1"/>
    <w:rsid w:val="00C34F30"/>
    <w:rsid w:val="00C3699D"/>
    <w:rsid w:val="00C36E0D"/>
    <w:rsid w:val="00C52F7E"/>
    <w:rsid w:val="00C72546"/>
    <w:rsid w:val="00C96B0B"/>
    <w:rsid w:val="00CC5469"/>
    <w:rsid w:val="00CE0EEF"/>
    <w:rsid w:val="00CE3D39"/>
    <w:rsid w:val="00CE607F"/>
    <w:rsid w:val="00D0288C"/>
    <w:rsid w:val="00D07548"/>
    <w:rsid w:val="00D262BE"/>
    <w:rsid w:val="00D34F59"/>
    <w:rsid w:val="00D4733C"/>
    <w:rsid w:val="00D73215"/>
    <w:rsid w:val="00D826FC"/>
    <w:rsid w:val="00D87087"/>
    <w:rsid w:val="00DA1A91"/>
    <w:rsid w:val="00DA432F"/>
    <w:rsid w:val="00DB10A0"/>
    <w:rsid w:val="00DB10E3"/>
    <w:rsid w:val="00DD2DC1"/>
    <w:rsid w:val="00DE2170"/>
    <w:rsid w:val="00DF3CD5"/>
    <w:rsid w:val="00DF7E7B"/>
    <w:rsid w:val="00E16CC1"/>
    <w:rsid w:val="00E47203"/>
    <w:rsid w:val="00E85657"/>
    <w:rsid w:val="00EA38CD"/>
    <w:rsid w:val="00EA666D"/>
    <w:rsid w:val="00EC3C0C"/>
    <w:rsid w:val="00F1082F"/>
    <w:rsid w:val="00F16FEC"/>
    <w:rsid w:val="00F17515"/>
    <w:rsid w:val="00F2304B"/>
    <w:rsid w:val="00F23D69"/>
    <w:rsid w:val="00F351E1"/>
    <w:rsid w:val="00F37899"/>
    <w:rsid w:val="00F4523F"/>
    <w:rsid w:val="00F60AC1"/>
    <w:rsid w:val="00F673EC"/>
    <w:rsid w:val="00F76AFA"/>
    <w:rsid w:val="00F847AC"/>
    <w:rsid w:val="00FA4EBB"/>
    <w:rsid w:val="00FA5963"/>
    <w:rsid w:val="00FB319D"/>
    <w:rsid w:val="00FC4E75"/>
    <w:rsid w:val="00FE50BF"/>
    <w:rsid w:val="00FE5C4A"/>
    <w:rsid w:val="00FE5CC0"/>
    <w:rsid w:val="00FE5FC3"/>
    <w:rsid w:val="00FF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r-HR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1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1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1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17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hr-HR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11"/>
      </w:numPr>
    </w:pPr>
  </w:style>
  <w:style w:type="paragraph" w:customStyle="1" w:styleId="Tiret1">
    <w:name w:val="Tiret 1"/>
    <w:basedOn w:val="Point1"/>
    <w:rsid w:val="00877878"/>
    <w:pPr>
      <w:numPr>
        <w:numId w:val="12"/>
      </w:numPr>
    </w:pPr>
  </w:style>
  <w:style w:type="paragraph" w:customStyle="1" w:styleId="Tiret2">
    <w:name w:val="Tiret 2"/>
    <w:basedOn w:val="Point2"/>
    <w:rsid w:val="00877878"/>
    <w:pPr>
      <w:numPr>
        <w:numId w:val="13"/>
      </w:numPr>
    </w:pPr>
  </w:style>
  <w:style w:type="paragraph" w:customStyle="1" w:styleId="Tiret3">
    <w:name w:val="Tiret 3"/>
    <w:basedOn w:val="Point3"/>
    <w:rsid w:val="00877878"/>
    <w:pPr>
      <w:numPr>
        <w:numId w:val="14"/>
      </w:numPr>
    </w:pPr>
  </w:style>
  <w:style w:type="paragraph" w:customStyle="1" w:styleId="Tiret4">
    <w:name w:val="Tiret 4"/>
    <w:basedOn w:val="Point4"/>
    <w:rsid w:val="00877878"/>
    <w:pPr>
      <w:numPr>
        <w:numId w:val="15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16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16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16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16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18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18"/>
      </w:numPr>
    </w:pPr>
  </w:style>
  <w:style w:type="paragraph" w:customStyle="1" w:styleId="Bullet0">
    <w:name w:val="Bullet 0"/>
    <w:basedOn w:val="Normal"/>
    <w:rsid w:val="00877878"/>
    <w:pPr>
      <w:numPr>
        <w:numId w:val="19"/>
      </w:numPr>
    </w:pPr>
  </w:style>
  <w:style w:type="paragraph" w:customStyle="1" w:styleId="Bullet1">
    <w:name w:val="Bullet 1"/>
    <w:basedOn w:val="Normal"/>
    <w:rsid w:val="00877878"/>
    <w:pPr>
      <w:numPr>
        <w:numId w:val="20"/>
      </w:numPr>
    </w:pPr>
  </w:style>
  <w:style w:type="paragraph" w:customStyle="1" w:styleId="Bullet2">
    <w:name w:val="Bullet 2"/>
    <w:basedOn w:val="Normal"/>
    <w:rsid w:val="00877878"/>
    <w:pPr>
      <w:numPr>
        <w:numId w:val="21"/>
      </w:numPr>
    </w:pPr>
  </w:style>
  <w:style w:type="paragraph" w:customStyle="1" w:styleId="Bullet3">
    <w:name w:val="Bullet 3"/>
    <w:basedOn w:val="Normal"/>
    <w:rsid w:val="00877878"/>
    <w:pPr>
      <w:numPr>
        <w:numId w:val="22"/>
      </w:numPr>
    </w:pPr>
  </w:style>
  <w:style w:type="paragraph" w:customStyle="1" w:styleId="Bullet4">
    <w:name w:val="Bullet 4"/>
    <w:basedOn w:val="Normal"/>
    <w:rsid w:val="00877878"/>
    <w:pPr>
      <w:numPr>
        <w:numId w:val="23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r-HR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1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1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1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17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hr-HR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11"/>
      </w:numPr>
    </w:pPr>
  </w:style>
  <w:style w:type="paragraph" w:customStyle="1" w:styleId="Tiret1">
    <w:name w:val="Tiret 1"/>
    <w:basedOn w:val="Point1"/>
    <w:rsid w:val="00877878"/>
    <w:pPr>
      <w:numPr>
        <w:numId w:val="12"/>
      </w:numPr>
    </w:pPr>
  </w:style>
  <w:style w:type="paragraph" w:customStyle="1" w:styleId="Tiret2">
    <w:name w:val="Tiret 2"/>
    <w:basedOn w:val="Point2"/>
    <w:rsid w:val="00877878"/>
    <w:pPr>
      <w:numPr>
        <w:numId w:val="13"/>
      </w:numPr>
    </w:pPr>
  </w:style>
  <w:style w:type="paragraph" w:customStyle="1" w:styleId="Tiret3">
    <w:name w:val="Tiret 3"/>
    <w:basedOn w:val="Point3"/>
    <w:rsid w:val="00877878"/>
    <w:pPr>
      <w:numPr>
        <w:numId w:val="14"/>
      </w:numPr>
    </w:pPr>
  </w:style>
  <w:style w:type="paragraph" w:customStyle="1" w:styleId="Tiret4">
    <w:name w:val="Tiret 4"/>
    <w:basedOn w:val="Point4"/>
    <w:rsid w:val="00877878"/>
    <w:pPr>
      <w:numPr>
        <w:numId w:val="15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16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16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16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16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18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18"/>
      </w:numPr>
    </w:pPr>
  </w:style>
  <w:style w:type="paragraph" w:customStyle="1" w:styleId="Bullet0">
    <w:name w:val="Bullet 0"/>
    <w:basedOn w:val="Normal"/>
    <w:rsid w:val="00877878"/>
    <w:pPr>
      <w:numPr>
        <w:numId w:val="19"/>
      </w:numPr>
    </w:pPr>
  </w:style>
  <w:style w:type="paragraph" w:customStyle="1" w:styleId="Bullet1">
    <w:name w:val="Bullet 1"/>
    <w:basedOn w:val="Normal"/>
    <w:rsid w:val="00877878"/>
    <w:pPr>
      <w:numPr>
        <w:numId w:val="20"/>
      </w:numPr>
    </w:pPr>
  </w:style>
  <w:style w:type="paragraph" w:customStyle="1" w:styleId="Bullet2">
    <w:name w:val="Bullet 2"/>
    <w:basedOn w:val="Normal"/>
    <w:rsid w:val="00877878"/>
    <w:pPr>
      <w:numPr>
        <w:numId w:val="21"/>
      </w:numPr>
    </w:pPr>
  </w:style>
  <w:style w:type="paragraph" w:customStyle="1" w:styleId="Bullet3">
    <w:name w:val="Bullet 3"/>
    <w:basedOn w:val="Normal"/>
    <w:rsid w:val="00877878"/>
    <w:pPr>
      <w:numPr>
        <w:numId w:val="22"/>
      </w:numPr>
    </w:pPr>
  </w:style>
  <w:style w:type="paragraph" w:customStyle="1" w:styleId="Bullet4">
    <w:name w:val="Bullet 4"/>
    <w:basedOn w:val="Normal"/>
    <w:rsid w:val="00877878"/>
    <w:pPr>
      <w:numPr>
        <w:numId w:val="23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C3DA50E-CFD6-4223-B51D-3D5B0D569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1</Pages>
  <Words>1180</Words>
  <Characters>6631</Characters>
  <Application>Microsoft Office Word</Application>
  <DocSecurity>0</DocSecurity>
  <Lines>130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GRIKSAS Gintaras (FISMA)</dc:creator>
  <cp:keywords/>
  <dc:description/>
  <cp:lastModifiedBy>RUNKO Ana (DGT)</cp:lastModifiedBy>
  <cp:revision>3</cp:revision>
  <cp:lastPrinted>2018-06-12T12:37:00Z</cp:lastPrinted>
  <dcterms:created xsi:type="dcterms:W3CDTF">2018-09-21T08:55:00Z</dcterms:created>
  <dcterms:modified xsi:type="dcterms:W3CDTF">2018-09-21T08:56:00Z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6.0.1, Build 20180503</vt:lpwstr>
  </property>
  <property fmtid="{D5CDD505-2E9C-101B-9397-08002B2CF9AE}" pid="3" name="Category">
    <vt:lpwstr>COM/AA</vt:lpwstr>
  </property>
  <property fmtid="{D5CDD505-2E9C-101B-9397-08002B2CF9AE}" pid="4" name="Level of sensitivity">
    <vt:lpwstr>Standard treatment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Version">
    <vt:lpwstr>6.0.1.0</vt:lpwstr>
  </property>
  <property fmtid="{D5CDD505-2E9C-101B-9397-08002B2CF9AE}" pid="9" name="Created using">
    <vt:lpwstr>LW 6.0, Build 20171009</vt:lpwstr>
  </property>
  <property fmtid="{D5CDD505-2E9C-101B-9397-08002B2CF9AE}" pid="10" name="DQCStatus">
    <vt:lpwstr>Green (DQC version 03)</vt:lpwstr>
  </property>
</Properties>
</file>