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SV</w:t>
      </w:r>
    </w:p>
    <w:p w:rsidR="008934A4" w:rsidRDefault="008934A4" w:rsidP="00A15D28">
      <w:pPr>
        <w:jc w:val="center"/>
        <w:rPr>
          <w:rFonts w:ascii="Times New Roman" w:hAnsi="Times New Roman"/>
          <w:b/>
          <w:sz w:val="24"/>
          <w:szCs w:val="24"/>
        </w:rPr>
      </w:pPr>
      <w:r>
        <w:rPr>
          <w:rFonts w:ascii="Times New Roman" w:hAnsi="Times New Roman"/>
          <w:b/>
          <w:sz w:val="24"/>
        </w:rPr>
        <w:t>BILAGA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”BILAGA XI</w:t>
      </w:r>
    </w:p>
    <w:p w:rsidR="00A15D28" w:rsidRPr="00E94154" w:rsidRDefault="00A15D28" w:rsidP="00A15D28">
      <w:pPr>
        <w:jc w:val="center"/>
        <w:rPr>
          <w:rFonts w:ascii="Times New Roman" w:hAnsi="Times New Roman"/>
        </w:rPr>
      </w:pPr>
      <w:r>
        <w:rPr>
          <w:rFonts w:ascii="Times New Roman" w:hAnsi="Times New Roman"/>
          <w:b/>
          <w:sz w:val="24"/>
        </w:rPr>
        <w:t>RAPPORTERING AV BRUTTOSOLIDITET</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9F5FAF" w:rsidRDefault="009F5FAF">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835817" w:history="1">
        <w:r w:rsidRPr="000672BF">
          <w:rPr>
            <w:rStyle w:val="Hyperlink"/>
            <w:rFonts w:ascii="Times New Roman" w:hAnsi="Times New Roman"/>
            <w:b/>
          </w:rPr>
          <w:t>DEL I: ALLMÄNNA INSTRUKTIONER</w:t>
        </w:r>
        <w:r>
          <w:rPr>
            <w:webHidden/>
          </w:rPr>
          <w:tab/>
        </w:r>
        <w:r>
          <w:rPr>
            <w:webHidden/>
          </w:rPr>
          <w:fldChar w:fldCharType="begin"/>
        </w:r>
        <w:r>
          <w:rPr>
            <w:webHidden/>
          </w:rPr>
          <w:instrText xml:space="preserve"> PAGEREF _Toc523835817 \h </w:instrText>
        </w:r>
        <w:r>
          <w:rPr>
            <w:webHidden/>
          </w:rPr>
        </w:r>
        <w:r>
          <w:rPr>
            <w:webHidden/>
          </w:rPr>
          <w:fldChar w:fldCharType="separate"/>
        </w:r>
        <w:r>
          <w:rPr>
            <w:webHidden/>
          </w:rPr>
          <w:t>2</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18" w:history="1">
        <w:r w:rsidRPr="000672BF">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Mallbenämning och andra anvisningar</w:t>
        </w:r>
        <w:r>
          <w:rPr>
            <w:webHidden/>
          </w:rPr>
          <w:tab/>
        </w:r>
        <w:r>
          <w:rPr>
            <w:webHidden/>
          </w:rPr>
          <w:fldChar w:fldCharType="begin"/>
        </w:r>
        <w:r>
          <w:rPr>
            <w:webHidden/>
          </w:rPr>
          <w:instrText xml:space="preserve"> PAGEREF _Toc523835818 \h </w:instrText>
        </w:r>
        <w:r>
          <w:rPr>
            <w:webHidden/>
          </w:rPr>
        </w:r>
        <w:r>
          <w:rPr>
            <w:webHidden/>
          </w:rPr>
          <w:fldChar w:fldCharType="separate"/>
        </w:r>
        <w:r>
          <w:rPr>
            <w:webHidden/>
          </w:rPr>
          <w:t>2</w:t>
        </w:r>
        <w:r>
          <w:rPr>
            <w:webHidden/>
          </w:rPr>
          <w:fldChar w:fldCharType="end"/>
        </w:r>
      </w:hyperlink>
    </w:p>
    <w:p w:rsidR="009F5FAF" w:rsidRDefault="009F5FAF">
      <w:pPr>
        <w:pStyle w:val="TOC3"/>
        <w:rPr>
          <w:rFonts w:asciiTheme="minorHAnsi" w:eastAsiaTheme="minorEastAsia" w:hAnsiTheme="minorHAnsi" w:cstheme="minorBidi"/>
          <w:smallCaps w:val="0"/>
          <w:sz w:val="22"/>
          <w:szCs w:val="22"/>
          <w:lang w:val="en-GB" w:eastAsia="en-GB" w:bidi="ar-SA"/>
        </w:rPr>
      </w:pPr>
      <w:hyperlink w:anchor="_Toc523835819" w:history="1">
        <w:r w:rsidRPr="000672BF">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0672BF">
          <w:rPr>
            <w:rStyle w:val="Hyperlink"/>
            <w:rFonts w:ascii="Times New Roman" w:hAnsi="Times New Roman"/>
            <w:b/>
          </w:rPr>
          <w:t>Mallbenämning</w:t>
        </w:r>
        <w:r>
          <w:rPr>
            <w:webHidden/>
          </w:rPr>
          <w:tab/>
        </w:r>
        <w:r>
          <w:rPr>
            <w:webHidden/>
          </w:rPr>
          <w:fldChar w:fldCharType="begin"/>
        </w:r>
        <w:r>
          <w:rPr>
            <w:webHidden/>
          </w:rPr>
          <w:instrText xml:space="preserve"> PAGEREF _Toc523835819 \h </w:instrText>
        </w:r>
        <w:r>
          <w:rPr>
            <w:webHidden/>
          </w:rPr>
        </w:r>
        <w:r>
          <w:rPr>
            <w:webHidden/>
          </w:rPr>
          <w:fldChar w:fldCharType="separate"/>
        </w:r>
        <w:r>
          <w:rPr>
            <w:webHidden/>
          </w:rPr>
          <w:t>2</w:t>
        </w:r>
        <w:r>
          <w:rPr>
            <w:webHidden/>
          </w:rPr>
          <w:fldChar w:fldCharType="end"/>
        </w:r>
      </w:hyperlink>
    </w:p>
    <w:p w:rsidR="009F5FAF" w:rsidRDefault="009F5FAF">
      <w:pPr>
        <w:pStyle w:val="TOC3"/>
        <w:rPr>
          <w:rFonts w:asciiTheme="minorHAnsi" w:eastAsiaTheme="minorEastAsia" w:hAnsiTheme="minorHAnsi" w:cstheme="minorBidi"/>
          <w:smallCaps w:val="0"/>
          <w:sz w:val="22"/>
          <w:szCs w:val="22"/>
          <w:lang w:val="en-GB" w:eastAsia="en-GB" w:bidi="ar-SA"/>
        </w:rPr>
      </w:pPr>
      <w:hyperlink w:anchor="_Toc523835820" w:history="1">
        <w:r w:rsidRPr="000672BF">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0672BF">
          <w:rPr>
            <w:rStyle w:val="Hyperlink"/>
            <w:rFonts w:ascii="Times New Roman" w:hAnsi="Times New Roman"/>
            <w:b/>
          </w:rPr>
          <w:t>Numrering</w:t>
        </w:r>
        <w:r>
          <w:rPr>
            <w:webHidden/>
          </w:rPr>
          <w:tab/>
        </w:r>
        <w:r>
          <w:rPr>
            <w:webHidden/>
          </w:rPr>
          <w:fldChar w:fldCharType="begin"/>
        </w:r>
        <w:r>
          <w:rPr>
            <w:webHidden/>
          </w:rPr>
          <w:instrText xml:space="preserve"> PAGEREF _Toc523835820 \h </w:instrText>
        </w:r>
        <w:r>
          <w:rPr>
            <w:webHidden/>
          </w:rPr>
        </w:r>
        <w:r>
          <w:rPr>
            <w:webHidden/>
          </w:rPr>
          <w:fldChar w:fldCharType="separate"/>
        </w:r>
        <w:r>
          <w:rPr>
            <w:webHidden/>
          </w:rPr>
          <w:t>2</w:t>
        </w:r>
        <w:r>
          <w:rPr>
            <w:webHidden/>
          </w:rPr>
          <w:fldChar w:fldCharType="end"/>
        </w:r>
      </w:hyperlink>
    </w:p>
    <w:p w:rsidR="009F5FAF" w:rsidRDefault="009F5FAF">
      <w:pPr>
        <w:pStyle w:val="TOC3"/>
        <w:rPr>
          <w:rFonts w:asciiTheme="minorHAnsi" w:eastAsiaTheme="minorEastAsia" w:hAnsiTheme="minorHAnsi" w:cstheme="minorBidi"/>
          <w:smallCaps w:val="0"/>
          <w:sz w:val="22"/>
          <w:szCs w:val="22"/>
          <w:lang w:val="en-GB" w:eastAsia="en-GB" w:bidi="ar-SA"/>
        </w:rPr>
      </w:pPr>
      <w:hyperlink w:anchor="_Toc523835821" w:history="1">
        <w:r w:rsidRPr="000672BF">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0672BF">
          <w:rPr>
            <w:rStyle w:val="Hyperlink"/>
            <w:rFonts w:ascii="Times New Roman" w:hAnsi="Times New Roman"/>
            <w:b/>
          </w:rPr>
          <w:t>Förkortningar</w:t>
        </w:r>
        <w:r>
          <w:rPr>
            <w:webHidden/>
          </w:rPr>
          <w:tab/>
        </w:r>
        <w:r>
          <w:rPr>
            <w:webHidden/>
          </w:rPr>
          <w:fldChar w:fldCharType="begin"/>
        </w:r>
        <w:r>
          <w:rPr>
            <w:webHidden/>
          </w:rPr>
          <w:instrText xml:space="preserve"> PAGEREF _Toc523835821 \h </w:instrText>
        </w:r>
        <w:r>
          <w:rPr>
            <w:webHidden/>
          </w:rPr>
        </w:r>
        <w:r>
          <w:rPr>
            <w:webHidden/>
          </w:rPr>
          <w:fldChar w:fldCharType="separate"/>
        </w:r>
        <w:r>
          <w:rPr>
            <w:webHidden/>
          </w:rPr>
          <w:t>2</w:t>
        </w:r>
        <w:r>
          <w:rPr>
            <w:webHidden/>
          </w:rPr>
          <w:fldChar w:fldCharType="end"/>
        </w:r>
      </w:hyperlink>
    </w:p>
    <w:p w:rsidR="009F5FAF" w:rsidRDefault="009F5FAF">
      <w:pPr>
        <w:pStyle w:val="TOC3"/>
        <w:rPr>
          <w:rFonts w:asciiTheme="minorHAnsi" w:eastAsiaTheme="minorEastAsia" w:hAnsiTheme="minorHAnsi" w:cstheme="minorBidi"/>
          <w:smallCaps w:val="0"/>
          <w:sz w:val="22"/>
          <w:szCs w:val="22"/>
          <w:lang w:val="en-GB" w:eastAsia="en-GB" w:bidi="ar-SA"/>
        </w:rPr>
      </w:pPr>
      <w:hyperlink w:anchor="_Toc523835822" w:history="1">
        <w:r w:rsidRPr="000672BF">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0672BF">
          <w:rPr>
            <w:rStyle w:val="Hyperlink"/>
            <w:rFonts w:ascii="Times New Roman" w:hAnsi="Times New Roman"/>
            <w:b/>
          </w:rPr>
          <w:t>Tecken</w:t>
        </w:r>
        <w:r>
          <w:rPr>
            <w:webHidden/>
          </w:rPr>
          <w:tab/>
        </w:r>
        <w:r>
          <w:rPr>
            <w:webHidden/>
          </w:rPr>
          <w:fldChar w:fldCharType="begin"/>
        </w:r>
        <w:r>
          <w:rPr>
            <w:webHidden/>
          </w:rPr>
          <w:instrText xml:space="preserve"> PAGEREF _Toc523835822 \h </w:instrText>
        </w:r>
        <w:r>
          <w:rPr>
            <w:webHidden/>
          </w:rPr>
        </w:r>
        <w:r>
          <w:rPr>
            <w:webHidden/>
          </w:rPr>
          <w:fldChar w:fldCharType="separate"/>
        </w:r>
        <w:r>
          <w:rPr>
            <w:webHidden/>
          </w:rPr>
          <w:t>3</w:t>
        </w:r>
        <w:r>
          <w:rPr>
            <w:webHidden/>
          </w:rPr>
          <w:fldChar w:fldCharType="end"/>
        </w:r>
      </w:hyperlink>
    </w:p>
    <w:p w:rsidR="009F5FAF" w:rsidRDefault="009F5FAF">
      <w:pPr>
        <w:pStyle w:val="TOC1"/>
        <w:rPr>
          <w:rFonts w:asciiTheme="minorHAnsi" w:eastAsiaTheme="minorEastAsia" w:hAnsiTheme="minorHAnsi" w:cstheme="minorBidi"/>
          <w:color w:val="auto"/>
          <w:sz w:val="22"/>
          <w:szCs w:val="22"/>
          <w:lang w:val="en-GB" w:eastAsia="en-GB" w:bidi="ar-SA"/>
        </w:rPr>
      </w:pPr>
      <w:hyperlink w:anchor="_Toc523835823" w:history="1">
        <w:r w:rsidRPr="000672BF">
          <w:rPr>
            <w:rStyle w:val="Hyperlink"/>
            <w:rFonts w:ascii="Times New Roman" w:hAnsi="Times New Roman"/>
            <w:b/>
          </w:rPr>
          <w:t>DEL II: INSTRUKTIONER RÖRANDE MALLAR</w:t>
        </w:r>
        <w:r>
          <w:rPr>
            <w:webHidden/>
          </w:rPr>
          <w:tab/>
        </w:r>
        <w:r>
          <w:rPr>
            <w:webHidden/>
          </w:rPr>
          <w:fldChar w:fldCharType="begin"/>
        </w:r>
        <w:r>
          <w:rPr>
            <w:webHidden/>
          </w:rPr>
          <w:instrText xml:space="preserve"> PAGEREF _Toc523835823 \h </w:instrText>
        </w:r>
        <w:r>
          <w:rPr>
            <w:webHidden/>
          </w:rPr>
        </w:r>
        <w:r>
          <w:rPr>
            <w:webHidden/>
          </w:rPr>
          <w:fldChar w:fldCharType="separate"/>
        </w:r>
        <w:r>
          <w:rPr>
            <w:webHidden/>
          </w:rPr>
          <w:t>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4" w:history="1">
        <w:r w:rsidRPr="000672BF">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Struktur och frekvens</w:t>
        </w:r>
        <w:r>
          <w:rPr>
            <w:webHidden/>
          </w:rPr>
          <w:tab/>
        </w:r>
        <w:r>
          <w:rPr>
            <w:webHidden/>
          </w:rPr>
          <w:fldChar w:fldCharType="begin"/>
        </w:r>
        <w:r>
          <w:rPr>
            <w:webHidden/>
          </w:rPr>
          <w:instrText xml:space="preserve"> PAGEREF _Toc523835824 \h </w:instrText>
        </w:r>
        <w:r>
          <w:rPr>
            <w:webHidden/>
          </w:rPr>
        </w:r>
        <w:r>
          <w:rPr>
            <w:webHidden/>
          </w:rPr>
          <w:fldChar w:fldCharType="separate"/>
        </w:r>
        <w:r>
          <w:rPr>
            <w:webHidden/>
          </w:rPr>
          <w:t>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5" w:history="1">
        <w:r w:rsidRPr="000672BF">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Formler för beräkning av bruttosoliditetsgrad</w:t>
        </w:r>
        <w:r>
          <w:rPr>
            <w:webHidden/>
          </w:rPr>
          <w:tab/>
        </w:r>
        <w:r>
          <w:rPr>
            <w:webHidden/>
          </w:rPr>
          <w:fldChar w:fldCharType="begin"/>
        </w:r>
        <w:r>
          <w:rPr>
            <w:webHidden/>
          </w:rPr>
          <w:instrText xml:space="preserve"> PAGEREF _Toc523835825 \h </w:instrText>
        </w:r>
        <w:r>
          <w:rPr>
            <w:webHidden/>
          </w:rPr>
        </w:r>
        <w:r>
          <w:rPr>
            <w:webHidden/>
          </w:rPr>
          <w:fldChar w:fldCharType="separate"/>
        </w:r>
        <w:r>
          <w:rPr>
            <w:webHidden/>
          </w:rPr>
          <w:t>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6" w:history="1">
        <w:r w:rsidRPr="000672BF">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Tröskelvärden för derivat</w:t>
        </w:r>
        <w:r>
          <w:rPr>
            <w:webHidden/>
          </w:rPr>
          <w:tab/>
        </w:r>
        <w:r>
          <w:rPr>
            <w:webHidden/>
          </w:rPr>
          <w:fldChar w:fldCharType="begin"/>
        </w:r>
        <w:r>
          <w:rPr>
            <w:webHidden/>
          </w:rPr>
          <w:instrText xml:space="preserve"> PAGEREF _Toc523835826 \h </w:instrText>
        </w:r>
        <w:r>
          <w:rPr>
            <w:webHidden/>
          </w:rPr>
        </w:r>
        <w:r>
          <w:rPr>
            <w:webHidden/>
          </w:rPr>
          <w:fldChar w:fldCharType="separate"/>
        </w:r>
        <w:r>
          <w:rPr>
            <w:webHidden/>
          </w:rPr>
          <w:t>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7" w:history="1">
        <w:r w:rsidRPr="000672BF">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47.00 – Beräkning av bruttosoliditetsgrad (LRCalc)</w:t>
        </w:r>
        <w:r>
          <w:rPr>
            <w:webHidden/>
          </w:rPr>
          <w:tab/>
        </w:r>
        <w:r>
          <w:rPr>
            <w:webHidden/>
          </w:rPr>
          <w:fldChar w:fldCharType="begin"/>
        </w:r>
        <w:r>
          <w:rPr>
            <w:webHidden/>
          </w:rPr>
          <w:instrText xml:space="preserve"> PAGEREF _Toc523835827 \h </w:instrText>
        </w:r>
        <w:r>
          <w:rPr>
            <w:webHidden/>
          </w:rPr>
        </w:r>
        <w:r>
          <w:rPr>
            <w:webHidden/>
          </w:rPr>
          <w:fldChar w:fldCharType="separate"/>
        </w:r>
        <w:r>
          <w:rPr>
            <w:webHidden/>
          </w:rPr>
          <w:t>5</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8" w:history="1">
        <w:r w:rsidRPr="000672BF">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40.00 – Alternativ behandling av exponeringsmått (LR1)</w:t>
        </w:r>
        <w:r>
          <w:rPr>
            <w:webHidden/>
          </w:rPr>
          <w:tab/>
        </w:r>
        <w:r>
          <w:rPr>
            <w:webHidden/>
          </w:rPr>
          <w:fldChar w:fldCharType="begin"/>
        </w:r>
        <w:r>
          <w:rPr>
            <w:webHidden/>
          </w:rPr>
          <w:instrText xml:space="preserve"> PAGEREF _Toc523835828 \h </w:instrText>
        </w:r>
        <w:r>
          <w:rPr>
            <w:webHidden/>
          </w:rPr>
        </w:r>
        <w:r>
          <w:rPr>
            <w:webHidden/>
          </w:rPr>
          <w:fldChar w:fldCharType="separate"/>
        </w:r>
        <w:r>
          <w:rPr>
            <w:webHidden/>
          </w:rPr>
          <w:t>14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29" w:history="1">
        <w:r w:rsidRPr="000672BF">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41.00 – Poster inom och utanför balansräkningen – ytterligare uppdelning av exponeringar (LR2)</w:t>
        </w:r>
        <w:r>
          <w:rPr>
            <w:webHidden/>
          </w:rPr>
          <w:tab/>
        </w:r>
        <w:r>
          <w:rPr>
            <w:webHidden/>
          </w:rPr>
          <w:fldChar w:fldCharType="begin"/>
        </w:r>
        <w:r>
          <w:rPr>
            <w:webHidden/>
          </w:rPr>
          <w:instrText xml:space="preserve"> PAGEREF _Toc523835829 \h </w:instrText>
        </w:r>
        <w:r>
          <w:rPr>
            <w:webHidden/>
          </w:rPr>
        </w:r>
        <w:r>
          <w:rPr>
            <w:webHidden/>
          </w:rPr>
          <w:fldChar w:fldCharType="separate"/>
        </w:r>
        <w:r>
          <w:rPr>
            <w:webHidden/>
          </w:rPr>
          <w:t>24</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30" w:history="1">
        <w:r w:rsidRPr="000672BF">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42.00 – Alternativ definition av kapital (LR3)</w:t>
        </w:r>
        <w:r>
          <w:rPr>
            <w:webHidden/>
          </w:rPr>
          <w:tab/>
        </w:r>
        <w:r>
          <w:rPr>
            <w:webHidden/>
          </w:rPr>
          <w:fldChar w:fldCharType="begin"/>
        </w:r>
        <w:r>
          <w:rPr>
            <w:webHidden/>
          </w:rPr>
          <w:instrText xml:space="preserve"> PAGEREF _Toc523835830 \h </w:instrText>
        </w:r>
        <w:r>
          <w:rPr>
            <w:webHidden/>
          </w:rPr>
        </w:r>
        <w:r>
          <w:rPr>
            <w:webHidden/>
          </w:rPr>
          <w:fldChar w:fldCharType="separate"/>
        </w:r>
        <w:r>
          <w:rPr>
            <w:webHidden/>
          </w:rPr>
          <w:t>26</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31" w:history="1">
        <w:r w:rsidRPr="000672BF">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43.00 – Alternativ uppdelning av komponenter i exponeringsmått för bruttosoliditetsgrad (LR4)</w:t>
        </w:r>
        <w:r>
          <w:rPr>
            <w:webHidden/>
          </w:rPr>
          <w:tab/>
        </w:r>
        <w:r>
          <w:rPr>
            <w:webHidden/>
          </w:rPr>
          <w:fldChar w:fldCharType="begin"/>
        </w:r>
        <w:r>
          <w:rPr>
            <w:webHidden/>
          </w:rPr>
          <w:instrText xml:space="preserve"> PAGEREF _Toc523835831 \h </w:instrText>
        </w:r>
        <w:r>
          <w:rPr>
            <w:webHidden/>
          </w:rPr>
        </w:r>
        <w:r>
          <w:rPr>
            <w:webHidden/>
          </w:rPr>
          <w:fldChar w:fldCharType="separate"/>
        </w:r>
        <w:r>
          <w:rPr>
            <w:webHidden/>
          </w:rPr>
          <w:t>28</w:t>
        </w:r>
        <w:r>
          <w:rPr>
            <w:webHidden/>
          </w:rPr>
          <w:fldChar w:fldCharType="end"/>
        </w:r>
      </w:hyperlink>
    </w:p>
    <w:p w:rsidR="009F5FAF" w:rsidRDefault="009F5FAF">
      <w:pPr>
        <w:pStyle w:val="TOC2"/>
        <w:rPr>
          <w:rFonts w:asciiTheme="minorHAnsi" w:eastAsiaTheme="minorEastAsia" w:hAnsiTheme="minorHAnsi" w:cstheme="minorBidi"/>
          <w:b w:val="0"/>
          <w:smallCaps w:val="0"/>
          <w:sz w:val="22"/>
          <w:lang w:val="en-GB" w:eastAsia="en-GB" w:bidi="ar-SA"/>
        </w:rPr>
      </w:pPr>
      <w:hyperlink w:anchor="_Toc523835832" w:history="1">
        <w:r w:rsidRPr="000672BF">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0672BF">
          <w:rPr>
            <w:rStyle w:val="Hyperlink"/>
            <w:rFonts w:ascii="Times New Roman" w:hAnsi="Times New Roman"/>
          </w:rPr>
          <w:t>C 44.00 – Allmänna uppgifter (LR5)</w:t>
        </w:r>
        <w:r>
          <w:rPr>
            <w:webHidden/>
          </w:rPr>
          <w:tab/>
        </w:r>
        <w:r>
          <w:rPr>
            <w:webHidden/>
          </w:rPr>
          <w:fldChar w:fldCharType="begin"/>
        </w:r>
        <w:r>
          <w:rPr>
            <w:webHidden/>
          </w:rPr>
          <w:instrText xml:space="preserve"> PAGEREF _Toc523835832 \h </w:instrText>
        </w:r>
        <w:r>
          <w:rPr>
            <w:webHidden/>
          </w:rPr>
        </w:r>
        <w:r>
          <w:rPr>
            <w:webHidden/>
          </w:rPr>
          <w:fldChar w:fldCharType="separate"/>
        </w:r>
        <w:r>
          <w:rPr>
            <w:webHidden/>
          </w:rPr>
          <w:t>46</w:t>
        </w:r>
        <w:r>
          <w:rPr>
            <w:webHidden/>
          </w:rPr>
          <w:fldChar w:fldCharType="end"/>
        </w:r>
      </w:hyperlink>
    </w:p>
    <w:p w:rsidR="00284612" w:rsidRDefault="009F5FAF">
      <w:pPr>
        <w:pStyle w:val="BodyText1"/>
        <w:rPr>
          <w:rFonts w:ascii="Times New Roman" w:eastAsiaTheme="minorEastAsia" w:hAnsi="Times New Roman"/>
          <w:color w:val="auto"/>
          <w:sz w:val="22"/>
          <w:szCs w:val="22"/>
        </w:rPr>
        <w:sectPr w:rsidR="00284612"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835817"/>
      <w:r>
        <w:rPr>
          <w:rFonts w:ascii="Times New Roman" w:hAnsi="Times New Roman"/>
          <w:b/>
          <w:sz w:val="24"/>
        </w:rPr>
        <w:t>DEL I:</w:t>
      </w:r>
      <w:bookmarkEnd w:id="0"/>
      <w:r>
        <w:rPr>
          <w:rFonts w:ascii="Times New Roman" w:hAnsi="Times New Roman"/>
          <w:b/>
          <w:sz w:val="24"/>
        </w:rPr>
        <w:t xml:space="preserve"> ALLMÄNNA INSTRUKTIONER</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835818"/>
      <w:r>
        <w:rPr>
          <w:rFonts w:ascii="Times New Roman" w:hAnsi="Times New Roman"/>
          <w:b/>
        </w:rPr>
        <w:t>1.</w:t>
      </w:r>
      <w:r>
        <w:tab/>
      </w:r>
      <w:r>
        <w:rPr>
          <w:rFonts w:ascii="Times New Roman" w:hAnsi="Times New Roman"/>
          <w:b/>
        </w:rPr>
        <w:t>Mallbenämning och andra anvisningar</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264038399"/>
      <w:bookmarkStart w:id="15" w:name="_Toc294018834"/>
      <w:bookmarkStart w:id="16" w:name="_Toc523835819"/>
      <w:r>
        <w:rPr>
          <w:rFonts w:ascii="Times New Roman" w:hAnsi="Times New Roman"/>
          <w:b/>
        </w:rPr>
        <w:t>1.1.</w:t>
      </w:r>
      <w:r>
        <w:tab/>
      </w:r>
      <w:r>
        <w:rPr>
          <w:rFonts w:ascii="Times New Roman" w:hAnsi="Times New Roman"/>
          <w:b/>
        </w:rPr>
        <w:t>Mallbenämning</w:t>
      </w:r>
      <w:bookmarkEnd w:id="11"/>
      <w:bookmarkEnd w:id="12"/>
      <w:bookmarkEnd w:id="13"/>
      <w:bookmarkEnd w:id="16"/>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Denna bilaga innehåller ytterligare instruktioner till mallarna för bruttosoliditetsgrad (nedan kallade LR) i bilaga X till denna förordning.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Ramen består totalt av sex olika mallar: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Beräkning av bruttosoliditetsgrad (LRCalc) Beräkning av bruttosoliditetsgrad,</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Mall 1 för bruttosoliditetsgrad (LR1): Alternativ hantering av exponeringsmått,</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Mall 2 för bruttosoliditetsgrad (LR2): Poster inom och utanför balansräkningen – ytterligare uppdelning av exponeringar,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Mall 3 för bruttosoliditetsgrad (LR3): Alternativ definition av kapital,</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C43.00: Mall 4 för bruttosoliditetsgrad (LR4): Uppdelning av komponenter i exponeringsmått för bruttosoliditetsgrad, och</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Mall 5 för bruttosoliditetsgrad (LR5): Allmänna uppgifter.</w:t>
      </w:r>
    </w:p>
    <w:p w:rsidR="00F4754B" w:rsidRPr="00FE002E" w:rsidRDefault="00500508" w:rsidP="00500508">
      <w:pPr>
        <w:pStyle w:val="InstructionsText2"/>
        <w:numPr>
          <w:ilvl w:val="0"/>
          <w:numId w:val="0"/>
        </w:numPr>
        <w:ind w:left="720" w:hanging="360"/>
        <w:rPr>
          <w:rFonts w:eastAsia="Times New Roman"/>
          <w:bCs/>
          <w:szCs w:val="17"/>
        </w:rPr>
      </w:pPr>
      <w:r>
        <w:t>3.</w:t>
      </w:r>
      <w:r>
        <w:tab/>
        <w:t>För varje mall ges hänvisningar till rättsakter samt utförlig information om mer allmänna rapporteringsaspekter.</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835820"/>
      <w:bookmarkEnd w:id="17"/>
      <w:r>
        <w:rPr>
          <w:rFonts w:ascii="Times New Roman" w:hAnsi="Times New Roman"/>
          <w:b/>
        </w:rPr>
        <w:t>1.2.</w:t>
      </w:r>
      <w:r>
        <w:tab/>
      </w:r>
      <w:r>
        <w:rPr>
          <w:rFonts w:ascii="Times New Roman" w:hAnsi="Times New Roman"/>
          <w:b/>
        </w:rPr>
        <w:t>Numrering</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Dokumentet ska följa den benämningssed som anges i punkterna nedan vid hänvisning till mallars kolumner, rader och celler. I valideringsbestämmelserna hänvisas ofta till dessa sifferkoder.</w:t>
      </w:r>
    </w:p>
    <w:p w:rsidR="00F4754B" w:rsidRPr="00FE002E" w:rsidRDefault="00500508" w:rsidP="00500508">
      <w:pPr>
        <w:pStyle w:val="InstructionsText2"/>
        <w:numPr>
          <w:ilvl w:val="0"/>
          <w:numId w:val="0"/>
        </w:numPr>
        <w:ind w:left="720" w:hanging="360"/>
        <w:rPr>
          <w:rFonts w:eastAsia="Times New Roman"/>
          <w:bCs/>
          <w:szCs w:val="17"/>
        </w:rPr>
      </w:pPr>
      <w:r>
        <w:t>5.</w:t>
      </w:r>
      <w:r>
        <w:tab/>
        <w:t>Följande allmänna beteckningssystem används i anvisningarna: Mall;Rad;Kolumn. En asterisk hänvisar till hela raden eller kolumnen.</w:t>
      </w:r>
    </w:p>
    <w:p w:rsidR="00F4754B" w:rsidRPr="00FE002E" w:rsidRDefault="00500508" w:rsidP="00500508">
      <w:pPr>
        <w:pStyle w:val="InstructionsText2"/>
        <w:numPr>
          <w:ilvl w:val="0"/>
          <w:numId w:val="0"/>
        </w:numPr>
        <w:ind w:left="720" w:hanging="360"/>
        <w:rPr>
          <w:rFonts w:eastAsia="Times New Roman"/>
          <w:bCs/>
          <w:szCs w:val="17"/>
        </w:rPr>
      </w:pPr>
      <w:r>
        <w:t>6.</w:t>
      </w:r>
      <w:r>
        <w:tab/>
        <w:t>Vid valideringar i en mall där endast datapunkter från mallen används av</w:t>
      </w:r>
      <w:r w:rsidR="009F5FAF">
        <w:t xml:space="preserve">ser beteckningen inte en mall: </w:t>
      </w:r>
      <w:r>
        <w:t>Rad;Kolumn.</w:t>
      </w:r>
    </w:p>
    <w:p w:rsidR="00F4754B" w:rsidRPr="00FE002E" w:rsidRDefault="00500508" w:rsidP="00500508">
      <w:pPr>
        <w:pStyle w:val="InstructionsText2"/>
        <w:numPr>
          <w:ilvl w:val="0"/>
          <w:numId w:val="0"/>
        </w:numPr>
        <w:ind w:left="720" w:hanging="360"/>
        <w:rPr>
          <w:rFonts w:eastAsia="Times New Roman"/>
          <w:bCs/>
          <w:szCs w:val="17"/>
        </w:rPr>
      </w:pPr>
      <w:r>
        <w:t>7.</w:t>
      </w:r>
      <w:r>
        <w:tab/>
        <w:t>Vid rapportering av bruttosoliditet avser ”varav” en post som är en undergrupp till en högre exponeringskategori, medan ”memorandumpost” avser en separat post so</w:t>
      </w:r>
      <w:r w:rsidR="009F5FAF">
        <w:t xml:space="preserve">m inte är en undergrupp till en viss </w:t>
      </w:r>
      <w:r>
        <w:t xml:space="preserve">exponeringsklass. Om inte annat anges ska rapportering ske i båda typerna av celler.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3835821"/>
      <w:r>
        <w:rPr>
          <w:rFonts w:ascii="Times New Roman" w:hAnsi="Times New Roman"/>
          <w:b/>
        </w:rPr>
        <w:t>1.3.</w:t>
      </w:r>
      <w:r>
        <w:tab/>
      </w:r>
      <w:r>
        <w:rPr>
          <w:rFonts w:ascii="Times New Roman" w:hAnsi="Times New Roman"/>
          <w:b/>
        </w:rPr>
        <w:t>Förkortningar</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t>8.</w:t>
      </w:r>
      <w:r>
        <w:tab/>
        <w:t>I denna bilaga och i de relevanta mallarna används följande begrepp:</w:t>
      </w:r>
    </w:p>
    <w:p w:rsidR="00627E07" w:rsidRPr="009F5FAF" w:rsidRDefault="00500508" w:rsidP="00500508">
      <w:pPr>
        <w:pStyle w:val="InstructionsText2"/>
        <w:numPr>
          <w:ilvl w:val="0"/>
          <w:numId w:val="0"/>
        </w:numPr>
        <w:ind w:left="1440" w:hanging="360"/>
        <w:rPr>
          <w:rFonts w:eastAsia="Times New Roman"/>
          <w:bCs/>
          <w:szCs w:val="17"/>
          <w:lang w:val="nn-NO"/>
        </w:rPr>
      </w:pPr>
      <w:r w:rsidRPr="009F5FAF">
        <w:rPr>
          <w:lang w:val="nn-NO"/>
        </w:rPr>
        <w:t>a.</w:t>
      </w:r>
      <w:r w:rsidRPr="009F5FAF">
        <w:rPr>
          <w:lang w:val="nn-NO"/>
        </w:rPr>
        <w:tab/>
        <w:t>CRR = kapitalkravsförordningen, dvs. förordning (EU) nr 575/2013.</w:t>
      </w:r>
    </w:p>
    <w:p w:rsidR="00627E07" w:rsidRDefault="00500508" w:rsidP="00500508">
      <w:pPr>
        <w:pStyle w:val="InstructionsText2"/>
        <w:numPr>
          <w:ilvl w:val="0"/>
          <w:numId w:val="0"/>
        </w:numPr>
        <w:ind w:left="1440" w:hanging="360"/>
        <w:rPr>
          <w:rFonts w:eastAsia="Times New Roman"/>
          <w:bCs/>
          <w:szCs w:val="17"/>
        </w:rPr>
      </w:pPr>
      <w:r>
        <w:t>b.</w:t>
      </w:r>
      <w:r>
        <w:tab/>
        <w:t>SFT = transaktioner för värdepappersfinansiering, dvs. ”repor, värdepappers- eller råvarulån, transaktioner med lång avvecklingscykel och marginallånetransaktioner” enligt förordning (EU) nr 575/2013.</w:t>
      </w:r>
    </w:p>
    <w:p w:rsidR="008E7068" w:rsidRPr="00627E07" w:rsidRDefault="00500508" w:rsidP="00500508">
      <w:pPr>
        <w:pStyle w:val="InstructionsText2"/>
        <w:numPr>
          <w:ilvl w:val="0"/>
          <w:numId w:val="0"/>
        </w:numPr>
        <w:ind w:left="1440" w:hanging="360"/>
        <w:rPr>
          <w:rFonts w:eastAsia="Times New Roman"/>
          <w:bCs/>
          <w:szCs w:val="17"/>
        </w:rPr>
      </w:pPr>
      <w:r>
        <w:lastRenderedPageBreak/>
        <w:t>c.</w:t>
      </w:r>
      <w:r>
        <w:tab/>
        <w:t>CRM = kreditriskreducering.</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3835822"/>
      <w:r>
        <w:rPr>
          <w:rFonts w:ascii="Times New Roman" w:hAnsi="Times New Roman"/>
          <w:b/>
        </w:rPr>
        <w:t>1.4.</w:t>
      </w:r>
      <w:r>
        <w:tab/>
      </w:r>
      <w:r>
        <w:rPr>
          <w:rFonts w:ascii="Times New Roman" w:hAnsi="Times New Roman"/>
          <w:b/>
        </w:rPr>
        <w:t>Tecken</w:t>
      </w:r>
      <w:bookmarkEnd w:id="14"/>
      <w:bookmarkEnd w:id="15"/>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t>9.</w:t>
      </w:r>
      <w:r>
        <w:tab/>
        <w:t>Alla belopp ska rapporteras som positiva tal.</w:t>
      </w:r>
      <w:bookmarkStart w:id="32" w:name="_Toc264033192"/>
      <w:bookmarkEnd w:id="32"/>
      <w:r>
        <w:t xml:space="preserve"> Undantag görs för belopp som rapporteras i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och {LR3;085;010}. Det bör därför noteras att{LRCalc;050;010}, {LRCalc;070;010}, {LRCalc;080;010}, {LRCalc;100;010}, {LRCalc;120;010}, {LRCalc;140;010}, {LRCalc;210;010}, {LRCalc;220;010}, {LRCalc;240;010}, {LRCalc;250;010}, {LRCalc;260;010}, {LRCalc;270;010}, {LRCalc;280;010}, {LR3;055;010}, {LR3;065;010}, {LR3;075;010} och {LR3;085;010} bara får negativa värden. Det bör även noteras att {LRCalc;310;010}, {LRCalc;320;010}, {LRCalc;330;010}, {LRCalc;340;010}, {LR3;010;010}, {LR3;020;010}, {LR3;030;010} och {LR3;040;010} bara får positiva värden, förutom i extrema fall.</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3835823"/>
      <w:r>
        <w:rPr>
          <w:rFonts w:ascii="Times New Roman" w:hAnsi="Times New Roman"/>
          <w:b/>
          <w:sz w:val="24"/>
        </w:rPr>
        <w:lastRenderedPageBreak/>
        <w:t>DEL II: INSTRUKTIONER RÖRANDE MALLAR</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322631544"/>
      <w:bookmarkStart w:id="40" w:name="_Toc322687870"/>
      <w:bookmarkStart w:id="41" w:name="_Toc523835824"/>
      <w:r>
        <w:rPr>
          <w:rFonts w:ascii="Times New Roman" w:hAnsi="Times New Roman"/>
          <w:b/>
        </w:rPr>
        <w:t>1.</w:t>
      </w:r>
      <w:r>
        <w:tab/>
      </w:r>
      <w:r>
        <w:rPr>
          <w:rFonts w:ascii="Times New Roman" w:hAnsi="Times New Roman"/>
          <w:b/>
        </w:rPr>
        <w:t>Struktur och frekvens</w:t>
      </w:r>
      <w:bookmarkEnd w:id="37"/>
      <w:bookmarkEnd w:id="38"/>
      <w:bookmarkEnd w:id="41"/>
      <w:r>
        <w:rPr>
          <w:rFonts w:ascii="Times New Roman" w:hAnsi="Times New Roman"/>
          <w:b/>
        </w:rPr>
        <w:t xml:space="preserve"> </w:t>
      </w:r>
      <w:bookmarkEnd w:id="39"/>
      <w:bookmarkEnd w:id="40"/>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Pr>
          <w:rFonts w:ascii="Times New Roman" w:hAnsi="Times New Roman"/>
        </w:rPr>
        <w:t>1.</w:t>
      </w:r>
      <w:r>
        <w:tab/>
      </w:r>
      <w:r>
        <w:rPr>
          <w:rFonts w:ascii="Times New Roman" w:hAnsi="Times New Roman"/>
        </w:rPr>
        <w:t>Bruttosoliditetsmallen består av två delar. Del A innehåller alla uppgiftsposter som ingår i den bruttosoliditetsberäkning som institut ska lämna in till behöriga myndigheter i enlighet med artikel 430.1 första stycket i kapitalkravsförordningen. Del B innehåller alla uppgiftsposter som institut ska lämna in i enlighet med artikel 430.1 andra stycket i kapitalkravsförordningen (dvs. för den rapport som avses i artikel 511 i kapitalkravsförordningen).</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När institut sammanställer uppgifterna enligt denna tekniska genomförandestandard ska de ta hänsyn till behandlingen av förvaltningstillgångar i enlighet med artikel 429.13 i kapitalkravsförordningen.</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835825"/>
      <w:r>
        <w:rPr>
          <w:rFonts w:ascii="Times New Roman" w:hAnsi="Times New Roman"/>
          <w:b/>
        </w:rPr>
        <w:t>2.</w:t>
      </w:r>
      <w:r>
        <w:tab/>
      </w:r>
      <w:r>
        <w:rPr>
          <w:rFonts w:ascii="Times New Roman" w:hAnsi="Times New Roman"/>
          <w:b/>
        </w:rPr>
        <w:t>Formler för beräkning av bruttosoliditetsgrad</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Bruttosoliditetsgraden baseras på ett kapitalmått och ett totalt exponeringsmått, som kan beräknas med hjälp av celler från del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Bruttosoliditetsgrad – fullständigt infasad definition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Bruttosoliditetsgrad – övergångsdefinition = {LRCalc;320;010} / {LRCalc;300;010}.</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835826"/>
      <w:r>
        <w:rPr>
          <w:rFonts w:ascii="Times New Roman" w:hAnsi="Times New Roman"/>
          <w:b/>
        </w:rPr>
        <w:t>3.</w:t>
      </w:r>
      <w:r>
        <w:tab/>
      </w:r>
      <w:r>
        <w:rPr>
          <w:rFonts w:ascii="Times New Roman" w:hAnsi="Times New Roman"/>
          <w:b/>
        </w:rPr>
        <w:t>Tröskelvärden för derivat</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För att minska rapporteringsbördan för institut med begränsade derivatexponeringar ska följande mått tillämpas för att bedöma den relativa vikten av derivatexponeringar för bruttosoliditetsgradens totala exponering. Institut ska beräkna dessa mått på följande sätt</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Pr>
          <w:rFonts w:ascii="Times New Roman" w:hAnsi="Times New Roman"/>
        </w:rPr>
        <w:t>7.</w:t>
      </w:r>
      <w:r>
        <w:tab/>
      </w:r>
      <w:bookmarkStart w:id="52" w:name="_GoBack"/>
      <w:bookmarkEnd w:id="52"/>
      <w:r>
        <w:rPr>
          <w:rFonts w:ascii="Times New Roman" w:hAnsi="Times New Roman"/>
        </w:rPr>
        <w:t xml:space="preserve">Derivatandel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Totalt exponeringsm</m:t>
            </m:r>
            <m:r>
              <m:rPr>
                <m:sty m:val="p"/>
              </m:rPr>
              <w:rPr>
                <w:rFonts w:ascii="Cambria Math" w:hAnsi="Times New Roman"/>
              </w:rPr>
              <m:t>å</m:t>
            </m:r>
            <m:r>
              <m:rPr>
                <m:sty m:val="p"/>
              </m:rPr>
              <w:rPr>
                <w:rFonts w:ascii="Cambria Math" w:hAnsi="Times New Roman"/>
              </w:rPr>
              <m:t>tt</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Där det totala exponeringsmåttet motsvarar: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Totalt teoretiskt värde som avser derivat = {LR1; 010;070}. Institut ska alltid rapportera i denna cell.</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Kreditderivatvolym = {LR1;020;070} + {LR1;050;070}. Institut ska alltid rapportera i dessa celler.</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Institut ska rapportera i de celler som avses i punkt 14 under nästa rapporteringsperiod om något av följande villkor uppfylls:</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Derivatandelen i punkt 7 överstiger 1,5 % på två på varandra följande rapporteringsreferensdatum.</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Derivatandelen i punkt 7 överstiger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12.</w:t>
      </w:r>
      <w:r>
        <w:tab/>
      </w:r>
      <w:r>
        <w:rPr>
          <w:rFonts w:ascii="Times New Roman" w:hAnsi="Times New Roman"/>
        </w:rPr>
        <w:t>Institut för vilka det totala teoretiska värdet avseende derivat enligt definitionen i punkt 9 i överskrider 10 miljarder euro ska rapportera i de celler som avses i punkt 14, även om deras derivatandel inte uppfyller de villkor som anges i punkt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Institut är skyldiga att rapportera i de celler som avses i punkt 15 om något av följande villkor är uppfyllda:</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lastRenderedPageBreak/>
        <w:tab/>
        <w:t>Den kreditderivatvolym som avses i punkt 10 överstiger 300 miljoner euro vid två på varandra följande rapporteringsreferensdatum.</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Den kreditderivatvolym som avses i punkt 10 överstiger 500 miljoner euro.</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Instituten måste rapportera uppgifterna i följande celler i enlighet med punkt 11: {LR1;010;010}, {LR1;010;020}, {LR1;010;050}, {LR1;020;010}, {LR1;020;020}, {LR1;020;050}, {LR1;030;050}, {LR1;030;070}, {LR1;040;050}, {LR1;040;070}, {LR1;050;010}, {LR1;050;020}, {LR1;050;050}, {LR1;060;010}, {LR1;060;020}, {LR1;060;050} och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Instituten måste rapportera uppgifterna i följande celler i enlighet med punkt 13: {LR1;020;075}, {LR1;050;075} och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1"/>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835827"/>
      <w:r>
        <w:rPr>
          <w:rFonts w:ascii="Times New Roman" w:hAnsi="Times New Roman"/>
          <w:b/>
        </w:rPr>
        <w:t>4.</w:t>
      </w:r>
      <w:r>
        <w:tab/>
      </w:r>
      <w:r>
        <w:rPr>
          <w:rFonts w:ascii="Times New Roman" w:hAnsi="Times New Roman"/>
          <w:b/>
        </w:rPr>
        <w:t>C 47.00 – Beräkning av bruttosoliditetsgrad</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Denna del av rapporteringsmallen innehåller de uppgifter som behövs för att beräkna bruttosoliditetsgraden enligt definitionen i artiklarna 429, 429a och 429b i kapitalkravsförordningen.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Institut ska rapportera bruttosoliditetsgraden kvartalsvis. Värdet ”på rapporteringsreferensdatumet” för varje kvartal ska vara värdet den sista kalenderdagen i kvartalets tredje månad.</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Institut ska rapportera {010;010 till {030;010}, {060;010}, {090;010}, {110;010}, och {150;010} till {190;010} som om de undantag som avses i {050;010}, {080;010}, {100;010}, {120;010} och {220;010} inte gällde.</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Institut ska rapportera {010;010} till {240;010} som om de undantag som avses i {250;010} och {260;010} inte gällde.</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Alla belopp som ökar kapitalbasen eller bruttosoliditetsexponeringen ska rapporteras som positiva belopp. Omvänt ska alla belopp som minskar den totala kapitalbasen eller bruttosoliditetsexponeringen rapporteras som negativa belopp. Om namnet på en post föregås av ett minustecken (-) förväntas inga positiva belopp rapporteras för den ifrågavarande posten.</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Rättsliga hänvisningar och instruktioner</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Rad och kolumn</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Exponeringsvärden</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Transaktioner för värdepappersfinansiering: Exponering enligt artikel 429.5 och 429.8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429.5 d och 429.8 i kapitalkravsförordningen.</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Exponering för transaktioner för värdepappersfinansiering beräknad i enlighet med artiklarna 429.5 d och 429.8 i kapitalkravsförordningen.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inkludera transaktioner i enlighet med artikel 429b.6 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inte inkludera mottagna kontanter eller värdepapper som lämnas till en motpart genom ovannämnda transaktioner och som tas med i balansräkningen (dvs. redovisningskraven för borttagning uppfylls inte). Institut ska i stället inkludera sådana poster i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I denna cell ska institut inte inkludera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429b.6 a i kapitalkravsförordningen.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Transaktioner för värdepappersfinansiering: Tillägg för motpartsrisker</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429b.1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Tillägget för motpartsrisker vid transaktioner för värdepappersfinansiering, inbegripet transaktioner utanför balansräkningen, fastställt i enlighet med artikel 429b.2 eller 429b.3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inkludera transaktioner i enlighet med artikel 429b.6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inte inkludera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429b.6 a i kapitalkravsförordningen. Institut ska i stället inkludera sådana poster i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Undantag för transaktioner för värdepappersfinansiering: Tillägg enligt artiklarna 429b.4 och 222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429b.4 och 222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Exponeringsvärdet för transaktioner för värdepappersfinansiering, inbegripet transaktioner utanför balansräkningen, beräknat i enlighet med artikel 222 i kapitalkravsförordningen med en riskvikt på minst 20 %.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inkludera transaktioner i enlighet med artikel 429b.6 c i kapitalkravsförordningen.</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inte inkludera transaktioner för vilka tilläggsdelen i bruttosoliditetsgradens exponeringsvärde fastställs i enlighet med den metod som anges i artikel 429b.1 i kapitalkravsförordningen.</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Motpartsrisker vid transaktioner för värdepappersfinansiering för vilka institutet agerar ombud enligt artikel 429b.6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Artiklarna 429b.6 a, 2 och 3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Exponeringsvärdet för transaktioner för värdepappersfinansiering, där institutet agerar ombud och tillhandahåller en kund eller en motpart en ersättning eller garanti som begränsas till skillnaden mellan värdet på det värdepapper eller de kontanter som kunden har lånat och värdet på den säkerhet som låntagaren har ställt i enlighet med artikel 429b.6 a i kapitalkravsförordningen, ska endast innefatta det tillägg som fastställs i enlighet med artikel 429b.2 eller 429b.3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Institut ska inte inkludera transaktioner i enlighet med artikel 429b.6 c i denna cell. Institut ska i stället inkludera sådana poster i {010;010} och {020;010} eller {010;010} och {030;010}.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Undantagen central motpartsdel vid exponeringar mot transaktioner för värdepappersfinansiering som clearats av kunden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Artiklarna 429.11 och 306.1 c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Undantagen central motpartsdel av handelsexponeringar mot transaktioner för värdepappersfinansiering som clearats av kunden, förutsatt att dessa poster uppfyller kraven som fastställs i artikel 306.1 c i kapitalkravsförordningen.</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När den undantagna centrala motpartsdelen är ett värdepapper ska den inte rapporteras i denna cell, såvida inte det rör sig om ett pantsatt värdepapper som enligt gällande redovisningsregler (dvs. i enlighet med artikel 111.1 första meningen i kapitalkravsförordningen) inkluderas till det fulla värdet.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Det belopp som rapporteras i denna cell ska institut även inkludera i {010;010}, {020;010} och {030;010} som om inga undantag gällde samt, om villkoret i den andra halvan av föregående mening uppfylls, i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Om en initial marginalsäkerhet ställts av institutet för en undantagen del av en transaktion för värdepappersfinansiering som rapporteras i {190;010} och inte rapporteras i {020;010} eller {030;010}, kan institutet rapportera detta i denna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Derivat: Aktuell ersättningskostnad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429a, 274, 295, 296, 297 och 298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Den aktuella ersättningskostnaden enligt artikel 274.1 i kapitalkravsförordningen för kontrakt som anges i bilaga II till kapitalkravsförordningen och kreditderivat, inbegripet sådana utanför balansräkningen, rapporteras inbegripet mottagen variationsmarginal.</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 enlighet med artikel 429a.1 i kapitalkravsförordningen kan institut ta hänsyn till effekterna av avtal om novation och andra nettningsavtal i enlighet med artikel 295 i kapitalkravsförordningen. Produktövergripande nettning ska inte tillämpas. Institut får emellertid netta inom den produktkategori som anges i artikel 272.25 c i kapitalkravsförordningen och kreditderivat när dessa omfattas av avtal om produktövergripande nettning som avses i artikel 295 c i kapitalkravsförordningen.</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 denna cell ska institut inte inkludera kontrakt som beräknas genom tillämpning av en ursprunglig åtagandemetod i enlighet med artiklarna 429a.8 och 275 i kapitalkravsförordningen.</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Godtagbar variationsmarginal som erhållits i kontanter kvittad mot derivatmarknadsvärde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429a.3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Variationsmarginal som erhållits från motparten i kontanter och som kan kvittas mot ersättningskostnadsandelen i derivatexponeringen i enlighet med artikel 429a.3 i kapitalkravsförordningen.</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Eventuell variationsmarginal som erhållits i kontanter som mottagits för en undantagen central motpartsdel i enlighet med artikel 429.11 i kapitalkravsförordningen ska inte rapporteras.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Undantagen central motpartsdel av handelsexponeringar som clearats av kunden (ersättningskostnader)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429.11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Ersättningskostnadsandelen av undantagna handelsexponeringar mot en kvalificerad central motpart från derivattransaktioner som clearats av kunden, förutsatt att dessa poster uppfyller kraven som fastställs i artikel 306.1 c i kapitalkravsförordningen. Detta belopp ska rapporteras inbegripet variationsmarginal som erhållits i kontanter för denna del.</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Institut ska inkludera beloppet som rapporteras i denna cell även i {060;010} som om inga undantag gällde.</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Derivat: Tillägg enligt marknadsvärderingsmetoden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429a, 274, 295, 296, 297, 298 och 299.2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 denna cell hänvisas det till tillägg för den möjliga framtida exponeringen av kontrakt som anges i bilaga II till kapitalkravsförordningen och kreditderivat, inbegripet sådana utanför balansräkningen, beräknat i enlighet med marknadsvärderingsmetoden (artikel 274 i kapitalkravsförordningen för avtal angivna i bilaga II till kapitalkravsförordningen och artikel 299.2 i kapitalkravsförordningen för kreditderivat) och genom tillämpning av nettningsbestämmelserna i enlighet med artikel 429a.1 i kapitalkravsförordningen. När institut fastställer exponeringsvärdet för dessa avtal får de ta hänsyn till effekterna av avtal om novation och andra nettningsavtal i enlighet med artikel 295 i kapitalkravsförordningen. Produktövergripande nettning ska inte tillämpas. Institut får emellertid netta inom den produktkategori som anges i artikel 272.25 c i kapitalkravsförordningen och kreditderivat när dessa omfattas av avtal om produktövergripande nettning som avses i artikel 295 c i kapitalkravsförordningen.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 enlighet med artikel 429a.1 andra stycket i kapitalkravsförordningen ska institut, när de fastställer den möjliga framtida kreditexponeringen för kreditderivat, tillämpa de principer som fastställs i artikel 299.2 a på alla sina kreditderivat, inte bara på dem som hänförs till handelslagret.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 denna cell ska institut inte inkludera kontrakt som beräknas genom tillämpning av en ursprunglig åtagandemetod i enlighet med artiklarna 429a.8 och 275 i kapitalkravsförordningen.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Undantagen central motpartsdel av handelsexponeringar som clearats av kunden (möjlig framtida exponering)</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429.11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Den möjliga framtida exponeringen av undantagna handelsexponeringar mot en kvalificerad central motpart från derivattransaktioner som clearats av kunden, förutsatt att dessa poster uppfyller kraven som fastställs i artikel 306.1 c i kapitalkravsförordningen.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Institut ska inkludera beloppet som rapporteras i denna cell även i {090;010} som om inga undantag gällde.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Undantag för derivat: Ursprunglig åtagandemetod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429a.8 och 275 i kapitalkravsförordningen.</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hänvisas det till exponeringsmåttet för kontrakt som anges i punkterna 1 och 2 i bilaga II till kapitalkravsförordningen, beräknat i enlighet med den ursprungliga åtagandemetod som anges i artikel 275 i kapitalkravsförordningen.</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Institut som tillämpar en ursprunglig åtagandemetod ska inte minska exponeringsmåttet med den variationsmarginal som erhållits i kontanter i enlighet med artikel 429a.8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Institut som inte tillämpar en ursprunglig åtagandemetod ska inte rapportera i denna cell.</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 denna cell ska institut inte inkludera kontrakt som beräknas genom tillämpning av marknadsvärderingsmetoden i enlighet med artiklarna 429a.1 och 274 i kapitalkravsförordningen.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Undantagen central motpartsdel av handelsexponeringar som clearats av kunden (ursprunglig åtagandemetod)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429.11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Den undantagna centrala motpartsdelen i handelsexponeringar som clearats av kunden vid tillämpning av en ursprunglig åtagandemetod i enlighet med artikel 275 i kapitalkravsförordningen, under förutsättning att dessa poster uppfyller kraven i artikel 306.1 c i kapitalkravsförordningen.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Institut ska inkludera beloppet som rapporteras i denna cell även i {110;010} som om inga undantag gällde.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Begränsat teoretiskt belopp av utfärdade kreditderivat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429a.5–7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begränsade teoretiska beloppet för utfärdade kreditderivat (dvs. där institutet tillhandahåller motparten kreditskydd) enligt artikel 429a.5–7 i kapitalkravsförordningen.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Godtagbara förvärvade kreditderivat kvittade mot utfärdade kreditderivat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429a.5–7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begränsade teoretiska beloppet för förvärvade kreditderivat (dvs. där institutet köper kreditskydd från en motpart) för samma referensnamn som de kreditderivat som institutet utfärdar, om den återstående löptiden för det köpta kreditskyddet motsvarar eller är längre än löptiden för det sålda skyddet. Därför ska värdet inte vara större än det värde som ifyllts i {130;010} för varje referensnamn.</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Poster utanför balansräkningen med en konverteringsfaktor på 10 % i enlighet med artikel 429.10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429.10, 111.1 d och 166.9 i kapitalkravsförordningen.</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Exponeringsvärdet, i enlighet med artiklarna 429.10 och 111.1 d i kapitalkravsförordningen, av poster utanför balansräkningen av lågrisktyp som skulle tilldelas en konverteringsfaktor på 0 % enligt punkt 4 a–c i bilaga I till kapitalkravsförordningen (exponeringsvärdet ska i detta sammanhang utgöra 10 % av det nominella värdet). Detta är avtal som institutet villkorslöst kan säga upp när som helst utan föregående avisering eller som i själva verket innebär en automatisk uppsägning om låntagarens kreditvärdighet försämras.</w:t>
            </w:r>
            <w:r>
              <w:t xml:space="preserve"> </w:t>
            </w:r>
            <w:r>
              <w:rPr>
                <w:rFonts w:ascii="Times New Roman" w:hAnsi="Times New Roman"/>
              </w:rPr>
              <w:t>Det nominella värdet ska inte minskas med specifika kreditriskjusteringar.</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När ett avtal avser utvidgning av ett annat avtal, ska den lägre av de två konverteringsfaktorerna som förknippas med det enskilda avtalet användas i enlighet med artikel 166.9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Poster utanför balansräkningen med en konverteringsfaktor på 20 % i enlighet med artikel 429.10 i kapitalkravsförordningen</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429.10, 111.1 c och 166.9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Exponeringsvärdet, i enlighet med artiklarna 429.10 och 111.1 c i kapitalkravsförordningen, av poster utanför balansräkningen av medel- och lågrisktyp som skulle tilldelas en konverteringsfaktor på 20 % enligt punkt 3 a och 3 b i bilaga I till kapitalkravsförordningen (exponeringsvärdet ska i detta sammanhang utgöra 20 % av det nominella värdet).</w:t>
            </w:r>
            <w:r>
              <w:t xml:space="preserve"> </w:t>
            </w:r>
            <w:r>
              <w:rPr>
                <w:rFonts w:ascii="Times New Roman" w:hAnsi="Times New Roman"/>
              </w:rPr>
              <w:t>Det nominella värdet ska inte minskas med specifika kreditriskjusteringar.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När ett avtal avser utvidgning av ett annat avtal, ska den lägre av de två konverteringsfaktorerna som förknippas med det enskilda avtalet användas i enlighet med artikel 166.9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Poster utanför balansräkningen med en konverteringsfaktor på 50 % i enlighet med artikel 429.10 i kapitalkravsförordningen</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429.10, 111.1 b och 166.9 i kapitalkravsförordningen.</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Exponeringsvärdet, i enlighet med artiklarna 429.10 och 111.1 b i kapitalkravsförordningen, av poster utanför balansräkningen av medelrisktyp som skulle tilldelas en konverteringsfaktor på 50 % enligt definitionen i schablonmetoden för kreditrisk som anges punkt 2 a och 2 b i bilaga I till kapitalkravsförordningen (exponeringsvärdet ska i detta sammanhang utgöra 50 % av det nominella värdet). Det nominella värdet ska inte minskas med specifika kreditriskjusteringar.</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Denna cell innefattar likviditetsfaciliteter och andra åtaganden om värdepapperisering. Med andra ord är konverteringsfaktorn för alla likviditetsfaciliteter i enlighet med artikel 255 i kapitalkravsförordningen 50 % oavsett löptid.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När ett avtal avser utvidgning av ett annat avtal, ska den lägre av de två konverteringsfaktorerna som förknippas med det enskilda avtalet användas i enlighet med artikel 166.9 i kapitalkravsförordningen.</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Poster utanför balansräkningen med en konverteringsfaktor på 100 % i enlighet med artikel 429.10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Artiklarna 429.10, 111.1 a och 166.9 i kapitalkravsförordningen.</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Exponeringsvärdet, i enlighet med artiklarna 429.10 och 111.1 a i kapitalkravsförordningen, av poster utanför balansräkningen av högrisktyp som skulle tilldelas en konverteringsfaktor på 100 % enligt punkt 1 a–1 k i bilaga I till kapitalkravsförordningen (exponeringsvärdet ska i detta sammanhang utgöra 100 % av det nominella värdet). Det nominella värdet ska inte minskas med specifika kreditriskjusteringar.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Denna cell innefattar likviditetsfaciliteter och andra åtaganden om värdepapperisering.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När ett avtal avser utvidgning av ett annat avtal, ska den lägre av de två konverteringsfaktorerna som förknippas med det enskilda avtalet användas i enlighet med artikel 166.9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Övriga tillgångar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Artikel 429.5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Alla andra tillgångar än kontrakt som anges i bilaga II till kapitalkravsförordningen, kreditderivat och transaktioner för värdepappersfinansiering (tillgångar som ska rapporteras i denna cell är därmed bland annat bokförda fordringar för variationsmarginal som erhållits i kontanter där sådana redovisats enligt gällande redovisningsregler, likvida tillgångar enligt definitionen för likviditetstäckning, fallerade och icke-avvecklade transaktioner). Institut ska basera värderingen på de principer som fastställs i artikel 429.5 i kapitalkravsförordningen.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 denna cell ska institut inkludera mottagna kontanter eller värdepapper som lämnas till en motpart genom transaktioner för värdepappersfinansiering och som tas med i balansräkningen (dvs. redovisningskraven för borttagning uppfylls inte). Institut ska dessutom redovisa poster som dras av från kärnprimärkapital och primärkapitaltillskott (t.ex. immateriella tillgångar och uppskjutna skattefordringar).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Bruttovärdeökning för säkerheter i derivattransaktioner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429a.2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Beloppet för den derivatsäkerhet som ställs där den säkerheten minskar tillgångsbeloppet enligt gällande redovisningsregler, enligt artikel 429a.2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 denna cell ska institut inte inkludera initiala marginalsäkerheter för derivattransaktioner med kvalificerad central motpart eller godtagbar variationsmarginal som erhållits i kontanter som clearats av kunden, enligt definitionen i artikel 429a.3 i kapitalkravsförordningen.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Fordringar för variationsmarginal som erhållits i kontanter i derivattransaktioner</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Artikel 429a.3 tredje stycket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Fordringar för variationsmarginal som betalas kontant till motparten i derivattransaktioner om institutet är skyldigt, enligt gällande redovisningsregler, att redovisa dessa fordringar som en tillgång, förutsatt att kraven i artikel 429a.3 a–e i kapitalkravsförordningen är uppfyllda.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rapporterade beloppet ska också tas med i de övriga tillgångar som rapporteras i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Undantagen central motpartsdel av handelsexponeringar som clearats av kunden (initial marginalsäkerhet)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429.11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Andelen (ställd) initial marginalsäkerhet av undantagna handelsexponeringar mot en kvalificerad central motpart från derivattransaktioner som clearats av kunden, förutsatt att dessa poster uppfyller kraven som fastställs i artikel 306.1 c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rapporterade beloppet ska också tas med i de övriga tillgångar som rapporteras i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Justeringar för bokförda försäljningstransaktioner vid transaktioner för värdepappersfinansiering</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Artikel 429b.5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Värdet av värdepapper som utlånats i en återköpstransaktion som tagits bort från balansräkningen på grund av en försäljningstransaktion enligt gällande redovisningsregler.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Förvaltningstillgångar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Artikel 429.13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Värdet av förvaltningstillgångar som uppfyller kriterierna i IAS 39 för borttagning från balansräkningen och, i förekommande fall, kriterier för icke-konsolidering enligt IFRS 10, i enlighet med artikel 429.13 i kapitalkravsförordningen, utan effekter av redovisningsrelaterad nettning eller andra effekter av kreditriskreducering (dvs. eventuella effekter av redovisningsrelaterad nettning eller kreditriskreducering som har påverkat det redovisade värdet ska återföras).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rapporterade beloppet ska också tas med i de övriga tillgångar som rapporteras i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Undantagen koncernintern exponering (individuell nivå) i enlighet med artikel 429.7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Artiklarna 429.7 och 113.6 i kapitalkravsförordningen.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Exponeringar som inte har konsoliderats på tillämplig konsolideringsnivå, som kan behandlas på det sätt som anges i artikel 113.6 i kapitalkravsförordningen, förutsatt att samtliga villkor som anges i artikel 113.6 a–e i kapitalkravsförordningen är uppfyllda och att de behöriga myndigheterna har gett sitt godkännande.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Det rapporterade beloppet ska också tas med i tillämpliga celler ovan som om inga undantag gällde.</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Undantagen exponering i enlighet med artikel 429.14 i kapitalkravsförordningen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Artikel 429.14 i kapitalkravsförordningen.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Exponeringar som undantagits i enlighet med artikel 429.14 i kapitalkravsförordningen, förutsatt att samtliga villkor som anges däri är uppfyllda och att de behöriga myndigheterna har gett sitt godkännande.</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Det rapporterade beloppet ska också tas med i tillämpliga celler ovan som om inga undantag gällde.</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Avdraget tillgångsbelopp – primärkapital – fullständigt infasad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Artiklarna 429.4 a och 499.1 a i kapitalkravsförordningen.</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Detta innefattar samtliga justeringar som ändrar värdet på en tillgång och som krävs enligt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artiklarna 32–35 i kapitalkravsförordningen, eller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artiklarna 36–47 i kapitalkravsförordningen, eller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artiklarna 56–60 i kapitalkravsförordningen,</w:t>
            </w:r>
          </w:p>
          <w:p w:rsidR="006D3F98" w:rsidRDefault="006D3F98" w:rsidP="002573FC">
            <w:pPr>
              <w:pStyle w:val="BodyText1"/>
              <w:spacing w:line="240" w:lineRule="auto"/>
              <w:rPr>
                <w:rFonts w:ascii="Times New Roman" w:hAnsi="Times New Roman"/>
                <w:bCs/>
              </w:rPr>
            </w:pPr>
            <w:r>
              <w:rPr>
                <w:rFonts w:ascii="Times New Roman" w:hAnsi="Times New Roman"/>
              </w:rPr>
              <w:t>beroende på vad som är tillämpligt.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Institut ska ta hänsyn till de undantag, alternativ och avståenden från sådana avdrag som fastställs i artiklarna 48, 49 och 79 i kapitalkravsförordningen men inte ta hänsyn till det undantag som fastställs i del tio avdelning I kapitel 1 och 2 i kapitalkravsförordningen. För att undvika dubbelräkning ska institut varken rapportera de justeringar som redan tillämpats enligt artikel 111 i kapitalkravsförordningen när de beräknar exponeringsvärdet i {010;010} till {260;010} eller rapportera justeringar som inte drar av värdet på en specifik tillgång.</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Eftersom dessa belopp redan har dragits av från kapitalmåttet, minskar de bruttosoliditetsexponeringen och rapporteras därför som negativa siffror.</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Avdraget tillgångsbelopp – primärkapital – övergångsdefinition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Artiklarna 429.4 a och 499.1 b i kapitalkravsförordningen.</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Detta innefattar samtliga justeringar som ändrar värdet på en tillgång och som krävs enligt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artiklarna 32–35 i kapitalkravsförordningen, eller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artiklarna 36–47 i kapitalkravsförordningen, eller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artiklarna 56–60 i kapitalkravsförordningen,</w:t>
            </w:r>
          </w:p>
          <w:p w:rsidR="009264ED" w:rsidRDefault="00316050" w:rsidP="002573FC">
            <w:pPr>
              <w:pStyle w:val="BodyText1"/>
              <w:spacing w:line="240" w:lineRule="auto"/>
              <w:rPr>
                <w:rFonts w:ascii="Times New Roman" w:hAnsi="Times New Roman"/>
                <w:bCs/>
              </w:rPr>
            </w:pPr>
            <w:r>
              <w:rPr>
                <w:rFonts w:ascii="Times New Roman" w:hAnsi="Times New Roman"/>
              </w:rPr>
              <w:t>beroende på vad som är tillämpligt.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Institut ska beakta de undantag, alternativ och avståenden från sådana avdrag enligt artiklarna 48, 49 och 79 i kapitalkravsförordningen, utöver hänsyn till undantagen enligt del tio avdelning I kapitlen 1 och 2 i kapitalkravsförordningen. För att undvika dubbelräkning ska institut varken rapportera de justeringar som redan tillämpats enligt artikel 111 i kapitalkravsförordningen när de beräknar exponeringsvärdet i {010;010} till {260;010} eller rapportera justeringar som inte drar av värdet på en specifik tillgång.</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Eftersom dessa belopp redan har dragits av från kapitalmåttet, minskar de bruttosoliditetsexponeringen och rapporteras därför som negativa siffror.</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Summa bruttosoliditetsexponering – med en fullständigt infasad definition av primärkapital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Institut ska rapportera följande belopp:</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Summa bruttosoliditetsexponering – med en övergångsdefinition av primärkapital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Institut ska rapportera följande belopp:</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Rad </w:t>
            </w:r>
          </w:p>
          <w:p w:rsidR="009264ED" w:rsidRPr="00FE002E" w:rsidRDefault="009264ED" w:rsidP="00FE0FF1">
            <w:pPr>
              <w:pStyle w:val="BodyText1"/>
              <w:rPr>
                <w:rFonts w:ascii="Times New Roman" w:hAnsi="Times New Roman"/>
                <w:b/>
                <w:bCs/>
              </w:rPr>
            </w:pPr>
            <w:r>
              <w:rPr>
                <w:rFonts w:ascii="Times New Roman" w:hAnsi="Times New Roman"/>
                <w:b/>
              </w:rPr>
              <w:t>och kolumn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Primärkapital – fullständigt infasad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Artiklarna 429.3 och 499.1 i kapitalkravsförordningen.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Avser primärkapitalet beräknat i enlighet med artikel 25 i kapitalkravsförordningen, utan hänsyn till det undantag som fastställs i del tio avdelning I kapitel 1 och 2 i kapitalkravsförordningen.</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lastRenderedPageBreak/>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Primärkapital – övergångsdefinition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Artiklarna 429.3 och 499.1 i kapitalkravsförordningen.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Avser primärkapitalet beräknat i enlighet med artikel 25 i kapitalkravsförordningen, med hänsyn till det undantag som fastställs i del tio avdelning I kapitel 1 och 2 i kapitalkravsförordningen.</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Rad </w:t>
            </w:r>
          </w:p>
          <w:p w:rsidR="009264ED" w:rsidRPr="00FE002E" w:rsidRDefault="009264ED" w:rsidP="00FE0FF1">
            <w:pPr>
              <w:pStyle w:val="BodyText1"/>
              <w:rPr>
                <w:rFonts w:ascii="Times New Roman" w:hAnsi="Times New Roman"/>
                <w:b/>
                <w:bCs/>
              </w:rPr>
            </w:pPr>
            <w:r>
              <w:rPr>
                <w:rFonts w:ascii="Times New Roman" w:hAnsi="Times New Roman"/>
                <w:b/>
              </w:rPr>
              <w:t>och kolumn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Bruttosoliditetsgrad</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Bruttosoliditet – med en fullständigt infasad definition av primärkapital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Artiklarna 429.2 och 499.1 i kapitalkravsförordningen.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Avser bruttosoliditetsgraden beräknad enligt punkt 4 i del II i denna bilaga.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Bruttosoliditet – med en övergångsdefinition av primärkapital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Artiklarna 429.2 och 499.1 i kapitalkravsförordningen.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Avser bruttosoliditetsgraden beräknad enligt punkt 5 i del II i denna bilaga.</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835828"/>
      <w:r>
        <w:rPr>
          <w:rFonts w:ascii="Times New Roman" w:hAnsi="Times New Roman"/>
          <w:b/>
        </w:rPr>
        <w:t>5.</w:t>
      </w:r>
      <w:r>
        <w:tab/>
      </w:r>
      <w:r>
        <w:rPr>
          <w:rFonts w:ascii="Times New Roman" w:hAnsi="Times New Roman"/>
          <w:b/>
        </w:rPr>
        <w:t>C 40.00 – Alternativ behandling av exponeringsmått</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I denna del av rapporteringen samlas uppgifter in om alternativ behandling av derivat, transaktioner för värdepappersfinansiering och poster utanför balansräkningen.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Institut ska fastställa ”de redovisade balansräkningsvärdena” i LR1 utifrån gällande redovisningsregler i enlighet med artikel 4.1.77 i kapitalkravsförordningen. Med ”redovisat värde utan nettning eller annan kreditriskreducering” avses det redovisade balansräkningsvärdet utan hänsyn tagen till några effekter av nettning eller annan kreditriskreducering.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Med undantag för {250;120} och {260;120} ska institut rapportera LR1 som om de undantag som avses i LRCalc-cellerna {050;010}, {080;010}, {100;010}, {120;010}, {220;010}, {250;010} och {260;010} inte gällde.</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Rad </w:t>
            </w:r>
          </w:p>
          <w:p w:rsidR="00F4754B" w:rsidRPr="00FE002E" w:rsidRDefault="00F4754B" w:rsidP="00F4754B">
            <w:pPr>
              <w:pStyle w:val="BodyText1"/>
              <w:rPr>
                <w:rFonts w:ascii="Times New Roman" w:hAnsi="Times New Roman"/>
                <w:b/>
              </w:rPr>
            </w:pPr>
            <w:r>
              <w:rPr>
                <w:rFonts w:ascii="Times New Roman" w:hAnsi="Times New Roman"/>
                <w:b/>
              </w:rPr>
              <w:t>och kolumn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Rättsliga hänvisningar och instruktioner</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Derivat – redovisat balansräkningsvärde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{020;010}, {050;010} och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 redovisat värde utan nettning eller annan kreditriskreducering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{020;020}, {050;020} och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 tillägg enligt marknadsvärderingsmetoden (utan nettning eller annan kreditriskreducering)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{020;050}, {050;050} och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 teoretiskt belopp</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{020;070}, {050;070} och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 (sålt skydd) – redovisat balansräkningsvärde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Artikel 4.1.77 i kapitalkravsförordningen.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kreditderivat om institutet säljer kreditskydd till en motpart och kontraktet ska redovisas som en tillgång i balansräkningen.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 (sålt skydd) – redovisat värde utan nettning eller annan kreditriskreducering</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Artikel 4.1.77 i kapitalkravsförordningen.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kreditderivat om institutet säljer kreditskydd till en motpart och kontraktet redovisas som en tillgång i balansräkningen, utan effekter avseende tillsyn, redovisningsrelaterad nettning eller annan kreditriskreducering (dvs. eventuella effekter avseende redovisningsrelaterad nettning eller kreditriskreducering som har påverkat det redovisade värdet ska återföras).</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 (sålt skydd) – tillägg enligt marknadsvärderingsmetoden (utan nettning eller annan kreditriskreducering)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{030;050} och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 (sålt skydd) – teoretiskt belopp</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cellerna {030;070} och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Kreditderivat (sålt skydd) – begränsat teoretiskt belopp</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I denna cell hänvisas det till det teoretiska beloppet för kreditderivat (sålt skydd) som i {020; 070} efter en minskning med eventuella negativa förändringar i verkliga värden som har medräknats i primärkapitalet med hänsyn till det utfärdade kreditderivatet.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(sålt skydd) som är föremål för en slutavräkningsklausul – tillägg enligt marknadsvärderingsmetoden (utan nettning eller annan kreditriskreducering)</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299.2 i kapitalkravsförordningen.</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hänvisas det till den möjliga framtida exponeringen av kreditderivat om institutet säljer kreditskydd till en motpart som omfattas av en slutavräkningsklausul utan nettning eller annan kreditriskreducering. I denna cell ska institut inte inkludera tillägg för kreditderivat om institutet säljer kreditskydd till en motpart som inte omfattas av en slutavräkningsklausul. Institut ska i stället inkludera detta i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Institut ska ta hänsyn till alla kreditderivat och inte bara de som överförts till handelslagret.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(sålt skydd) som är föremål för en slutavräkningsklausul – teoretiskt belopp</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 denna cell hänvisas det till det teoretiska beloppet för kreditderivat om institutet säljer kreditskydd till en motpart som omfattas av en slutavräkningsklausul.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Institut ska ta hänsyn till alla kreditderivat och inte bara de som överförts till handelslagret.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(sålt skydd) som är föremål för en slutavräkningsklausul – tillägg enligt marknadsvärderingsmetoden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299.2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I denna cell hänvisas det till den möjliga framtida exponeringen av kreditderivat om institutet säljer kreditskydd till en motpart som </w:t>
            </w:r>
            <w:r>
              <w:rPr>
                <w:rFonts w:ascii="Times New Roman" w:hAnsi="Times New Roman"/>
                <w:b/>
                <w:u w:val="single"/>
              </w:rPr>
              <w:t>inte</w:t>
            </w:r>
            <w:r>
              <w:rPr>
                <w:rFonts w:ascii="Times New Roman" w:hAnsi="Times New Roman"/>
              </w:rPr>
              <w:t xml:space="preserve"> omfattas av en slutavräkningsklausul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Institut ska ta hänsyn till alla kreditderivat och inte bara de som överförts till handelslagret.</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(sålt skydd) som inte är föremål för en slutavräkningsklausul – teoretiskt belopp</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I denna cell hänvisas det till det teoretiska beloppet för kreditderivat om institutet säljer kreditskydd till en motpart som </w:t>
            </w:r>
            <w:r>
              <w:rPr>
                <w:rFonts w:ascii="Times New Roman" w:hAnsi="Times New Roman"/>
                <w:b/>
                <w:u w:val="single"/>
              </w:rPr>
              <w:t>inte</w:t>
            </w:r>
            <w:r>
              <w:rPr>
                <w:rFonts w:ascii="Times New Roman" w:hAnsi="Times New Roman"/>
              </w:rPr>
              <w:t xml:space="preserve"> omfattas av en slutavräkningsklausul.</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Institut ska ta hänsyn till alla kreditderivat och inte bara de som överförts till handelslagret.</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(köpt skydd) – redovisat balansräkningsvärde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kreditderivat om institutet köper kreditskydd från en motpart och kontraktet ska redovisas som en tillgång i balansräkningen.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Institut ska ta hänsyn till alla kreditderivat och inte bara de som överförts till handelslagret.</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(köpt skydd) – redovisat värde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kreditderivat om institutet köper kreditskydd från en motpart och kontraktet redovisas som en tillgång i balansräkningen, utan effekter avseende tillsyn, redovisningsrelaterad nettning eller kreditriskreducering(dvs. eventuella effekter avseende redovisningsrelaterad nettning eller kreditriskreducering som har påverkat det redovisade värdet ska återföras).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Institut ska ta hänsyn till alla kreditderivat och inte bara de som överförts till handelslagret.</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lastRenderedPageBreak/>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(köpt skydd) – tillägg enligt marknadsvärderingsmetoden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299.2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den möjliga framtida exponeringen av kreditderivat om institutet köper kreditskydd från en motpart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Institut ska ta hänsyn till alla kreditderivat och inte bara de som överförts till handelslagret.</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 (köpt skydd) – teoretiskt belopp</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 denna cell hänvisas det till det teoretiska beloppet för kreditderivat om institutet köper kreditskydd från en motpart.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Institut ska ta hänsyn till alla kreditderivat och inte bara de som överförts till handelslagret.</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Kreditderivat (köpt skydd) – begränsat teoretiskt belopp</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I denna cell hänvisas det till det teoretiska belopp för kreditderivat (köpt skydd) som i {050;050} efter minskning med eventuella positiva förändringar i verkliga värden som har medräknats i primärkapitalet med hänsyn till det köpta kreditderivatet.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Kreditderivat (köpt skydd) – begränsat teoretiskt belopp (samma referensnamn)</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teoretiska beloppet för kreditderivat om institutet köper kreditskydd för samma underliggande referensnamn som för de kreditderivat som utfärdas av det rapporterande institutet.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Vid rapportering av detta cellvärde betraktas underliggande referensnamn vara likvärdiga om de åsyftar samma juridiska person och senioritet.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Kreditskydd som köpts i en grupp av referensenheter betraktas som likvärdiga om skyddet finansiellt sett motsvarar det skydd som köpts separat för vart och ett av namnen i gruppen.</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Om ett institut köper kreditskydd i en pool av referensnamn anses kreditskyddet endast vara likvärdigt om det köpta kreditskyddet täcker samtliga delar i den pool avseende vilken kreditskydd har sålts. Med andra ord kan kvittning endast redovisas när gruppen av referensenheter och prioriteringsnivån avseende båda transaktioner är identiska.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För varje referensnamn gäller att de teoretiska belopp för köpt kreditskydd som beaktas i denna cell inte får överstiga det belopp som rapporteras i {020;075} och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Finansiella derivat – redovisat balansräkningsvärde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sådana kontrakt som anges i bilaga II till kapitalkravsförordningen om kontraktet redovisas som tillgångar i balansräkningen.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Finansiella derivat – redovisat värde utan nettning eller annan kreditriskreducering</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Det redovisade balansräkningsvärdet enligt gällande redovisningsregler för sådana kontrakt som anges i bilaga II till kapitalkravsförordningen om kontraktet redovisas som tillgångar i balansräkningen, utan effekter avseende tillsyn, redovisningsrelaterad nettning eller andra </w:t>
            </w:r>
            <w:r>
              <w:rPr>
                <w:rFonts w:ascii="Times New Roman" w:hAnsi="Times New Roman"/>
              </w:rPr>
              <w:lastRenderedPageBreak/>
              <w:t>effekter av kreditriskreducering (dvs. eventuella effekter avseende redovisningsrelaterad nettning eller kreditriskreducering som har påverkat det redovisade värdet ska återföras).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Finansiella derivat – tillägg enligt marknadsvärderingsmetoden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274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den regulatoriska möjliga framtida exponeringen av kontrakt som anges i bilaga II till kapitalkravsförordningen, utan nettning eller annan kreditriskreducering.</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Finansiella derivat – teoretiskt belopp</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det teoretiska beloppet för sådana kontrakt som anges i bilaga II till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Transaktioner för värdepappersfinansiering som omfattas av ett ramavtal om nettning – redovisat balansräkningsvärde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4.1.77</w:t>
            </w:r>
            <w:r>
              <w:rPr>
                <w:rFonts w:ascii="Times New Roman" w:hAnsi="Times New Roman"/>
                <w:b/>
              </w:rPr>
              <w:t xml:space="preserve"> </w:t>
            </w:r>
            <w:r>
              <w:rPr>
                <w:rFonts w:ascii="Times New Roman" w:hAnsi="Times New Roman"/>
              </w:rPr>
              <w:t>och 206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av transaktioner för värdepappersfinansiering enligt gällande redovisningsregler som omfattas av ett godtagbart ramavtal om nettning enligt artikel 206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 denna cell ska institut inte inkludera mottagna kontanter eller värdepapper som lämnas till en motpart genom ovannämnda transaktioner och som tas med i balansräkningen (dvs. redovisningskraven för borttagning uppfylls inte). Institut ska i stället inkludera detta i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Transaktioner för värdepappersfinansiering som omfattas av ramavtal om nettning – redovisat värde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4.1.77 och 206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transaktioner för värdepappersfinansiering som omfattas av ett godtagbart ramavtal om nettning enligt artikel 206 i kapitalkravsförordningen om kontraktet redovisas som tillgångar i balansräkningen, utan effekter avseende tillsyn, redovisningsrelaterad nettning eller andra effekter av kreditriskreducering (dvs. eventuella effekter avseende redovisningsrelaterad nettning eller kreditriskreducering som har påverkat det redovisade värdet ska återföras). Om försäljningsredovisning görs av en transaktioner för värdepappersfinansiering enligt gällande redovisningsregler ska institut dessutom ändra alla försäljningsrelaterade bokföringsposter.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ska institut inte inkludera mottagna kontanter eller värdepapper som lämnas till en motpart genom ovannämnda transaktioner och som tas med i balansräkningen (dvs. redovisningskraven för borttagning uppfylls inte). Institut ska i stället inkludera detta i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Transaktioner för värdepappersfinansiering som omfattas av ett ramavtal om nettning – tillägg för transaktioner för värdepappersfinansiering</w:t>
            </w: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206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Institut ska fastställa nettningsmängder för transaktioner för värdepappersfinansiering, inbegripet sådana utanför balansräkningen, som omfattas av ett nettningsavtal som uppfyller villkoren i artikel 206 i kapitalkravsförordningen. För varje nettningsmängd ska institut beräkna tillägget för aktuell motpartsexponering enligt följande formel: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där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varje transaktion i nettningsmängden.</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för transaktion i, värdet E</w:t>
            </w:r>
            <w:r>
              <w:rPr>
                <w:rFonts w:ascii="Times New Roman" w:hAnsi="Times New Roman"/>
                <w:vertAlign w:val="subscript"/>
              </w:rPr>
              <w:t>i</w:t>
            </w:r>
            <w:r>
              <w:rPr>
                <w:rFonts w:ascii="Times New Roman" w:hAnsi="Times New Roman"/>
              </w:rPr>
              <w:t xml:space="preserve"> enligt definitionen i artikel 220.3 i kapitalkravsförordningen.</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för transaktion i, värdet C</w:t>
            </w:r>
            <w:r>
              <w:rPr>
                <w:rFonts w:ascii="Times New Roman" w:hAnsi="Times New Roman"/>
                <w:vertAlign w:val="subscript"/>
              </w:rPr>
              <w:t>i</w:t>
            </w:r>
            <w:r>
              <w:rPr>
                <w:rFonts w:ascii="Times New Roman" w:hAnsi="Times New Roman"/>
              </w:rPr>
              <w:t xml:space="preserve"> enligt definitionen i artikel 220.3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Institut ska sammanställa formelns beräkningsresultat för alla nettningsmängder och ange resultatet i denna cell.</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Transaktioner för värdepappersfinansiering som inte omfattas av ett ramavtal om nettning – redovisat balansräkningsvärde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Det redovisade balansräkningsvärdet av transaktioner för värdepappersfinansiering enligt gällande redovisningsregler som </w:t>
            </w:r>
            <w:r>
              <w:rPr>
                <w:rFonts w:ascii="Times New Roman" w:hAnsi="Times New Roman"/>
                <w:b/>
                <w:u w:val="single"/>
              </w:rPr>
              <w:t>inte</w:t>
            </w:r>
            <w:r>
              <w:rPr>
                <w:rFonts w:ascii="Times New Roman" w:hAnsi="Times New Roman"/>
              </w:rPr>
              <w:t xml:space="preserve"> omfattas av ett godtagbart ramavtal om nettning enligt artikel 206 i kapitalkravsförordningen om kontraktet redovisas som en tillgång i balansräkningen.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ska institut inte inkludera mottagna kontanter eller värdepapper som lämnas till en motpart genom ovannämnda transaktioner och som tas med i balansräkningen (dvs. redovisningskraven för borttagning uppfylls inte). Institut ska i stället inkludera detta i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Transaktioner för värdepappersfinansiering som inte omfattas av ramavtal om nettning – redovisat värde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Det redovisade balansräkningsvärdet enligt gällande redovisningsregler för transaktioner för värdepappersfinansiering som </w:t>
            </w:r>
            <w:r>
              <w:rPr>
                <w:rFonts w:ascii="Times New Roman" w:hAnsi="Times New Roman"/>
                <w:b/>
                <w:u w:val="single"/>
              </w:rPr>
              <w:t>inte</w:t>
            </w:r>
            <w:r>
              <w:rPr>
                <w:rFonts w:ascii="Times New Roman" w:hAnsi="Times New Roman"/>
              </w:rPr>
              <w:t xml:space="preserve"> omfattas av ett godtagbart ramavtal om nettning enligt artikel 206 i kapitalkravsförordningen om kontraktet redovisas som tillgångar i balansräkningen, utan effekter avseende redovisningsrelaterad nettning eller andra effekter av kreditriskreducering (dvs. eventuella effekter avseende redovisningsrelaterad nettning eller kreditriskreducering som har påverkat det redovisade värdet ska återföras). Om försäljningsredovisning görs av en transaktioner för värdepappersfinansiering enligt gällande redovisningsregler ska institut dessutom ändra alla försäljningsrelaterade bokföringsposter.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ska institut inte inkludera mottagna kontanter eller värdepapper som lämnas till en motpart genom ovannämnda transaktioner och som tas med i balansräkningen (dvs. redovisningskraven för borttagning uppfylls inte). Institut ska i stället inkludera detta i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Transaktioner för värdepappersfinansiering som inte omfattas av ett ramavtal om nettning – tillägg för transaktioner för värdepappersfinansiering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206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För transaktioner för värdepappersfinansiering, inbegripet sådana utanför balansräkningen, som </w:t>
            </w:r>
            <w:r>
              <w:rPr>
                <w:rFonts w:ascii="Times New Roman" w:hAnsi="Times New Roman"/>
                <w:b/>
                <w:u w:val="single"/>
              </w:rPr>
              <w:t>inte</w:t>
            </w:r>
            <w:r>
              <w:rPr>
                <w:rFonts w:ascii="Times New Roman" w:hAnsi="Times New Roman"/>
              </w:rPr>
              <w:t xml:space="preserve"> omfattas av ett godtagbart ramavtal om nettning enligt artikel 206 i kapitalkravsförordningen, ska institut fastställa mängder som inbegriper alla tillgångar i en transaktion (dvs. varje transaktion för värdepappersfinansiering hanteras som en egen mängd) och för varje mängd fastställa tillägget för aktuell motpartsexponering enligt följande formel: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Aktuell motpartsexponering = högst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där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värdet E</w:t>
            </w:r>
            <w:r>
              <w:rPr>
                <w:rFonts w:ascii="Times New Roman" w:hAnsi="Times New Roman"/>
                <w:vertAlign w:val="subscript"/>
              </w:rPr>
              <w:t>i</w:t>
            </w:r>
            <w:r>
              <w:rPr>
                <w:rFonts w:ascii="Times New Roman" w:hAnsi="Times New Roman"/>
              </w:rPr>
              <w:t xml:space="preserve"> enligt definitionen i artikel 220.3 i kapitalkravsförordningen.</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värdet C</w:t>
            </w:r>
            <w:r>
              <w:rPr>
                <w:rFonts w:ascii="Times New Roman" w:hAnsi="Times New Roman"/>
                <w:vertAlign w:val="subscript"/>
              </w:rPr>
              <w:t>i</w:t>
            </w:r>
            <w:r>
              <w:rPr>
                <w:rFonts w:ascii="Times New Roman" w:hAnsi="Times New Roman"/>
              </w:rPr>
              <w:t xml:space="preserve"> enligt definitionen i artikel 220.3 i kapitalkravsförordningen.</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Institut ska sammanställa formelns beräkningsresultat för alla mängder ovan och ange resultatet i denna cell.</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Övriga tillgångar – redovisat balansräkningsvärde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av alla andra tillgångar än de kontrakt som anges i bilaga II till kapitalkravsförordningen, kreditderivat, och transaktioner för värdepappersfinansiering.</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Övriga tillgångar – redovisat värde utan nettning eller annan kreditriskreducering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4.1.77 i kapitalkravsförordningen.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alla andra tillgångar än kontrakt som anges i bilaga II till kapitalkravsförordningen, kreditderivat och transaktioner för värdepappersfinansiering, utan effekter avseende redovisningsrelaterad nettning eller andra effekter av kreditriskreducering (dvs. eventuella effekter avseende redovisningsrelaterad nettning eller kreditriskreducering som har påverkat det redovisade värdet ska återföras).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Poster utanför balansräkningen av lågrisktyp enligt bestämmelserna om riskfyllda tillgångar, varav – nominellt 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111 i kapitalkravsförordningen.</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poster utanför balansräkningen som skulle få en konverteringsfaktor på 0 % enligt schablonmetoden för kreditrisker.</w:t>
            </w:r>
            <w:r>
              <w:t xml:space="preserve"> </w:t>
            </w:r>
            <w:r>
              <w:rPr>
                <w:rFonts w:ascii="Times New Roman" w:hAnsi="Times New Roman"/>
              </w:rPr>
              <w:t>Detta värde ska inte minskas med specifika kreditriskjusteringar.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Rullande hushållsexponeringar, varav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111 och 154.4 i kapitalkravsförordningen.</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poster utanför balansräkningen vad gäller godtagbara rullande hushållsexponeringar som uppfyller kraven i artikel 154.4 a–c i kapitalkravsförordningen. Detta värde ska inte minskas med specifika kreditriskjusteringar.</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Detta inbegriper alla exponeringar som är riktade mot individer, rullande och förenade med villkorslös uppsägning enligt beskrivningen i artikel 149 b i kapitalkravsförordningen, som totalt sett är begränsade till 100 000 euro per gäldenär.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Kreditkortsavtal med villkorslös uppsägning – nominellt 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111 och 154.4 i kapitalkravsförordningen.</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I denna cell hänvisas det till det nominella värdet av kreditkortsavtal som villkorslöst kan sägas upp när som helst av institutet utan förvarning och som skulle få en konverteringsfaktor på 0 % enligt schablonmetoden för kreditrisker.</w:t>
            </w:r>
            <w:r>
              <w:t xml:space="preserve"> </w:t>
            </w:r>
            <w:r>
              <w:rPr>
                <w:rFonts w:ascii="Times New Roman" w:hAnsi="Times New Roman"/>
              </w:rPr>
              <w:t>Detta värde ska inte minskas med specifika kreditriskjusteringar.</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ska institut inte inkludera kreditavtal som i själva verket innebär automatisk uppsägning om låntagarens kreditvärdighet försämras.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Icke-rullande avtal som med villkorslös uppsägning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111 och 154.4 i kapitalkravsförordningen.</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Här hänvisas det till det nominella värdet av andra avtal som villkorslöst kan sägas upp när som helst av institutet utan förvarning och som skulle få en konverteringsfaktor på 0 % enligt schablonmetoden för kreditrisker. Detta värde ska inte minskas med specifika kreditriskjusteringar.</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ska institut inte inkludera kreditavtal som i själva verket innebär automatisk uppsägning om låntagarens kreditvärdighet försämras.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Poster utanför balansräkningen av medel- eller lågrisktyp enligt bestämmelserna om räntekänsliga tillgångar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111 i kapitalkravsförordningen.</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poster utanför balansräkningen som skulle få en konverteringsfaktor på 20 % enligt schablonmetoden för kreditrisker.</w:t>
            </w:r>
            <w:r>
              <w:t xml:space="preserve"> </w:t>
            </w:r>
            <w:r>
              <w:rPr>
                <w:rFonts w:ascii="Times New Roman" w:hAnsi="Times New Roman"/>
              </w:rPr>
              <w:t>Detta värde ska inte minskas med specifika kreditriskjusteringar.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Poster utanför balansräkningen av medelrisktyp enligt bestämmelserna om räntekänsliga tillgångar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111 i kapitalkravsförordningen.</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poster utanför balansräkningen som skulle få en konverteringsfaktor på 50 % enligt schablonmetoden för kreditrisker.</w:t>
            </w:r>
            <w:r>
              <w:t xml:space="preserve"> </w:t>
            </w:r>
            <w:r>
              <w:rPr>
                <w:rFonts w:ascii="Times New Roman" w:hAnsi="Times New Roman"/>
              </w:rPr>
              <w:t>Detta värde ska inte minskas med specifika kreditriskjusteringar.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Poster utanför balansräkningen av fullrisktyp enligt bestämmelserna om räntekänsliga tillgångar – nominellt värde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111 i kapitalkravsförordningen.</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I denna cell hänvisas det till det nominella värdet av poster utanför balansräkningen som skulle få en konverteringsfaktor på 100 % enligt schablonmetoden för kreditrisker. Detta värde ska inte minskas med specifika kreditriskjusteringar.</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I denna cell ska institut inte inkludera de kontrakt som anges i bilaga II till kapitalkravsförordningen, kreditderivat och transaktioner för värdepappersfinansiering i enlighet med artikel 429.10 i kapitalkravsförordningen.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(memorandumpost) Utnyttjade belopp avseende rullande hushållsexponeringar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Artikel 154.4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utnyttjade belopp avseende rullande hushållsexponeringar.</w:t>
            </w:r>
            <w:r>
              <w:t xml:space="preserve"> </w:t>
            </w:r>
            <w:r>
              <w:rPr>
                <w:rFonts w:ascii="Times New Roman" w:hAnsi="Times New Roman"/>
              </w:rPr>
              <w:t>Detta värde ska inte minskas med specifika kreditriskjusteringar.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(memorandumpost) Utnyttjade belopp avseende kreditkortsavtal med villkorslös uppsägning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111 och 154.4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utnyttjade belopp avseende kreditkortsavtal med villkorslös uppsägning. Detta värde ska inte minskas med specifika kreditriskjusteringar.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(memorandumpost) Utnyttjade belopp avseende icke-rullande avtal med villkorslös uppsägning – nominellt värde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Artiklarna 111 och 154.4 i kapitalkravsförordningen.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 denna cell hänvisas det till det nominella värdet av utnyttjade belopp avseende icke-rullande avtal med villkorslös uppsägning.</w:t>
            </w:r>
            <w:r>
              <w:t xml:space="preserve"> </w:t>
            </w:r>
            <w:r>
              <w:rPr>
                <w:rFonts w:ascii="Times New Roman" w:hAnsi="Times New Roman"/>
              </w:rPr>
              <w:t>Detta värde ska inte minskas med specifika kreditriskjusteringar.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Mottagen kontant säkerhet i derivattransaktioner – redovisat värde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Det redovisade balansräkningsvärdet enligt gällande redovisningsregler för kontant säkerhet som mottagits i derivattransaktioner, utan effekter avseende redovisningsrelaterad nettning eller andra effekter av kreditriskreducering (dvs. eventuella effekter avseende redovisningsrelaterad nettning eller kreditriskreducering som har påverkat det redovisade värdet ska återföras).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I denna cell definieras kontanter som det totala kontanta beloppet inklusive mynt och sedlar. I denna cell definieras kontanter som det totala kontanta beloppet inklusive mynt och sedlar. Samlad inlåning hos centralbanker ska inkluderas om denna kan tas ut under perioder av stress. Institut ska inte rapportera kontanta medel som är insatta hos andra institut i denna cell.</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Fordringar avseende kontant säkerhet i derivattransaktioner – redovisat värde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Det redovisade balansräkningsvärdet enligt gällande redovisningsregler av fordringar avseende kontant säkerhet som bokförts mot derivattransaktioner, utan effekter avseende redovisningsrelaterad nettning eller annan kreditriskreducering (dvs. eventuella effekter avseende redovisningsrelaterad nettning eller kreditriskreducering som har påverkat det redovisade värdet ska återföras). Institut som enligt gällande redovisningsregler i netto får inbringa fordringar avseende kontant säkerhet som bokförts mot motsvarande derivatskuld </w:t>
            </w:r>
            <w:r>
              <w:rPr>
                <w:rFonts w:ascii="Times New Roman" w:hAnsi="Times New Roman"/>
              </w:rPr>
              <w:lastRenderedPageBreak/>
              <w:t>(negativt verkligt värde) och som väljer att göra detta ska boka av nettningen och ange nettovärdet av likvida medel.</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Värdepapper som mottagits i en transaktion för värdepappersfinansiering och som redovisas som en tillgång – redovisat värde utan nettning eller annan kreditriskreducering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Det redovisade balansräkningsvärdet enligt gällande redovisningsregler för värdepapper som mottagits i en transaktion för värdepappersfinansiering och som redovisas som en tillgång enligt tillämplig redovisningsram, utan effekter avseende redovisningsrelaterad nettning eller andra effekter av kreditriskreducering (dvs. eventuella effekter avseende redovisningsrelaterad nettning eller kreditriskreducering som har påverkat det redovisade värdet ska återföras).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Kontantlånetransaktion i samband med en transaktion för värdepappersfinansiering (kontantfordringar) – redovisat värde utan nettning eller annan kreditriskreducering</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Det redovisade balansräkningsvärdet enligt gällande redovisningsregler av kontanta medel som lånats ut till värdepappersinnehavaren inom ramen för en behörig kontantlånetransaktion (Cash Conduit Lending Transaction, CCLT), utan effekter avseende redovisningsrelaterad nettning eller andra effekter av kreditriskreducering (dvs. eventuella effekter avseende redovisningsrelaterad nettning eller kreditriskreducering som har påverkat det redovisade värdet ska återföras).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I denna cell definieras kontanter som det totala kontanta beloppet inklusive mynt och sedlar. I denna cell definieras kontanter som det totala kontanta beloppet inklusive mynt och sedlar. Samlad inlåning hos centralbanker ska inkluderas om denna kan tas ut under perioder av stress. Institut ska inte ange kontanta medel som är insatta hos andra institut i denna cell.</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En kontantlånetransaktion definieras som en kombination av två transaktioner där ett institut lånar värdepapper av värdepappersinnehavaren och i sin tur lånar ut värdepapper till värdepappersköparen. Institutet får kontant säkerhet från värdepappersköparen och lånar i sin tur ut de mottagna medlen till värdepappersinnehavaren. En behörig kontantlånetransaktion ska uppfylla samtliga följande krav:</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Båda de enskilda transaktioner som ingår i kontantlånetransaktionen ska ske på samma affärsdag eller, när det gäller internationella transaktioner, närliggande affärsdagar.</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Där det inte finns någon specificerad löptid för transaktionerna ska institutet ha den lagliga rätten att sälja ut någon del av kontantlånetransaktionen, dvs. båda transaktionerna, när som helst och utan förvarning.</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Där det finns en specificerad löptid för transaktionerna ska inte kontantlånetransaktionen orsaka löptidsobalanser för institutet, och institutet ska ha den lagliga rätten att sälja ut någon del av kontantlånetransaktionen, dvs. båda transaktionerna, när som helst och utan förvarning.</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Detta ska inte ge upphov till någon ytterligare exponering.</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Exponeringar som kan behandlas enligt artikel 113.6 i kapitalkravsförordningen – hypotetisk undantagen bruttosoliditetsexponering</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Totalbeloppet av bruttosoliditetsexponering som skulle vara undantaget om behöriga myndigheter i största möjliga mån skulle bevilja tillstånd att undanta exponeringar enligt kraven som anges i artikel 113.6 a–e i kapitalkravsförordningen och vilka har godkänts enligt artikel 113.6 i samma förordning. Om den behöriga myndigheten redan beviljar tillstånd i största möjliga mån motsvarar värdet i denna cell värdet i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lastRenderedPageBreak/>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Exponeringar som uppfyller kraven i artikel 429.14 a–c i kapitalkravsförordningen – hypotetisk undantagen bruttosoliditetsexponering</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Totalbeloppet av bruttosoliditetsexponering som skulle vara undantaget om behöriga myndigheter i största möjliga mån skulle bevilja tillstånd att undanta exponeringar som uppfyller kraven i artikel 429.14 a–c i kapitalkravsförordningen. Om den behöriga myndigheten redan beviljar tillstånd i största möjliga mån motsvarar värdet i denna cell värdet i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835829"/>
      <w:bookmarkEnd w:id="64"/>
      <w:bookmarkEnd w:id="65"/>
      <w:bookmarkEnd w:id="66"/>
      <w:r>
        <w:rPr>
          <w:rFonts w:ascii="Times New Roman" w:hAnsi="Times New Roman"/>
          <w:b/>
        </w:rPr>
        <w:t>6.</w:t>
      </w:r>
      <w:r>
        <w:tab/>
      </w:r>
      <w:r>
        <w:rPr>
          <w:rFonts w:ascii="Times New Roman" w:hAnsi="Times New Roman"/>
          <w:b/>
        </w:rPr>
        <w:t>C 41.00 – Poster inom och utanför balansräkningen – ytterligare uppdelning av exponeringar</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I mall LR2 ges information om ytterligare uppdelade poster för alla exponeringar inom och utanför balansräkningen</w:t>
      </w:r>
      <w:r>
        <w:rPr>
          <w:rFonts w:ascii="Times New Roman" w:hAnsi="Times New Roman"/>
          <w:vertAlign w:val="superscript"/>
        </w:rPr>
        <w:footnoteReference w:id="2"/>
      </w:r>
      <w:r>
        <w:rPr>
          <w:rFonts w:ascii="Times New Roman" w:hAnsi="Times New Roman"/>
        </w:rPr>
        <w:t xml:space="preserve"> utanför handelslagret och alla exponeringar i handelslagret som omfattas av motpartsrisker. Uppdelningen har gjorts enligt de riskvikter som tillämpas enligt avsnittet om kreditrisker i kapitalkravsförordningen. Exponeringar beräknas på olika sätt enligt antingen schablonmetoden eller internmetoden.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När det gäller exponeringar som får stöd genom kreditriskreduceringsmetoder som innebär att motpartens riskviktning ersätts med garantins riskviktning, ska institut hänvisa till riskvikten efter substitutionseffekten. Enligt internmetoden ska institut göra följande beräkning: när det gäller exponeringar (förutom sådana som medför särskilda regulatoriska riskvikter) avseende varje gäldenärsriskklass, får man fram riskvikten genom att dela den riskvägda exponering som erhållits genom riskviktningsformeln eller den formelbaserade metoden (för kreditrisk- respektive värdepappersexponeringar) med exponeringsvärdet, med hänsyn tagen till in- och utflöden på grund av kreditriskreduceringsmetoder med substitutionseffekt på exponeringen. Enligt internmetoden ska de automatiskt klassificerade exponeringarna tas bort från raderna {020;010} till {090;010} och tas med i rad {100;010}. Enligt schablonmetoden ska exponeringar som omfattas av artikel 112 j i kapitalkravsförordningen tas bort från {020;020} till {090;020} och tas med i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Båda metoderna innebär att institut ska betrakta exponeringar som dragits av från det lagstadgade kapitalet som att de har åsatts en riskvikt på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Rad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Rättsliga hänvisningar och instruktioner</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Summan av exponeringar inom och utanför balansräkningen utanför handelslagret och exponeringar i handelslagret som är föremål för motpartsrisker (uppdelning enligt riskvikt)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Avser summan av {020:*} till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på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och ≤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0 % och är lägre än eller lika med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och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Exponeringar med en riskvikt som ingår i en rad riskvikter som överstiger 12 % och är lägre än eller lika med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och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20 % och är lägre än eller lika med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och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50 % och är lägre än eller lika med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och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75 % och är lägre än eller lika med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och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100 % och är lägre än eller lika med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och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Exponeringar med en riskvikt som ingår i en rad riskvikter som överstiger 425 % och är lägre än eller lika med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Fallerande exponeringar</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Enligt schablonmetoden, exponeringar som omfattas av artikel 112 j i kapitalkravsförordningen.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Enligt internmetoden utgör alla exponeringar med en sannolikhet för fallissemang på 100 % fallerande exponeringar.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(memorandumpost) Lågriskposter utanför balansräkningen eller poster utanför balansräkningen med en konverteringsfaktor på 0 % enligt kapitaltäckningsgrad</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Lågriskposter utanför balansräkningen i enlighet med artikel 111 i kapitalkravsförordningen och poster utanför balansräkningen med en konverteringsfaktor på 0 % i enlighet med artikel 166 i kapitalkravsförordningen.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Kolumn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Rättsliga hänvisningar och instruktioner</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inom och utanför balansräkningen (exponeringar enligt schablonmetoden)</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Exponeringsvärden inom och utanför balansräkningen med hänsyn tagen till värdejusteringar, alla kreditriskreducerings- och konverteringsfaktorer, enligt beräkningen i del tre avdelning II kapitel 2 i kapitalkravsförordningen.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inom och utanför balansräkningen (exponeringar enligt internmetod)</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Exponeringsvärden inom och utanför balansräkningen i enlighet med artikel 166 i kapitalkravsförordningen och artikel 230.1 andra stycket första meningen i kapitalkravsförordningen, med hänsyn tagen till in- och utflöden på grund av kreditriskreduceringsmetoder med substitutionseffekt på exponeringen.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När det gäller poster utanför balansräkningen ska institut tillämpa de konverteringsfaktorer som definieras i artikel 166.8–166.10 i kapitalkravsförordningen.</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lastRenderedPageBreak/>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Nominellt värde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Exponeringsvärde av poster utanför balansräkningen enligt definitionen i artiklarna 111 och 166 i kapitalkravsförordningen utan tillämpning av konverteringsfaktorer.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3835830"/>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Alternativ definition av kapital</w:t>
      </w:r>
      <w:bookmarkEnd w:id="78"/>
      <w:bookmarkEnd w:id="79"/>
      <w:r>
        <w:rPr>
          <w:rFonts w:ascii="Times New Roman" w:hAnsi="Times New Roman"/>
          <w:b/>
        </w:rPr>
        <w:t xml:space="preserve"> (LR3)</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Mall LR3 innehåller information om de kapitalmått som krävs för den översyn som föreskrivs i artikel 511 i kapitalkravsförordningen.</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Rad </w:t>
            </w:r>
          </w:p>
          <w:p w:rsidR="00F4754B" w:rsidRPr="00FE002E" w:rsidRDefault="00F4754B" w:rsidP="00F4754B">
            <w:pPr>
              <w:pStyle w:val="BodyText1"/>
              <w:rPr>
                <w:rFonts w:ascii="Times New Roman" w:hAnsi="Times New Roman"/>
                <w:b/>
                <w:bCs/>
                <w:u w:val="single"/>
              </w:rPr>
            </w:pPr>
            <w:r>
              <w:rPr>
                <w:rFonts w:ascii="Times New Roman" w:hAnsi="Times New Roman"/>
                <w:b/>
              </w:rPr>
              <w:t>och kolumn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Rättsliga hänvisningar och instruktioner</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Kärnprimärkapital – fullständigt infasad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Artikel 50 i kapitalkravsförordningen.</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Avser kärnprimärkapitalet enligt definitionen i artikel 50 i kapitalkravsförordningen, utan hänsyn till det undantag som fastställs i del tio kapitel 1 och 2 i kapitalkravsförordningen.</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Kärnprimärkapital – övergångsdefinition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Artikel 50 i kapitalkravsförordningen.</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Avser kärnprimärkapitalet beräknat enligt definitionen i artikel 50 i kapitalkravsförordningen och med hänsyn till det undantag som fastställs i del tio kapitel 1 och 2 i kapitalkravsförordningen.</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Total kapitalbas – fullständigt infasad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Artikel 72 i kapitalkravsförordningen.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Avser kapitalbasen enligt definitionen i artikel 72 i kapitalkravsförordningen, utan hänsyn till det undantag som fastställs i del tio kapitel 1 och 2 i kapitalkravsförordningen.</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Total kapitalbas – övergångsdefinition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Artikel 72 i kapitalkravsförordningen.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Avser kapitalbasen enligt definitionen i artikel 72 i kapitalkravsförordningen med hänsyn till det undantag som fastställs i del tio kapitel 1 och 2 i kapitalkravsförordningen.</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Avdraget tillgångsbelopp – från kärnprimärkapitalposter – fullständigt infasad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Omfattar regulatoriska justeringar av kärnprimärkapitalposter som ändrar värdet på en tillgång och som krävs enligt</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32–35 i kapitalkravsförordningen, eller</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36–47 i kapitalkravsförordningen,</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beroende på vad som är tillämpligt.</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Institut ska ta hänsyn till de undantag, alternativ och avståenden från sådana avdrag som fastställs i artiklarna 48, 49 och 79 i kapitalkravsförordningen men inte ta hänsyn till det undantag som fastställs i del tio kapitel 1 och 2 i kapitalkravsförordningen. För att undvika dubbelräkning ska institut varken rapportera de justeringar som redan tillämpats enligt artikel 111 i kapitalkravsförordningen när de beräknar exponeringsvärdet i {LRCalc;10;10} till {LRCalc;260;10} eller rapportera justeringar som inte drar av värdet på en specifik </w:t>
            </w:r>
            <w:r>
              <w:rPr>
                <w:rFonts w:ascii="Times New Roman" w:hAnsi="Times New Roman"/>
              </w:rPr>
              <w:lastRenderedPageBreak/>
              <w:t>tillgång.</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Eftersom dessa justeringar minskar den totala kapitalbasen ska de rapporteras som negativa belopp.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Avdraget tillgångsbelopp – från kärnprimärkapitalposter – övergångsdefinition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Omfattar regulatoriska justeringar av kärnprimärkapitalposter som ändrar värdet på en tillgång och som krävs enligt</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32–35 i kapitalkravsförordningen, eller</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36–47 i kapitalkravsförordningen,</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beroende på vad som är tillämpligt.</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Institut ska ta hänsyn till de undantag, alternativ och avståenden från sådana avdrag som fastställs i artiklarna 48, 49 och 79 i kapitalkravsförordningen och även ta hänsyn till det undantag som fastställs i del tio kapitel 1 och 2 i kapitalkravsförordningen. För att undvika dubbelräkning ska institut varken rapportera de justeringar som redan tillämpats enligt artikel 111 i kapitalkravsförordningen när de beräknar exponeringsvärdet i {LRCalc;10;10} till {LRCalc;260;10} eller rapportera justeringar som inte drar av värdet på en specifik tillgång.</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Eftersom dessa justeringar minskar den totala kapitalbasen ska de rapporteras som negativa belopp.</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Avdraget tillgångsbelopp – från kapitalbasposter – fullständigt infasad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Omfattar regulatoriska justeringar av kapitalbasposter som ändrar värdet på en tillgång och som krävs enligt artiklarna 32–35 i kapitalkravsförordningen, eller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32–35 i kapitalkravsförordningen, eller</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36–47 i kapitalkravsförordningen, eller</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66–70 i kapitalkravsförordningen,</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beroende på vad som är tillämpligt.</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beroende på vad som är tillämpligt.</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Institut ska ta hänsyn till de undantag, alternativ och avståenden från sådana avdrag som fastställs i artiklarna 48, 49 och 79 i kapitalkravsförordningen men inte ta hänsyn till det undantag som fastställs i del tio kapitel 1 och 2 i kapitalkravsförordningen. För att undvika dubbelräkning ska institut varken rapportera de justeringar som redan tillämpats enligt artikel 111 i kapitalkravsförordningen när de beräknar exponeringsvärdet i raderna {LRCalc;10;10} till {LRCalc;260;10} eller rapportera justeringar som inte drar av värdet på en specifik tillgång.</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Eftersom dessa justeringar minskar den totala kapitalbasen ska de rapporteras som negativa belopp.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Avdraget tillgångsbelopp – från kapitalbasposter – övergångsdefinition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Omfattar regulatoriska justeringar av kapitalbasposter som ändrar värdet på en tillgång och som krävs enligt artiklarna 32–35 i kapitalkravsförordningen, eller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32–35 i kapitalkravsförordningen, eller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36–47 i kapitalkravsförordningen, eller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artiklarna 66–70 i kapitalkravsförordningen,</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beroende på vad som är tillämpligt.</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beroende på vad som är tillämpligt.</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Institut ska ta hänsyn till de undantag, alternativ och avståenden från sådana avdrag som fastställs i artiklarna 48, 49 och 79 i kapitalkravsförordningen och även ta hänsyn till det undantag som fastställs i del tio kapitel 1 och 2 i kapitalkravsförordningen. För att undvika dubbelräkning ska institut varken rapportera de justeringar som redan tillämpats enligt artikel 111 i kapitalkravsförordningen när de beräknar exponeringsvärdet i {LRCalc;10;10} </w:t>
            </w:r>
            <w:r>
              <w:rPr>
                <w:rFonts w:ascii="Times New Roman" w:hAnsi="Times New Roman"/>
              </w:rPr>
              <w:lastRenderedPageBreak/>
              <w:t>till {LRCalc;260;10} eller rapportera justeringar som inte drar av värdet på en specifik tillgång.</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Eftersom dessa justeringar minskar den totala kapitalbasen ska de rapporteras som negativa belopp.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835831"/>
      <w:r>
        <w:rPr>
          <w:rFonts w:ascii="Times New Roman" w:hAnsi="Times New Roman"/>
          <w:b/>
        </w:rPr>
        <w:t>8.</w:t>
      </w:r>
      <w:r>
        <w:tab/>
      </w:r>
      <w:r>
        <w:rPr>
          <w:rFonts w:ascii="Times New Roman" w:hAnsi="Times New Roman"/>
          <w:b/>
        </w:rPr>
        <w:t>C 43.00 – Alternativ uppdelning av komponenter i exponeringsmått för bruttosoliditetsgrad</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Instituten ska rapportera bruttosoliditetsgradens exponeringsvärde i LR4 efter tillämpning av tillämpliga undantag som avses i följande LRCalc-celler: {050;010}, {080;010}, {100;010}, {120;010}, {220; 010}, {250;010} och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För att undvika dubbelräkning ska institut använda ekvationen i följande punkt: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Instituten ska använda följande ekvation enligt punkt 29: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Rad och kolumn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Rättsliga hänvisningar och instruktioner</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Poster utanför balansräkningen, varav – bruttosoliditetsgradens exponeringsvärde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Bruttosoliditetsgradens exponeringsvärde beräknat som summan av {LRCalc;150;010}, {LRCalc;160;010}, {LRCalc;170;010} och {LRCalc;180;010}, exklusive respektive koncerninterna exponeringar (individuell nivå) som är undantagna i enlighet med artikel 429.7 i kapitalkravsförordningen.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Poster utanför balansräkningen, varav – riskvägda tillgångar</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riskvägda exponeringsbeloppet för poster utanför balansräkningen – med undantag för transaktioner för värdepappersfinansiering och derivat – enligt schablonmetoden och internmetoden. När det gäller exponeringar enligt schablonmetoden ska institut fastställa det riskvägda exponeringsbeloppet i enlighet med del tre avdelning II kapitel 2 i kapitalkravsförordningen. När det gäller exponeringar beräknade enligt internmetoden ska institut fastställa det riskvägda exponeringsbeloppet i enlighet med del 3 avdelning II kapitel 3 i kapitalkravsförordningen.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Handelsfinansiering, varav – bruttosoliditetsgradens exponeringsvärde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Bruttosoliditetsgradens exponeringsvärde i fråga om poster utanför balansräkningen avseende handelsfinansiering. Vid rapportering i LR4 ska poster utanför balansräkningen i fråga om handelsfinansiering avse utfärdade och bekräftade import- och exportremburser som är kortfristiga och självlikviderade samt liknande transaktioner.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Handelsfinansiering, varav – riskvägda tillgångar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riskvägda exponeringsbeloppet för poster utanför balansräkningen – med undantag för transaktioner för värdepappersfinansiering och derivat – avseende handelsfinansiering Vid rapportering i LR4 ska poster utanför balansräkningen i fråga om handelsfinansiering avse utfärdade och bekräftade import- och exportremburser som är kortfristiga och självlikviderade samt liknande transaktioner.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bruttosoliditetsgradens exponeringsvärde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Bruttosoliditetsgradens</w:t>
            </w:r>
            <w:r>
              <w:rPr>
                <w:rFonts w:ascii="Times New Roman" w:hAnsi="Times New Roman"/>
                <w:b/>
              </w:rPr>
              <w:t xml:space="preserve"> </w:t>
            </w:r>
            <w:r>
              <w:rPr>
                <w:rFonts w:ascii="Times New Roman" w:hAnsi="Times New Roman"/>
              </w:rPr>
              <w:t>exponeringsvärde i fråga om poster utanför balansräkningen avseende handelsfinansiering enligt ett offentligt exportkreditförsäkringssystem.</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riskvägda tillgångar</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Det riskvägda exponeringsvärdet för poster utanför balansräkningen – med undantag för transaktioner för värdepappersfinansiering och derivat – avseende handelsfinansiering enligt ett offentligt exportkreditförsäkringssystem.</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och transaktioner för värdepappersfinansiering inom ramen för ett avtal om produktövergripande nettning – bruttosoliditetsgradens exponeringsvärde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Bruttosoliditetsgradens exponeringsvärde när det gäller derivat och transaktioner för värdepappersfinansiering om de omfattas av ett avtal om produktövergripande nettning enligt definitionen i artikel 272.25 i kapitalkravsförordningen.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och transaktioner för värdepappersfinansiering inom ramen för ett avtal om produktövergripande nettning – riskvägda tillgångar</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De riskvägda exponeringsbeloppen för kredit- och motpartsrisk beräknade enligt del tre avdelning II i kapitalkravsförordningen, för derivat och transaktioner för värdepappersfinansiering, inbegripet sådana utanför balansräkningen, om de omfattas av ett produktövergripande nettningsavtal enligt definitionen i artikel 272.25 i kapitalkravsförordningen.</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som inte omfattas av något avtal om produktövergripande nettning – bruttosoliditetsgradens exponeringsvärde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derivat som </w:t>
            </w:r>
            <w:r>
              <w:rPr>
                <w:rFonts w:ascii="Times New Roman" w:hAnsi="Times New Roman"/>
                <w:b/>
                <w:u w:val="single"/>
              </w:rPr>
              <w:t>inte</w:t>
            </w:r>
            <w:r>
              <w:rPr>
                <w:rFonts w:ascii="Times New Roman" w:hAnsi="Times New Roman"/>
              </w:rPr>
              <w:t xml:space="preserve"> omfattas av ett avtal om produktövergripande nettning enligt definitionen i artikel 272.25 i kapitalkravsförordningen.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 som inte omfattas av något avtal om produktövergripande nettning – riskvägda tillgångar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riskvägda exponeringsbeloppen för kredit- och motpartsrisk i derivat beräknade enligt del tre avdelning II i kapitalkravsförordningen, inbegripet sådana utanför balansräkningen, om de inte omfattas av ett produktövergripande nettningsavtal enligt definitionen i artikel 272.25 i kapitalkravsförordningen.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Transaktioner för värdepappersfinansiering som inte omfattas av något avtal om produktövergripande nettning – bruttosoliditetsgradens exponeringsvärde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transaktioner för värdepappersfinansiering som </w:t>
            </w:r>
            <w:r>
              <w:rPr>
                <w:rFonts w:ascii="Times New Roman" w:hAnsi="Times New Roman"/>
                <w:b/>
                <w:u w:val="single"/>
              </w:rPr>
              <w:t>inte</w:t>
            </w:r>
            <w:r>
              <w:rPr>
                <w:rFonts w:ascii="Times New Roman" w:hAnsi="Times New Roman"/>
              </w:rPr>
              <w:t xml:space="preserve"> omfattas av ett avtal om produktövergripande nettning enligt definitionen i artikel 272.25 i kapitalkravsförordningen.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Transaktioner för värdepappersfinansiering som inte omfattas av något avtal om produktövergripande nettning – riskvägda tillgångar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riskvägda exponeringsbeloppen för kredit- och motpartsrisk i transaktioner för värdepappersfinansiering beräknade enligt del tre avdelning II i kapitalkravsförordningen, inbegripet sådana utanför balansräkningen, om de </w:t>
            </w:r>
            <w:r>
              <w:rPr>
                <w:rFonts w:ascii="Times New Roman" w:hAnsi="Times New Roman"/>
                <w:b/>
                <w:u w:val="single"/>
              </w:rPr>
              <w:t>inte</w:t>
            </w:r>
            <w:r>
              <w:rPr>
                <w:rFonts w:ascii="Times New Roman" w:hAnsi="Times New Roman"/>
              </w:rPr>
              <w:t xml:space="preserve"> omfattas av ett produktövergripande nettningsavtal enligt definitionen i artikel 272.25 i kapitalkravsförordningen.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Exponeringsbelopp till följd av ytterligare behandling av kreditderivat – bruttosoliditetsgradens exponeringsvärde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Denna cell motsvarar differensen mellan {LRCalc;130;010} och {LRCalc;140;010}, exklusive respektive koncerninterna exponeringar (individuell nivå) som är undantagna i enlighet med artikel 429.7 i kapitalkravsförordningen.</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Övriga tillgångar i handelslagret – bruttosoliditetsgradens exponeringsvärde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Bruttosoliditetsgradens exponeringsvärde när det gäller poster som ska rapporteras i {LRCalc;190;010}, inklusive poster utanför handelslagret.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Övriga tillgångar i handelslagret – riskvägda tillgångar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Kapitalbaskrav multiplicerat med 12,5 avseende poster som omfattas av del tre avdelning IV i kapitalkravsförordningen.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Säkerställda obligationer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i form av säkerställda obligationer enligt definitionen i artikel 129 i kapitalkravsförordningen.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Säkerställda obligationer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i form av säkerställda obligationer enligt definitionen i artikel 161.1 d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Säkerställda obligationer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i form av säkerställda obligationer enligt artikel 129 i kapitalkravsförordningen.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Säkerställda obligationer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i form av säkerställda </w:t>
            </w:r>
            <w:r>
              <w:rPr>
                <w:rFonts w:ascii="Times New Roman" w:hAnsi="Times New Roman"/>
              </w:rPr>
              <w:lastRenderedPageBreak/>
              <w:t xml:space="preserve">obligationer enligt artikel 161.1 d i kapitalkravsförordningen.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som hanteras som exponeringar mot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{100;010} till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som hanteras som exponeringar mot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{100;020} till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som hanteras som exponeringar mot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{100;030} till {30;030}.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som hanteras som exponeringar mot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{100;040} till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Nationella regeringar och centralbanker – bruttosoliditetsgradens exponeringsvärde – exponeringar enligt schablonmetoden</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mot nationella regeringar eller centralbanker enligt definitionen i artikel 114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Nationella regeringar och centralbanker – bruttosoliditetsgradens exponeringsvärde – exponeringar enligt internmetod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mot nationella regeringar eller centralbanker enligt definitionen i artikel 147.2 a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Nationella regeringar och centralbanker – riskvägda tillgångar – exponeringar enligt schablonmetoden</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exponeringsvärdet av tillgångar som utgör exponeringar mot nationella regeringar eller centralbanker enligt definitionen i artikel 114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Nationella regeringar och centralbanker – riskvägda tillgångar – exponeringar enligt internmetoden</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nationella regeringar eller centralbanker enligt definitionen i artikel 147.2 a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Delstatliga eller lokala självstyrelseorgan och myndigheter som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mot delstatliga eller lokala självstyrelseorgan och myndigheter som behandlas som nationella regeringar i enlighet med artikel 115.2 och 115.4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Delstatliga eller lokala självstyrelseorgan och myndigheter som behandlas som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när det gäller tillgångar som utgör exponeringar mot delstatliga eller lokala självstyrelseorgan och myndigheter som omfattas av artikel 147.3 a i kapitalkravsförordningen.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Delstatliga eller lokala självstyrelseorgan och myndigheter som behandlas som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Det riskvägda exponeringsbeloppet för tillgångar som utgör exponeringar mot delstatliga eller lokala självstyrelseorgan och myndigheter som behandlas som nationella regeringar i enlighet med artikel 115.2 och 115.4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Delstatliga eller lokala självstyrelseorgan och myndigheter som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delstatliga eller lokala självstyrelseorgan och myndigheter som omfattas av artikel 147.3 a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Multilaterala utvecklingsbanker och internationella organisationer som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multilaterala utvecklingsbanker och internationella organisationer som omfattas av artiklarna 117.2 och 118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Multilaterala utvecklingsbanker och internationella organisationer som behandlas som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Bruttosoliditetsgradens exponeringsvärde av tillgångar som utgör exponeringar mot multilaterala utvecklingsbanker och internationella organisationer som omfattas av artiklarna 147.3 b och c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Multilaterala utvecklingsbanker och internationella organisationer som behandlas som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multilaterala utvecklingsbanker och internationella organisationer som omfattas av artiklarna 117.2 och 118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Multilaterala utvecklingsbanker och internationella organisationer som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multilaterala utvecklingsbanker och internationella organisationer som omfattas av artiklarna 147.3 b och c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Offentliga organ som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offentliga organ som omfattas av artikel 116.4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Offentliga organ som behandlas som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Bruttosoliditetsgradens exponeringsbelopp av tillgångar som utgör exponeringar mot offentliga organ som omfattas av artikel 147.3 a i kapitalkravsförordningen.</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Offentliga organ som behandlas som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offentliga organ som omfattas av artikel 116.4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Offentliga organ som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offentliga organ som omfattas av artikel 147.3 a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Exponeringar mot delstatliga självstyrelseorgan, multilaterala utvecklingsbanker, internationella organisationer och offentliga organ som </w:t>
            </w:r>
            <w:r>
              <w:rPr>
                <w:rFonts w:ascii="Times New Roman" w:hAnsi="Times New Roman"/>
                <w:b/>
                <w:u w:val="single"/>
              </w:rPr>
              <w:t>inte</w:t>
            </w:r>
            <w:r>
              <w:rPr>
                <w:rFonts w:ascii="Times New Roman" w:hAnsi="Times New Roman"/>
                <w:b/>
              </w:rPr>
              <w:t xml:space="preserve"> behandlas som exponeringar mot nationella regeringar – bruttosoliditetsgradens exponeringsvärde – exponeringar enligt </w:t>
            </w:r>
            <w:r>
              <w:rPr>
                <w:rFonts w:ascii="Times New Roman" w:hAnsi="Times New Roman"/>
                <w:b/>
              </w:rPr>
              <w:lastRenderedPageBreak/>
              <w:t>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{150,010} till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Exponeringar mot delstatliga självstyrelseorgan, multilaterala utvecklingsbanker, internationella organisationer och offentliga organ som </w:t>
            </w:r>
            <w:r>
              <w:rPr>
                <w:rFonts w:ascii="Times New Roman" w:hAnsi="Times New Roman"/>
                <w:b/>
                <w:u w:val="single"/>
              </w:rPr>
              <w:t>inte</w:t>
            </w:r>
            <w:r>
              <w:rPr>
                <w:rFonts w:ascii="Times New Roman" w:hAnsi="Times New Roman"/>
                <w:b/>
              </w:rPr>
              <w:t xml:space="preserve"> behandlas som exponeringar mot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{150,020} till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Exponeringar mot delstatliga självstyrelseorgan, multilaterala utvecklingsbanker, internationella organisationer och offentliga organ som </w:t>
            </w:r>
            <w:r>
              <w:rPr>
                <w:rFonts w:ascii="Times New Roman" w:hAnsi="Times New Roman"/>
                <w:b/>
                <w:u w:val="single"/>
              </w:rPr>
              <w:t>inte</w:t>
            </w:r>
            <w:r>
              <w:rPr>
                <w:rFonts w:ascii="Times New Roman" w:hAnsi="Times New Roman"/>
                <w:b/>
              </w:rPr>
              <w:t xml:space="preserve"> behandlas som exponeringar mot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{150,030} till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Exponeringar mot delstatliga självstyrelseorgan, multilaterala utvecklingsbanker, internationella organisationer och offentliga organ som </w:t>
            </w:r>
            <w:r>
              <w:rPr>
                <w:rFonts w:ascii="Times New Roman" w:hAnsi="Times New Roman"/>
                <w:b/>
                <w:u w:val="single"/>
              </w:rPr>
              <w:t>inte</w:t>
            </w:r>
            <w:r>
              <w:rPr>
                <w:rFonts w:ascii="Times New Roman" w:hAnsi="Times New Roman"/>
                <w:b/>
              </w:rPr>
              <w:t xml:space="preserve"> behandlas som exponeringar mot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Avser summan av cellerna från {150,040} till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Delstatliga eller lokala självstyrelseorgan och myndigheter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delstatliga eller lokala självstyrelseorgan och myndigheter som inte behandlas som nationella regeringar i enlighet med artikel 115.1, 115.3 och 115.5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Delstatliga eller lokala självstyrelseorgan och myndigheter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internmetod</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delstatliga eller lokala självstyrelseorgan och myndigheter som inte behandlas som nationella regeringar och som omfattas av artikel 147.4 a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Delstatliga eller lokala självstyrelseorgan och myndigheter som </w:t>
            </w:r>
            <w:r>
              <w:rPr>
                <w:rFonts w:ascii="Times New Roman" w:hAnsi="Times New Roman"/>
                <w:b/>
                <w:u w:val="single"/>
              </w:rPr>
              <w:t>inte</w:t>
            </w:r>
            <w:r>
              <w:rPr>
                <w:rFonts w:ascii="Times New Roman" w:hAnsi="Times New Roman"/>
                <w:b/>
              </w:rPr>
              <w:t xml:space="preserve"> behandlas som nationella regeringar – riskvägda tillgångar – exponeringar enligt schablonmetoden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delstatliga eller lokala självstyrelseorgan och myndigheter som inte behandlas som nationella regeringar och som omfattas av artikel 115.1, 115.3 och 115.5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Delstatliga eller lokala självstyrelseorgan och myndigheter som </w:t>
            </w:r>
            <w:r>
              <w:rPr>
                <w:rFonts w:ascii="Times New Roman" w:hAnsi="Times New Roman"/>
                <w:b/>
                <w:u w:val="single"/>
              </w:rPr>
              <w:t>inte</w:t>
            </w:r>
            <w:r>
              <w:rPr>
                <w:rFonts w:ascii="Times New Roman" w:hAnsi="Times New Roman"/>
                <w:b/>
              </w:rPr>
              <w:t xml:space="preserve">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Det riskvägda exponeringsbeloppet för tillgångar som utgör exponeringar mot delstatliga eller lokala självstyrelseorgan och myndigheter som inte behandlas som nationella regeringar och som omfattas av artikel 147.4 a i kapitalkravsförordningen.</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Multilaterala utvecklingsbanker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multilaterala utvecklingsbanker som omfattas av artikel 117.1 och 117.3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Multilaterala utvecklingsbanker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multilaterala utvecklingsbanker som inte behandlas som exponeringar mot nationella regeringar och som omfattas av artikel 147.4 c i kapitalkravsförordningen.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Multilaterala utvecklingsbanker som </w:t>
            </w:r>
            <w:r>
              <w:rPr>
                <w:rFonts w:ascii="Times New Roman" w:hAnsi="Times New Roman"/>
                <w:b/>
                <w:u w:val="single"/>
              </w:rPr>
              <w:t>inte</w:t>
            </w:r>
            <w:r>
              <w:rPr>
                <w:rFonts w:ascii="Times New Roman" w:hAnsi="Times New Roman"/>
                <w:b/>
              </w:rPr>
              <w:t xml:space="preserve"> behandlas som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riskvägda exponeringsbeloppet för tillgångar som utgör exponeringar mot multilaterala utvecklingsbanker som omfattas av artikel 117.1 och 117.3 i kapitalkravsförordningen.</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Multilaterala utvecklingsbanker som </w:t>
            </w:r>
            <w:r>
              <w:rPr>
                <w:rFonts w:ascii="Times New Roman" w:hAnsi="Times New Roman"/>
                <w:b/>
                <w:u w:val="single"/>
              </w:rPr>
              <w:t>inte</w:t>
            </w:r>
            <w:r>
              <w:rPr>
                <w:rFonts w:ascii="Times New Roman" w:hAnsi="Times New Roman"/>
                <w:b/>
              </w:rPr>
              <w:t xml:space="preserve">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multilaterala utvecklingsbanker som inte behandlas som exponeringar mot nationella regeringar och som omfattas av artikel 147.4 c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Offentliga organ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offentliga organ som omfattas av artikel 116.1, 116.2, 116.3 och 116.5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Offentliga organ som </w:t>
            </w:r>
            <w:r>
              <w:rPr>
                <w:rFonts w:ascii="Times New Roman" w:hAnsi="Times New Roman"/>
                <w:b/>
                <w:u w:val="single"/>
              </w:rPr>
              <w:t>inte</w:t>
            </w:r>
            <w:r>
              <w:rPr>
                <w:rFonts w:ascii="Times New Roman" w:hAnsi="Times New Roman"/>
                <w:b/>
              </w:rPr>
              <w:t xml:space="preserve"> behandlas som nationella regeringar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offentliga organ som inte behandlas som exponeringar mot nationella regeringar och som omfattas av artikel 147.4 b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Institut ska rapportera detta minus fallerade exponeringar.</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Offentliga organ som </w:t>
            </w:r>
            <w:r>
              <w:rPr>
                <w:rFonts w:ascii="Times New Roman" w:hAnsi="Times New Roman"/>
                <w:b/>
                <w:u w:val="single"/>
              </w:rPr>
              <w:t>inte</w:t>
            </w:r>
            <w:r>
              <w:rPr>
                <w:rFonts w:ascii="Times New Roman" w:hAnsi="Times New Roman"/>
                <w:b/>
              </w:rPr>
              <w:t xml:space="preserve"> behandlas som nationella regeringar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offentliga organ som omfattas av artikel 116.1, 116.2, 116.3 och 116.5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Offentliga organ som </w:t>
            </w:r>
            <w:r>
              <w:rPr>
                <w:rFonts w:ascii="Times New Roman" w:hAnsi="Times New Roman"/>
                <w:b/>
                <w:u w:val="single"/>
              </w:rPr>
              <w:t>inte</w:t>
            </w:r>
            <w:r>
              <w:rPr>
                <w:rFonts w:ascii="Times New Roman" w:hAnsi="Times New Roman"/>
                <w:b/>
              </w:rPr>
              <w:t xml:space="preserve"> behandlas som nationella regeringar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offentliga organ som inte behandlas som exponeringar mot nationella regeringar och som omfattas av artikel 147.4 b i kapitalkravsförordningen.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Institut – bruttosoliditetsgradens exponeringsvärde – exponeringar enligt schablonmetoden</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institut som omfattas av artiklarna 119–121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Institut – bruttosoliditetsgradens exponeringsvärde – exponeringar enligt internmetod</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institut som omfattas av artikel 147.2 b i kapitalkravsförordningen och som </w:t>
            </w:r>
            <w:r>
              <w:rPr>
                <w:rFonts w:ascii="Times New Roman" w:hAnsi="Times New Roman"/>
                <w:b/>
                <w:u w:val="single"/>
              </w:rPr>
              <w:t>inte</w:t>
            </w:r>
            <w:r>
              <w:rPr>
                <w:rFonts w:ascii="Times New Roman" w:hAnsi="Times New Roman"/>
              </w:rPr>
              <w:t xml:space="preserve"> utgör exponeringar i form av säkerställda obligationer enligt artikel 161 d i kapitalkravsförordningen och som </w:t>
            </w:r>
            <w:r>
              <w:rPr>
                <w:rFonts w:ascii="Times New Roman" w:hAnsi="Times New Roman"/>
                <w:b/>
                <w:u w:val="single"/>
              </w:rPr>
              <w:t>inte</w:t>
            </w:r>
            <w:r>
              <w:rPr>
                <w:rFonts w:ascii="Times New Roman" w:hAnsi="Times New Roman"/>
              </w:rPr>
              <w:t xml:space="preserve"> omfattas av artikel 147.4 a–c i kapitalkravsförordningen.</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Institut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institut som omfattas av artiklarna 119–121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Institut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institut som omfattas av artikel 147.2 b i kapitalkravsförordningen och som </w:t>
            </w:r>
            <w:r>
              <w:rPr>
                <w:rFonts w:ascii="Times New Roman" w:hAnsi="Times New Roman"/>
                <w:b/>
                <w:u w:val="single"/>
              </w:rPr>
              <w:t>inte</w:t>
            </w:r>
            <w:r>
              <w:rPr>
                <w:rFonts w:ascii="Times New Roman" w:hAnsi="Times New Roman"/>
              </w:rPr>
              <w:t xml:space="preserve"> utgör exponeringar i form av säkerställda obligationer enligt artikel 161 d i kapitalkravsförordningen och som </w:t>
            </w:r>
            <w:r>
              <w:rPr>
                <w:rFonts w:ascii="Times New Roman" w:hAnsi="Times New Roman"/>
                <w:b/>
                <w:u w:val="single"/>
              </w:rPr>
              <w:t>inte</w:t>
            </w:r>
            <w:r>
              <w:rPr>
                <w:rFonts w:ascii="Times New Roman" w:hAnsi="Times New Roman"/>
              </w:rPr>
              <w:t xml:space="preserve"> omfattas av artikel 147.4 a–c i kapitalkravsförordningen.</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Säkrade genom panträtt i fast egendom varav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Bruttosoliditetsgradens exponeringsvärde av tillgångar som utgör exponeringar säkrade genom panträtt i fast egendom och som omfattas av artikel 124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Säkrade genom panträtt i fast egendom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Bruttosoliditetsgradens exponeringsvärde av tillgångar som utgör exponeringar mot företag enligt artikel 147.2 c eller exponeringar mot hushåll enligt artikel 147.2 d i kapitalkravsförordningen, om exponeringarna är säkrade genom panträtt i fast egendom i enlighet med artikel 199.1 a i kapitalkravsförordningen.</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Säkrade genom panträtt i fast egendom varav – riskvägda tillgångar – schablonexponeringar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riskvägda exponeringsbeloppet för tillgångar som utgör exponeringar säkrade genom panträtt i fast egendom som omfattas av artikel 124 i kapitalkravsförordningen.</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Säkrade genom panträtt i fast egendom varav – riskvägda tillgångar – exponeringar avseende intern riskklassificering</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Det riskvägda exponeringsvärdet av tillgångar som utgör exponeringar mot företag enligt artikel 147.2 c eller exponeringar mot hushåll enligt artikel 147.2 d i kapitalkravsförordningen, om exponeringarna är säkrade genom panträtt i fast egendom i enlighet med artikel 199.1 a i kapitalkravsförordningen.</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säkrade genom panträtt i bostadsfastighet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Bruttosoliditetsgradens exponeringsvärde av tillgångar som utgör exponeringar som är fullt ut säkrade genom panträtt i bostadsfastighet som omfattas av artikel 125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Exponeringar säkrade genom panträtt i bostadsfastighet – bruttosoliditetsgradens exponeringsvärde – exponeringar enligt internmetod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Bruttosoliditetsgradens exponeringsvärde av tillgångar som utgör exponeringar mot företag enligt artikel 147.2 c eller exponeringar mot hushåll enligt artikel 147.2 d i kapitalkravsförordningen, om exponeringarna är säkrade genom panträtt i fast egendom i enlighet med artikel 199.1 a i kapitalkravsförordningen.</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Institut ska rapportera detta minus fallerade exponeringar.</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säkrade genom panträtt i bostadsfastighet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Det riskvägda exponeringsbeloppet för tillgångar som utgör exponeringar som är fullt ut säkrade genom panträtt i bostadsfastighet som omfattas av artikel 125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säkrade genom panträtt i bostadsfastighet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företag enligt artikel 147.2 c eller exponeringar mot hushåll enligt artikel 147.2 d i kapitalkravsförordningen, om exponeringarna är säkrade genom panträtt i bostadsfastighet i enlighet med artikel 199.1 a i </w:t>
            </w:r>
            <w:r>
              <w:rPr>
                <w:rFonts w:ascii="Times New Roman" w:hAnsi="Times New Roman"/>
              </w:rPr>
              <w:lastRenderedPageBreak/>
              <w:t xml:space="preserve">kapitalkravsförordningen.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Institut ska rapportera detta minus fallerade exponeringar.</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Hushållsexponeringar, varav – bruttosoliditetsgradens exponeringsvärde – exponeringar enligt schablonmetoden</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hushållsexponeringar som omfattas av artikel 123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Hushållsexponeringar,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hushållsexponeringar enligt artikel 147.2 d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Hushållsexponeringar, varav – riskvägda tillgångar – schablonexponeringar</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hushållsexponeringar som omfattas av artikel 123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Hushållsexponeringar, varav – riskvägda tillgångar – exponeringar avseende intern riskklassificering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hushållsexponeringar enligt artikel 147.2 d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Hushållsexponeringar mot små och medelstora företag – bruttosoliditetsgradens exponeringsvärde – exponeringar enligt schablonmetoden</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hushållsexponeringar mot små och medelstora företag som omfattas av artikel 123 i kapitalkravsförordningen.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Hushållsexponeringar mot små och medelstora företag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hushållsexponeringar enligt artikel 147.2 d i kapitalkravsförordningen, om exponeringarna utgör exponeringar mot små och medelstora företag och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Hushållsexponeringar mot små och medelstora företag – riskvägda tillgångar – exponeringar enligt schablonmetoden</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hushållsexponeringar mot små och medelstora företag som omfattas av artikel 123 i kapitalkravsförordningen.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Hushållsexponeringar mot små och medelstora företag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hushållsexponeringar enligt artikel 147.2 d i kapitalkravsförordningen, om exponeringarna utgör exponeringar mot små och medelstora företag och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Företagsexponeringar, varav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Här avses summan av {240,010} och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Företagsexponeringar,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{240,020} och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Företagsexponeringar, varav – riskvägda tillgångar – schablonexponeringar</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{240,030} och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Företagsexponeringar, varav – riskvägda tillgångar – exponeringar avseende intern riskklassificering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{240,040} och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Exponeringar mot finansiella företag – bruttosoliditetsgradens exponeringsvärde – exponeringar enligt schablonmetoden</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finansiella företag som omfattas av artikel 122 i kapitalkravsförordningen. För rapporteringen i LR4 avses med ”finansiella företag” andra reglerade och oreglerade företag än de institut som avses i {180;10}, vars huvudsakliga verksamhet består i att förvärva aktier eller utföra en eller flera av de </w:t>
            </w:r>
            <w:r>
              <w:rPr>
                <w:rFonts w:ascii="Times New Roman" w:hAnsi="Times New Roman"/>
              </w:rPr>
              <w:lastRenderedPageBreak/>
              <w:t xml:space="preserve">verksamheter som anges i bilaga I till direktiv 2013/36/EU, samt de företag som definieras i artikel 4.1.27 i kapitalkravsförordningen och inte sådana institut som avses i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finansiella företag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finansiella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För rapporteringen i LR4 avses med ”finansiella företag” andra reglerade och oreglerade företag än de institut som avses i {180;10}, vars huvudsakliga verksamhet består i att förvärva aktier eller utföra en eller flera av de verksamheter som anges i bilaga I till direktiv 2013/36/EU, samt de företag som definieras i artikel 4.1.27 i kapitalkravsförordningen och inte sådana institut som avses i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finansiella företag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finansiella företag som omfattas av artikel 122 i kapitalkravsförordningen. För rapporteringen i LR4 avses med ”finansiella företag” andra reglerade och oreglerade företag än de institut som avses i {180;10}, vars huvudsakliga verksamhet består i att förvärva aktier eller utföra en eller flera av de verksamheter som anges i bilaga I till direktiv 2013/36/EU, samt de företag som definieras i artikel 4.1.27 i kapitalkravsförordningen och inte sådana institut som avses i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finansiella företag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finansiella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För rapporteringen i LR4 avses med ”finansiella företag” andra reglerade och oreglerade företag än de institut som avses i {180;10}, vars huvudsakliga verksamhet består i att förvärva aktier eller utföra en eller flera av de verksamheter som anges i bilaga I till direktiv 2013/36/EU, samt de företag som definieras i artikel 4.1.27 i kapitalkravsförordningen och inte sådana institut som avses i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Icke-finansiella, varav – bruttosoliditetsgradens exponeringsvärde – exponeringar enligt schablonmetoden</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w:t>
            </w:r>
            <w:r>
              <w:rPr>
                <w:rFonts w:ascii="Times New Roman" w:hAnsi="Times New Roman"/>
                <w:b/>
              </w:rPr>
              <w:t>icke</w:t>
            </w:r>
            <w:r>
              <w:rPr>
                <w:rFonts w:ascii="Times New Roman" w:hAnsi="Times New Roman"/>
              </w:rPr>
              <w:t xml:space="preserve">-finansiella företag som omfattas av artikel 122 i kapitalkravsförordningen.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{260,010} och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Icke-finansiella,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w:t>
            </w:r>
            <w:r>
              <w:rPr>
                <w:rFonts w:ascii="Times New Roman" w:hAnsi="Times New Roman"/>
                <w:b/>
              </w:rPr>
              <w:t>icke</w:t>
            </w:r>
            <w:r>
              <w:rPr>
                <w:rFonts w:ascii="Times New Roman" w:hAnsi="Times New Roman"/>
              </w:rPr>
              <w:t>-</w:t>
            </w:r>
            <w:r>
              <w:rPr>
                <w:rFonts w:ascii="Times New Roman" w:hAnsi="Times New Roman"/>
              </w:rPr>
              <w:lastRenderedPageBreak/>
              <w:t xml:space="preserve">finansiella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Här avses summan av {260,020} och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Icke-finansiella, varav – riskvägda tillgångar – schablonexponeringar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w:t>
            </w:r>
            <w:r>
              <w:rPr>
                <w:rFonts w:ascii="Times New Roman" w:hAnsi="Times New Roman"/>
                <w:b/>
              </w:rPr>
              <w:t>icke</w:t>
            </w:r>
            <w:r>
              <w:rPr>
                <w:rFonts w:ascii="Times New Roman" w:hAnsi="Times New Roman"/>
              </w:rPr>
              <w:t xml:space="preserve">-finansiella företag som omfattas av artikel 122 i kapitalkravsförordningen.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{260,030} och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Icke-finansiella, varav – riskvägda tillgångar – exponeringar avseende intern riskklassificering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finansiella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Här avses summan av {260,040} och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Exponeringar mot små och medelstora företag – bruttosoliditetsgradens exponeringsvärde – exponeringar enligt schablonmetoden</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företag i form av små och medelstora företag som omfattas av artikel 122 i kapitalkravsförordningen.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små och medelstora företag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företag enligt artikel 147.2 c i kapitalkravsförordningen, om exponeringarna utgör exponeringar mot små och medelstora företag och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I denna cell tillämpas definitionen av ”små och medelstora företag” i enlighet med artikel 501.2 b i kapitalkravsförordningen.</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små och medelstora företag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företag i form av små och medelstora företag som omfattas av artikel 122 i kapitalkravsförordningen.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små och medelstora företag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företag enligt artikel 147.2 c i kapitalkravsförordningen, om exponeringarna utgör exponeringar mot små och medelstora företag och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I denna cell tillämpas definitionen av ”små och medelstora företag” i enlighet med artikel 501.2 b i kapitalkravsförordningen.</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Exponeringar mot andra än små och medelstora företag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företag som omfattas av artikel 122 i kapitalkravsförordningen och som inte anges i {230;040} och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Exponeringar mot andra än små och medelstora företag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Bruttosoliditetsgradens exponeringsvärde av tillgångar som utgör exponeringar mot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och som inte anges i {230;040} och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Exponeringar mot andra än små och medelstora företag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företag som omfattas av artikel 122 i kapitalkravsförordningen och som inte anges i {230;040} och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Exponeringar mot andra än små och medelstora företag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företag enligt artikel 147.2 c i kapitalkravsförordningen om exponeringarna </w:t>
            </w:r>
            <w:r>
              <w:rPr>
                <w:rFonts w:ascii="Times New Roman" w:hAnsi="Times New Roman"/>
                <w:b/>
                <w:u w:val="single"/>
              </w:rPr>
              <w:t>inte</w:t>
            </w:r>
            <w:r>
              <w:rPr>
                <w:rFonts w:ascii="Times New Roman" w:hAnsi="Times New Roman"/>
              </w:rPr>
              <w:t xml:space="preserve"> är säkrade genom panträtt i fast egendom i enlighet med artikel 199.1 a i kapitalkravsförordningen och som inte anges i 230;040 och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Fallerande exponeringar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fallerande exponeringar och därmed omfattas av artikel 127 i kapitalkravsförordningen.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Fallerande exponeringar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indelade i de exponeringsklasser som anges i artikel 147.2 i kapitalkravsförordningen i händelse av fallissemang i enlighet med artikel 178 i kapitalkravsförordningen.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Fallerande exponeringar – riskvägda tillgångar – exponeringar enligt schablonmetoden</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fallerande exponeringar och därmed omfattas av artikel 127 i kapitalkravsförordningen.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Fallerande exponeringar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indelade i de exponeringsklasser som anges i artikel 147.2 i kapitalkravsförordningen i händelse av fallissemang i enlighet med artikel 178 i kapitalkravsförordningen.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Övriga exponeringar, varav – bruttosoliditetsgradens exponeringsvärde – exponeringar enligt schablonmetoden</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indelade i de exponeringsklasser som anges i artikel 112 k, m, n, o, p och q i kapitalkravsförordningen.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Institut ska rapportera tillgångar som dras av från kapitalbasen (t.ex. immateriella tillgångar) men som inte annars kan kategoriseras här, även om kategoriseringen inte är nödvändig för att fastställa kravet för riskbaserad kapitalbas i kolumnerna {*; 030} och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Övriga exponeringar,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exponeringsbelopp av tillgångar indelade i de exponeringsklasser som anges i artikel 147.2 e, f och g i kapitalkravsförordningen.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Institut ska rapportera tillgångar som dras av från kapitalbasen (t.ex. immateriella tillgångar) men som inte annars kan kategoriseras här, även om kategoriseringen inte är nödvändig för att fastställa kravet för riskbaserad kapitalbas i kolumnerna {*; 030} och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 xml:space="preserve">Övriga exponeringar, </w:t>
            </w:r>
            <w:r>
              <w:rPr>
                <w:rFonts w:ascii="Times New Roman" w:hAnsi="Times New Roman"/>
              </w:rPr>
              <w:t>varav – riskvägda tillgångar – schablonexponeringar</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Det riskvägda exponeringsvärdet av tillgångar indelade i de exponeringsklasser som anges i artikel 112 k, m, n, o, p och q i kapitalkravsförordningen.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Övriga exponeringar, varav – riskvägda tillgångar – exponeringar avseende intern riskklassificering</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exponeringsvärdet av tillgångar indelade i de exponeringsklasser som anges i artikel 147.2 e, f och g i kapitalkravsförordningen.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Exponeringar mot värdepapperiseringar – bruttosoliditetsgradens exponeringsvärde – exponeringar enligt schablonmetoden</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Bruttosoliditetsgradens exponeringsvärde av tillgångar som utgör exponeringar mot värdepapperiseringar som omfattas av artikel 112 m i kapitalkravsförordningen.</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värdepapperiseringar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tillgångar som utgör exponeringar mot värdepapperiseringar och som omfattas av artikel 147.2 f i kapitalkravsförordningen.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Exponeringar mot värdepapperiseringar – riskvägda tillgångar – exponeringar enligt schablonmetoden</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värdepapperiseringar som omfattas av artikel 112 m i kapitalkravsförordningen.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Exponeringar mot värdepapperiseringar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tillgångar som utgör exponeringar mot värdepapperiseringar som omfattas av artikel 147.2 f i kapitalkravsförordningen.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Handelsfinansiering (memorandumpost), varav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Bruttosoliditetsgradens exponeringsvärde av poster inom balansräkningen avseende lån till en exportör eller importör av varor eller tjänster genom import- och exportkrediter samt liknande transaktioner.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Handelsfinansiering (memorandumpost), varav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Bruttosoliditetsgradens exponeringsbelopp av poster inom balansräkningen avseende lån till en exportör eller importör av varor eller tjänster genom import- och exportkrediter samt liknande transaktioner.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Handelsfinansiering (memorandumpost), varav – riskvägda tillgångar – schablonexponeringar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Det riskvägda exponeringsvärdet av poster inom balansräkningen avseende lån till en exportör eller importör av varor eller tjänster genom import- och exportkrediter samt liknande transaktioner.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Handelsfinansiering (memorandumpost), varav – riskvägda tillgångar – exponeringar avseende intern riskklassificering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Det riskvägda exponeringsbeloppet för poster inom balansräkningen avseende lån till en exportör eller importör av varor eller tjänster genom import- och exportkrediter samt liknande transaktioner.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Institut ska rapportera detta minus fallerade exponeringar.</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bruttosoliditetsgradens exponeringsvärde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Bruttosoliditetsgradens exponeringsvärde av poster inom balansräkningen avseende handelsfinansiering inom ramen för ett offentligt exportkreditförsäkringssystem. 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bruttosoliditetsgradens exponeringsvärde – exponeringar enligt internmetod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Bruttosoliditetsgradens exponeringsbelopp av poster inom balansräkningen avseende handelsfinansiering enligt ett offentligt exportkreditförsäkringssystem. 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Institut ska rapportera detta minus fallerade exponeringar.</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riskvägda tillgångar – exponeringar enligt schablonmetoden</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Det riskvägda exponeringsvärdet av poster inom balansräkningen avseende handelsfinansiering enligt ett offentligt exportkreditförsäkringssystem. 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Inom ramen för ett offentligt exportkreditförsäkringssystem – riskvägda tillgångar – exponeringar enligt internmetod</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Det riskvägda exponeringsbeloppet för poster inom balansräkningen avseende handelsfinansiering enligt ett offentligt exportkreditförsäkringssystem. När det gäller rapportering i LR4 ska ett offentligt 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Institut ska rapportera detta minus fallerade exponeringar.</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835832"/>
      <w:r>
        <w:rPr>
          <w:rFonts w:ascii="Times New Roman" w:hAnsi="Times New Roman"/>
          <w:b/>
        </w:rPr>
        <w:lastRenderedPageBreak/>
        <w:t>9.</w:t>
      </w:r>
      <w:r>
        <w:tab/>
      </w:r>
      <w:r>
        <w:rPr>
          <w:rFonts w:ascii="Times New Roman" w:hAnsi="Times New Roman"/>
          <w:b/>
        </w:rPr>
        <w:t>C 44.00 – Allmänna uppgifter</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Här ska ytterligare information anges för att man ska kunna klassificera institutets verksamhet och de regulatoriska alternativ som institutet valt.</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Rad </w:t>
            </w:r>
          </w:p>
          <w:p w:rsidR="00F4754B" w:rsidRPr="00FE002E" w:rsidRDefault="00F4754B" w:rsidP="00F4754B">
            <w:pPr>
              <w:pStyle w:val="BodyText1"/>
              <w:rPr>
                <w:rFonts w:ascii="Times New Roman" w:hAnsi="Times New Roman"/>
                <w:b/>
                <w:bCs/>
              </w:rPr>
            </w:pPr>
            <w:r>
              <w:rPr>
                <w:rFonts w:ascii="Times New Roman" w:hAnsi="Times New Roman"/>
                <w:b/>
              </w:rPr>
              <w:t>och kolumn</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Instruktioner</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Institutets företagsstruktur</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Institutet ska ange sin företagsstruktur med hjälp av följande alternativ:</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Aktiebolag.</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Ömsesidigt bolag/kooperativ.</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Annan typ av företag än aktiebolag.</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Behandling av derivat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Institutet ska specificera den regulatoriska behandlingen av derivat utifrån följande kategorier:</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Ursprunglig åtagandemetod.</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Marknadsvärderingsmetod.</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Institutstyp</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Institutet ska ange sin institutstyp utifrån följande kategorier:</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Universella banktjänster (banktjänster till privatpersoner/företag och investmentbanktjänster).</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Banktjänster till privatpersoner/företag.</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Investmentbanktjänster.</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Specialutlåningstjänster.</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Andra affärsmodeller</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9F5FAF">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9F5FAF">
          <w:rPr>
            <w:rFonts w:ascii="Times New Roman" w:hAnsi="Times New Roman"/>
            <w:noProof/>
            <w:sz w:val="20"/>
          </w:rPr>
          <w:t>24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9F5FAF" w:rsidRDefault="00BE6AC4" w:rsidP="00F4754B">
      <w:pPr>
        <w:pStyle w:val="FootnoteText"/>
        <w:rPr>
          <w:sz w:val="12"/>
          <w:szCs w:val="12"/>
        </w:rPr>
      </w:pPr>
      <w:r>
        <w:rPr>
          <w:rStyle w:val="FootnoteReference"/>
        </w:rPr>
        <w:footnoteRef/>
      </w:r>
      <w:r>
        <w:t xml:space="preserve"> </w:t>
      </w:r>
      <w:r>
        <w:rPr>
          <w:sz w:val="12"/>
        </w:rPr>
        <w:t>Detta inbegriper värdepapperiseringar och aktieexponeringar som omfattas av en kreditrisk.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612"/>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9F5FAF"/>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v-S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v-S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v-S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v-SE"/>
    </w:rPr>
  </w:style>
  <w:style w:type="character" w:customStyle="1" w:styleId="Heading6Char">
    <w:name w:val="Heading 6 Char"/>
    <w:basedOn w:val="DefaultParagraphFont"/>
    <w:link w:val="Heading6"/>
    <w:rsid w:val="00F4754B"/>
    <w:rPr>
      <w:b/>
      <w:bCs/>
      <w:szCs w:val="22"/>
      <w:lang w:eastAsia="sv-SE"/>
    </w:rPr>
  </w:style>
  <w:style w:type="character" w:customStyle="1" w:styleId="Heading7Char">
    <w:name w:val="Heading 7 Char"/>
    <w:basedOn w:val="DefaultParagraphFont"/>
    <w:link w:val="Heading7"/>
    <w:rsid w:val="00F4754B"/>
    <w:rPr>
      <w:sz w:val="24"/>
      <w:szCs w:val="24"/>
      <w:lang w:eastAsia="sv-SE"/>
    </w:rPr>
  </w:style>
  <w:style w:type="character" w:customStyle="1" w:styleId="Heading8Char">
    <w:name w:val="Heading 8 Char"/>
    <w:basedOn w:val="DefaultParagraphFont"/>
    <w:link w:val="Heading8"/>
    <w:rsid w:val="00F4754B"/>
    <w:rPr>
      <w:i/>
      <w:iCs/>
      <w:sz w:val="24"/>
      <w:szCs w:val="24"/>
      <w:lang w:eastAsia="sv-SE"/>
    </w:rPr>
  </w:style>
  <w:style w:type="character" w:customStyle="1" w:styleId="Heading9Char">
    <w:name w:val="Heading 9 Char"/>
    <w:basedOn w:val="DefaultParagraphFont"/>
    <w:link w:val="Heading9"/>
    <w:rsid w:val="00F4754B"/>
    <w:rPr>
      <w:rFonts w:ascii="Verdana" w:hAnsi="Verdana" w:cs="Arial"/>
      <w:szCs w:val="22"/>
      <w:lang w:eastAsia="sv-SE"/>
    </w:rPr>
  </w:style>
  <w:style w:type="character" w:customStyle="1" w:styleId="Heading1Char">
    <w:name w:val="Heading 1 Char"/>
    <w:basedOn w:val="DefaultParagraphFont"/>
    <w:link w:val="Heading1"/>
    <w:rsid w:val="00F4754B"/>
    <w:rPr>
      <w:rFonts w:ascii="Arial" w:hAnsi="Arial"/>
      <w:color w:val="48748F" w:themeColor="accent1"/>
      <w:sz w:val="36"/>
      <w:lang w:eastAsia="sv-SE"/>
    </w:rPr>
  </w:style>
  <w:style w:type="character" w:customStyle="1" w:styleId="Heading2Char">
    <w:name w:val="Heading 2 Char"/>
    <w:basedOn w:val="DefaultParagraphFont"/>
    <w:link w:val="Heading2"/>
    <w:rsid w:val="00F4754B"/>
    <w:rPr>
      <w:rFonts w:ascii="Arial" w:hAnsi="Arial"/>
      <w:color w:val="48748F" w:themeColor="accent1"/>
      <w:sz w:val="24"/>
      <w:lang w:eastAsia="sv-SE"/>
    </w:rPr>
  </w:style>
  <w:style w:type="character" w:customStyle="1" w:styleId="Heading3Char">
    <w:name w:val="Heading 3 Char"/>
    <w:basedOn w:val="DefaultParagraphFont"/>
    <w:link w:val="Heading3"/>
    <w:rsid w:val="00F4754B"/>
    <w:rPr>
      <w:rFonts w:ascii="Arial" w:hAnsi="Arial"/>
      <w:b/>
      <w:color w:val="48748F" w:themeColor="accent1"/>
      <w:szCs w:val="22"/>
      <w:lang w:eastAsia="sv-SE"/>
    </w:rPr>
  </w:style>
  <w:style w:type="character" w:customStyle="1" w:styleId="Heading4Char">
    <w:name w:val="Heading 4 Char"/>
    <w:basedOn w:val="DefaultParagraphFont"/>
    <w:link w:val="Heading4"/>
    <w:rsid w:val="00F4754B"/>
    <w:rPr>
      <w:rFonts w:ascii="Arial" w:hAnsi="Arial"/>
      <w:color w:val="48748F" w:themeColor="accent1"/>
      <w:lang w:eastAsia="sv-S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v-S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v-S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v-S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v-S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v-S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v-S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v-S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v-S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v-S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v-SE" w:eastAsia="sv-S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v-S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sv-SE" w:bidi="sv-S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v-S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v-S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v-S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v-S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v-S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v-S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v-S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v-S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v-SE"/>
    </w:rPr>
  </w:style>
  <w:style w:type="character" w:customStyle="1" w:styleId="Heading6Char">
    <w:name w:val="Heading 6 Char"/>
    <w:basedOn w:val="DefaultParagraphFont"/>
    <w:link w:val="Heading6"/>
    <w:rsid w:val="00F4754B"/>
    <w:rPr>
      <w:b/>
      <w:bCs/>
      <w:szCs w:val="22"/>
      <w:lang w:eastAsia="sv-SE"/>
    </w:rPr>
  </w:style>
  <w:style w:type="character" w:customStyle="1" w:styleId="Heading7Char">
    <w:name w:val="Heading 7 Char"/>
    <w:basedOn w:val="DefaultParagraphFont"/>
    <w:link w:val="Heading7"/>
    <w:rsid w:val="00F4754B"/>
    <w:rPr>
      <w:sz w:val="24"/>
      <w:szCs w:val="24"/>
      <w:lang w:eastAsia="sv-SE"/>
    </w:rPr>
  </w:style>
  <w:style w:type="character" w:customStyle="1" w:styleId="Heading8Char">
    <w:name w:val="Heading 8 Char"/>
    <w:basedOn w:val="DefaultParagraphFont"/>
    <w:link w:val="Heading8"/>
    <w:rsid w:val="00F4754B"/>
    <w:rPr>
      <w:i/>
      <w:iCs/>
      <w:sz w:val="24"/>
      <w:szCs w:val="24"/>
      <w:lang w:eastAsia="sv-SE"/>
    </w:rPr>
  </w:style>
  <w:style w:type="character" w:customStyle="1" w:styleId="Heading9Char">
    <w:name w:val="Heading 9 Char"/>
    <w:basedOn w:val="DefaultParagraphFont"/>
    <w:link w:val="Heading9"/>
    <w:rsid w:val="00F4754B"/>
    <w:rPr>
      <w:rFonts w:ascii="Verdana" w:hAnsi="Verdana" w:cs="Arial"/>
      <w:szCs w:val="22"/>
      <w:lang w:eastAsia="sv-SE"/>
    </w:rPr>
  </w:style>
  <w:style w:type="character" w:customStyle="1" w:styleId="Heading1Char">
    <w:name w:val="Heading 1 Char"/>
    <w:basedOn w:val="DefaultParagraphFont"/>
    <w:link w:val="Heading1"/>
    <w:rsid w:val="00F4754B"/>
    <w:rPr>
      <w:rFonts w:ascii="Arial" w:hAnsi="Arial"/>
      <w:color w:val="48748F" w:themeColor="accent1"/>
      <w:sz w:val="36"/>
      <w:lang w:eastAsia="sv-SE"/>
    </w:rPr>
  </w:style>
  <w:style w:type="character" w:customStyle="1" w:styleId="Heading2Char">
    <w:name w:val="Heading 2 Char"/>
    <w:basedOn w:val="DefaultParagraphFont"/>
    <w:link w:val="Heading2"/>
    <w:rsid w:val="00F4754B"/>
    <w:rPr>
      <w:rFonts w:ascii="Arial" w:hAnsi="Arial"/>
      <w:color w:val="48748F" w:themeColor="accent1"/>
      <w:sz w:val="24"/>
      <w:lang w:eastAsia="sv-SE"/>
    </w:rPr>
  </w:style>
  <w:style w:type="character" w:customStyle="1" w:styleId="Heading3Char">
    <w:name w:val="Heading 3 Char"/>
    <w:basedOn w:val="DefaultParagraphFont"/>
    <w:link w:val="Heading3"/>
    <w:rsid w:val="00F4754B"/>
    <w:rPr>
      <w:rFonts w:ascii="Arial" w:hAnsi="Arial"/>
      <w:b/>
      <w:color w:val="48748F" w:themeColor="accent1"/>
      <w:szCs w:val="22"/>
      <w:lang w:eastAsia="sv-SE"/>
    </w:rPr>
  </w:style>
  <w:style w:type="character" w:customStyle="1" w:styleId="Heading4Char">
    <w:name w:val="Heading 4 Char"/>
    <w:basedOn w:val="DefaultParagraphFont"/>
    <w:link w:val="Heading4"/>
    <w:rsid w:val="00F4754B"/>
    <w:rPr>
      <w:rFonts w:ascii="Arial" w:hAnsi="Arial"/>
      <w:color w:val="48748F" w:themeColor="accent1"/>
      <w:lang w:eastAsia="sv-S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v-S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v-S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v-S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v-S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v-S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v-S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v-S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v-S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v-S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v-SE" w:eastAsia="sv-S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v-S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sv-SE" w:bidi="sv-S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v-S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v-S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v-S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v-S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v-S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2F8E7BF4-5C31-4645-A40D-1D7814DDDE87}">
  <ds:schemaRefs>
    <ds:schemaRef ds:uri="http://schemas.openxmlformats.org/officeDocument/2006/bibliography"/>
  </ds:schemaRefs>
</ds:datastoreItem>
</file>

<file path=customXml/itemProps3.xml><?xml version="1.0" encoding="utf-8"?>
<ds:datastoreItem xmlns:ds="http://schemas.openxmlformats.org/officeDocument/2006/customXml" ds:itemID="{F3D0E55B-C0E7-4F9B-AF69-E0C0F6046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46</Pages>
  <Words>15033</Words>
  <Characters>112062</Characters>
  <Application>Microsoft Office Word</Application>
  <DocSecurity>0</DocSecurity>
  <Lines>933</Lines>
  <Paragraphs>253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126842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SPENS Katharina (DGT)</cp:lastModifiedBy>
  <cp:revision>13</cp:revision>
  <cp:lastPrinted>2015-04-10T08:05:00Z</cp:lastPrinted>
  <dcterms:created xsi:type="dcterms:W3CDTF">2018-02-06T16:20:00Z</dcterms:created>
  <dcterms:modified xsi:type="dcterms:W3CDTF">2018-09-04T12:49:00Z</dcterms:modified>
</cp:coreProperties>
</file>