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5EA59" w14:textId="77777777" w:rsidR="00D55737" w:rsidRPr="00A313DB" w:rsidRDefault="00D55737" w:rsidP="008D3E70">
      <w:pPr>
        <w:tabs>
          <w:tab w:val="left" w:pos="5060"/>
        </w:tabs>
        <w:ind w:left="660"/>
        <w:rPr>
          <w:rFonts w:ascii="Verdana" w:hAnsi="Verdana" w:cs="Times New Roman"/>
          <w:b/>
          <w:bCs/>
          <w:sz w:val="32"/>
          <w:szCs w:val="32"/>
        </w:rPr>
      </w:pPr>
      <w:r w:rsidRPr="00A313DB">
        <w:rPr>
          <w:rFonts w:ascii="Verdana" w:hAnsi="Verdana" w:cs="Times New Roman"/>
          <w:b/>
          <w:bCs/>
          <w:sz w:val="32"/>
          <w:szCs w:val="32"/>
        </w:rPr>
        <w:tab/>
      </w:r>
      <w:r w:rsidRPr="00A313DB">
        <w:rPr>
          <w:rFonts w:ascii="Verdana" w:hAnsi="Verdana" w:cs="Times New Roman"/>
          <w:b/>
          <w:bCs/>
          <w:sz w:val="32"/>
          <w:szCs w:val="32"/>
        </w:rPr>
        <w:tab/>
      </w:r>
      <w:r w:rsidRPr="00A313DB">
        <w:rPr>
          <w:rFonts w:ascii="Verdana" w:hAnsi="Verdana" w:cs="Times New Roman"/>
          <w:b/>
          <w:bCs/>
          <w:sz w:val="32"/>
          <w:szCs w:val="32"/>
        </w:rPr>
        <w:tab/>
      </w:r>
    </w:p>
    <w:tbl>
      <w:tblPr>
        <w:tblW w:w="9180" w:type="dxa"/>
        <w:tblLook w:val="01E0" w:firstRow="1" w:lastRow="1" w:firstColumn="1" w:lastColumn="1" w:noHBand="0" w:noVBand="0"/>
      </w:tblPr>
      <w:tblGrid>
        <w:gridCol w:w="6480"/>
        <w:gridCol w:w="2700"/>
      </w:tblGrid>
      <w:tr w:rsidR="005974BE" w:rsidRPr="00A313DB" w14:paraId="55B5EA5C" w14:textId="77777777" w:rsidTr="00F740E9">
        <w:tc>
          <w:tcPr>
            <w:tcW w:w="6480" w:type="dxa"/>
          </w:tcPr>
          <w:p w14:paraId="55B5EA5A" w14:textId="77777777" w:rsidR="005974BE" w:rsidRPr="00A313DB" w:rsidRDefault="005974BE" w:rsidP="005974BE">
            <w:pPr>
              <w:spacing w:before="120" w:after="120"/>
              <w:ind w:right="34"/>
              <w:rPr>
                <w:rFonts w:ascii="Verdana" w:hAnsi="Verdana"/>
              </w:rPr>
            </w:pPr>
          </w:p>
        </w:tc>
        <w:tc>
          <w:tcPr>
            <w:tcW w:w="2700" w:type="dxa"/>
          </w:tcPr>
          <w:p w14:paraId="55B5EA5B" w14:textId="77777777" w:rsidR="005974BE" w:rsidRPr="00A313DB" w:rsidRDefault="005974BE" w:rsidP="00AE345F">
            <w:pPr>
              <w:spacing w:before="120" w:after="120"/>
              <w:jc w:val="right"/>
              <w:rPr>
                <w:rFonts w:ascii="Verdana" w:hAnsi="Verdana"/>
              </w:rPr>
            </w:pPr>
          </w:p>
        </w:tc>
      </w:tr>
      <w:tr w:rsidR="005974BE" w:rsidRPr="00A313DB" w14:paraId="55B5EA64" w14:textId="77777777" w:rsidTr="00F740E9">
        <w:tc>
          <w:tcPr>
            <w:tcW w:w="6480" w:type="dxa"/>
          </w:tcPr>
          <w:p w14:paraId="55B5EA5D" w14:textId="77777777" w:rsidR="004C7965" w:rsidRDefault="000D7C40" w:rsidP="00762BA5">
            <w:pPr>
              <w:jc w:val="both"/>
              <w:rPr>
                <w:rFonts w:ascii="Verdana" w:hAnsi="Verdana"/>
                <w:b/>
                <w:i/>
                <w:color w:val="7F7F7F" w:themeColor="text1" w:themeTint="80"/>
                <w:sz w:val="24"/>
              </w:rPr>
            </w:pPr>
            <w:bookmarkStart w:id="0" w:name="OLE_LINK1"/>
            <w:bookmarkStart w:id="1" w:name="OLE_LINK2"/>
            <w:r>
              <w:rPr>
                <w:rFonts w:ascii="Verdana" w:hAnsi="Verdana"/>
                <w:b/>
                <w:i/>
                <w:color w:val="7F7F7F" w:themeColor="text1" w:themeTint="80"/>
                <w:sz w:val="24"/>
              </w:rPr>
              <w:t xml:space="preserve">DPM / </w:t>
            </w:r>
            <w:r w:rsidR="004B7DAC">
              <w:rPr>
                <w:rFonts w:ascii="Verdana" w:hAnsi="Verdana"/>
                <w:b/>
                <w:i/>
                <w:color w:val="7F7F7F" w:themeColor="text1" w:themeTint="80"/>
                <w:sz w:val="24"/>
              </w:rPr>
              <w:t>XBRL</w:t>
            </w:r>
            <w:r w:rsidR="002E5450">
              <w:rPr>
                <w:rFonts w:ascii="Verdana" w:hAnsi="Verdana"/>
                <w:b/>
                <w:i/>
                <w:color w:val="7F7F7F" w:themeColor="text1" w:themeTint="80"/>
                <w:sz w:val="24"/>
              </w:rPr>
              <w:t xml:space="preserve"> Taxonomy</w:t>
            </w:r>
          </w:p>
          <w:p w14:paraId="55B5EA5E" w14:textId="77777777" w:rsidR="00762BA5" w:rsidRPr="00F740E9" w:rsidRDefault="004C7965" w:rsidP="00762BA5">
            <w:pPr>
              <w:jc w:val="both"/>
              <w:rPr>
                <w:rFonts w:ascii="Verdana" w:hAnsi="Verdana"/>
                <w:b/>
                <w:i/>
                <w:color w:val="7F7F7F" w:themeColor="text1" w:themeTint="80"/>
                <w:sz w:val="24"/>
              </w:rPr>
            </w:pPr>
            <w:r>
              <w:rPr>
                <w:rFonts w:ascii="Verdana" w:hAnsi="Verdana"/>
                <w:b/>
                <w:i/>
                <w:color w:val="7F7F7F" w:themeColor="text1" w:themeTint="80"/>
                <w:sz w:val="24"/>
              </w:rPr>
              <w:t>R</w:t>
            </w:r>
            <w:r w:rsidR="004B7DAC">
              <w:rPr>
                <w:rFonts w:ascii="Verdana" w:hAnsi="Verdana"/>
                <w:b/>
                <w:i/>
                <w:color w:val="7F7F7F" w:themeColor="text1" w:themeTint="80"/>
                <w:sz w:val="24"/>
              </w:rPr>
              <w:t>evision</w:t>
            </w:r>
            <w:r w:rsidR="00EF1BBA">
              <w:rPr>
                <w:rFonts w:ascii="Verdana" w:hAnsi="Verdana"/>
                <w:b/>
                <w:i/>
                <w:color w:val="7F7F7F" w:themeColor="text1" w:themeTint="80"/>
                <w:sz w:val="24"/>
              </w:rPr>
              <w:t xml:space="preserve"> note</w:t>
            </w:r>
            <w:r w:rsidR="004B7DAC">
              <w:rPr>
                <w:rFonts w:ascii="Verdana" w:hAnsi="Verdana"/>
                <w:b/>
                <w:i/>
                <w:color w:val="7F7F7F" w:themeColor="text1" w:themeTint="80"/>
                <w:sz w:val="24"/>
              </w:rPr>
              <w:t>s</w:t>
            </w:r>
            <w:r w:rsidR="00837850" w:rsidRPr="00837850">
              <w:rPr>
                <w:rFonts w:ascii="Verdana" w:hAnsi="Verdana"/>
                <w:b/>
                <w:i/>
                <w:color w:val="7F7F7F" w:themeColor="text1" w:themeTint="80"/>
                <w:sz w:val="24"/>
              </w:rPr>
              <w:t xml:space="preserve"> </w:t>
            </w:r>
          </w:p>
          <w:bookmarkEnd w:id="0"/>
          <w:bookmarkEnd w:id="1"/>
          <w:p w14:paraId="55B5EA5F" w14:textId="77777777" w:rsidR="00F776BD" w:rsidRPr="00F740E9" w:rsidRDefault="00F776BD" w:rsidP="00762BA5">
            <w:pPr>
              <w:jc w:val="both"/>
              <w:rPr>
                <w:rFonts w:ascii="Verdana" w:hAnsi="Verdana"/>
                <w:b/>
                <w:sz w:val="24"/>
              </w:rPr>
            </w:pPr>
          </w:p>
          <w:p w14:paraId="55B5EA60" w14:textId="77777777" w:rsidR="005974BE" w:rsidRPr="00F776BD" w:rsidRDefault="005974BE" w:rsidP="00837850">
            <w:pPr>
              <w:rPr>
                <w:rFonts w:ascii="Verdana" w:hAnsi="Verdana"/>
                <w:b/>
                <w:spacing w:val="24"/>
              </w:rPr>
            </w:pPr>
          </w:p>
        </w:tc>
        <w:tc>
          <w:tcPr>
            <w:tcW w:w="2700" w:type="dxa"/>
          </w:tcPr>
          <w:p w14:paraId="55B5EA61" w14:textId="77777777" w:rsidR="00762BA5" w:rsidRDefault="00762BA5" w:rsidP="00762BA5">
            <w:pPr>
              <w:jc w:val="right"/>
              <w:rPr>
                <w:rFonts w:ascii="Verdana" w:hAnsi="Verdana"/>
              </w:rPr>
            </w:pPr>
          </w:p>
          <w:p w14:paraId="55B5EA62" w14:textId="77777777" w:rsidR="00F776BD" w:rsidRDefault="00F776BD" w:rsidP="00762BA5">
            <w:pPr>
              <w:jc w:val="right"/>
              <w:rPr>
                <w:rFonts w:ascii="Verdana" w:hAnsi="Verdana"/>
              </w:rPr>
            </w:pPr>
          </w:p>
          <w:p w14:paraId="55B5EA63" w14:textId="5A5E343D" w:rsidR="005974BE" w:rsidRPr="00A313DB" w:rsidRDefault="002D11E1" w:rsidP="002D11E1">
            <w:pPr>
              <w:spacing w:before="120"/>
              <w:jc w:val="right"/>
              <w:rPr>
                <w:rFonts w:ascii="Verdana" w:hAnsi="Verdana"/>
              </w:rPr>
            </w:pPr>
            <w:r>
              <w:rPr>
                <w:rFonts w:ascii="Verdana" w:hAnsi="Verdana"/>
              </w:rPr>
              <w:t>0</w:t>
            </w:r>
            <w:r w:rsidR="00454C9F">
              <w:rPr>
                <w:rFonts w:ascii="Verdana" w:hAnsi="Verdana"/>
              </w:rPr>
              <w:t>9</w:t>
            </w:r>
            <w:r w:rsidR="003071E0">
              <w:rPr>
                <w:rFonts w:ascii="Verdana" w:hAnsi="Verdana"/>
              </w:rPr>
              <w:t xml:space="preserve"> </w:t>
            </w:r>
            <w:r>
              <w:rPr>
                <w:rFonts w:ascii="Verdana" w:hAnsi="Verdana"/>
              </w:rPr>
              <w:t>February</w:t>
            </w:r>
            <w:r w:rsidR="00D65089">
              <w:rPr>
                <w:rFonts w:ascii="Verdana" w:hAnsi="Verdana"/>
              </w:rPr>
              <w:t xml:space="preserve"> </w:t>
            </w:r>
            <w:r w:rsidR="00E47786">
              <w:rPr>
                <w:rFonts w:ascii="Verdana" w:hAnsi="Verdana"/>
              </w:rPr>
              <w:t>201</w:t>
            </w:r>
            <w:r w:rsidR="00454C9F">
              <w:rPr>
                <w:rFonts w:ascii="Verdana" w:hAnsi="Verdana"/>
              </w:rPr>
              <w:t>8</w:t>
            </w:r>
          </w:p>
        </w:tc>
      </w:tr>
    </w:tbl>
    <w:p w14:paraId="42A2CE6C" w14:textId="79EF48E6" w:rsidR="002D11E1" w:rsidRDefault="002D11E1" w:rsidP="002D11E1">
      <w:pPr>
        <w:pStyle w:val="Titlelevel1"/>
        <w:rPr>
          <w:i/>
        </w:rPr>
      </w:pPr>
      <w:r>
        <w:rPr>
          <w:i/>
        </w:rPr>
        <w:t xml:space="preserve">v2.6.0.1 </w:t>
      </w:r>
      <w:r>
        <w:rPr>
          <w:rFonts w:ascii="Arial" w:hAnsi="Arial" w:cs="Arial"/>
          <w:i/>
          <w:color w:val="696969"/>
          <w:sz w:val="18"/>
          <w:szCs w:val="18"/>
          <w:shd w:val="clear" w:color="auto" w:fill="FFFFFF"/>
        </w:rPr>
        <w:t>(09/02/2017</w:t>
      </w:r>
      <w:r w:rsidRPr="00E47786">
        <w:rPr>
          <w:rFonts w:ascii="Arial" w:hAnsi="Arial" w:cs="Arial"/>
          <w:i/>
          <w:color w:val="696969"/>
          <w:sz w:val="18"/>
          <w:szCs w:val="18"/>
          <w:shd w:val="clear" w:color="auto" w:fill="FFFFFF"/>
        </w:rPr>
        <w:t>)</w:t>
      </w:r>
    </w:p>
    <w:p w14:paraId="7AD5D4E1" w14:textId="77777777" w:rsidR="002D11E1" w:rsidRDefault="002D11E1" w:rsidP="002D11E1">
      <w:pPr>
        <w:pStyle w:val="Titlelevel2"/>
      </w:pPr>
      <w:r>
        <w:t>Summary and Impact</w:t>
      </w:r>
    </w:p>
    <w:p w14:paraId="3C6D3A38" w14:textId="5A661976" w:rsidR="002D11E1" w:rsidRDefault="002D11E1" w:rsidP="002D11E1">
      <w:r w:rsidRPr="00FE5C39">
        <w:rPr>
          <w:b/>
        </w:rPr>
        <w:t xml:space="preserve">Hotfix </w:t>
      </w:r>
      <w:r>
        <w:t>correcting a specific error in the XBRL taxonomy</w:t>
      </w:r>
      <w:r w:rsidR="00D24EC5">
        <w:t xml:space="preserve"> (n.b. not DPM)</w:t>
      </w:r>
      <w:r>
        <w:t xml:space="preserve"> </w:t>
      </w:r>
      <w:r w:rsidR="00A605BC">
        <w:t xml:space="preserve">rendering </w:t>
      </w:r>
      <w:r>
        <w:t xml:space="preserve">representation of benchmarking table </w:t>
      </w:r>
      <w:r w:rsidRPr="002D11E1">
        <w:t>C</w:t>
      </w:r>
      <w:r>
        <w:t> 101.</w:t>
      </w:r>
    </w:p>
    <w:p w14:paraId="444E1C15" w14:textId="709C97BA" w:rsidR="002D11E1" w:rsidRDefault="002D11E1" w:rsidP="002D11E1"/>
    <w:p w14:paraId="154E61F5" w14:textId="68BC7B1E" w:rsidR="0087467E" w:rsidRPr="0087467E" w:rsidRDefault="0087467E" w:rsidP="0087467E">
      <w:pPr>
        <w:rPr>
          <w:b/>
        </w:rPr>
      </w:pPr>
      <w:r w:rsidRPr="0087467E">
        <w:rPr>
          <w:b/>
        </w:rPr>
        <w:t xml:space="preserve">All reporters should ensure that they map their reported data to XBRL such that the “Exposure Code” information </w:t>
      </w:r>
      <w:r w:rsidR="00A64C03">
        <w:rPr>
          <w:b/>
        </w:rPr>
        <w:t xml:space="preserve">for C 101 </w:t>
      </w:r>
      <w:r w:rsidRPr="0087467E">
        <w:rPr>
          <w:b/>
        </w:rPr>
        <w:t>appears in the INC (Individual clients) dimension, i.e. eba_INC, and the “Rating” information appears in the OGR (Obligor grade) dimension, i.e. eba_OGR.</w:t>
      </w:r>
    </w:p>
    <w:p w14:paraId="7B10A84D" w14:textId="77777777" w:rsidR="0087467E" w:rsidRDefault="0087467E" w:rsidP="0087467E"/>
    <w:p w14:paraId="491589EF" w14:textId="2C1DBDFF" w:rsidR="0087467E" w:rsidRDefault="0087467E" w:rsidP="0087467E">
      <w:r>
        <w:t>Actors who choose not to apply this hotfix should be aware that for them the rendering of the templates will likely appear as if Exposure Code information appears in the rating column and vice versa.</w:t>
      </w:r>
    </w:p>
    <w:p w14:paraId="4275AFD5" w14:textId="77777777" w:rsidR="0087467E" w:rsidRDefault="0087467E" w:rsidP="002D11E1"/>
    <w:p w14:paraId="00AD5BAF" w14:textId="02B625B4" w:rsidR="002D11E1" w:rsidRDefault="002D11E1" w:rsidP="002D11E1">
      <w:pPr>
        <w:pStyle w:val="Titlelevel2"/>
      </w:pPr>
      <w:r>
        <w:t>Artefacts included</w:t>
      </w:r>
    </w:p>
    <w:p w14:paraId="20D119BF" w14:textId="3B07A896" w:rsidR="002D11E1" w:rsidRDefault="002D11E1" w:rsidP="002D11E1">
      <w:r>
        <w:t>Three alter</w:t>
      </w:r>
      <w:r w:rsidR="00DD1240">
        <w:t>native packagings of the correction are provided so that whichever is most convenient may be used:</w:t>
      </w:r>
    </w:p>
    <w:p w14:paraId="15A2EC9E" w14:textId="2D780250" w:rsidR="002D11E1" w:rsidRDefault="00FE5C39" w:rsidP="002D11E1">
      <w:pPr>
        <w:pStyle w:val="body"/>
        <w:numPr>
          <w:ilvl w:val="0"/>
          <w:numId w:val="34"/>
        </w:numPr>
      </w:pPr>
      <w:r>
        <w:rPr>
          <w:b/>
        </w:rPr>
        <w:t>FixFilesOnly</w:t>
      </w:r>
      <w:bookmarkStart w:id="2" w:name="_GoBack"/>
      <w:bookmarkEnd w:id="2"/>
      <w:r w:rsidR="002D11E1" w:rsidRPr="002D11E1">
        <w:rPr>
          <w:b/>
        </w:rPr>
        <w:t>.zip</w:t>
      </w:r>
      <w:r w:rsidR="002D11E1">
        <w:t xml:space="preserve"> – contains </w:t>
      </w:r>
      <w:r>
        <w:t xml:space="preserve">just </w:t>
      </w:r>
      <w:r w:rsidR="002D11E1">
        <w:t>the two label files that need to be corrected, archived in the folder structure of the EBA taxonomy.</w:t>
      </w:r>
      <w:r w:rsidR="002D11E1">
        <w:rPr>
          <w:rStyle w:val="FootnoteReference"/>
        </w:rPr>
        <w:footnoteReference w:id="1"/>
      </w:r>
      <w:r w:rsidR="002D11E1">
        <w:t xml:space="preserve"> </w:t>
      </w:r>
    </w:p>
    <w:p w14:paraId="265C2B0A" w14:textId="1EC21FC5" w:rsidR="002D11E1" w:rsidRPr="002D11E1" w:rsidRDefault="002D11E1" w:rsidP="002D11E1">
      <w:pPr>
        <w:pStyle w:val="body"/>
        <w:numPr>
          <w:ilvl w:val="0"/>
          <w:numId w:val="34"/>
        </w:numPr>
      </w:pPr>
      <w:r w:rsidRPr="002D11E1">
        <w:rPr>
          <w:b/>
        </w:rPr>
        <w:t>FullTaxonomy.2.6.0.1.7z</w:t>
      </w:r>
      <w:r>
        <w:rPr>
          <w:b/>
        </w:rPr>
        <w:t xml:space="preserve"> – </w:t>
      </w:r>
      <w:r w:rsidRPr="002D11E1">
        <w:t xml:space="preserve">the full file set of </w:t>
      </w:r>
      <w:r>
        <w:t xml:space="preserve">the </w:t>
      </w:r>
      <w:r w:rsidRPr="002D11E1">
        <w:t xml:space="preserve">2.6.0.0 </w:t>
      </w:r>
      <w:r>
        <w:t xml:space="preserve">(and earlier) EBA </w:t>
      </w:r>
      <w:r w:rsidRPr="002D11E1">
        <w:t xml:space="preserve">taxonomy, with the above corrections applied </w:t>
      </w:r>
    </w:p>
    <w:p w14:paraId="4C4E023B" w14:textId="7FA76DBA" w:rsidR="002D11E1" w:rsidRDefault="002D11E1" w:rsidP="002D11E1">
      <w:pPr>
        <w:pStyle w:val="body"/>
        <w:numPr>
          <w:ilvl w:val="0"/>
          <w:numId w:val="34"/>
        </w:numPr>
      </w:pPr>
      <w:r w:rsidRPr="002D11E1">
        <w:rPr>
          <w:b/>
        </w:rPr>
        <w:t>EBA_CRD_IV_XBRL_2.6_Reporting_Frameworks_2.6.0.1.zip</w:t>
      </w:r>
      <w:r>
        <w:t xml:space="preserve"> – an XBRL taxonomy package replacing the </w:t>
      </w:r>
      <w:r w:rsidRPr="002D11E1">
        <w:t>EBA_CRD_IV_XBRL_</w:t>
      </w:r>
      <w:r>
        <w:t>2.6_Reporting_Frameworks_2.6.0.0</w:t>
      </w:r>
      <w:r w:rsidRPr="002D11E1">
        <w:t>.zip</w:t>
      </w:r>
      <w:r>
        <w:t>, again with the two corrected files applied.</w:t>
      </w:r>
    </w:p>
    <w:p w14:paraId="67B8807A" w14:textId="77777777" w:rsidR="002D11E1" w:rsidRDefault="002D11E1" w:rsidP="002D11E1">
      <w:pPr>
        <w:pStyle w:val="Titlelevel2"/>
      </w:pPr>
      <w:r>
        <w:t>Content and Changes</w:t>
      </w:r>
    </w:p>
    <w:p w14:paraId="2C25A981" w14:textId="6E945D52" w:rsidR="002D11E1" w:rsidRDefault="00DD1240" w:rsidP="002D11E1">
      <w:pPr>
        <w:pStyle w:val="Titlelevel3"/>
      </w:pPr>
      <w:r>
        <w:lastRenderedPageBreak/>
        <w:t xml:space="preserve">Exchange of labelling of the two “key” columns in C 101 </w:t>
      </w:r>
    </w:p>
    <w:p w14:paraId="6E4C975B" w14:textId="41BC12FB" w:rsidR="00D24EC5" w:rsidRDefault="00DD1240" w:rsidP="002D11E1">
      <w:r>
        <w:t xml:space="preserve">The representation of table C 101 in the EBA DPM (e.g. database and annotated templates) is correct. </w:t>
      </w:r>
      <w:r w:rsidRPr="00A64C03">
        <w:rPr>
          <w:b/>
        </w:rPr>
        <w:t xml:space="preserve">Therefore if you are only using the DPM information in your processes, no change is likely </w:t>
      </w:r>
      <w:r w:rsidR="00D24EC5" w:rsidRPr="00A64C03">
        <w:rPr>
          <w:b/>
        </w:rPr>
        <w:t>necessary, and you may well not encounter or be aware of this issue.</w:t>
      </w:r>
    </w:p>
    <w:p w14:paraId="6730FF5F" w14:textId="025F6E64" w:rsidR="00D24EC5" w:rsidRDefault="00D24EC5" w:rsidP="002D11E1"/>
    <w:p w14:paraId="221AA355" w14:textId="1B622A9B" w:rsidR="00D24EC5" w:rsidRDefault="00D24EC5" w:rsidP="002D11E1">
      <w:r>
        <w:t>C 101 is an “open list” table, with rows repeated for combinations of Exposure Code and Rating. The correct representation has one column ‘010’ ‘Exposure Code” which indicates  the code of the relevant counterparty, and one column ‘040’ which indicates the (integer) code of the ‘Rating’ for which data is provided:</w:t>
      </w:r>
    </w:p>
    <w:p w14:paraId="5A6E523E" w14:textId="272F2A65" w:rsidR="00D24EC5" w:rsidRDefault="00D24EC5" w:rsidP="002D11E1">
      <w:r w:rsidRPr="00D24EC5">
        <w:rPr>
          <w:noProof/>
        </w:rPr>
        <w:drawing>
          <wp:inline distT="0" distB="0" distL="0" distR="0" wp14:anchorId="577A1C36" wp14:editId="3388DBBC">
            <wp:extent cx="5762625" cy="1681480"/>
            <wp:effectExtent l="0" t="0" r="9525" b="0"/>
            <wp:docPr id="20"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9"/>
                    <pic:cNvPicPr>
                      <a:picLocks noChangeAspect="1"/>
                    </pic:cNvPicPr>
                  </pic:nvPicPr>
                  <pic:blipFill>
                    <a:blip r:embed="rId8"/>
                    <a:stretch>
                      <a:fillRect/>
                    </a:stretch>
                  </pic:blipFill>
                  <pic:spPr>
                    <a:xfrm>
                      <a:off x="0" y="0"/>
                      <a:ext cx="5762625" cy="1681480"/>
                    </a:xfrm>
                    <a:prstGeom prst="rect">
                      <a:avLst/>
                    </a:prstGeom>
                  </pic:spPr>
                </pic:pic>
              </a:graphicData>
            </a:graphic>
          </wp:inline>
        </w:drawing>
      </w:r>
    </w:p>
    <w:p w14:paraId="2A2EDD1D" w14:textId="77777777" w:rsidR="00D24EC5" w:rsidRDefault="00D24EC5" w:rsidP="002D11E1"/>
    <w:p w14:paraId="3BE483E5" w14:textId="0AE53A14" w:rsidR="002D11E1" w:rsidRDefault="00D24EC5" w:rsidP="002D11E1">
      <w:r>
        <w:t>Unfortunately, due to an error in the production of the XBRL taxonomy, the labels (i.e. headers and codes) of these two columns were exchanged in the 2.7.0.0 XBRL taxonomy, with the first of the “key” columns being identified as ‘040’ and ‘Rating’, and the second as ‘010’ and ‘Exposure Code’:</w:t>
      </w:r>
    </w:p>
    <w:p w14:paraId="5D00FBEC" w14:textId="21B52881" w:rsidR="00D24EC5" w:rsidRDefault="00D24EC5" w:rsidP="002D11E1">
      <w:r w:rsidRPr="00D24EC5">
        <w:rPr>
          <w:noProof/>
        </w:rPr>
        <w:drawing>
          <wp:inline distT="0" distB="0" distL="0" distR="0" wp14:anchorId="3DDF90F0" wp14:editId="2A52E1AE">
            <wp:extent cx="5762625" cy="1411605"/>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2625" cy="1411605"/>
                    </a:xfrm>
                    <a:prstGeom prst="rect">
                      <a:avLst/>
                    </a:prstGeom>
                  </pic:spPr>
                </pic:pic>
              </a:graphicData>
            </a:graphic>
          </wp:inline>
        </w:drawing>
      </w:r>
    </w:p>
    <w:p w14:paraId="48A4AD5A" w14:textId="77777777" w:rsidR="002D11E1" w:rsidRDefault="002D11E1" w:rsidP="002D11E1"/>
    <w:p w14:paraId="374CCDDE" w14:textId="588CA50B" w:rsidR="002D11E1" w:rsidRDefault="00D24EC5" w:rsidP="002D11E1">
      <w:r>
        <w:t>This hot fix corrects the label linkbase files to reverse these and bring the rendering in the XBRL taxonomy table linkbase in line with the DPM.</w:t>
      </w:r>
    </w:p>
    <w:p w14:paraId="26A48DFC" w14:textId="2BF8EA18" w:rsidR="00D24EC5" w:rsidRDefault="00D24EC5" w:rsidP="002D11E1"/>
    <w:p w14:paraId="61920E54" w14:textId="57DEC25E" w:rsidR="00D24EC5" w:rsidRDefault="00D24EC5" w:rsidP="0087467E">
      <w:r>
        <w:lastRenderedPageBreak/>
        <w:t>Two files are affected C_101.00-lab-codes.xml and C_101.00-lab-en.xml, with straightforward corrections b</w:t>
      </w:r>
      <w:r w:rsidR="0087467E">
        <w:t>eing required to each file, such as</w:t>
      </w:r>
      <w:r>
        <w:t>:</w:t>
      </w:r>
      <w:r w:rsidR="0087467E" w:rsidRPr="0087467E">
        <w:rPr>
          <w:noProof/>
        </w:rPr>
        <w:t xml:space="preserve"> </w:t>
      </w:r>
      <w:r w:rsidR="0087467E">
        <w:rPr>
          <w:noProof/>
        </w:rPr>
        <w:drawing>
          <wp:inline distT="0" distB="0" distL="0" distR="0" wp14:anchorId="1F0613D6" wp14:editId="4733B6A2">
            <wp:extent cx="5710555" cy="2952750"/>
            <wp:effectExtent l="0" t="0" r="444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3275" cy="2959327"/>
                    </a:xfrm>
                    <a:prstGeom prst="rect">
                      <a:avLst/>
                    </a:prstGeom>
                    <a:noFill/>
                  </pic:spPr>
                </pic:pic>
              </a:graphicData>
            </a:graphic>
          </wp:inline>
        </w:drawing>
      </w:r>
    </w:p>
    <w:p w14:paraId="55B5EA65" w14:textId="77F6383D" w:rsidR="00DC113D" w:rsidRDefault="00DC113D" w:rsidP="0087467E"/>
    <w:p w14:paraId="3BD87279" w14:textId="2C0A01B1" w:rsidR="0087467E" w:rsidRPr="0087467E" w:rsidRDefault="0087467E" w:rsidP="0087467E">
      <w:pPr>
        <w:rPr>
          <w:b/>
        </w:rPr>
      </w:pPr>
      <w:r w:rsidRPr="0087467E">
        <w:rPr>
          <w:b/>
        </w:rPr>
        <w:t xml:space="preserve">All reporters should ensure that they map their reported data to XBRL such that the “Exposure Code” information </w:t>
      </w:r>
      <w:r w:rsidR="00A64C03">
        <w:rPr>
          <w:b/>
        </w:rPr>
        <w:t xml:space="preserve">for C 101 </w:t>
      </w:r>
      <w:r w:rsidRPr="0087467E">
        <w:rPr>
          <w:b/>
        </w:rPr>
        <w:t>appears in the INC (Individual clients) dimension, i.e. eba_INC, and the “Rating” information appears in the OGR (Obligor grade) dimension, i.e. eba_OGR.</w:t>
      </w:r>
    </w:p>
    <w:p w14:paraId="3D563CB2" w14:textId="67E6FFA2" w:rsidR="0087467E" w:rsidRDefault="0087467E" w:rsidP="0087467E"/>
    <w:p w14:paraId="23E9E902" w14:textId="11CF7EE4" w:rsidR="0087467E" w:rsidRDefault="0087467E" w:rsidP="0087467E">
      <w:r>
        <w:t>Actors who choose not to apply this hotfix should be aware that for them the rendering of the templates will likely appear as if Exposure Code information appears in the rating column and vice versa.</w:t>
      </w:r>
    </w:p>
    <w:p w14:paraId="29AE7D64" w14:textId="57AEE647" w:rsidR="0087467E" w:rsidRDefault="0087467E" w:rsidP="0087467E"/>
    <w:p w14:paraId="6BC52362" w14:textId="321885AD" w:rsidR="0087467E" w:rsidRDefault="0087467E" w:rsidP="0087467E">
      <w:r>
        <w:t>Fortunately the expected information content of the two columns should make them clearly identifiable (the exposure code is a multi-character string code specified by the EBA, the rating should be an integer number), and indeed impossible to report reversed due to data type checking at the XML level.</w:t>
      </w:r>
    </w:p>
    <w:p w14:paraId="721464B9" w14:textId="6AEE375D" w:rsidR="003E20FA" w:rsidRDefault="003E20FA" w:rsidP="003E20FA">
      <w:pPr>
        <w:pStyle w:val="Titlelevel1"/>
        <w:rPr>
          <w:i/>
        </w:rPr>
      </w:pPr>
      <w:r>
        <w:rPr>
          <w:i/>
        </w:rPr>
        <w:t xml:space="preserve">v2.7.0.1 </w:t>
      </w:r>
      <w:r>
        <w:rPr>
          <w:rFonts w:ascii="Arial" w:hAnsi="Arial" w:cs="Arial"/>
          <w:i/>
          <w:color w:val="696969"/>
          <w:sz w:val="18"/>
          <w:szCs w:val="18"/>
          <w:shd w:val="clear" w:color="auto" w:fill="FFFFFF"/>
        </w:rPr>
        <w:t>(</w:t>
      </w:r>
      <w:r w:rsidR="000B6471">
        <w:rPr>
          <w:rFonts w:ascii="Arial" w:hAnsi="Arial" w:cs="Arial"/>
          <w:i/>
          <w:color w:val="696969"/>
          <w:sz w:val="18"/>
          <w:szCs w:val="18"/>
          <w:shd w:val="clear" w:color="auto" w:fill="FFFFFF"/>
        </w:rPr>
        <w:t>15/11/2017</w:t>
      </w:r>
      <w:r w:rsidRPr="00E47786">
        <w:rPr>
          <w:rFonts w:ascii="Arial" w:hAnsi="Arial" w:cs="Arial"/>
          <w:i/>
          <w:color w:val="696969"/>
          <w:sz w:val="18"/>
          <w:szCs w:val="18"/>
          <w:shd w:val="clear" w:color="auto" w:fill="FFFFFF"/>
        </w:rPr>
        <w:t>)</w:t>
      </w:r>
    </w:p>
    <w:p w14:paraId="136911D5" w14:textId="6A7EB4E8" w:rsidR="003E20FA" w:rsidRDefault="003E20FA" w:rsidP="003E20FA">
      <w:pPr>
        <w:pStyle w:val="Titlelevel2"/>
      </w:pPr>
      <w:r>
        <w:t>Summary and Impact</w:t>
      </w:r>
    </w:p>
    <w:p w14:paraId="00770739" w14:textId="7EBF697D" w:rsidR="000B6471" w:rsidRDefault="000B6471" w:rsidP="000B6471">
      <w:r w:rsidRPr="00FE5C39">
        <w:rPr>
          <w:b/>
        </w:rPr>
        <w:t>Hotfix</w:t>
      </w:r>
      <w:r>
        <w:t xml:space="preserve"> correcting some errors that have been identified, and making some improvements, in the original release of the 2.7 Validation rules list, DPM, taxonomy, and related documentation.</w:t>
      </w:r>
    </w:p>
    <w:p w14:paraId="103ED66D" w14:textId="77777777" w:rsidR="000B6471" w:rsidRDefault="000B6471" w:rsidP="000B6471"/>
    <w:p w14:paraId="4AB3BAC2" w14:textId="4DF40599" w:rsidR="000B6471" w:rsidRDefault="000B6471" w:rsidP="000B6471">
      <w:r>
        <w:t>"Instance compatible" with 2.7.0.0 - in that XBRL instance file prepared for 2.7.0.0 will be structural</w:t>
      </w:r>
      <w:r w:rsidR="00454C9F">
        <w:t>ly</w:t>
      </w:r>
      <w:r>
        <w:t xml:space="preserve"> valid against this taxonomy, with only a difference in the potential validation rule (i.e. XBRL assertion) results.</w:t>
      </w:r>
    </w:p>
    <w:p w14:paraId="7267FA1A" w14:textId="2ABA42C5" w:rsidR="000B6471" w:rsidRDefault="000B6471" w:rsidP="000B6471">
      <w:pPr>
        <w:pStyle w:val="Titlelevel2"/>
      </w:pPr>
      <w:r>
        <w:t>Artefacts included</w:t>
      </w:r>
    </w:p>
    <w:p w14:paraId="2FA935EA" w14:textId="6F8BAA58" w:rsidR="000B6471" w:rsidRDefault="000B6471" w:rsidP="000B6471">
      <w:pPr>
        <w:pStyle w:val="body"/>
        <w:numPr>
          <w:ilvl w:val="0"/>
          <w:numId w:val="34"/>
        </w:numPr>
      </w:pPr>
      <w:r>
        <w:lastRenderedPageBreak/>
        <w:t>Annotated table layout corrections for C 17.01.a</w:t>
      </w:r>
    </w:p>
    <w:p w14:paraId="098615BF" w14:textId="7E9CE668" w:rsidR="000B6471" w:rsidRDefault="000B6471" w:rsidP="000B6471">
      <w:pPr>
        <w:pStyle w:val="body"/>
        <w:numPr>
          <w:ilvl w:val="0"/>
          <w:numId w:val="34"/>
        </w:numPr>
      </w:pPr>
      <w:r>
        <w:t>Updated DPM database (note that sql scripts to perform the update are included in case useful)</w:t>
      </w:r>
    </w:p>
    <w:p w14:paraId="77FCFBA7" w14:textId="6973042A" w:rsidR="000B6471" w:rsidRDefault="000B6471" w:rsidP="000B6471">
      <w:pPr>
        <w:pStyle w:val="body"/>
        <w:numPr>
          <w:ilvl w:val="0"/>
          <w:numId w:val="34"/>
        </w:numPr>
      </w:pPr>
      <w:r>
        <w:t>Corrected EBA Validation Rules spreadsheet</w:t>
      </w:r>
    </w:p>
    <w:p w14:paraId="3F4F2982" w14:textId="7E5D38B0" w:rsidR="000B6471" w:rsidRDefault="000B6471" w:rsidP="000B6471">
      <w:pPr>
        <w:pStyle w:val="body"/>
        <w:numPr>
          <w:ilvl w:val="0"/>
          <w:numId w:val="34"/>
        </w:numPr>
      </w:pPr>
      <w:r w:rsidRPr="000B6471">
        <w:t>Updated XBRL taxonomy - both as a "full" archive</w:t>
      </w:r>
      <w:r>
        <w:rPr>
          <w:rStyle w:val="FootnoteReference"/>
        </w:rPr>
        <w:footnoteReference w:id="2"/>
      </w:r>
      <w:r w:rsidRPr="000B6471">
        <w:t xml:space="preserve"> </w:t>
      </w:r>
      <w:r>
        <w:t>and as a "Taxonomy package"</w:t>
      </w:r>
      <w:r>
        <w:rPr>
          <w:rStyle w:val="FootnoteReference"/>
        </w:rPr>
        <w:footnoteReference w:id="3"/>
      </w:r>
    </w:p>
    <w:p w14:paraId="6EA213A8" w14:textId="77777777" w:rsidR="000B6471" w:rsidRDefault="000B6471" w:rsidP="000B6471">
      <w:pPr>
        <w:pStyle w:val="Titlelevel2"/>
      </w:pPr>
      <w:r>
        <w:t>Content and Changes</w:t>
      </w:r>
    </w:p>
    <w:p w14:paraId="02F9D35B" w14:textId="09721632" w:rsidR="000B6471" w:rsidRDefault="000B6471" w:rsidP="000B6471">
      <w:pPr>
        <w:pStyle w:val="Titlelevel3"/>
      </w:pPr>
      <w:r>
        <w:t>Validation rule changes, corrections and rexpression [efcde3e] - "2.7.0.1 VR set"</w:t>
      </w:r>
    </w:p>
    <w:p w14:paraId="3BEADCE7" w14:textId="08ABA77C" w:rsidR="000B6471" w:rsidRDefault="000B6471" w:rsidP="008768E4">
      <w:r>
        <w:t>Many changes in the validation rule spreadsheet (marked last changed in "2.7.0.1").</w:t>
      </w:r>
    </w:p>
    <w:p w14:paraId="3C45006A" w14:textId="77777777" w:rsidR="008768E4" w:rsidRDefault="008768E4" w:rsidP="008768E4"/>
    <w:p w14:paraId="19834B0F" w14:textId="78C3649B" w:rsidR="000B6471" w:rsidRDefault="000B6471" w:rsidP="000B6471">
      <w:r>
        <w:t>At the DPM level introduces a new group of records in ValidationRuleSet (with ValidationRuleSetCode) which indicate the validation rules now used, and new validation rule entries representing those rules where required.</w:t>
      </w:r>
    </w:p>
    <w:p w14:paraId="7AF78B23" w14:textId="77777777" w:rsidR="008768E4" w:rsidRDefault="008768E4" w:rsidP="000B6471"/>
    <w:p w14:paraId="3F3A53B2" w14:textId="6982D574" w:rsidR="000B6471" w:rsidRDefault="000B6471" w:rsidP="000B6471">
      <w:r>
        <w:t>At the XBRL level involves in-place alteration of many validation rule files, and the module entry point schemas.</w:t>
      </w:r>
    </w:p>
    <w:p w14:paraId="3BA9A21D" w14:textId="77777777" w:rsidR="000B6471" w:rsidRDefault="000B6471" w:rsidP="000B6471">
      <w:pPr>
        <w:pStyle w:val="Titlelevel3"/>
      </w:pPr>
      <w:r>
        <w:t>Correction [20171010]</w:t>
      </w:r>
    </w:p>
    <w:p w14:paraId="544BF224" w14:textId="67D48F1D" w:rsidR="008768E4" w:rsidRDefault="000B6471" w:rsidP="000B6471">
      <w:r>
        <w:t>The 2.7.0.0 release of the EBA DPM materials omitted certain records from the mvCellLocation table of the DPM Database regarding the rows 0935,0936,094</w:t>
      </w:r>
      <w:r w:rsidR="008768E4">
        <w:t>5, and 0946 of table C 17.01.a.</w:t>
      </w:r>
    </w:p>
    <w:p w14:paraId="60832E37" w14:textId="77777777" w:rsidR="008768E4" w:rsidRDefault="008768E4" w:rsidP="000B6471"/>
    <w:p w14:paraId="280DC860" w14:textId="27330DE9" w:rsidR="000B6471" w:rsidRDefault="000B6471" w:rsidP="000B6471">
      <w:r>
        <w:t>Consequently the annotated templates omitted details of the datapoint associated with these rows.</w:t>
      </w:r>
    </w:p>
    <w:p w14:paraId="6CA96534" w14:textId="77777777" w:rsidR="008768E4" w:rsidRDefault="008768E4" w:rsidP="000B6471"/>
    <w:p w14:paraId="551BE169" w14:textId="7A5FC6A8" w:rsidR="000B6471" w:rsidRDefault="000B6471" w:rsidP="000B6471">
      <w:r>
        <w:t>Corrected annotated templates for C 17.01.a and an illustrative update script to bring the published database to the updated form.</w:t>
      </w:r>
    </w:p>
    <w:p w14:paraId="7D84B33F" w14:textId="77777777" w:rsidR="000B6471" w:rsidRDefault="000B6471" w:rsidP="000B6471">
      <w:pPr>
        <w:pStyle w:val="Titlelevel3"/>
      </w:pPr>
      <w:r>
        <w:t>Correction [20171018]</w:t>
      </w:r>
    </w:p>
    <w:p w14:paraId="66DD638E" w14:textId="138BCBFF" w:rsidR="000B6471" w:rsidRDefault="000B6471" w:rsidP="000B6471">
      <w:r>
        <w:t>Mapping/implementation of the table prerequisities formula into the DPM DB and XBRL was incorrect for many FINREP rules. Specifically those with prerequisite formulae of the general form "A and (B or C)". This would lead to inappropriate rules triggering for a given report content.</w:t>
      </w:r>
    </w:p>
    <w:p w14:paraId="56413F89" w14:textId="7DE4641C" w:rsidR="000B6471" w:rsidRDefault="000B6471" w:rsidP="000B6471"/>
    <w:p w14:paraId="53E01E62" w14:textId="01A32504" w:rsidR="000B6471" w:rsidRDefault="008768E4" w:rsidP="000B6471">
      <w:r>
        <w:t xml:space="preserve">Mapping of logical rule prerequisites into DPM DB representation and XBRL assertion sets and variable </w:t>
      </w:r>
      <w:r w:rsidRPr="008768E4">
        <w:t>set</w:t>
      </w:r>
      <w:r>
        <w:t xml:space="preserve"> </w:t>
      </w:r>
      <w:r w:rsidRPr="008768E4">
        <w:t>precondition</w:t>
      </w:r>
      <w:r>
        <w:t>s</w:t>
      </w:r>
      <w:r>
        <w:rPr>
          <w:rStyle w:val="FootnoteReference"/>
        </w:rPr>
        <w:footnoteReference w:id="4"/>
      </w:r>
      <w:r>
        <w:t xml:space="preserve"> corrected</w:t>
      </w:r>
      <w:r>
        <w:rPr>
          <w:rStyle w:val="FootnoteReference"/>
        </w:rPr>
        <w:footnoteReference w:id="5"/>
      </w:r>
      <w:r>
        <w:t>. Rules affected:</w:t>
      </w:r>
    </w:p>
    <w:p w14:paraId="5E6D0AE5" w14:textId="77777777" w:rsidR="008768E4" w:rsidRDefault="008768E4" w:rsidP="000B6471"/>
    <w:p w14:paraId="3C64414D" w14:textId="60844C75" w:rsidR="000B6471" w:rsidRDefault="000B6471" w:rsidP="000B6471">
      <w:r>
        <w:lastRenderedPageBreak/>
        <w:t>v1034_m,v1037_m,v2781_m,v2782_m,v2783_m,v2784_m,v2785_m,v2786_m,v2787_m,v2788_m,v2789_m,v2790_m,v2791_m,v2792_m,v2793_m,v2794_m,v2795_m,v2796_m,v2797_m,v2798_m,v2799_m,v2800_m,v3018_m,v3019_m,v3020_m,v3021_m,v5170_m,v5171_m,v5172_m,v5173_m,v5174_m,v5175_m,v5176_m,v5177_m,v5178_m,v5179_m,v5180_m,v5181_m,v5182_m,v5183_m,v5250_m,v5251_m,v5252_m,v5253_m,v5254_m,v5255_m,v5256_m,v5257_m,v5258_m,v5259_m,v5260_m,v5261_m,v5262_m,v5263_m,v5332_m,v5333_m,v5334_m,v5335_m,v5336_m,v5337_m,v5338_m,v5339_m,v5340_m,v5341_m,v5342_m,v5343_m,v5344_m,v5345_m,v5346_m,v5347_m,v5348_m,v5349_m,v5385_m,v5386_m,v5387_m,v5388_m,v5389_m,v5390_m,v5391_m,v5392_m,v5393_m,v5394_m,v5395_m,v5396_m,v5397_m,v5398_m,v5399_m,v5400_m,v5401_m,v5402_m,v5403_m,v5404_m,v5405_m,v5406_m,v5407_m,v5408_m,v5409_m,v5410_m,v5411_m,v5412_m,v5413_m,v5414_m,v5415_m,v5416_m,v5417_m,v5418_m,v5419_m,v5420_m,v5421_m,v5422_m,v5423_m,v5424_m,v5434_m,v5435_m,v5436_m,v5437_m,v5438_m,v5439_m,v5440_m,v5441_m,v5442_m,v5443_m,v5444_m,v5445_m,v5446_m,v5447_m,v5462_m,v5463_m,v5464_m,v5465_m,v5466_m,v5467_m,v5468_m,v5469_m,v5470_m,v5471_m,v5472_m,v5473_m,v5474_m,v5475_m,v5476_m,v5477_m,v5478_m,v5479_m,v5480_m,v5481_m,v5482_m,v5483_m,v5484_m,v5485_m,v5486_m,v5487_m,v5488_m,v5489_m,v5504_m,v5505_m,v5506_m,v5507_m,v5508_m,v5509_m,v5510_m,v5511_m,v5512_m,v5513_m,v5514_m,v5515_m,v5516_m,v5517_m,v5518_m,v5519_m,v5520_m,v5521_m,v5522_m,v5523_m,v5524_m,v5525_m,v5526_m,v5527_m,v5528_m,v5529_m,v5530_m,v5531_m,v5532_m,v5533_m,v5534_m,v5535_m,v5536_m,v5537_m,v5538_m,v5539_m,v6030_m,v6031_m,v6032_m,v6033_m,v6034_m,v6035_m,v6036_m,v6037_m,v6038_m,v6053_m</w:t>
      </w:r>
    </w:p>
    <w:p w14:paraId="6D2A0B13" w14:textId="77777777" w:rsidR="000B6471" w:rsidRDefault="000B6471" w:rsidP="000B6471"/>
    <w:p w14:paraId="00F7CB85" w14:textId="77777777" w:rsidR="000B6471" w:rsidRDefault="000B6471" w:rsidP="000B6471">
      <w:pPr>
        <w:pStyle w:val="body"/>
      </w:pPr>
    </w:p>
    <w:p w14:paraId="3D476B48" w14:textId="626F64BA" w:rsidR="000B6471" w:rsidRPr="008768E4" w:rsidRDefault="008768E4" w:rsidP="008768E4">
      <w:pPr>
        <w:pStyle w:val="Titlelevel3"/>
      </w:pPr>
      <w:r w:rsidRPr="008768E4">
        <w:t>"Precondition not applied for e4887_e and e4888_e"</w:t>
      </w:r>
      <w:r>
        <w:t>, Correction</w:t>
      </w:r>
      <w:r w:rsidRPr="008768E4">
        <w:t xml:space="preserve"> </w:t>
      </w:r>
      <w:r w:rsidR="000B6471">
        <w:t>[bb108c3]</w:t>
      </w:r>
    </w:p>
    <w:p w14:paraId="66F56050" w14:textId="12A7EF8B" w:rsidR="000B6471" w:rsidRDefault="000B6471" w:rsidP="000B6471">
      <w:r>
        <w:t>Certain problematic (non-)existence rules which had incorrect precondition expressions (and so triggered even when the relevant templates were not reported) have been corrected. They are now implemented as value assertions instead, using a 'pivot variable' to force evaluation (in line with the approach taken by recent versions of DPM Architect).</w:t>
      </w:r>
    </w:p>
    <w:p w14:paraId="6E7CD219" w14:textId="6EFC73D6" w:rsidR="000B6471" w:rsidRDefault="000B6471" w:rsidP="000B6471"/>
    <w:p w14:paraId="4594FEA5" w14:textId="5D13930F" w:rsidR="000B6471" w:rsidRDefault="000B6471" w:rsidP="000B6471">
      <w:r>
        <w:t>May require the use of updated Eurofiling files (schema location hints for aspect-cover-filter.xsd)</w:t>
      </w:r>
    </w:p>
    <w:p w14:paraId="7FF9D9A1" w14:textId="667434E3" w:rsidR="000B6471" w:rsidRDefault="000B6471" w:rsidP="000B6471"/>
    <w:p w14:paraId="2F1EDF97" w14:textId="2F0A5772" w:rsidR="000B6471" w:rsidRDefault="000B6471" w:rsidP="000B6471">
      <w:r>
        <w:t>Affects (XBRL taxonomy representation of) rules e4887_e, e4888_e, e4891_n-e4902_n</w:t>
      </w:r>
    </w:p>
    <w:p w14:paraId="4E745F20" w14:textId="4C68B8CB" w:rsidR="000B6471" w:rsidRDefault="000B6471" w:rsidP="000B6471">
      <w:r>
        <w:t>As a result rules e4887_e and e4888_e can be reactivated.</w:t>
      </w:r>
    </w:p>
    <w:p w14:paraId="61721C19" w14:textId="61BC9127" w:rsidR="000B6471" w:rsidRDefault="000B6471" w:rsidP="000B6471"/>
    <w:p w14:paraId="71ACE43D" w14:textId="77777777" w:rsidR="000B6471" w:rsidRDefault="000B6471" w:rsidP="000B6471">
      <w:pPr>
        <w:pStyle w:val="Titlelevel3"/>
      </w:pPr>
      <w:r>
        <w:t>Correction [db1f907fc3a0]</w:t>
      </w:r>
    </w:p>
    <w:p w14:paraId="10BCED5A" w14:textId="23A830DF" w:rsidR="000B6471" w:rsidRDefault="000B6471" w:rsidP="000B6471">
      <w:r>
        <w:t>(Existence) ValidationRules for the tables C 00.01, F 00.01 etc. which should have had prerequisite formula written with square brackets (e.g. "[C 00.01]")  to indicate that the rule should be run for any module notionally containing the template (i.e. whether or not the template was actually reported in an instance) were written with round brackets ("(C 00.1)") instead.</w:t>
      </w:r>
    </w:p>
    <w:p w14:paraId="3AEA4C78" w14:textId="77777777" w:rsidR="000B6471" w:rsidRDefault="000B6471" w:rsidP="000B6471"/>
    <w:p w14:paraId="498468F7" w14:textId="545ACF4E" w:rsidR="000B6471" w:rsidRPr="000B6471" w:rsidRDefault="008768E4" w:rsidP="000B6471">
      <w:pPr>
        <w:rPr>
          <w:lang w:val="de-DE"/>
        </w:rPr>
      </w:pPr>
      <w:r w:rsidRPr="008768E4">
        <w:rPr>
          <w:lang w:val="de-DE"/>
        </w:rPr>
        <w:t>A</w:t>
      </w:r>
      <w:r w:rsidR="000B6471" w:rsidRPr="000B6471">
        <w:rPr>
          <w:lang w:val="de-DE"/>
        </w:rPr>
        <w:t>ffects Validation rule spreadsheet &amp; DPM database</w:t>
      </w:r>
      <w:r>
        <w:rPr>
          <w:lang w:val="de-DE"/>
        </w:rPr>
        <w:t xml:space="preserve"> (no XBRL impact)</w:t>
      </w:r>
      <w:r w:rsidR="000B6471" w:rsidRPr="000B6471">
        <w:rPr>
          <w:lang w:val="de-DE"/>
        </w:rPr>
        <w:t xml:space="preserve"> for e4427_e,e4428_e,e4429_e,e4430_e,e4431_e,e4432_e,e4433_e,e4437_e,v4438_c,v4439_c</w:t>
      </w:r>
    </w:p>
    <w:p w14:paraId="77BBAF9B" w14:textId="0EB8D003" w:rsidR="000B6471" w:rsidRPr="000B6471" w:rsidRDefault="000B6471" w:rsidP="000B6471">
      <w:pPr>
        <w:rPr>
          <w:lang w:val="de-DE"/>
        </w:rPr>
      </w:pPr>
    </w:p>
    <w:p w14:paraId="764CD261" w14:textId="3305587E" w:rsidR="000B6471" w:rsidRDefault="000B6471" w:rsidP="000B6471">
      <w:r>
        <w:t>Corrected erroneous reactivation date for v3083_m in 2.5 sheet of validation spreadsheet (rule is still deactivated in 2.5)</w:t>
      </w:r>
    </w:p>
    <w:p w14:paraId="4F7982B2" w14:textId="77777777" w:rsidR="000B6471" w:rsidRDefault="000B6471" w:rsidP="000B6471">
      <w:pPr>
        <w:pStyle w:val="Titlelevel3"/>
      </w:pPr>
      <w:r>
        <w:lastRenderedPageBreak/>
        <w:t>Technical Adjustment [c6e1b1b]</w:t>
      </w:r>
    </w:p>
    <w:p w14:paraId="72B7C464" w14:textId="6FCC118D" w:rsidR="000B6471" w:rsidRDefault="000B6471" w:rsidP="000B6471">
      <w:r>
        <w:t>Adjusts</w:t>
      </w:r>
    </w:p>
    <w:p w14:paraId="0EF6224C" w14:textId="59A7F205" w:rsidR="000B6471" w:rsidRDefault="000B6471" w:rsidP="000B6471">
      <w:r>
        <w:t>a) the handling of "scope" ordinates and their mapping to "cover=false" or "cover=true" in formula</w:t>
      </w:r>
    </w:p>
    <w:p w14:paraId="138E7BBA" w14:textId="6F59743E" w:rsidR="000B6471" w:rsidRDefault="000B6471" w:rsidP="000B6471">
      <w:r>
        <w:t>b) the process for assessing whether rule implementations can be reused from previous taxonomies</w:t>
      </w:r>
    </w:p>
    <w:p w14:paraId="5C2D584C" w14:textId="3F703D87" w:rsidR="000B6471" w:rsidRDefault="000B6471" w:rsidP="000B6471"/>
    <w:p w14:paraId="52A1519F" w14:textId="33FA6EE2" w:rsidR="000B6471" w:rsidRDefault="008768E4" w:rsidP="000B6471">
      <w:r>
        <w:t>N</w:t>
      </w:r>
      <w:r w:rsidR="000B6471">
        <w:t>ote that although this corrects the underlying problem that caused the *very* broken implementation of v0340 and v0492 in 2.7, both those rules are actually *still* not usable and will remain deactivated, due to mo</w:t>
      </w:r>
      <w:r>
        <w:t>delling issues with one column</w:t>
      </w:r>
      <w:r w:rsidR="000B6471">
        <w:t xml:space="preserve"> </w:t>
      </w:r>
      <w:r>
        <w:t xml:space="preserve">in each of their scope </w:t>
      </w:r>
      <w:r w:rsidR="000B6471">
        <w:t>(not matching between tables).</w:t>
      </w:r>
    </w:p>
    <w:p w14:paraId="11C51DD3" w14:textId="5AC24F86" w:rsidR="000B6471" w:rsidRDefault="000B6471" w:rsidP="000B6471"/>
    <w:p w14:paraId="5215F20E" w14:textId="6F422639" w:rsidR="000B6471" w:rsidRDefault="000B6471" w:rsidP="000B6471">
      <w:r>
        <w:t>The more detailed assessment of rules for linking means that more rules could potentially be linked to their 2.6 implementations, however changes to and r</w:t>
      </w:r>
      <w:r w:rsidR="00454C9F">
        <w:t>e-</w:t>
      </w:r>
      <w:r>
        <w:t>expression of rules under the main 2.7.0.1 changes (see [efcde3e]) largely outweigh this.</w:t>
      </w:r>
    </w:p>
    <w:p w14:paraId="2EF3EB16" w14:textId="147921E7" w:rsidR="000B6471" w:rsidRDefault="000B6471" w:rsidP="000B6471"/>
    <w:p w14:paraId="0CCEF77E" w14:textId="42EE11FA" w:rsidR="000B6471" w:rsidRDefault="000B6471" w:rsidP="000B6471">
      <w:r>
        <w:t xml:space="preserve">There are also various changes to other rule xml files, which have no practical impact. These 'correct' previously "dangling" cover=false properties. "Dangling" here meaning they apply to only one variable in an </w:t>
      </w:r>
      <w:r w:rsidR="00454C9F">
        <w:t>expression</w:t>
      </w:r>
      <w:r>
        <w:t>, and that aspect is covered for all the other variables, such that no implicit m</w:t>
      </w:r>
      <w:r w:rsidR="00454C9F">
        <w:t>atching can actually take place. This should</w:t>
      </w:r>
      <w:r>
        <w:t xml:space="preserve"> have had no </w:t>
      </w:r>
      <w:r w:rsidR="00454C9F">
        <w:t>practical effect at</w:t>
      </w:r>
      <w:r>
        <w:t xml:space="preserve"> the XBRL evaluation level.</w:t>
      </w:r>
    </w:p>
    <w:p w14:paraId="248EC08B" w14:textId="77777777" w:rsidR="000B6471" w:rsidRDefault="000B6471" w:rsidP="003E20FA">
      <w:pPr>
        <w:pStyle w:val="Titlelevel2"/>
      </w:pPr>
    </w:p>
    <w:p w14:paraId="791999C6" w14:textId="11F84021" w:rsidR="009B22D4" w:rsidRDefault="002E5EC0" w:rsidP="009B22D4">
      <w:pPr>
        <w:pStyle w:val="Titlelevel1"/>
        <w:rPr>
          <w:i/>
        </w:rPr>
      </w:pPr>
      <w:r>
        <w:rPr>
          <w:i/>
        </w:rPr>
        <w:t xml:space="preserve">v2.7 (“2017-A”) </w:t>
      </w:r>
      <w:r>
        <w:rPr>
          <w:rFonts w:ascii="Arial" w:hAnsi="Arial" w:cs="Arial"/>
          <w:i/>
          <w:color w:val="696969"/>
          <w:sz w:val="18"/>
          <w:szCs w:val="18"/>
          <w:shd w:val="clear" w:color="auto" w:fill="FFFFFF"/>
        </w:rPr>
        <w:t>(04/04</w:t>
      </w:r>
      <w:r w:rsidRPr="00E47786">
        <w:rPr>
          <w:rFonts w:ascii="Arial" w:hAnsi="Arial" w:cs="Arial"/>
          <w:i/>
          <w:color w:val="696969"/>
          <w:sz w:val="18"/>
          <w:szCs w:val="18"/>
          <w:shd w:val="clear" w:color="auto" w:fill="FFFFFF"/>
        </w:rPr>
        <w:t>/201</w:t>
      </w:r>
      <w:r>
        <w:rPr>
          <w:rFonts w:ascii="Arial" w:hAnsi="Arial" w:cs="Arial"/>
          <w:i/>
          <w:color w:val="696969"/>
          <w:sz w:val="18"/>
          <w:szCs w:val="18"/>
          <w:shd w:val="clear" w:color="auto" w:fill="FFFFFF"/>
        </w:rPr>
        <w:t>7</w:t>
      </w:r>
      <w:r w:rsidRPr="00E47786">
        <w:rPr>
          <w:rFonts w:ascii="Arial" w:hAnsi="Arial" w:cs="Arial"/>
          <w:i/>
          <w:color w:val="696969"/>
          <w:sz w:val="18"/>
          <w:szCs w:val="18"/>
          <w:shd w:val="clear" w:color="auto" w:fill="FFFFFF"/>
        </w:rPr>
        <w:t>)</w:t>
      </w:r>
    </w:p>
    <w:p w14:paraId="01955EDD" w14:textId="6DD26D66" w:rsidR="00DD1BBE" w:rsidRDefault="00DD1BBE" w:rsidP="00DD1BBE">
      <w:pPr>
        <w:pStyle w:val="Titlelevel2"/>
      </w:pPr>
      <w:r>
        <w:t>Summary</w:t>
      </w:r>
    </w:p>
    <w:p w14:paraId="5A64F330" w14:textId="4021F9BC" w:rsidR="00DD1BBE" w:rsidRDefault="00DD1BBE" w:rsidP="00DD1BBE">
      <w:pPr>
        <w:pStyle w:val="body"/>
        <w:numPr>
          <w:ilvl w:val="0"/>
          <w:numId w:val="34"/>
        </w:numPr>
      </w:pPr>
      <w:r>
        <w:t>Final version of IFRS 9 adaptation of FINREP (2.3.0). No structural changes to FINREP compared to the 2.7 exposure draft</w:t>
      </w:r>
      <w:r w:rsidR="00B727CB">
        <w:t xml:space="preserve"> (though that of course had extensive changes compared to 2.6)</w:t>
      </w:r>
      <w:r>
        <w:t>, but many validation rule changes.</w:t>
      </w:r>
    </w:p>
    <w:p w14:paraId="0DFF945D" w14:textId="0F427976" w:rsidR="00DD1BBE" w:rsidRDefault="00B727CB" w:rsidP="00DD1BBE">
      <w:pPr>
        <w:pStyle w:val="body"/>
        <w:numPr>
          <w:ilvl w:val="0"/>
          <w:numId w:val="34"/>
        </w:numPr>
      </w:pPr>
      <w:r>
        <w:t>Significant s</w:t>
      </w:r>
      <w:r w:rsidR="00DD1BBE">
        <w:t xml:space="preserve">tructural </w:t>
      </w:r>
      <w:r>
        <w:t xml:space="preserve">and validation rule </w:t>
      </w:r>
      <w:r w:rsidR="00DD1BBE">
        <w:t>changes in COREP (2.3.0).</w:t>
      </w:r>
    </w:p>
    <w:p w14:paraId="76BBC334" w14:textId="2F189B5D" w:rsidR="00DD1BBE" w:rsidRPr="000951E3" w:rsidRDefault="000951E3" w:rsidP="00DD1BBE">
      <w:pPr>
        <w:pStyle w:val="body"/>
        <w:numPr>
          <w:ilvl w:val="0"/>
          <w:numId w:val="34"/>
        </w:numPr>
      </w:pPr>
      <w:r w:rsidRPr="000951E3">
        <w:t>Minor structural changes to AE and</w:t>
      </w:r>
      <w:r w:rsidR="00DD1BBE" w:rsidRPr="000951E3">
        <w:t xml:space="preserve"> FP compared </w:t>
      </w:r>
      <w:r w:rsidRPr="000951E3">
        <w:t>to 2.6. These are mostly simply changes to the acceptable values for various country or currency breakdowns on sheets of tables (z-axes).</w:t>
      </w:r>
    </w:p>
    <w:p w14:paraId="0E62D7AC" w14:textId="73BDF71D" w:rsidR="000951E3" w:rsidRPr="000951E3" w:rsidRDefault="000951E3" w:rsidP="00DD1BBE">
      <w:pPr>
        <w:pStyle w:val="body"/>
        <w:numPr>
          <w:ilvl w:val="0"/>
          <w:numId w:val="34"/>
        </w:numPr>
      </w:pPr>
      <w:r w:rsidRPr="000951E3">
        <w:t xml:space="preserve">No </w:t>
      </w:r>
      <w:r w:rsidR="00C33CCF">
        <w:t xml:space="preserve">new version of </w:t>
      </w:r>
      <w:r w:rsidRPr="000951E3">
        <w:t>SBP.</w:t>
      </w:r>
    </w:p>
    <w:p w14:paraId="7F08755B" w14:textId="6A492AF1" w:rsidR="00DD1BBE" w:rsidRDefault="007B2602" w:rsidP="00DD1BBE">
      <w:pPr>
        <w:pStyle w:val="Titlelevel2"/>
      </w:pPr>
      <w:r>
        <w:t>Content</w:t>
      </w:r>
      <w:r w:rsidR="00DD1BBE">
        <w:t xml:space="preserve"> and Changes</w:t>
      </w:r>
    </w:p>
    <w:p w14:paraId="08F230C2" w14:textId="0678DC88" w:rsidR="00481317" w:rsidRDefault="00112F62" w:rsidP="00481317">
      <w:pPr>
        <w:pStyle w:val="Titlelevel3"/>
      </w:pPr>
      <w:r>
        <w:lastRenderedPageBreak/>
        <w:t>Changed/new</w:t>
      </w:r>
      <w:r w:rsidR="00481317">
        <w:t xml:space="preserve"> approach to total on z-axes for </w:t>
      </w:r>
      <w:r w:rsidR="00381DB1">
        <w:t xml:space="preserve">(some) </w:t>
      </w:r>
      <w:r>
        <w:t xml:space="preserve">COREP </w:t>
      </w:r>
      <w:r w:rsidR="00481317">
        <w:t>tables</w:t>
      </w:r>
    </w:p>
    <w:p w14:paraId="332F6A07" w14:textId="6453CCF6" w:rsidR="000E7FE1" w:rsidRPr="00481317" w:rsidRDefault="00481317" w:rsidP="000E7FE1">
      <w:pPr>
        <w:pStyle w:val="body"/>
        <w:numPr>
          <w:ilvl w:val="0"/>
          <w:numId w:val="34"/>
        </w:numPr>
      </w:pPr>
      <w:r>
        <w:t xml:space="preserve">New </w:t>
      </w:r>
      <w:r w:rsidR="000E7FE1">
        <w:t>approach for</w:t>
      </w:r>
      <w:r>
        <w:t xml:space="preserve"> reporting of totals on tables</w:t>
      </w:r>
      <w:r w:rsidR="000E7FE1">
        <w:t xml:space="preserve"> </w:t>
      </w:r>
      <w:r>
        <w:t xml:space="preserve">with open sheets applied to </w:t>
      </w:r>
      <w:r w:rsidR="000E7FE1" w:rsidRPr="000E7FE1">
        <w:rPr>
          <w:color w:val="1F497D"/>
        </w:rPr>
        <w:t>C 09.01.a, C 09.01.b, C 09.02</w:t>
      </w:r>
      <w:r>
        <w:rPr>
          <w:color w:val="1F497D"/>
        </w:rPr>
        <w:t xml:space="preserve"> </w:t>
      </w:r>
      <w:r w:rsidRPr="00481317">
        <w:t>(for which to</w:t>
      </w:r>
      <w:r w:rsidR="00112F62">
        <w:t>tals will now be reportable),</w:t>
      </w:r>
      <w:r w:rsidR="000E7FE1" w:rsidRPr="000E7FE1">
        <w:rPr>
          <w:color w:val="1F497D"/>
        </w:rPr>
        <w:t xml:space="preserve"> C 09.04</w:t>
      </w:r>
      <w:r w:rsidR="00112F62">
        <w:rPr>
          <w:color w:val="1F497D"/>
        </w:rPr>
        <w:t xml:space="preserve"> and C 15.00</w:t>
      </w:r>
      <w:r>
        <w:rPr>
          <w:color w:val="1F497D"/>
        </w:rPr>
        <w:t xml:space="preserve"> </w:t>
      </w:r>
      <w:r w:rsidRPr="00481317">
        <w:t>(for which the previous reporting approach</w:t>
      </w:r>
      <w:r w:rsidR="00381DB1">
        <w:rPr>
          <w:rStyle w:val="FootnoteReference"/>
        </w:rPr>
        <w:footnoteReference w:id="6"/>
      </w:r>
      <w:r w:rsidRPr="00481317">
        <w:t xml:space="preserve"> is changed)</w:t>
      </w:r>
      <w:r w:rsidR="00112F62">
        <w:t xml:space="preserve">, and the new tables </w:t>
      </w:r>
      <w:r w:rsidR="00112F62" w:rsidRPr="00112F62">
        <w:rPr>
          <w:color w:val="1F497D"/>
        </w:rPr>
        <w:t>C 33.00.a and C 33.00.b</w:t>
      </w:r>
      <w:r w:rsidR="000E7FE1" w:rsidRPr="00481317">
        <w:t xml:space="preserve">. </w:t>
      </w:r>
    </w:p>
    <w:p w14:paraId="70EA649F" w14:textId="394305E7" w:rsidR="000E7FE1" w:rsidRPr="000E7FE1" w:rsidRDefault="00481317" w:rsidP="000E7FE1">
      <w:pPr>
        <w:pStyle w:val="body"/>
        <w:numPr>
          <w:ilvl w:val="1"/>
          <w:numId w:val="34"/>
        </w:numPr>
        <w:rPr>
          <w:i/>
        </w:rPr>
      </w:pPr>
      <w:r w:rsidRPr="00481317">
        <w:t>A n</w:t>
      </w:r>
      <w:r w:rsidR="000E7FE1" w:rsidRPr="00481317">
        <w:t>ew member</w:t>
      </w:r>
      <w:r>
        <w:rPr>
          <w:i/>
        </w:rPr>
        <w:t xml:space="preserve"> </w:t>
      </w:r>
      <w:r w:rsidR="000E7FE1">
        <w:rPr>
          <w:color w:val="1F497D"/>
        </w:rPr>
        <w:t>“All countries”</w:t>
      </w:r>
      <w:r>
        <w:rPr>
          <w:color w:val="1F497D"/>
        </w:rPr>
        <w:t xml:space="preserve"> (x</w:t>
      </w:r>
      <w:r w:rsidR="00471CFB">
        <w:rPr>
          <w:color w:val="1F497D"/>
        </w:rPr>
        <w:t>1</w:t>
      </w:r>
      <w:r>
        <w:rPr>
          <w:color w:val="1F497D"/>
        </w:rPr>
        <w:t xml:space="preserve">) </w:t>
      </w:r>
      <w:r w:rsidRPr="00481317">
        <w:t xml:space="preserve">has been added </w:t>
      </w:r>
      <w:r>
        <w:t>to the GA domain.</w:t>
      </w:r>
    </w:p>
    <w:p w14:paraId="78C30F96" w14:textId="1E10672A" w:rsidR="000E7FE1" w:rsidRPr="00481317" w:rsidRDefault="00112F62" w:rsidP="000E7FE1">
      <w:pPr>
        <w:pStyle w:val="body"/>
        <w:numPr>
          <w:ilvl w:val="1"/>
          <w:numId w:val="34"/>
        </w:numPr>
      </w:pPr>
      <w:r>
        <w:t>New hierarchies</w:t>
      </w:r>
      <w:r w:rsidR="000E7FE1" w:rsidRPr="00481317">
        <w:t xml:space="preserve"> GA5_2 </w:t>
      </w:r>
      <w:r>
        <w:t xml:space="preserve">and GA6_1 </w:t>
      </w:r>
      <w:r w:rsidR="000E7FE1" w:rsidRPr="00481317">
        <w:t>created similar to GA5_1</w:t>
      </w:r>
      <w:r>
        <w:t xml:space="preserve"> and GA6</w:t>
      </w:r>
      <w:r w:rsidR="000E7FE1" w:rsidRPr="00481317">
        <w:t xml:space="preserve"> but with the new “All countries” </w:t>
      </w:r>
      <w:r w:rsidR="00481317">
        <w:t xml:space="preserve">member </w:t>
      </w:r>
      <w:r w:rsidR="000E7FE1" w:rsidRPr="00481317">
        <w:t>in between “All Geographical Areas/Not specified” (x0) and the leaf Members.</w:t>
      </w:r>
    </w:p>
    <w:p w14:paraId="645E9A75" w14:textId="50515899" w:rsidR="000E7FE1" w:rsidRDefault="00481317" w:rsidP="000E7FE1">
      <w:pPr>
        <w:pStyle w:val="body"/>
        <w:numPr>
          <w:ilvl w:val="1"/>
          <w:numId w:val="34"/>
        </w:numPr>
      </w:pPr>
      <w:r>
        <w:t>The z-axis of t</w:t>
      </w:r>
      <w:r w:rsidR="000E7FE1" w:rsidRPr="00481317">
        <w:t>ables</w:t>
      </w:r>
      <w:r>
        <w:t xml:space="preserve"> </w:t>
      </w:r>
      <w:r w:rsidRPr="00481317">
        <w:t xml:space="preserve">C 09.01.a, C 09.01.b, C 09.02, </w:t>
      </w:r>
      <w:r w:rsidR="00BF663C">
        <w:t xml:space="preserve">and </w:t>
      </w:r>
      <w:r w:rsidRPr="00481317">
        <w:t>C 09.04</w:t>
      </w:r>
      <w:r w:rsidR="000E7FE1" w:rsidRPr="00481317">
        <w:t xml:space="preserve"> </w:t>
      </w:r>
      <w:r>
        <w:t xml:space="preserve">is </w:t>
      </w:r>
      <w:r w:rsidR="000E7FE1" w:rsidRPr="00481317">
        <w:t>r</w:t>
      </w:r>
      <w:r w:rsidR="00112F62">
        <w:t xml:space="preserve">estricted to any member of the GA5_2 </w:t>
      </w:r>
      <w:r w:rsidR="000E7FE1" w:rsidRPr="00481317">
        <w:t xml:space="preserve">hierarchy </w:t>
      </w:r>
      <w:r w:rsidR="000E7FE1" w:rsidRPr="00112F62">
        <w:rPr>
          <w:b/>
          <w:i/>
        </w:rPr>
        <w:t>other</w:t>
      </w:r>
      <w:r w:rsidR="000E7FE1" w:rsidRPr="00481317">
        <w:t xml:space="preserve"> than the root “All Geographical Areas/Not specified” (x0). I.e. </w:t>
      </w:r>
      <w:r>
        <w:t xml:space="preserve">the </w:t>
      </w:r>
      <w:r w:rsidR="000E7FE1" w:rsidRPr="00481317">
        <w:t>new “All countries” member is allowed</w:t>
      </w:r>
      <w:r w:rsidR="00112F62">
        <w:t>, but the x0 member is not</w:t>
      </w:r>
      <w:r w:rsidR="000E7FE1" w:rsidRPr="00481317">
        <w:t>.</w:t>
      </w:r>
      <w:r w:rsidR="00112F62">
        <w:t xml:space="preserve"> Similarly the z-axis of C 15.00 is restricted to any member of GA6_1 except x0.</w:t>
      </w:r>
    </w:p>
    <w:p w14:paraId="4DCAB788" w14:textId="5B0C7FD6" w:rsidR="00481317" w:rsidRDefault="00481317" w:rsidP="000E7FE1">
      <w:pPr>
        <w:pStyle w:val="body"/>
        <w:numPr>
          <w:ilvl w:val="1"/>
          <w:numId w:val="34"/>
        </w:numPr>
      </w:pPr>
      <w:r>
        <w:t>The ‘total’ figure requested by the ITS should</w:t>
      </w:r>
      <w:r w:rsidR="00A01299">
        <w:t>, for these templates,</w:t>
      </w:r>
      <w:r>
        <w:t xml:space="preserve"> be reported against this </w:t>
      </w:r>
      <w:r w:rsidR="00A01299">
        <w:t xml:space="preserve">new </w:t>
      </w:r>
      <w:r w:rsidRPr="00481317">
        <w:t>“All countries”</w:t>
      </w:r>
      <w:r>
        <w:t xml:space="preserve"> (x1) member.</w:t>
      </w:r>
      <w:r>
        <w:rPr>
          <w:rStyle w:val="FootnoteReference"/>
        </w:rPr>
        <w:footnoteReference w:id="7"/>
      </w:r>
      <w:r>
        <w:t xml:space="preserve"> </w:t>
      </w:r>
    </w:p>
    <w:p w14:paraId="09910C30" w14:textId="5EB9D9F4" w:rsidR="00A01299" w:rsidRPr="00C33CCF" w:rsidRDefault="00A01299" w:rsidP="000E7FE1">
      <w:pPr>
        <w:pStyle w:val="body"/>
        <w:numPr>
          <w:ilvl w:val="1"/>
          <w:numId w:val="34"/>
        </w:numPr>
      </w:pPr>
      <w:r w:rsidRPr="00C33CCF">
        <w:t>New validation rules linking cells on these total sheets to other templates</w:t>
      </w:r>
      <w:r w:rsidRPr="00C33CCF">
        <w:rPr>
          <w:rStyle w:val="FootnoteReference"/>
        </w:rPr>
        <w:footnoteReference w:id="8"/>
      </w:r>
      <w:r w:rsidRPr="00C33CCF">
        <w:t>, and in one case the sum of the country breakdown figures to the reported total figures have been introduced, which use a new notation to indicate “filtering”</w:t>
      </w:r>
      <w:r w:rsidR="00E80784" w:rsidRPr="00C33CCF">
        <w:t xml:space="preserve"> (</w:t>
      </w:r>
      <w:r w:rsidRPr="00C33CCF">
        <w:t xml:space="preserve">restriction to </w:t>
      </w:r>
      <w:r w:rsidR="00E80784" w:rsidRPr="00C33CCF">
        <w:t xml:space="preserve">a </w:t>
      </w:r>
      <w:r w:rsidRPr="00C33CCF">
        <w:t>specific value</w:t>
      </w:r>
      <w:r w:rsidR="00E80784" w:rsidRPr="00C33CCF">
        <w:t xml:space="preserve"> or subset of values)</w:t>
      </w:r>
      <w:r w:rsidRPr="00C33CCF">
        <w:t xml:space="preserve"> on the z-axis. E.g. </w:t>
      </w:r>
    </w:p>
    <w:p w14:paraId="47F65FBB" w14:textId="2DFB46CF" w:rsidR="00A01299" w:rsidRPr="00C33CCF" w:rsidRDefault="00A01299" w:rsidP="00A01299">
      <w:pPr>
        <w:pStyle w:val="body"/>
        <w:numPr>
          <w:ilvl w:val="2"/>
          <w:numId w:val="34"/>
        </w:numPr>
      </w:pPr>
      <w:r w:rsidRPr="00C33CCF">
        <w:t>{C 09.01.a, r070, c010, [CEG=eba_GA:x1]} = {C 07.00.a, r010, c010, s008}</w:t>
      </w:r>
    </w:p>
    <w:p w14:paraId="63B3B870" w14:textId="1ED460B2" w:rsidR="00A01299" w:rsidRPr="00C33CCF" w:rsidRDefault="00E80784" w:rsidP="00E80784">
      <w:pPr>
        <w:pStyle w:val="body"/>
        <w:numPr>
          <w:ilvl w:val="2"/>
          <w:numId w:val="34"/>
        </w:numPr>
      </w:pPr>
      <w:r w:rsidRPr="00C33CCF">
        <w:t>{C 09.04, [CEG=GA:x1]} = sum({C 09.04, ([CEG!=GA:x1]) })</w:t>
      </w:r>
    </w:p>
    <w:p w14:paraId="74218891" w14:textId="0A133430" w:rsidR="00481317" w:rsidRPr="00481317" w:rsidRDefault="00112F62" w:rsidP="000E7FE1">
      <w:pPr>
        <w:pStyle w:val="body"/>
        <w:numPr>
          <w:ilvl w:val="1"/>
          <w:numId w:val="34"/>
        </w:numPr>
      </w:pPr>
      <w:r>
        <w:t xml:space="preserve">The </w:t>
      </w:r>
      <w:r w:rsidR="00481317">
        <w:t>existing approach to reporting of ‘total’ figures</w:t>
      </w:r>
      <w:r w:rsidR="00381DB1">
        <w:t xml:space="preserve"> is</w:t>
      </w:r>
      <w:r w:rsidR="00481317">
        <w:t xml:space="preserve"> for now retained on</w:t>
      </w:r>
      <w:r w:rsidR="005B646F">
        <w:t xml:space="preserve"> C 51-54,</w:t>
      </w:r>
      <w:r w:rsidR="00381DB1">
        <w:t xml:space="preserve"> </w:t>
      </w:r>
      <w:r w:rsidR="005B646F">
        <w:t>60,</w:t>
      </w:r>
      <w:r w:rsidR="00381DB1">
        <w:t xml:space="preserve"> </w:t>
      </w:r>
      <w:r w:rsidR="005B646F">
        <w:t>61,</w:t>
      </w:r>
      <w:r w:rsidR="00381DB1">
        <w:t xml:space="preserve"> and </w:t>
      </w:r>
      <w:r w:rsidR="005B646F">
        <w:t>66-76 (where an explicitly modelled sub table</w:t>
      </w:r>
      <w:r w:rsidR="005B646F">
        <w:rPr>
          <w:rStyle w:val="FootnoteReference"/>
        </w:rPr>
        <w:footnoteReference w:id="9"/>
      </w:r>
      <w:r w:rsidR="005B646F">
        <w:t xml:space="preserve"> contains the total figures).</w:t>
      </w:r>
    </w:p>
    <w:p w14:paraId="2D6068D9" w14:textId="449D2D30" w:rsidR="007B2602" w:rsidRDefault="007B2602" w:rsidP="007B2602">
      <w:pPr>
        <w:pStyle w:val="Titlelevel3"/>
      </w:pPr>
      <w:r>
        <w:lastRenderedPageBreak/>
        <w:t>Validation spreadsheet design changes</w:t>
      </w:r>
    </w:p>
    <w:p w14:paraId="45CF3417" w14:textId="02A5F2CF" w:rsidR="009921E9" w:rsidRDefault="009921E9" w:rsidP="007B2602">
      <w:pPr>
        <w:pStyle w:val="body"/>
        <w:numPr>
          <w:ilvl w:val="0"/>
          <w:numId w:val="34"/>
        </w:numPr>
      </w:pPr>
      <w:r>
        <w:t>Table Prerequisite expressio</w:t>
      </w:r>
      <w:r w:rsidR="006F6A56">
        <w:t>n method changed:</w:t>
      </w:r>
    </w:p>
    <w:p w14:paraId="710DF7D1" w14:textId="3213160E" w:rsidR="009921E9" w:rsidRDefault="009921E9" w:rsidP="009921E9">
      <w:pPr>
        <w:pStyle w:val="body"/>
        <w:numPr>
          <w:ilvl w:val="1"/>
          <w:numId w:val="34"/>
        </w:numPr>
      </w:pPr>
      <w:r>
        <w:t>In previous versions of the spreadsheet the tables that were required to be indicated as reported (via positive filing indicators in the XBRL instance) in order to trigger the evaluation of a rule were indicated via a se</w:t>
      </w:r>
      <w:r w:rsidR="00AA40BB">
        <w:t>t of columns marked T1, T2 etc.</w:t>
      </w:r>
    </w:p>
    <w:p w14:paraId="0A532531" w14:textId="6B882369" w:rsidR="009921E9" w:rsidRDefault="009921E9" w:rsidP="009921E9">
      <w:pPr>
        <w:pStyle w:val="body"/>
        <w:numPr>
          <w:ilvl w:val="2"/>
          <w:numId w:val="34"/>
        </w:numPr>
      </w:pPr>
      <w:r>
        <w:t>Every one of the tables listed for a rule were required to be reported together in a given instance for the rule to be evaluated, if any one of the listed tables was not reported the rule would not be triggered.</w:t>
      </w:r>
    </w:p>
    <w:p w14:paraId="1FE9D54A" w14:textId="7E03DC8D" w:rsidR="009921E9" w:rsidRDefault="009921E9" w:rsidP="009921E9">
      <w:pPr>
        <w:pStyle w:val="body"/>
        <w:numPr>
          <w:ilvl w:val="2"/>
          <w:numId w:val="34"/>
        </w:numPr>
      </w:pPr>
      <w:r>
        <w:t xml:space="preserve">A very small subset of </w:t>
      </w:r>
      <w:r w:rsidR="00AA40BB">
        <w:t>rules had more complex requirements, such as being triggered for specific modules whether or not particular tables are reported, or if any one of a set of tables were included (indicated by listed the</w:t>
      </w:r>
      <w:r w:rsidR="003A66E6">
        <w:t>se</w:t>
      </w:r>
      <w:r w:rsidR="00AA40BB">
        <w:t xml:space="preserve"> tables separated by “ or ” </w:t>
      </w:r>
      <w:r w:rsidR="003A66E6">
        <w:t>under the “T1” column)</w:t>
      </w:r>
    </w:p>
    <w:p w14:paraId="129537B3" w14:textId="3A4F0349" w:rsidR="009921E9" w:rsidRDefault="009921E9" w:rsidP="009921E9">
      <w:pPr>
        <w:pStyle w:val="body"/>
        <w:numPr>
          <w:ilvl w:val="1"/>
          <w:numId w:val="34"/>
        </w:numPr>
      </w:pPr>
      <w:r>
        <w:t>A new column has now been added which expresses the required tables as a logical expression (e.g. “</w:t>
      </w:r>
      <w:r w:rsidR="003A66E6">
        <w:t>C 09.00 and (C 07.00 or C 08.00)</w:t>
      </w:r>
      <w:r>
        <w:t>”).</w:t>
      </w:r>
    </w:p>
    <w:p w14:paraId="7AA2B296" w14:textId="4A81E74B" w:rsidR="009921E9" w:rsidRDefault="009921E9" w:rsidP="009921E9">
      <w:pPr>
        <w:pStyle w:val="body"/>
        <w:numPr>
          <w:ilvl w:val="2"/>
          <w:numId w:val="34"/>
        </w:numPr>
      </w:pPr>
      <w:r>
        <w:t xml:space="preserve">This expression allows the </w:t>
      </w:r>
      <w:r w:rsidR="00813933">
        <w:t xml:space="preserve">free </w:t>
      </w:r>
      <w:r>
        <w:t>use of both “and” and “or” logical combinations, as well as the</w:t>
      </w:r>
      <w:r w:rsidR="003A66E6">
        <w:t xml:space="preserve"> use of parentheses to group sub expressions</w:t>
      </w:r>
      <w:r>
        <w:t xml:space="preserve">, </w:t>
      </w:r>
      <w:r w:rsidR="003A66E6">
        <w:t xml:space="preserve">which </w:t>
      </w:r>
      <w:r>
        <w:t>allow</w:t>
      </w:r>
      <w:r w:rsidR="003A66E6">
        <w:t>s</w:t>
      </w:r>
      <w:r>
        <w:t xml:space="preserve"> any required logical dependency to be expressed unambiguously.</w:t>
      </w:r>
    </w:p>
    <w:p w14:paraId="227BC882" w14:textId="2CC79046" w:rsidR="009921E9" w:rsidRDefault="009921E9" w:rsidP="00813933">
      <w:pPr>
        <w:pStyle w:val="body"/>
        <w:numPr>
          <w:ilvl w:val="1"/>
          <w:numId w:val="34"/>
        </w:numPr>
      </w:pPr>
      <w:r>
        <w:t>The columns “T1”</w:t>
      </w:r>
      <w:r w:rsidR="003A66E6">
        <w:t>,</w:t>
      </w:r>
      <w:r>
        <w:t xml:space="preserve"> “T2” etc. are still listed in the spreadsheet</w:t>
      </w:r>
      <w:r w:rsidR="003A66E6">
        <w:t xml:space="preserve"> and</w:t>
      </w:r>
      <w:r>
        <w:t xml:space="preserve"> broadly indicat</w:t>
      </w:r>
      <w:r w:rsidR="003A66E6">
        <w:t>e</w:t>
      </w:r>
      <w:r>
        <w:t xml:space="preserve"> the templates involved in a rule, </w:t>
      </w:r>
      <w:r w:rsidR="00813933">
        <w:t>because</w:t>
      </w:r>
      <w:r>
        <w:t xml:space="preserve"> they are considered very useful in practice for people when analysing the rule list to identify groups of rules applicable to particular tables.</w:t>
      </w:r>
    </w:p>
    <w:p w14:paraId="38FC5113" w14:textId="6DF85859" w:rsidR="009921E9" w:rsidRDefault="009921E9" w:rsidP="009921E9">
      <w:pPr>
        <w:pStyle w:val="body"/>
        <w:numPr>
          <w:ilvl w:val="2"/>
          <w:numId w:val="34"/>
        </w:numPr>
      </w:pPr>
      <w:r>
        <w:t xml:space="preserve">However please note that these columns are purely for convenience, and are no longer to be considered </w:t>
      </w:r>
      <w:r w:rsidR="00AA40BB">
        <w:t xml:space="preserve">definitive or </w:t>
      </w:r>
      <w:r>
        <w:t>functional in the sense of indicating how rules should be applied</w:t>
      </w:r>
      <w:r w:rsidR="00AA40BB">
        <w:t xml:space="preserve"> – this function now belongs to the new “prerequisites” column.</w:t>
      </w:r>
    </w:p>
    <w:p w14:paraId="1EB127DF" w14:textId="77777777" w:rsidR="00813933" w:rsidRDefault="003A66E6" w:rsidP="003A66E6">
      <w:pPr>
        <w:pStyle w:val="body"/>
        <w:numPr>
          <w:ilvl w:val="1"/>
          <w:numId w:val="34"/>
        </w:numPr>
      </w:pPr>
      <w:r>
        <w:t>Note that, as previously, although the prerequisite column formula may be expressed for convenience in terms of tables (e.g. “C 71.00.a”), the mechanics of the reporting process are such that the unit of reporting is the template (e.g. “C 71.00”</w:t>
      </w:r>
      <w:r w:rsidR="00813933">
        <w:t>).</w:t>
      </w:r>
    </w:p>
    <w:p w14:paraId="00317864" w14:textId="77777777" w:rsidR="00813933" w:rsidRDefault="003A66E6" w:rsidP="00813933">
      <w:pPr>
        <w:pStyle w:val="body"/>
        <w:numPr>
          <w:ilvl w:val="2"/>
          <w:numId w:val="34"/>
        </w:numPr>
      </w:pPr>
      <w:r>
        <w:t>If one sub</w:t>
      </w:r>
      <w:r w:rsidR="00813933">
        <w:t xml:space="preserve"> </w:t>
      </w:r>
      <w:r>
        <w:t>table of a template (such as “C 71.00.w”) is indicated as reported then all sub</w:t>
      </w:r>
      <w:r w:rsidR="00813933">
        <w:t xml:space="preserve"> </w:t>
      </w:r>
      <w:r>
        <w:t>tables of th</w:t>
      </w:r>
      <w:r w:rsidR="00813933">
        <w:t>at</w:t>
      </w:r>
      <w:r>
        <w:t xml:space="preserve"> template are considered reported</w:t>
      </w:r>
      <w:r w:rsidR="00813933">
        <w:t>.</w:t>
      </w:r>
    </w:p>
    <w:p w14:paraId="46022BBB" w14:textId="5517C38D" w:rsidR="00813933" w:rsidRDefault="00813933" w:rsidP="00813933">
      <w:pPr>
        <w:pStyle w:val="body"/>
        <w:numPr>
          <w:ilvl w:val="2"/>
          <w:numId w:val="34"/>
        </w:numPr>
      </w:pPr>
      <w:r>
        <w:t>Thus prerequisites will in fact operate as if all mentions of sub tables were replaced by mentions of their respective templates (and so for example “</w:t>
      </w:r>
      <w:r w:rsidRPr="00813933">
        <w:t>C</w:t>
      </w:r>
      <w:r>
        <w:t> </w:t>
      </w:r>
      <w:r w:rsidRPr="00813933">
        <w:t>71</w:t>
      </w:r>
      <w:r>
        <w:t>.00.a and C 71.00.w” or “</w:t>
      </w:r>
      <w:r w:rsidRPr="00813933">
        <w:t>C</w:t>
      </w:r>
      <w:r>
        <w:t> </w:t>
      </w:r>
      <w:r w:rsidRPr="00813933">
        <w:t>71</w:t>
      </w:r>
      <w:r>
        <w:t>.00.a or C 71.00.w” are both in practice somewhat redundant, and simplify in effect to simply “C 71.00”.</w:t>
      </w:r>
    </w:p>
    <w:p w14:paraId="69952D2A" w14:textId="5C5488A6" w:rsidR="003A66E6" w:rsidRDefault="00813933" w:rsidP="00813933">
      <w:pPr>
        <w:pStyle w:val="body"/>
        <w:numPr>
          <w:ilvl w:val="2"/>
          <w:numId w:val="34"/>
        </w:numPr>
      </w:pPr>
      <w:r>
        <w:lastRenderedPageBreak/>
        <w:t xml:space="preserve"> This is handled automatically at the XBRL functional level via the filing indicators assigned to sub tables and the mapping of the validation rule prerequisites to assertion sets and preconditions.</w:t>
      </w:r>
    </w:p>
    <w:p w14:paraId="063A6E18" w14:textId="144085A1" w:rsidR="007B2602" w:rsidRDefault="009921E9" w:rsidP="007B2602">
      <w:pPr>
        <w:pStyle w:val="body"/>
        <w:numPr>
          <w:ilvl w:val="0"/>
          <w:numId w:val="34"/>
        </w:numPr>
      </w:pPr>
      <w:r>
        <w:t>A</w:t>
      </w:r>
      <w:r w:rsidR="007B2602">
        <w:t>dded “</w:t>
      </w:r>
      <w:r w:rsidR="007B2602" w:rsidRPr="00217748">
        <w:rPr>
          <w:b/>
        </w:rPr>
        <w:t>Arithmetic approach</w:t>
      </w:r>
      <w:r w:rsidR="007B2602">
        <w:t>” column to give information indicating how the rules are to be calculated (that was only previously determinable by considering the XBRL implementation of the rules):</w:t>
      </w:r>
    </w:p>
    <w:p w14:paraId="0A9E3A1B" w14:textId="77777777" w:rsidR="007B2602" w:rsidRDefault="007B2602" w:rsidP="007B2602">
      <w:pPr>
        <w:pStyle w:val="body"/>
        <w:numPr>
          <w:ilvl w:val="1"/>
          <w:numId w:val="34"/>
        </w:numPr>
      </w:pPr>
      <w:r w:rsidRPr="00217748">
        <w:rPr>
          <w:b/>
        </w:rPr>
        <w:t>Interval</w:t>
      </w:r>
      <w:r>
        <w:t>: the indicated accuracy range of the reported value is to be considered when evaluating the rule.</w:t>
      </w:r>
    </w:p>
    <w:p w14:paraId="7327D7CD" w14:textId="77777777" w:rsidR="007B2602" w:rsidRDefault="007B2602" w:rsidP="007B2602">
      <w:pPr>
        <w:pStyle w:val="body"/>
        <w:numPr>
          <w:ilvl w:val="1"/>
          <w:numId w:val="34"/>
        </w:numPr>
      </w:pPr>
      <w:r w:rsidRPr="00217748">
        <w:rPr>
          <w:b/>
        </w:rPr>
        <w:t>Point</w:t>
      </w:r>
      <w:r>
        <w:t xml:space="preserve">: normal, non-interval arithmetic should be used. I.e. only the reported </w:t>
      </w:r>
      <w:r w:rsidRPr="00217748">
        <w:rPr>
          <w:i/>
        </w:rPr>
        <w:t>value</w:t>
      </w:r>
      <w:r>
        <w:t xml:space="preserve"> should be considered, the indicated </w:t>
      </w:r>
      <w:r w:rsidRPr="00217748">
        <w:rPr>
          <w:i/>
        </w:rPr>
        <w:t>accuracy</w:t>
      </w:r>
      <w:r>
        <w:rPr>
          <w:rStyle w:val="FootnoteReference"/>
          <w:i/>
        </w:rPr>
        <w:footnoteReference w:id="10"/>
      </w:r>
      <w:r>
        <w:t xml:space="preserve"> of the value can be ignored. This is often used when simple comparisons with zero are involved</w:t>
      </w:r>
      <w:r>
        <w:rPr>
          <w:rStyle w:val="FootnoteReference"/>
        </w:rPr>
        <w:footnoteReference w:id="11"/>
      </w:r>
      <w:r>
        <w:t>, such as in sign rules.</w:t>
      </w:r>
    </w:p>
    <w:p w14:paraId="5A8EC3F0" w14:textId="77777777" w:rsidR="007B2602" w:rsidRDefault="007B2602" w:rsidP="007B2602">
      <w:pPr>
        <w:pStyle w:val="body"/>
        <w:numPr>
          <w:ilvl w:val="1"/>
          <w:numId w:val="34"/>
        </w:numPr>
      </w:pPr>
      <w:r w:rsidRPr="00217748">
        <w:rPr>
          <w:b/>
        </w:rPr>
        <w:t>Mixed</w:t>
      </w:r>
      <w:r>
        <w:t>: a blend of the above. Typically elements of the rule that are simple comparisons between a reported value and zero (particularly where part of an “if” clause) will be handled with non-interval arithmetic, whereas other parts of the expression will take the accuracy of the reported values into account.</w:t>
      </w:r>
      <w:r>
        <w:rPr>
          <w:rStyle w:val="FootnoteReference"/>
        </w:rPr>
        <w:footnoteReference w:id="12"/>
      </w:r>
    </w:p>
    <w:p w14:paraId="1B041230" w14:textId="5190BA80" w:rsidR="007B2602" w:rsidRDefault="007B2602" w:rsidP="007B2602">
      <w:pPr>
        <w:pStyle w:val="body"/>
        <w:numPr>
          <w:ilvl w:val="1"/>
          <w:numId w:val="34"/>
        </w:numPr>
      </w:pPr>
      <w:r w:rsidRPr="00217748">
        <w:rPr>
          <w:b/>
        </w:rPr>
        <w:t>Not applicable</w:t>
      </w:r>
      <w:r>
        <w:t>: the distinction is not relevant for the rule (e.g. the values involved are not numeric)</w:t>
      </w:r>
    </w:p>
    <w:p w14:paraId="2C4894BA" w14:textId="0CD5A3E1" w:rsidR="00D5651F" w:rsidRDefault="00D5651F" w:rsidP="00D5651F">
      <w:pPr>
        <w:pStyle w:val="body"/>
        <w:numPr>
          <w:ilvl w:val="0"/>
          <w:numId w:val="34"/>
        </w:numPr>
      </w:pPr>
      <w:r>
        <w:t>Added “</w:t>
      </w:r>
      <w:r>
        <w:rPr>
          <w:b/>
        </w:rPr>
        <w:t>ArithmeticA</w:t>
      </w:r>
      <w:r w:rsidRPr="00217748">
        <w:rPr>
          <w:b/>
        </w:rPr>
        <w:t>pproach</w:t>
      </w:r>
      <w:r>
        <w:t xml:space="preserve">” and </w:t>
      </w:r>
      <w:r w:rsidRPr="00D5651F">
        <w:t>“</w:t>
      </w:r>
      <w:r>
        <w:rPr>
          <w:b/>
        </w:rPr>
        <w:t>TablePrerequisite</w:t>
      </w:r>
      <w:r w:rsidRPr="00D5651F">
        <w:t>”</w:t>
      </w:r>
      <w:r>
        <w:rPr>
          <w:b/>
        </w:rPr>
        <w:t xml:space="preserve"> </w:t>
      </w:r>
      <w:r w:rsidRPr="00D5651F">
        <w:t>fields to</w:t>
      </w:r>
      <w:r>
        <w:rPr>
          <w:b/>
        </w:rPr>
        <w:t xml:space="preserve"> ValidationRule </w:t>
      </w:r>
      <w:r w:rsidRPr="00D5651F">
        <w:t>in DPM DB</w:t>
      </w:r>
      <w:r>
        <w:rPr>
          <w:b/>
        </w:rPr>
        <w:t xml:space="preserve"> </w:t>
      </w:r>
      <w:r>
        <w:t>to list this same information (N.B. not back filled for previous validation rule entries).</w:t>
      </w:r>
    </w:p>
    <w:p w14:paraId="7ED1B244" w14:textId="4D0F3CB8" w:rsidR="000717F0" w:rsidRDefault="000717F0" w:rsidP="000717F0">
      <w:pPr>
        <w:pStyle w:val="Titlelevel3"/>
      </w:pPr>
      <w:r>
        <w:t>“Technical Standard” identification approach</w:t>
      </w:r>
    </w:p>
    <w:p w14:paraId="4DB0D031" w14:textId="6421412D" w:rsidR="000717F0" w:rsidRDefault="000717F0" w:rsidP="000717F0">
      <w:pPr>
        <w:pStyle w:val="body"/>
        <w:numPr>
          <w:ilvl w:val="0"/>
          <w:numId w:val="34"/>
        </w:numPr>
      </w:pPr>
      <w:r>
        <w:t xml:space="preserve">Due to changes in the relative timings of the finalisation and publication of changes to EBA technical standards guidelines and the XBRL taxonomy that implements them (with the XBRL taxonomies no longer being finalised significantly after the publication of final drafts of the </w:t>
      </w:r>
      <w:r>
        <w:lastRenderedPageBreak/>
        <w:t>technical standards, but alongside or even ahead of them), the approach to indicating the “technical standard” to which a taxonomy relates has been changed.</w:t>
      </w:r>
    </w:p>
    <w:p w14:paraId="132FBA73" w14:textId="77777777" w:rsidR="000717F0" w:rsidRDefault="000717F0" w:rsidP="000717F0">
      <w:pPr>
        <w:pStyle w:val="body"/>
        <w:numPr>
          <w:ilvl w:val="0"/>
          <w:numId w:val="34"/>
        </w:numPr>
      </w:pPr>
      <w:r>
        <w:t>Rather than attempting to indicate in the DPM and XBRL taxonomy particular ITS publications to which particular release related, the primary high level regulation or standard will be indicated instead (which is expected to be more stable and well known ahead of DPM / taxonomy finalisation).</w:t>
      </w:r>
    </w:p>
    <w:p w14:paraId="29108EAB" w14:textId="77777777" w:rsidR="000717F0" w:rsidRDefault="000717F0" w:rsidP="000717F0">
      <w:pPr>
        <w:pStyle w:val="body"/>
        <w:numPr>
          <w:ilvl w:val="0"/>
          <w:numId w:val="34"/>
        </w:numPr>
      </w:pPr>
      <w:r>
        <w:t>Codes that will used for future updates to taxonomies will be e.g.</w:t>
      </w:r>
    </w:p>
    <w:p w14:paraId="7B3DF522" w14:textId="77777777" w:rsidR="000717F0" w:rsidRDefault="000717F0" w:rsidP="000717F0">
      <w:pPr>
        <w:pStyle w:val="body"/>
        <w:numPr>
          <w:ilvl w:val="1"/>
          <w:numId w:val="34"/>
        </w:numPr>
      </w:pPr>
      <w:r>
        <w:t>CIR-680-2014 for ITS on reporting (COREP, FINREP, AE)</w:t>
      </w:r>
    </w:p>
    <w:p w14:paraId="12F21057" w14:textId="77777777" w:rsidR="000717F0" w:rsidRDefault="000717F0" w:rsidP="000717F0">
      <w:pPr>
        <w:pStyle w:val="body"/>
        <w:numPr>
          <w:ilvl w:val="1"/>
          <w:numId w:val="34"/>
        </w:numPr>
      </w:pPr>
      <w:r>
        <w:t>CIR-2070-2016 for ITS on supervisory benchmarking</w:t>
      </w:r>
    </w:p>
    <w:p w14:paraId="6B699E2A" w14:textId="77777777" w:rsidR="000717F0" w:rsidRDefault="000717F0" w:rsidP="000717F0">
      <w:pPr>
        <w:pStyle w:val="body"/>
        <w:numPr>
          <w:ilvl w:val="1"/>
          <w:numId w:val="34"/>
        </w:numPr>
      </w:pPr>
      <w:r>
        <w:t>GL-2014-04 for GL on funding plans</w:t>
      </w:r>
    </w:p>
    <w:p w14:paraId="21561789" w14:textId="7D983D98" w:rsidR="000717F0" w:rsidRDefault="000717F0" w:rsidP="000717F0">
      <w:pPr>
        <w:pStyle w:val="body"/>
        <w:numPr>
          <w:ilvl w:val="0"/>
          <w:numId w:val="34"/>
        </w:numPr>
      </w:pPr>
      <w:r>
        <w:t xml:space="preserve">This will affect the </w:t>
      </w:r>
      <w:r w:rsidRPr="000717F0">
        <w:rPr>
          <w:b/>
        </w:rPr>
        <w:t>Taxonomy</w:t>
      </w:r>
      <w:r>
        <w:t>.</w:t>
      </w:r>
      <w:r w:rsidRPr="000717F0">
        <w:rPr>
          <w:b/>
        </w:rPr>
        <w:t>TechnicalStandard</w:t>
      </w:r>
      <w:r>
        <w:t xml:space="preserve"> field in the DPM DB, and the URL of files in the XBRL taxonomy.</w:t>
      </w:r>
    </w:p>
    <w:p w14:paraId="661D043D" w14:textId="0608C509" w:rsidR="007B2602" w:rsidRDefault="007B2602" w:rsidP="007B2602">
      <w:pPr>
        <w:pStyle w:val="Titlelevel3"/>
      </w:pPr>
      <w:r>
        <w:t>DPM DB adjustments</w:t>
      </w:r>
      <w:r w:rsidR="008D1BB7">
        <w:t xml:space="preserve"> (before addition of new 2.7 entries)</w:t>
      </w:r>
    </w:p>
    <w:p w14:paraId="2D0F965D" w14:textId="3C14E1CF" w:rsidR="009B22D4" w:rsidRDefault="006B1F1D" w:rsidP="006B1F1D">
      <w:pPr>
        <w:pStyle w:val="body"/>
        <w:numPr>
          <w:ilvl w:val="0"/>
          <w:numId w:val="34"/>
        </w:numPr>
      </w:pPr>
      <w:r w:rsidRPr="006B1F1D">
        <w:t>Change of ToDates for 2.6 taxonomies in DPM DB</w:t>
      </w:r>
      <w:r w:rsidR="00D61D4B">
        <w:t>, also indicate that 2.7 ED “replaces” 2.6 FINREP</w:t>
      </w:r>
      <w:r w:rsidRPr="006B1F1D">
        <w:t>:</w:t>
      </w:r>
    </w:p>
    <w:p w14:paraId="48AFCCED" w14:textId="77777777" w:rsidR="007B2602" w:rsidRDefault="007B2602" w:rsidP="007B2602">
      <w:pPr>
        <w:pStyle w:val="body"/>
        <w:numPr>
          <w:ilvl w:val="1"/>
          <w:numId w:val="34"/>
        </w:numPr>
      </w:pPr>
      <w:r>
        <w:t xml:space="preserve">Shift end date of 2.6 FINREP taxonomies from </w:t>
      </w:r>
      <w:r w:rsidRPr="009B22D4">
        <w:t>29/03/2019</w:t>
      </w:r>
      <w:r>
        <w:t xml:space="preserve"> to </w:t>
      </w:r>
      <w:r w:rsidRPr="009B22D4">
        <w:t>30/03/2018</w:t>
      </w:r>
    </w:p>
    <w:p w14:paraId="3D56DED8" w14:textId="5E4314BA" w:rsidR="007B2602" w:rsidRPr="006B1F1D" w:rsidRDefault="007B2602" w:rsidP="007B2602">
      <w:pPr>
        <w:pStyle w:val="body"/>
        <w:numPr>
          <w:ilvl w:val="1"/>
          <w:numId w:val="34"/>
        </w:numPr>
      </w:pPr>
      <w:r>
        <w:t>Set end date of 2.7 ED to 30/03/2018 (the same as the start date, indicating it will never be / was never used for final reporting).</w:t>
      </w:r>
    </w:p>
    <w:p w14:paraId="1C04C62C" w14:textId="77777777" w:rsidR="006B1F1D" w:rsidRDefault="006B1F1D" w:rsidP="000669A1">
      <w:pPr>
        <w:pStyle w:val="SQL"/>
      </w:pPr>
      <w:r w:rsidRPr="006B1F1D">
        <w:t>UPDATE Taxonomy</w:t>
      </w:r>
      <w:r>
        <w:t xml:space="preserve"> </w:t>
      </w:r>
      <w:r w:rsidRPr="006B1F1D">
        <w:t>SET ToDate = #03/30/2018#</w:t>
      </w:r>
    </w:p>
    <w:p w14:paraId="1D15C5AF" w14:textId="7E335195" w:rsidR="006B1F1D" w:rsidRPr="006B1F1D" w:rsidRDefault="006B1F1D" w:rsidP="000669A1">
      <w:pPr>
        <w:pStyle w:val="SQL"/>
      </w:pPr>
      <w:r w:rsidRPr="006B1F1D">
        <w:t>WHERE ToDate=#03/29/2019#;</w:t>
      </w:r>
    </w:p>
    <w:p w14:paraId="674D840B" w14:textId="77777777" w:rsidR="006B1F1D" w:rsidRPr="006B1F1D" w:rsidRDefault="006B1F1D" w:rsidP="000669A1">
      <w:pPr>
        <w:pStyle w:val="SQL"/>
      </w:pPr>
    </w:p>
    <w:p w14:paraId="23CF800D" w14:textId="280DD8BD" w:rsidR="006B1F1D" w:rsidRPr="006B1F1D" w:rsidRDefault="006B1F1D" w:rsidP="000669A1">
      <w:pPr>
        <w:pStyle w:val="SQL"/>
      </w:pPr>
      <w:r w:rsidRPr="006B1F1D">
        <w:t xml:space="preserve">UPDATE tableversion </w:t>
      </w:r>
      <w:r>
        <w:t>SET</w:t>
      </w:r>
      <w:r w:rsidRPr="006B1F1D">
        <w:t xml:space="preserve"> ToDate=#03/30/2018#</w:t>
      </w:r>
    </w:p>
    <w:p w14:paraId="6A703555" w14:textId="77777777" w:rsidR="006B1F1D" w:rsidRPr="006B1F1D" w:rsidRDefault="006B1F1D" w:rsidP="000669A1">
      <w:pPr>
        <w:pStyle w:val="SQL"/>
      </w:pPr>
      <w:r w:rsidRPr="006B1F1D">
        <w:t>WHERE ToDate=#03/29/2019#;</w:t>
      </w:r>
    </w:p>
    <w:p w14:paraId="6DBAEA13" w14:textId="77777777" w:rsidR="006B1F1D" w:rsidRPr="006B1F1D" w:rsidRDefault="006B1F1D" w:rsidP="000669A1">
      <w:pPr>
        <w:pStyle w:val="SQL"/>
      </w:pPr>
    </w:p>
    <w:p w14:paraId="36B2BFD5" w14:textId="480DF0BB" w:rsidR="006B1F1D" w:rsidRPr="006B1F1D" w:rsidRDefault="006B1F1D" w:rsidP="000669A1">
      <w:pPr>
        <w:pStyle w:val="SQL"/>
      </w:pPr>
      <w:r w:rsidRPr="006B1F1D">
        <w:t xml:space="preserve">UPDATE Datapointversion </w:t>
      </w:r>
      <w:r>
        <w:t>SET</w:t>
      </w:r>
      <w:r w:rsidRPr="006B1F1D">
        <w:t xml:space="preserve"> ToDate=#03/30/2018#</w:t>
      </w:r>
    </w:p>
    <w:p w14:paraId="02761BA2" w14:textId="77777777" w:rsidR="006B1F1D" w:rsidRPr="006B1F1D" w:rsidRDefault="006B1F1D" w:rsidP="000669A1">
      <w:pPr>
        <w:pStyle w:val="SQL"/>
      </w:pPr>
      <w:r w:rsidRPr="006B1F1D">
        <w:t>WHERE ToDate=#03/29/2019#;</w:t>
      </w:r>
    </w:p>
    <w:p w14:paraId="080ED3BF" w14:textId="77777777" w:rsidR="006B1F1D" w:rsidRPr="006B1F1D" w:rsidRDefault="006B1F1D" w:rsidP="000669A1">
      <w:pPr>
        <w:pStyle w:val="SQL"/>
      </w:pPr>
    </w:p>
    <w:p w14:paraId="3BDDFB37" w14:textId="74DD372D" w:rsidR="006B1F1D" w:rsidRPr="006B1F1D" w:rsidRDefault="006B1F1D" w:rsidP="000669A1">
      <w:pPr>
        <w:pStyle w:val="SQL"/>
      </w:pPr>
      <w:r w:rsidRPr="006B1F1D">
        <w:t>UPDATE Datapointversiontransition</w:t>
      </w:r>
    </w:p>
    <w:p w14:paraId="4DFB399F" w14:textId="02AC8C49" w:rsidR="006B1F1D" w:rsidRPr="006B1F1D" w:rsidRDefault="006B1F1D" w:rsidP="000669A1">
      <w:pPr>
        <w:pStyle w:val="SQL"/>
      </w:pPr>
      <w:r>
        <w:t>SET</w:t>
      </w:r>
      <w:r w:rsidRPr="006B1F1D">
        <w:t xml:space="preserve"> transitiondescription</w:t>
      </w:r>
      <w:r>
        <w:t xml:space="preserve"> </w:t>
      </w:r>
      <w:r w:rsidRPr="006B1F1D">
        <w:t>=</w:t>
      </w:r>
      <w:r>
        <w:t xml:space="preserve"> Replace(transitiondescription</w:t>
      </w:r>
      <w:r w:rsidRPr="006B1F1D">
        <w:t>,</w:t>
      </w:r>
      <w:r>
        <w:t xml:space="preserve"> </w:t>
      </w:r>
      <w:r w:rsidRPr="006B1F1D">
        <w:t>"30MAR19",</w:t>
      </w:r>
      <w:r>
        <w:t xml:space="preserve"> </w:t>
      </w:r>
      <w:r w:rsidRPr="006B1F1D">
        <w:t>"30MAR18")</w:t>
      </w:r>
    </w:p>
    <w:p w14:paraId="39DE72B6" w14:textId="30EB574B" w:rsidR="006B1F1D" w:rsidRPr="006B1F1D" w:rsidRDefault="006B1F1D" w:rsidP="000669A1">
      <w:pPr>
        <w:pStyle w:val="SQL"/>
      </w:pPr>
      <w:r>
        <w:t>WHERE</w:t>
      </w:r>
      <w:r w:rsidRPr="006B1F1D">
        <w:t xml:space="preserve"> transitiondescription like '*30MAR19*';</w:t>
      </w:r>
    </w:p>
    <w:p w14:paraId="25E383D0" w14:textId="77777777" w:rsidR="006B1F1D" w:rsidRPr="006B1F1D" w:rsidRDefault="006B1F1D" w:rsidP="000669A1">
      <w:pPr>
        <w:pStyle w:val="SQL"/>
      </w:pPr>
    </w:p>
    <w:p w14:paraId="5C506C32" w14:textId="77777777" w:rsidR="006B1F1D" w:rsidRDefault="006B1F1D" w:rsidP="000669A1">
      <w:pPr>
        <w:pStyle w:val="SQL"/>
      </w:pPr>
      <w:r w:rsidRPr="006B1F1D">
        <w:t>U</w:t>
      </w:r>
      <w:r>
        <w:t>PDATE</w:t>
      </w:r>
      <w:r w:rsidRPr="006B1F1D">
        <w:t xml:space="preserve"> concept </w:t>
      </w:r>
      <w:r>
        <w:t>SET ToDate=#03/30/2018#</w:t>
      </w:r>
    </w:p>
    <w:p w14:paraId="4B2684B5" w14:textId="145396DA" w:rsidR="006B1F1D" w:rsidRDefault="006B1F1D" w:rsidP="000669A1">
      <w:pPr>
        <w:pStyle w:val="SQL"/>
      </w:pPr>
      <w:r w:rsidRPr="006B1F1D">
        <w:t>WHERE ToDate=#03/29/2019#;</w:t>
      </w:r>
    </w:p>
    <w:p w14:paraId="35F88B87" w14:textId="77777777" w:rsidR="00D61D4B" w:rsidRPr="006B1F1D" w:rsidRDefault="00D61D4B" w:rsidP="000669A1">
      <w:pPr>
        <w:pStyle w:val="SQL"/>
      </w:pPr>
    </w:p>
    <w:p w14:paraId="28141D35" w14:textId="77777777" w:rsidR="00D61D4B" w:rsidRPr="00D61D4B" w:rsidRDefault="00D61D4B" w:rsidP="000669A1">
      <w:pPr>
        <w:pStyle w:val="SQL"/>
      </w:pPr>
      <w:r w:rsidRPr="00D61D4B">
        <w:t>Update TaxonomyHistory set Replaces = 28 where taxonomyid =34;</w:t>
      </w:r>
    </w:p>
    <w:p w14:paraId="15BBE6B8" w14:textId="270F0404" w:rsidR="00E43201" w:rsidRPr="000669A1" w:rsidRDefault="00D61D4B" w:rsidP="000669A1">
      <w:pPr>
        <w:pStyle w:val="SQL"/>
      </w:pPr>
      <w:r w:rsidRPr="00D61D4B">
        <w:t>Update TaxonomyHistory set Replaces = 29 where taxonomyid =35;</w:t>
      </w:r>
    </w:p>
    <w:p w14:paraId="53A3AF38" w14:textId="1476D376" w:rsidR="00E43201" w:rsidRPr="00E43201" w:rsidRDefault="00E43201" w:rsidP="00D61D4B">
      <w:pPr>
        <w:pStyle w:val="body"/>
        <w:numPr>
          <w:ilvl w:val="0"/>
          <w:numId w:val="34"/>
        </w:numPr>
        <w:contextualSpacing/>
        <w:jc w:val="left"/>
        <w:rPr>
          <w:rFonts w:ascii="Courier New" w:hAnsi="Courier New" w:cs="Courier New"/>
          <w:i/>
        </w:rPr>
      </w:pPr>
      <w:r>
        <w:t>Also</w:t>
      </w:r>
    </w:p>
    <w:p w14:paraId="57403647" w14:textId="2497AF9A" w:rsidR="00E43201" w:rsidRPr="000669A1" w:rsidRDefault="00E43201" w:rsidP="000669A1">
      <w:pPr>
        <w:pStyle w:val="SQL"/>
      </w:pPr>
      <w:r w:rsidRPr="000669A1">
        <w:t>UPDATE Taxonomy SET ActualPublicationDate = datevalue('30-Nov-2016') WHERE dpmPackagecode='2.7ED'</w:t>
      </w:r>
    </w:p>
    <w:p w14:paraId="5FD52D99" w14:textId="5889301C" w:rsidR="00E76D21" w:rsidRPr="000669A1" w:rsidRDefault="00E76D21" w:rsidP="000669A1">
      <w:pPr>
        <w:pStyle w:val="SQL"/>
      </w:pPr>
      <w:r w:rsidRPr="000669A1">
        <w:lastRenderedPageBreak/>
        <w:t>UPDATE Taxonomy SET ActualPublicationDate = datevalue('18-Jan-2017') WHERE dpmPackagecode='2.6'</w:t>
      </w:r>
    </w:p>
    <w:p w14:paraId="1296CD41" w14:textId="77777777" w:rsidR="00841BD0" w:rsidRPr="00841BD0" w:rsidRDefault="00841BD0" w:rsidP="00841BD0">
      <w:pPr>
        <w:pStyle w:val="body"/>
        <w:ind w:left="360"/>
        <w:contextualSpacing/>
        <w:jc w:val="left"/>
        <w:rPr>
          <w:rFonts w:ascii="Courier New" w:hAnsi="Courier New" w:cs="Courier New"/>
          <w:i/>
        </w:rPr>
      </w:pPr>
    </w:p>
    <w:p w14:paraId="3BB10EEF" w14:textId="4FAF00F1" w:rsidR="00841BD0" w:rsidRPr="00841BD0" w:rsidRDefault="00841BD0" w:rsidP="00841BD0">
      <w:pPr>
        <w:pStyle w:val="body"/>
        <w:numPr>
          <w:ilvl w:val="0"/>
          <w:numId w:val="34"/>
        </w:numPr>
        <w:contextualSpacing/>
        <w:jc w:val="left"/>
        <w:rPr>
          <w:rFonts w:ascii="Courier New" w:hAnsi="Courier New" w:cs="Courier New"/>
          <w:i/>
        </w:rPr>
      </w:pPr>
      <w:r>
        <w:t xml:space="preserve">Correct </w:t>
      </w:r>
      <w:r>
        <w:rPr>
          <w:b/>
        </w:rPr>
        <w:t>DatapointV</w:t>
      </w:r>
      <w:r w:rsidRPr="00841BD0">
        <w:rPr>
          <w:b/>
        </w:rPr>
        <w:t>ersion</w:t>
      </w:r>
      <w:r>
        <w:t xml:space="preserve"> categorisation keys for C 09.04 to use “RIO999” rather than “RIO???” to indicate they are open with respect to the RIO dimension, to be consistent with existing treatment of C 15.00. Note that the related </w:t>
      </w:r>
      <w:r w:rsidRPr="00841BD0">
        <w:rPr>
          <w:b/>
        </w:rPr>
        <w:t>ContextOfDatapoint</w:t>
      </w:r>
      <w:r>
        <w:rPr>
          <w:b/>
        </w:rPr>
        <w:t>s</w:t>
      </w:r>
      <w:r>
        <w:t xml:space="preserve">  records uses “</w:t>
      </w:r>
      <w:r w:rsidRPr="00841BD0">
        <w:t>RIO???</w:t>
      </w:r>
      <w:r>
        <w:t>” and “</w:t>
      </w:r>
      <w:r w:rsidRPr="00841BD0">
        <w:t>RIO=?</w:t>
      </w:r>
      <w:r>
        <w:t>” in the ContextKey and XbrlContextKey fields respectively to indicate that the RIO dimension will not be present for the total figures in an XBRL instance file, and that such total figures are within the scope of the data point.</w:t>
      </w:r>
    </w:p>
    <w:p w14:paraId="21BEC19D" w14:textId="77777777" w:rsidR="00841BD0" w:rsidRPr="00841BD0" w:rsidRDefault="00841BD0" w:rsidP="000669A1">
      <w:pPr>
        <w:pStyle w:val="SQL"/>
      </w:pPr>
      <w:r w:rsidRPr="00841BD0">
        <w:t>Update DatapointVersion</w:t>
      </w:r>
    </w:p>
    <w:p w14:paraId="2E167B07" w14:textId="77777777" w:rsidR="00841BD0" w:rsidRPr="00841BD0" w:rsidRDefault="00841BD0" w:rsidP="000669A1">
      <w:pPr>
        <w:pStyle w:val="SQL"/>
      </w:pPr>
      <w:r w:rsidRPr="00841BD0">
        <w:t>set CategorisationKey = Replace(categorisationkey, "???", "999"),</w:t>
      </w:r>
    </w:p>
    <w:p w14:paraId="2F7A90F6" w14:textId="77777777" w:rsidR="00841BD0" w:rsidRPr="00841BD0" w:rsidRDefault="00841BD0" w:rsidP="000669A1">
      <w:pPr>
        <w:pStyle w:val="SQL"/>
      </w:pPr>
      <w:r w:rsidRPr="00841BD0">
        <w:t>CategorisationKeyWithoutDefaults = Replace(CategorisationKeyWithoutDefaults, "???", "999")</w:t>
      </w:r>
    </w:p>
    <w:p w14:paraId="24EF1D51" w14:textId="0C1809E8" w:rsidR="00841BD0" w:rsidRDefault="00841BD0" w:rsidP="000669A1">
      <w:pPr>
        <w:pStyle w:val="SQL"/>
      </w:pPr>
      <w:r w:rsidRPr="00841BD0">
        <w:t>where CategorisationKey like '*[???]*';</w:t>
      </w:r>
    </w:p>
    <w:p w14:paraId="7F0344E8" w14:textId="77777777" w:rsidR="007B2602" w:rsidRDefault="007B2602" w:rsidP="007B2602">
      <w:pPr>
        <w:pStyle w:val="body"/>
        <w:numPr>
          <w:ilvl w:val="0"/>
          <w:numId w:val="34"/>
        </w:numPr>
      </w:pPr>
      <w:r>
        <w:t xml:space="preserve">Restore the </w:t>
      </w:r>
      <w:r w:rsidRPr="002C61DD">
        <w:rPr>
          <w:b/>
        </w:rPr>
        <w:t>DatapointVersionTransition</w:t>
      </w:r>
      <w:r>
        <w:t xml:space="preserve"> and </w:t>
      </w:r>
      <w:r w:rsidRPr="002C61DD">
        <w:rPr>
          <w:b/>
        </w:rPr>
        <w:t>DatapointVersionTransitionLink</w:t>
      </w:r>
      <w:r>
        <w:t xml:space="preserve"> records from 2.5 that were missing in 2.6/2.7ED Database.</w:t>
      </w:r>
    </w:p>
    <w:p w14:paraId="3F57C7BF" w14:textId="271D6CF9" w:rsidR="006818ED" w:rsidRDefault="007B2602" w:rsidP="007B2602">
      <w:pPr>
        <w:pStyle w:val="body"/>
        <w:numPr>
          <w:ilvl w:val="0"/>
          <w:numId w:val="34"/>
        </w:numPr>
      </w:pPr>
      <w:r>
        <w:t xml:space="preserve">Changed the </w:t>
      </w:r>
      <w:r w:rsidRPr="00E53F32">
        <w:rPr>
          <w:b/>
        </w:rPr>
        <w:t>ValidationRuleSet</w:t>
      </w:r>
      <w:r>
        <w:t xml:space="preserve"> that was labelled (</w:t>
      </w:r>
      <w:r w:rsidRPr="00E53F32">
        <w:rPr>
          <w:b/>
        </w:rPr>
        <w:t>ValidationRuleSetCode</w:t>
      </w:r>
      <w:r>
        <w:t>) “</w:t>
      </w:r>
      <w:r w:rsidRPr="00E53F32">
        <w:rPr>
          <w:b/>
        </w:rPr>
        <w:t>2.7.0.0</w:t>
      </w:r>
      <w:r>
        <w:t>” to “</w:t>
      </w:r>
      <w:r w:rsidRPr="00E53F32">
        <w:rPr>
          <w:b/>
        </w:rPr>
        <w:t>2.7.0.0.ED</w:t>
      </w:r>
      <w:r>
        <w:t>” (to free up 2.7.0.0 for the full 2.7 release).</w:t>
      </w:r>
    </w:p>
    <w:p w14:paraId="199B9463" w14:textId="5730CBD6" w:rsidR="008D1BB7" w:rsidRPr="00841BD0" w:rsidRDefault="008D1BB7" w:rsidP="000669A1">
      <w:pPr>
        <w:pStyle w:val="SQL"/>
      </w:pPr>
      <w:r w:rsidRPr="00841BD0">
        <w:t xml:space="preserve">Update </w:t>
      </w:r>
      <w:r>
        <w:t>ValidationRuleSet</w:t>
      </w:r>
    </w:p>
    <w:p w14:paraId="77F450EC" w14:textId="77777777" w:rsidR="008D1BB7" w:rsidRDefault="008D1BB7" w:rsidP="000669A1">
      <w:pPr>
        <w:pStyle w:val="SQL"/>
      </w:pPr>
      <w:r w:rsidRPr="00841BD0">
        <w:t xml:space="preserve">set </w:t>
      </w:r>
      <w:r>
        <w:t xml:space="preserve">ValidationRuleSetCode = </w:t>
      </w:r>
      <w:r w:rsidRPr="00841BD0">
        <w:t>'</w:t>
      </w:r>
      <w:r>
        <w:t>2.7.0.0.ED</w:t>
      </w:r>
      <w:r w:rsidRPr="00841BD0">
        <w:t>'</w:t>
      </w:r>
      <w:r>
        <w:t xml:space="preserve"> </w:t>
      </w:r>
    </w:p>
    <w:p w14:paraId="59BFEE7E" w14:textId="2D82C8C3" w:rsidR="008D1BB7" w:rsidRDefault="008D1BB7" w:rsidP="000669A1">
      <w:pPr>
        <w:pStyle w:val="SQL"/>
      </w:pPr>
      <w:r>
        <w:t xml:space="preserve">where ValidationRuleSetCode = </w:t>
      </w:r>
      <w:r w:rsidRPr="00841BD0">
        <w:t>'</w:t>
      </w:r>
      <w:r>
        <w:t>2.7.0.0</w:t>
      </w:r>
      <w:r w:rsidRPr="00841BD0">
        <w:t>';</w:t>
      </w:r>
    </w:p>
    <w:p w14:paraId="1F126B97" w14:textId="215384CE" w:rsidR="008D1BB7" w:rsidRDefault="00DB4349" w:rsidP="008D1BB7">
      <w:pPr>
        <w:pStyle w:val="body"/>
      </w:pPr>
      <w:r>
        <w:t>Correct sign restrictions indicated for several rows</w:t>
      </w:r>
      <w:r w:rsidR="00DC3417">
        <w:t xml:space="preserve"> in</w:t>
      </w:r>
      <w:r>
        <w:t xml:space="preserve"> P 01.02:</w:t>
      </w:r>
    </w:p>
    <w:p w14:paraId="0619D90F" w14:textId="77777777" w:rsidR="000669A1" w:rsidRDefault="00DB4349" w:rsidP="000669A1">
      <w:pPr>
        <w:pStyle w:val="SQL"/>
      </w:pPr>
      <w:r w:rsidRPr="000669A1">
        <w:t xml:space="preserve">UPDATE Concept INNER JOIN ((TableVersion INNER JOIN Axis ON TableVersion.TableVID = Axis.TableVID) INNER JOIN AxisOrdinate ON Axis.AxisID = AxisOrdinate.AxisID) ON (Concept.ConceptID = AxisOrdinate.ConceptID) AND (Concept.ConceptID = AxisOrdinate.ConceptID) </w:t>
      </w:r>
    </w:p>
    <w:p w14:paraId="5403FE97" w14:textId="28A8D27E" w:rsidR="00DB4349" w:rsidRPr="000669A1" w:rsidRDefault="00DB4349" w:rsidP="000669A1">
      <w:pPr>
        <w:pStyle w:val="SQL"/>
      </w:pPr>
      <w:r w:rsidRPr="000669A1">
        <w:t>SET Concept.ModificationDate = #4/4/2017#</w:t>
      </w:r>
    </w:p>
    <w:p w14:paraId="6F9FEE88" w14:textId="77777777" w:rsidR="000669A1" w:rsidRDefault="00DB4349" w:rsidP="000669A1">
      <w:pPr>
        <w:pStyle w:val="SQL"/>
      </w:pPr>
      <w:r w:rsidRPr="000669A1">
        <w:t xml:space="preserve">WHERE (((AxisOrdinate.RequiredDataSign)="Negative") </w:t>
      </w:r>
    </w:p>
    <w:p w14:paraId="330977D2" w14:textId="77777777" w:rsidR="000669A1" w:rsidRDefault="00DB4349" w:rsidP="000669A1">
      <w:pPr>
        <w:pStyle w:val="SQL"/>
      </w:pPr>
      <w:r w:rsidRPr="000669A1">
        <w:t xml:space="preserve">AND ((TableVersion.TableVersionCode)="P 01.02") </w:t>
      </w:r>
    </w:p>
    <w:p w14:paraId="64D7F139" w14:textId="77777777" w:rsidR="000669A1" w:rsidRDefault="00DB4349" w:rsidP="000669A1">
      <w:pPr>
        <w:pStyle w:val="SQL"/>
      </w:pPr>
      <w:r w:rsidRPr="000669A1">
        <w:t xml:space="preserve">AND ((Axis.AxisOrientation)="y") </w:t>
      </w:r>
    </w:p>
    <w:p w14:paraId="28E8C627" w14:textId="4D3E7310" w:rsidR="00DB4349" w:rsidRDefault="00DB4349" w:rsidP="000669A1">
      <w:pPr>
        <w:pStyle w:val="SQL"/>
      </w:pPr>
      <w:r w:rsidRPr="000669A1">
        <w:t>AND ((AxisOrdinate.IsAbstractHeader)=False));</w:t>
      </w:r>
    </w:p>
    <w:p w14:paraId="6FD117F5" w14:textId="77777777" w:rsidR="000669A1" w:rsidRDefault="000669A1" w:rsidP="000669A1">
      <w:pPr>
        <w:pStyle w:val="SQL"/>
      </w:pPr>
    </w:p>
    <w:p w14:paraId="1BF91393" w14:textId="77777777" w:rsidR="000669A1" w:rsidRDefault="000669A1" w:rsidP="000669A1">
      <w:pPr>
        <w:pStyle w:val="SQL"/>
      </w:pPr>
      <w:r>
        <w:t>UPDATE TableVersion INNER JOIN (Axis INNER JOIN AxisOrdinate ON Axis.AxisID = AxisOrdinate.AxisID) ON TableVersion.TableVID = Axis.TableVID</w:t>
      </w:r>
    </w:p>
    <w:p w14:paraId="083D58F8" w14:textId="3D70AE2B" w:rsidR="000669A1" w:rsidRDefault="000669A1" w:rsidP="000669A1">
      <w:pPr>
        <w:pStyle w:val="SQL"/>
      </w:pPr>
      <w:r>
        <w:t>SET AxisOrdinate.RequiredDataSign = "Positive"</w:t>
      </w:r>
    </w:p>
    <w:p w14:paraId="26D67134" w14:textId="77777777" w:rsidR="000669A1" w:rsidRDefault="000669A1" w:rsidP="000669A1">
      <w:pPr>
        <w:pStyle w:val="SQL"/>
      </w:pPr>
      <w:r>
        <w:t xml:space="preserve">WHERE (((AxisOrdinate.RequiredDataSign)="Negative") </w:t>
      </w:r>
    </w:p>
    <w:p w14:paraId="1D2E8E40" w14:textId="77777777" w:rsidR="000669A1" w:rsidRDefault="000669A1" w:rsidP="000669A1">
      <w:pPr>
        <w:pStyle w:val="SQL"/>
      </w:pPr>
      <w:r>
        <w:t xml:space="preserve">AND ((TableVersion.TableVersionCode)="P 01.02") </w:t>
      </w:r>
    </w:p>
    <w:p w14:paraId="7EF3EAF5" w14:textId="77777777" w:rsidR="000669A1" w:rsidRDefault="000669A1" w:rsidP="000669A1">
      <w:pPr>
        <w:pStyle w:val="SQL"/>
      </w:pPr>
      <w:r>
        <w:t xml:space="preserve">AND ((Axis.AxisOrientation)="y") </w:t>
      </w:r>
    </w:p>
    <w:p w14:paraId="3E868228" w14:textId="6E89C08C" w:rsidR="000669A1" w:rsidRPr="007B2602" w:rsidRDefault="000669A1" w:rsidP="000669A1">
      <w:pPr>
        <w:pStyle w:val="SQL"/>
      </w:pPr>
      <w:r>
        <w:t>AND ((AxisOrdinate.IsAbstractHeader)=False));</w:t>
      </w:r>
    </w:p>
    <w:p w14:paraId="0E29CCD1" w14:textId="12E1B819" w:rsidR="007B2602" w:rsidRDefault="007B2602" w:rsidP="007B2602">
      <w:pPr>
        <w:pStyle w:val="Titlelevel3"/>
      </w:pPr>
      <w:r>
        <w:t>DPM DB design changes</w:t>
      </w:r>
    </w:p>
    <w:p w14:paraId="68BBC86B" w14:textId="77777777" w:rsidR="002C61DD" w:rsidRDefault="006818ED" w:rsidP="002C61DD">
      <w:pPr>
        <w:pStyle w:val="body"/>
        <w:numPr>
          <w:ilvl w:val="0"/>
          <w:numId w:val="34"/>
        </w:numPr>
        <w:contextualSpacing/>
        <w:jc w:val="left"/>
      </w:pPr>
      <w:r>
        <w:t xml:space="preserve">Add </w:t>
      </w:r>
      <w:r w:rsidRPr="006818ED">
        <w:rPr>
          <w:b/>
        </w:rPr>
        <w:t xml:space="preserve">Alternative </w:t>
      </w:r>
      <w:r>
        <w:t xml:space="preserve">field to ValidationScope table </w:t>
      </w:r>
      <w:r w:rsidRPr="006818ED">
        <w:rPr>
          <w:i/>
        </w:rPr>
        <w:t>to Indicate alternative independent sets of tables affected by / triggering a rule</w:t>
      </w:r>
      <w:r>
        <w:t xml:space="preserve">. Primary key is now compound of </w:t>
      </w:r>
      <w:r w:rsidRPr="006818ED">
        <w:rPr>
          <w:b/>
        </w:rPr>
        <w:t>ValidationID</w:t>
      </w:r>
      <w:r>
        <w:t xml:space="preserve">, </w:t>
      </w:r>
      <w:r w:rsidRPr="006818ED">
        <w:rPr>
          <w:b/>
        </w:rPr>
        <w:t>Alternative</w:t>
      </w:r>
      <w:r>
        <w:t xml:space="preserve"> and </w:t>
      </w:r>
      <w:r w:rsidRPr="006818ED">
        <w:rPr>
          <w:b/>
        </w:rPr>
        <w:t>TableVID</w:t>
      </w:r>
    </w:p>
    <w:p w14:paraId="459AC7DE" w14:textId="522CEBA1" w:rsidR="009725AB" w:rsidRDefault="00EB55D3" w:rsidP="002C61DD">
      <w:pPr>
        <w:pStyle w:val="body"/>
        <w:numPr>
          <w:ilvl w:val="0"/>
          <w:numId w:val="34"/>
        </w:numPr>
      </w:pPr>
      <w:r>
        <w:t xml:space="preserve">Add table </w:t>
      </w:r>
      <w:r w:rsidRPr="00EB55D3">
        <w:rPr>
          <w:b/>
        </w:rPr>
        <w:t>AxisOrdinateTrace</w:t>
      </w:r>
      <w:r>
        <w:t xml:space="preserve"> that indicates where a new ordinate is the equivalent </w:t>
      </w:r>
      <w:r w:rsidR="0020235F">
        <w:t xml:space="preserve">of an old one, </w:t>
      </w:r>
      <w:r>
        <w:t>i.e. has the same business conceptual meaning, implying pote</w:t>
      </w:r>
      <w:r w:rsidR="0020235F">
        <w:t>ntial continuity of time series</w:t>
      </w:r>
      <w:r>
        <w:t xml:space="preserve">. Note </w:t>
      </w:r>
      <w:r>
        <w:lastRenderedPageBreak/>
        <w:t>that only “exceptional” links are currently included (specifically those ordinates that are equivalent between the new C 17.01 tables and the old C 17.00), those links implied by the</w:t>
      </w:r>
      <w:r w:rsidR="0020235F">
        <w:t xml:space="preserve"> normal</w:t>
      </w:r>
      <w:r>
        <w:t xml:space="preserve"> pattern of “same table name, same ordinate code, just a different tableversion” are not explicitly recorded. </w:t>
      </w:r>
    </w:p>
    <w:p w14:paraId="795774D5" w14:textId="3B7779C2" w:rsidR="009725AB" w:rsidRDefault="009725AB" w:rsidP="002C61DD">
      <w:pPr>
        <w:pStyle w:val="body"/>
        <w:numPr>
          <w:ilvl w:val="0"/>
          <w:numId w:val="34"/>
        </w:numPr>
      </w:pPr>
      <w:r>
        <w:t>Indicated the non-additivity of certain metrics</w:t>
      </w:r>
      <w:r w:rsidR="007B2602">
        <w:t>.</w:t>
      </w:r>
      <w:r>
        <w:t xml:space="preserve"> N.B. remaining metrics should not be assumed to be additive!</w:t>
      </w:r>
    </w:p>
    <w:p w14:paraId="3FCE5381" w14:textId="70A5B998" w:rsidR="009725AB" w:rsidRDefault="009725AB" w:rsidP="009725AB">
      <w:pPr>
        <w:pStyle w:val="body"/>
        <w:numPr>
          <w:ilvl w:val="1"/>
          <w:numId w:val="34"/>
        </w:numPr>
      </w:pPr>
      <w:r>
        <w:t xml:space="preserve">1323, </w:t>
      </w:r>
      <w:r w:rsidRPr="009725AB">
        <w:t>md165</w:t>
      </w:r>
      <w:r>
        <w:t>, “Maximum single loss due to operational risk (flow)”</w:t>
      </w:r>
    </w:p>
    <w:p w14:paraId="26C47E63" w14:textId="77777777" w:rsidR="00FE01CB" w:rsidRDefault="009725AB" w:rsidP="009725AB">
      <w:pPr>
        <w:pStyle w:val="body"/>
        <w:numPr>
          <w:ilvl w:val="1"/>
          <w:numId w:val="34"/>
        </w:numPr>
      </w:pPr>
      <w:r>
        <w:t>1627, md226 ,“Sum of the five largest losses due to operational risk”</w:t>
      </w:r>
    </w:p>
    <w:p w14:paraId="59A4574D" w14:textId="77777777" w:rsidR="007F1713" w:rsidRDefault="00FE01CB" w:rsidP="00FE01CB">
      <w:pPr>
        <w:pStyle w:val="body"/>
        <w:numPr>
          <w:ilvl w:val="0"/>
          <w:numId w:val="34"/>
        </w:numPr>
      </w:pPr>
      <w:r>
        <w:t xml:space="preserve">Move </w:t>
      </w:r>
      <w:r w:rsidRPr="00FE01CB">
        <w:rPr>
          <w:b/>
        </w:rPr>
        <w:t>Filter</w:t>
      </w:r>
      <w:r>
        <w:t xml:space="preserve"> field from </w:t>
      </w:r>
      <w:r w:rsidRPr="00FE01CB">
        <w:rPr>
          <w:b/>
        </w:rPr>
        <w:t>SumOverOpenAxis</w:t>
      </w:r>
      <w:r>
        <w:t xml:space="preserve"> to </w:t>
      </w:r>
      <w:r w:rsidRPr="00FE01CB">
        <w:rPr>
          <w:b/>
        </w:rPr>
        <w:t>Variable</w:t>
      </w:r>
      <w:r>
        <w:rPr>
          <w:b/>
        </w:rPr>
        <w:t xml:space="preserve">. </w:t>
      </w:r>
      <w:r w:rsidRPr="00FE01CB">
        <w:t>Use when specifying e.g. equivalence rules.</w:t>
      </w:r>
      <w:r>
        <w:t xml:space="preserve"> Essentially maps directly to additional XBRL filter for that variable over an open dimension.</w:t>
      </w:r>
    </w:p>
    <w:p w14:paraId="700A52CC" w14:textId="7FE7480F" w:rsidR="007B2602" w:rsidRDefault="007B2602" w:rsidP="007B2602">
      <w:pPr>
        <w:pStyle w:val="Titlelevel3"/>
      </w:pPr>
      <w:r>
        <w:t>XBRL level changes</w:t>
      </w:r>
    </w:p>
    <w:p w14:paraId="02D154BB" w14:textId="018FA734" w:rsidR="009B22D4" w:rsidRPr="00FE01CB" w:rsidRDefault="007D40BD" w:rsidP="007F1713">
      <w:pPr>
        <w:pStyle w:val="body"/>
        <w:numPr>
          <w:ilvl w:val="0"/>
          <w:numId w:val="34"/>
        </w:numPr>
      </w:pPr>
      <w:r>
        <w:t xml:space="preserve">Taxonomy linkages – </w:t>
      </w:r>
      <w:r w:rsidR="00586B50">
        <w:t xml:space="preserve">FINREP </w:t>
      </w:r>
      <w:r>
        <w:t>2.7 has an enforced break from 2.6 due to very low level of retained tables</w:t>
      </w:r>
      <w:r w:rsidR="00A10540">
        <w:t xml:space="preserve"> and rules </w:t>
      </w:r>
      <w:r w:rsidR="00C33CCF">
        <w:t xml:space="preserve">from 2.6. 2.7 COREP, FP and AE </w:t>
      </w:r>
      <w:r w:rsidR="00586B50">
        <w:t>in contrast do not</w:t>
      </w:r>
      <w:r w:rsidR="002E5EC0">
        <w:t>, and reference directly elements of 2.6 (validation rules/tables) where these are not changed in 2.7</w:t>
      </w:r>
      <w:r w:rsidR="00586B50">
        <w:t>.</w:t>
      </w:r>
      <w:r w:rsidR="002E5EC0">
        <w:t xml:space="preserve">  Note also that there is no linkage between 2.7 and the 2.7 Exposure Draft files. As a result the 2.7 taxonomy package requires, in addition to the 2.7 dictionary, the 2.6 taxonomy package or equivalent file to be available in order to operate.</w:t>
      </w:r>
      <w:r w:rsidR="009B22D4" w:rsidRPr="00FE01CB">
        <w:br w:type="page"/>
      </w:r>
    </w:p>
    <w:p w14:paraId="5D5CEAE3" w14:textId="3193813A" w:rsidR="002326DA" w:rsidRDefault="002326DA" w:rsidP="002326DA">
      <w:pPr>
        <w:pStyle w:val="Titlelevel1"/>
        <w:rPr>
          <w:i/>
        </w:rPr>
      </w:pPr>
      <w:r>
        <w:rPr>
          <w:i/>
        </w:rPr>
        <w:lastRenderedPageBreak/>
        <w:t>2.7</w:t>
      </w:r>
      <w:r w:rsidR="00F479E8">
        <w:rPr>
          <w:i/>
        </w:rPr>
        <w:t>ED</w:t>
      </w:r>
      <w:r>
        <w:rPr>
          <w:i/>
        </w:rPr>
        <w:t xml:space="preserve"> FINREP IFRS 9 Exposure Draft (“2017-A-ED”)</w:t>
      </w:r>
    </w:p>
    <w:p w14:paraId="50ABEB64" w14:textId="77777777" w:rsidR="002326DA" w:rsidRDefault="002326DA" w:rsidP="002326DA">
      <w:pPr>
        <w:pStyle w:val="Titlelevel2"/>
      </w:pPr>
      <w:r>
        <w:t>Summary and Impact</w:t>
      </w:r>
    </w:p>
    <w:p w14:paraId="2275E3DF" w14:textId="7DB44C37" w:rsidR="002326DA" w:rsidRDefault="002326DA" w:rsidP="002326DA">
      <w:r>
        <w:t>This release provides an “</w:t>
      </w:r>
      <w:r w:rsidRPr="00E93316">
        <w:rPr>
          <w:b/>
        </w:rPr>
        <w:t>exposure draft</w:t>
      </w:r>
      <w:r w:rsidR="001E284B">
        <w:t xml:space="preserve">” </w:t>
      </w:r>
      <w:r>
        <w:t>of the changes expected in relation to the introduction of the IFRS 9 accounting standard.</w:t>
      </w:r>
    </w:p>
    <w:p w14:paraId="49635819" w14:textId="77777777" w:rsidR="002326DA" w:rsidRDefault="002326DA" w:rsidP="002326DA"/>
    <w:p w14:paraId="0337866F" w14:textId="0CB9E6AC" w:rsidR="002326DA" w:rsidRDefault="002326DA" w:rsidP="002326DA">
      <w:r>
        <w:t xml:space="preserve">This exposure draft is not expected to be required to be used for actual regulatory reporting remittance to the EBA, but is instead intended to provide a broadly accurate concrete example of the reporting requirements to be expected in the IFRS 9 regime, to facilitate implementation projects. </w:t>
      </w:r>
      <w:r w:rsidR="00E91DB3" w:rsidRPr="00E91DB3">
        <w:t>. The exposure draft is based on the final draft Implementing Technical Standards to amend the Reporting Regulation following the changes in IFRS9 which the EBA has submitted to the European Commission for adoption.</w:t>
      </w:r>
    </w:p>
    <w:p w14:paraId="5005A97B" w14:textId="77777777" w:rsidR="002326DA" w:rsidRDefault="002326DA" w:rsidP="002326DA"/>
    <w:p w14:paraId="519CFD42" w14:textId="247FFF60" w:rsidR="002326DA" w:rsidRDefault="002326DA" w:rsidP="002326DA">
      <w:r>
        <w:t>Although the exposure draft is expected to be representative of the final requirements, further input, including any</w:t>
      </w:r>
      <w:r w:rsidR="00E91DB3">
        <w:t xml:space="preserve"> feedback on this exposure draft, </w:t>
      </w:r>
      <w:r w:rsidR="00E91DB3" w:rsidRPr="00E91DB3">
        <w:t xml:space="preserve">and technical or modelling aspects in particular, may lead to some </w:t>
      </w:r>
      <w:r w:rsidR="00E91DB3">
        <w:t xml:space="preserve">degree </w:t>
      </w:r>
      <w:r>
        <w:t>of additional changes before the final release of the 2.7 taxonomy, that will be used for reference dates from March 2018. This final release is expected in the first half of next year.</w:t>
      </w:r>
    </w:p>
    <w:p w14:paraId="0EACB701" w14:textId="77777777" w:rsidR="002326DA" w:rsidRDefault="002326DA" w:rsidP="002326DA"/>
    <w:p w14:paraId="68E42C5A" w14:textId="77777777" w:rsidR="002326DA" w:rsidRPr="008350C5" w:rsidRDefault="002326DA" w:rsidP="002326DA">
      <w:pPr>
        <w:ind w:left="720"/>
        <w:rPr>
          <w:i/>
        </w:rPr>
      </w:pPr>
      <w:r>
        <w:rPr>
          <w:i/>
        </w:rPr>
        <w:t xml:space="preserve">It is hoped that provision of an early exposure draft for the IFRS 9 related changes in FINREP for 2.7 will reduce eventual implementation effort.  </w:t>
      </w:r>
    </w:p>
    <w:p w14:paraId="1486717C" w14:textId="77777777" w:rsidR="002326DA" w:rsidRDefault="002326DA" w:rsidP="002326DA">
      <w:pPr>
        <w:pStyle w:val="Titlelevel2"/>
        <w:keepNext/>
      </w:pPr>
      <w:r>
        <w:t>Contents</w:t>
      </w:r>
    </w:p>
    <w:p w14:paraId="6DA7676A" w14:textId="027F3D51" w:rsidR="002326DA" w:rsidRDefault="002326DA" w:rsidP="002326DA">
      <w:pPr>
        <w:pStyle w:val="body"/>
        <w:numPr>
          <w:ilvl w:val="0"/>
          <w:numId w:val="32"/>
        </w:numPr>
      </w:pPr>
      <w:r>
        <w:t>Significant changes to the structure and modelling of all FINREP tables (except the general information table F 00.01).</w:t>
      </w:r>
    </w:p>
    <w:p w14:paraId="66600CDD" w14:textId="0D10AA56" w:rsidR="002326DA" w:rsidRDefault="002326DA" w:rsidP="002326DA">
      <w:pPr>
        <w:pStyle w:val="body"/>
        <w:numPr>
          <w:ilvl w:val="0"/>
          <w:numId w:val="32"/>
        </w:numPr>
      </w:pPr>
      <w:r>
        <w:t>Significant changes to the Data Dictionary, including several new dimensions and members.</w:t>
      </w:r>
    </w:p>
    <w:p w14:paraId="4A3732E3" w14:textId="514E5725" w:rsidR="002326DA" w:rsidRDefault="002326DA" w:rsidP="002326DA">
      <w:pPr>
        <w:pStyle w:val="body"/>
        <w:numPr>
          <w:ilvl w:val="0"/>
          <w:numId w:val="32"/>
        </w:numPr>
      </w:pPr>
      <w:r>
        <w:t>Many changes to FINREP validation rules</w:t>
      </w:r>
    </w:p>
    <w:p w14:paraId="706A00C7" w14:textId="77777777" w:rsidR="002326DA" w:rsidRDefault="002326DA" w:rsidP="002326DA">
      <w:pPr>
        <w:pStyle w:val="Titlelevel2"/>
      </w:pPr>
      <w:r>
        <w:t>DPM notes:</w:t>
      </w:r>
    </w:p>
    <w:p w14:paraId="2DACC768" w14:textId="77777777" w:rsidR="002326DA" w:rsidRDefault="002326DA" w:rsidP="002326DA">
      <w:pPr>
        <w:pStyle w:val="body"/>
        <w:numPr>
          <w:ilvl w:val="0"/>
          <w:numId w:val="31"/>
        </w:numPr>
      </w:pPr>
      <w:r>
        <w:t xml:space="preserve">Numbering/Coding of rows/columns in 2.7 Exposure draft: in several cases additional rows or columns have been inserted between existing rows/columns where there was no gap in the numbering (e.g. between row 190 and 191). In these cases, the new rows/columns are given codes that are numerically larger than the existing codes in the table (e.g. 600). Note that the </w:t>
      </w:r>
      <w:r>
        <w:rPr>
          <w:rFonts w:eastAsia="Times New Roman"/>
          <w:b/>
          <w:szCs w:val="22"/>
        </w:rPr>
        <w:t>O</w:t>
      </w:r>
      <w:r w:rsidRPr="009952E4">
        <w:rPr>
          <w:rFonts w:eastAsia="Times New Roman"/>
          <w:b/>
          <w:szCs w:val="22"/>
        </w:rPr>
        <w:t xml:space="preserve">rder </w:t>
      </w:r>
      <w:r>
        <w:t xml:space="preserve">field in the DPM DB indicates the relative order of these rows (i.e. for these tables there is no longer a trivial link between </w:t>
      </w:r>
      <w:r w:rsidRPr="009952E4">
        <w:rPr>
          <w:b/>
        </w:rPr>
        <w:t>Order</w:t>
      </w:r>
      <w:r>
        <w:t xml:space="preserve"> and </w:t>
      </w:r>
      <w:r w:rsidRPr="009952E4">
        <w:rPr>
          <w:b/>
        </w:rPr>
        <w:t>OrdinateCode</w:t>
      </w:r>
      <w:r>
        <w:t>.</w:t>
      </w:r>
    </w:p>
    <w:p w14:paraId="4994E09B" w14:textId="77777777" w:rsidR="002326DA" w:rsidRDefault="002326DA" w:rsidP="002326DA">
      <w:pPr>
        <w:pStyle w:val="body"/>
        <w:numPr>
          <w:ilvl w:val="0"/>
          <w:numId w:val="31"/>
        </w:numPr>
      </w:pPr>
      <w:r>
        <w:t xml:space="preserve">Validity dates for 2.7 exposure draft and 2.6 end date are subject to change, depending on a future choice of implementation alternatives regarding the implementation period of IFRS 9 </w:t>
      </w:r>
      <w:r>
        <w:lastRenderedPageBreak/>
        <w:t xml:space="preserve">reporting, which is expected to start with the first quarterly report </w:t>
      </w:r>
      <w:r w:rsidRPr="00EF0E4E">
        <w:rPr>
          <w:i/>
        </w:rPr>
        <w:t>“for annual periods beginning on or after 1 January 2018”</w:t>
      </w:r>
      <w:r>
        <w:t xml:space="preserve">, which means that the first Q1 report for an entity may fall between 31 March 2018 and a hypothetical latest possible date of 30 March 2019 (Q1 for a hypothetical entity beginning its financial year on 30Dec). </w:t>
      </w:r>
    </w:p>
    <w:p w14:paraId="6F7972F2" w14:textId="77777777" w:rsidR="002326DA" w:rsidRDefault="002326DA" w:rsidP="002326DA">
      <w:pPr>
        <w:pStyle w:val="Titlelevel2"/>
      </w:pPr>
      <w:r>
        <w:t>XBRL</w:t>
      </w:r>
    </w:p>
    <w:p w14:paraId="08E42E76" w14:textId="4098AB31" w:rsidR="002326DA" w:rsidRDefault="002326DA" w:rsidP="002326DA">
      <w:pPr>
        <w:pStyle w:val="body"/>
        <w:numPr>
          <w:ilvl w:val="0"/>
          <w:numId w:val="32"/>
        </w:numPr>
      </w:pPr>
      <w:r>
        <w:t>This IFRS9 draft resumes the “delta” approach used in taxonomies 2.4 and 2.5, referencing unchanged tables</w:t>
      </w:r>
      <w:r>
        <w:rPr>
          <w:rStyle w:val="FootnoteReference"/>
        </w:rPr>
        <w:footnoteReference w:id="13"/>
      </w:r>
      <w:r>
        <w:t xml:space="preserve"> from 2.6 FINREP.</w:t>
      </w:r>
    </w:p>
    <w:p w14:paraId="13F5F8B3" w14:textId="77777777" w:rsidR="002326DA" w:rsidRDefault="002326DA" w:rsidP="002326DA">
      <w:pPr>
        <w:contextualSpacing/>
      </w:pPr>
    </w:p>
    <w:p w14:paraId="5E52B1C2" w14:textId="52B4EE7A" w:rsidR="002326DA" w:rsidRDefault="001E5C84" w:rsidP="002326DA">
      <w:pPr>
        <w:contextualSpacing/>
      </w:pPr>
      <w:r>
        <w:t>I</w:t>
      </w:r>
      <w:r w:rsidR="002326DA">
        <w:t xml:space="preserve">ncluded </w:t>
      </w:r>
      <w:r>
        <w:t>is</w:t>
      </w:r>
      <w:r w:rsidR="002326DA">
        <w:t xml:space="preserve"> the usual plain “archive of all relevant files” for 2.7ED (or earlier versions), FullTaxonomy.2.7</w:t>
      </w:r>
      <w:r w:rsidR="002326DA" w:rsidRPr="00A307D6">
        <w:t>.0.0.</w:t>
      </w:r>
      <w:r w:rsidR="002326DA">
        <w:t>ED.</w:t>
      </w:r>
      <w:r w:rsidR="002326DA" w:rsidRPr="00A307D6">
        <w:t>7z</w:t>
      </w:r>
    </w:p>
    <w:p w14:paraId="257A4B4D" w14:textId="77777777" w:rsidR="002326DA" w:rsidRDefault="002326DA" w:rsidP="002326DA">
      <w:pPr>
        <w:pStyle w:val="Titlelevel2"/>
      </w:pPr>
      <w:r>
        <w:t>Known Issues</w:t>
      </w:r>
    </w:p>
    <w:p w14:paraId="5FA78B0F" w14:textId="77777777" w:rsidR="002326DA" w:rsidRDefault="002326DA" w:rsidP="002326DA">
      <w:pPr>
        <w:pStyle w:val="body"/>
        <w:numPr>
          <w:ilvl w:val="0"/>
          <w:numId w:val="31"/>
        </w:numPr>
      </w:pPr>
      <w:r>
        <w:t>In the table layout documents, where the indentation level (or some other similar changes) has changed these are as would be a change in the data attributes (i.e. by colouring the cells on that row/column in orange). This means many cells are marked as changed where in fact their defining characteristics have not changed.</w:t>
      </w:r>
    </w:p>
    <w:p w14:paraId="2AD15DE5" w14:textId="5011DFAD" w:rsidR="00EC0C5D" w:rsidRDefault="00EC0C5D" w:rsidP="009D1FF0">
      <w:pPr>
        <w:pStyle w:val="Titlelevel1"/>
        <w:rPr>
          <w:i/>
        </w:rPr>
      </w:pPr>
      <w:r>
        <w:rPr>
          <w:i/>
        </w:rPr>
        <w:t xml:space="preserve">v2.6 </w:t>
      </w:r>
      <w:r w:rsidR="002326DA">
        <w:rPr>
          <w:i/>
        </w:rPr>
        <w:t>(“2016-B”)</w:t>
      </w:r>
    </w:p>
    <w:p w14:paraId="3A57D036" w14:textId="77777777" w:rsidR="003071E0" w:rsidRDefault="003071E0" w:rsidP="003071E0">
      <w:pPr>
        <w:pStyle w:val="Titlelevel2"/>
      </w:pPr>
      <w:r>
        <w:t>Summary and Impact</w:t>
      </w:r>
    </w:p>
    <w:p w14:paraId="12C09840" w14:textId="275B2C38" w:rsidR="003C56B4" w:rsidRDefault="003071E0" w:rsidP="003071E0">
      <w:r>
        <w:t xml:space="preserve">This release </w:t>
      </w:r>
      <w:r w:rsidR="003C56B4">
        <w:t xml:space="preserve">contains </w:t>
      </w:r>
      <w:r w:rsidR="002326DA">
        <w:t xml:space="preserve">an </w:t>
      </w:r>
      <w:r w:rsidR="003C56B4" w:rsidRPr="00E93316">
        <w:rPr>
          <w:b/>
        </w:rPr>
        <w:t>update</w:t>
      </w:r>
      <w:r w:rsidR="00E93316" w:rsidRPr="00E93316">
        <w:rPr>
          <w:b/>
        </w:rPr>
        <w:t xml:space="preserve"> </w:t>
      </w:r>
      <w:r w:rsidR="003C56B4" w:rsidRPr="00E93316">
        <w:rPr>
          <w:b/>
        </w:rPr>
        <w:t>to the reporting framework</w:t>
      </w:r>
      <w:r w:rsidR="003C56B4" w:rsidRPr="00DD342D">
        <w:rPr>
          <w:b/>
        </w:rPr>
        <w:t xml:space="preserve"> </w:t>
      </w:r>
      <w:r w:rsidR="00E93316" w:rsidRPr="00DD342D">
        <w:rPr>
          <w:b/>
        </w:rPr>
        <w:t xml:space="preserve">(2.6) </w:t>
      </w:r>
      <w:r w:rsidR="003C56B4" w:rsidRPr="00DD342D">
        <w:rPr>
          <w:b/>
        </w:rPr>
        <w:t>expected to be used for reporting for reference dates from June 2017</w:t>
      </w:r>
      <w:r w:rsidR="003C56B4">
        <w:t>. This update consists primarily of minor structural changes to Supervisor Benchmarking reporting tables, and enhancements to validation rules and a update of various XBRL technical features and the use of XBRL standards across all frameworks.</w:t>
      </w:r>
    </w:p>
    <w:p w14:paraId="61473412" w14:textId="77777777" w:rsidR="003071E0" w:rsidRDefault="003071E0" w:rsidP="003071E0"/>
    <w:p w14:paraId="03A5801E" w14:textId="0915E0BB" w:rsidR="003071E0" w:rsidRPr="008350C5" w:rsidRDefault="003071E0" w:rsidP="002326DA">
      <w:pPr>
        <w:ind w:left="720"/>
        <w:rPr>
          <w:i/>
        </w:rPr>
      </w:pPr>
      <w:r w:rsidRPr="008350C5">
        <w:rPr>
          <w:i/>
        </w:rPr>
        <w:t xml:space="preserve">Implementation effort for participants is not expected to be </w:t>
      </w:r>
      <w:r>
        <w:rPr>
          <w:i/>
        </w:rPr>
        <w:t>large for 2.6</w:t>
      </w:r>
      <w:r w:rsidRPr="008350C5">
        <w:rPr>
          <w:i/>
        </w:rPr>
        <w:t>.</w:t>
      </w:r>
      <w:r>
        <w:rPr>
          <w:i/>
        </w:rPr>
        <w:t xml:space="preserve"> </w:t>
      </w:r>
    </w:p>
    <w:p w14:paraId="039641A6" w14:textId="3A97D820" w:rsidR="00E61D1A" w:rsidRDefault="009F1652" w:rsidP="009F1652">
      <w:pPr>
        <w:pStyle w:val="Titlelevel2"/>
        <w:keepNext/>
      </w:pPr>
      <w:r>
        <w:t>Contents</w:t>
      </w:r>
    </w:p>
    <w:p w14:paraId="5282027D" w14:textId="5DE12F79" w:rsidR="00E61D1A" w:rsidRDefault="00E61D1A" w:rsidP="00E61D1A">
      <w:pPr>
        <w:pStyle w:val="body"/>
        <w:numPr>
          <w:ilvl w:val="0"/>
          <w:numId w:val="32"/>
        </w:numPr>
      </w:pPr>
      <w:r>
        <w:t>Updates to content of SBP taxonomy to be used for the 2018 data collection exercise</w:t>
      </w:r>
      <w:r w:rsidR="009F1652">
        <w:t>. Primarily consists of changes to the row key arrangements and removal of sheets for tables C 101-103, and changes to data modelling of other tables</w:t>
      </w:r>
      <w:r>
        <w:t xml:space="preserve">. </w:t>
      </w:r>
      <w:r w:rsidRPr="00E93316">
        <w:rPr>
          <w:b/>
        </w:rPr>
        <w:t xml:space="preserve">All other 2.6 Reporting taxonomies (COREP, FINREP, AE, FP) have no </w:t>
      </w:r>
      <w:r w:rsidR="00E93316">
        <w:rPr>
          <w:b/>
        </w:rPr>
        <w:t xml:space="preserve">structural </w:t>
      </w:r>
      <w:r w:rsidRPr="00E93316">
        <w:rPr>
          <w:b/>
        </w:rPr>
        <w:t>changes to their tables.</w:t>
      </w:r>
      <w:r w:rsidR="00E93316">
        <w:rPr>
          <w:b/>
        </w:rPr>
        <w:t xml:space="preserve"> </w:t>
      </w:r>
      <w:r w:rsidR="00E93316">
        <w:t>i.e. no changes to instance production or data extraction processes should be needed.</w:t>
      </w:r>
    </w:p>
    <w:p w14:paraId="36A7F85C" w14:textId="6E4B1AB0" w:rsidR="00E61D1A" w:rsidRDefault="00E61D1A" w:rsidP="00E61D1A">
      <w:pPr>
        <w:pStyle w:val="body"/>
        <w:numPr>
          <w:ilvl w:val="0"/>
          <w:numId w:val="32"/>
        </w:numPr>
      </w:pPr>
      <w:r>
        <w:t xml:space="preserve">Updated validation rules for all </w:t>
      </w:r>
      <w:r w:rsidR="009F1652">
        <w:t xml:space="preserve">2.6 </w:t>
      </w:r>
      <w:r>
        <w:t>frameworks.</w:t>
      </w:r>
    </w:p>
    <w:p w14:paraId="22E72E45" w14:textId="3C521774" w:rsidR="00E93316" w:rsidRDefault="00E93316" w:rsidP="00764ECE">
      <w:pPr>
        <w:pStyle w:val="body"/>
        <w:numPr>
          <w:ilvl w:val="1"/>
          <w:numId w:val="32"/>
        </w:numPr>
      </w:pPr>
      <w:r>
        <w:lastRenderedPageBreak/>
        <w:t>470 changed rules (including 240 additions, 26 deletions, 163 changes)</w:t>
      </w:r>
    </w:p>
    <w:p w14:paraId="2260A3E8" w14:textId="06032FDA" w:rsidR="00764ECE" w:rsidRDefault="00764ECE" w:rsidP="00764ECE">
      <w:pPr>
        <w:pStyle w:val="body"/>
        <w:numPr>
          <w:ilvl w:val="1"/>
          <w:numId w:val="32"/>
        </w:numPr>
      </w:pPr>
      <w:r>
        <w:t xml:space="preserve">Added some more “human readable” error messages to a few validation </w:t>
      </w:r>
      <w:r w:rsidR="009F1652">
        <w:t>rules</w:t>
      </w:r>
    </w:p>
    <w:p w14:paraId="0938E902" w14:textId="17D40860" w:rsidR="009F1652" w:rsidRDefault="009F1652" w:rsidP="009F1652">
      <w:pPr>
        <w:pStyle w:val="body"/>
        <w:numPr>
          <w:ilvl w:val="1"/>
          <w:numId w:val="32"/>
        </w:numPr>
      </w:pPr>
      <w:r>
        <w:t>Inclusion of “warning” validation rules, and use of assertion severity specification to indicate these in XBRL.</w:t>
      </w:r>
      <w:r w:rsidR="00E93316">
        <w:t xml:space="preserve"> </w:t>
      </w:r>
      <w:r>
        <w:t>Note only three examples currently: v4920-22 in SBP. Mostly just to demonstrate the mechanism. Expect inclusion of further warning rules in future versions</w:t>
      </w:r>
    </w:p>
    <w:p w14:paraId="7715C082" w14:textId="765BBFDA" w:rsidR="009F1652" w:rsidRDefault="009F1652" w:rsidP="002326DA">
      <w:pPr>
        <w:pStyle w:val="body"/>
        <w:numPr>
          <w:ilvl w:val="0"/>
          <w:numId w:val="32"/>
        </w:numPr>
      </w:pPr>
      <w:bookmarkStart w:id="3" w:name="OLE_LINK17"/>
      <w:bookmarkStart w:id="4" w:name="OLE_LINK18"/>
      <w:r>
        <w:t xml:space="preserve">Update to the 1.0 </w:t>
      </w:r>
      <w:r w:rsidR="00056A93">
        <w:t>Table L</w:t>
      </w:r>
      <w:r w:rsidR="00E61D1A">
        <w:t xml:space="preserve">inkbase </w:t>
      </w:r>
      <w:r>
        <w:t xml:space="preserve">XBRL </w:t>
      </w:r>
      <w:r w:rsidR="00E61D1A">
        <w:t>spec</w:t>
      </w:r>
      <w:r>
        <w:t>ification</w:t>
      </w:r>
      <w:r w:rsidR="001E5C84">
        <w:t xml:space="preserve"> </w:t>
      </w:r>
      <w:r w:rsidR="0061233C">
        <w:t xml:space="preserve">and </w:t>
      </w:r>
      <w:r w:rsidR="00056A93">
        <w:t>use of the Extensible Enumerations specification</w:t>
      </w:r>
      <w:r w:rsidR="00E61D1A">
        <w:t>.</w:t>
      </w:r>
      <w:bookmarkEnd w:id="3"/>
      <w:bookmarkEnd w:id="4"/>
    </w:p>
    <w:p w14:paraId="1DC36855" w14:textId="74916833" w:rsidR="00A70EAC" w:rsidRDefault="00A70EAC" w:rsidP="00052E3F">
      <w:pPr>
        <w:pStyle w:val="Titlelevel2"/>
      </w:pPr>
      <w:bookmarkStart w:id="5" w:name="OLE_LINK10"/>
      <w:bookmarkStart w:id="6" w:name="OLE_LINK11"/>
      <w:r>
        <w:t>General Design</w:t>
      </w:r>
    </w:p>
    <w:bookmarkEnd w:id="5"/>
    <w:bookmarkEnd w:id="6"/>
    <w:p w14:paraId="52E37B4F" w14:textId="77777777" w:rsidR="00E61D1A" w:rsidRDefault="00052E3F" w:rsidP="00EC0C5D">
      <w:pPr>
        <w:pStyle w:val="body"/>
      </w:pPr>
      <w:r w:rsidRPr="00E61D1A">
        <w:rPr>
          <w:b/>
          <w:color w:val="2F5773" w:themeColor="text2"/>
          <w:sz w:val="24"/>
        </w:rPr>
        <w:t>Assertion severity</w:t>
      </w:r>
    </w:p>
    <w:p w14:paraId="6C863AFA" w14:textId="586E936F" w:rsidR="00A70EAC" w:rsidRDefault="00E61D1A" w:rsidP="00EC0C5D">
      <w:pPr>
        <w:pStyle w:val="body"/>
      </w:pPr>
      <w:r>
        <w:t>I</w:t>
      </w:r>
      <w:r w:rsidR="00052E3F">
        <w:t>nclusion of validation rules that are warnings, i.e. do not definitely indicate that the relevant data is invalid or incorrect, but which</w:t>
      </w:r>
      <w:r w:rsidR="00052E3F" w:rsidRPr="00052E3F">
        <w:t xml:space="preserve"> may indicate potential errors</w:t>
      </w:r>
      <w:r w:rsidR="00052E3F">
        <w:t xml:space="preserve"> </w:t>
      </w:r>
      <w:r w:rsidR="00052E3F" w:rsidRPr="00052E3F">
        <w:t>to filers</w:t>
      </w:r>
      <w:r w:rsidR="00052E3F">
        <w:t xml:space="preserve">. </w:t>
      </w:r>
    </w:p>
    <w:p w14:paraId="251AE4D1" w14:textId="26D327E0" w:rsidR="00E61D1A" w:rsidRDefault="00E61D1A" w:rsidP="00EC0C5D">
      <w:pPr>
        <w:pStyle w:val="body"/>
      </w:pPr>
      <w:r>
        <w:t>These are indicated by</w:t>
      </w:r>
      <w:r w:rsidR="00460093">
        <w:t xml:space="preserve"> (having a severity of “warning” in the Excel spreadsheet and DPM database and) use of the XBRL assertion specification. The relevant rules are assigned</w:t>
      </w:r>
      <w:r w:rsidR="00764ECE">
        <w:t xml:space="preserve"> the assertion severity  </w:t>
      </w:r>
      <w:bookmarkStart w:id="7" w:name="OLE_LINK14"/>
      <w:bookmarkStart w:id="8" w:name="OLE_LINK15"/>
      <w:r w:rsidR="00764ECE" w:rsidRPr="00764ECE">
        <w:rPr>
          <w:rFonts w:ascii="Courier New" w:hAnsi="Courier New" w:cs="Courier New"/>
          <w:sz w:val="20"/>
        </w:rPr>
        <w:t>&lt;sev:warning&gt;.</w:t>
      </w:r>
      <w:bookmarkEnd w:id="7"/>
      <w:bookmarkEnd w:id="8"/>
    </w:p>
    <w:p w14:paraId="103EF7EF" w14:textId="6F156145" w:rsidR="00687BC1" w:rsidRDefault="00687BC1" w:rsidP="00EC0C5D">
      <w:pPr>
        <w:pStyle w:val="body"/>
      </w:pPr>
      <w:r>
        <w:t xml:space="preserve">N.B. </w:t>
      </w:r>
      <w:r w:rsidR="009F1652">
        <w:t xml:space="preserve">that </w:t>
      </w:r>
      <w:r w:rsidR="00460093">
        <w:t xml:space="preserve">EBA uses </w:t>
      </w:r>
      <w:r w:rsidR="009F1652">
        <w:t xml:space="preserve">the phrase </w:t>
      </w:r>
      <w:r w:rsidR="00460093">
        <w:t>“non-blocking” to refer to validation errors which although indicating the data must be incorrect or inconsistent and so must be corrected, will not necessarily result in a</w:t>
      </w:r>
      <w:r w:rsidR="009F1652">
        <w:t>n</w:t>
      </w:r>
      <w:r w:rsidR="00460093">
        <w:t xml:space="preserve"> </w:t>
      </w:r>
      <w:r w:rsidR="009F1652">
        <w:t>initial outright</w:t>
      </w:r>
      <w:r w:rsidR="00460093">
        <w:t xml:space="preserve"> rejection by the EBA. </w:t>
      </w:r>
    </w:p>
    <w:p w14:paraId="10632FB0" w14:textId="77777777" w:rsidR="0061233C" w:rsidRDefault="0061233C" w:rsidP="00EC0C5D">
      <w:pPr>
        <w:pStyle w:val="body"/>
      </w:pPr>
    </w:p>
    <w:tbl>
      <w:tblPr>
        <w:tblStyle w:val="EBAtable"/>
        <w:tblW w:w="0" w:type="auto"/>
        <w:tblLook w:val="04A0" w:firstRow="1" w:lastRow="0" w:firstColumn="1" w:lastColumn="0" w:noHBand="0" w:noVBand="1"/>
      </w:tblPr>
      <w:tblGrid>
        <w:gridCol w:w="1280"/>
        <w:gridCol w:w="1213"/>
        <w:gridCol w:w="1159"/>
        <w:gridCol w:w="2126"/>
        <w:gridCol w:w="3513"/>
      </w:tblGrid>
      <w:tr w:rsidR="00687BC1" w:rsidRPr="00687BC1" w14:paraId="62A4DA54" w14:textId="77777777" w:rsidTr="0061233C">
        <w:trPr>
          <w:cnfStyle w:val="100000000000" w:firstRow="1" w:lastRow="0" w:firstColumn="0" w:lastColumn="0" w:oddVBand="0" w:evenVBand="0" w:oddHBand="0" w:evenHBand="0" w:firstRowFirstColumn="0" w:firstRowLastColumn="0" w:lastRowFirstColumn="0" w:lastRowLastColumn="0"/>
          <w:cantSplit/>
        </w:trPr>
        <w:tc>
          <w:tcPr>
            <w:tcW w:w="1280" w:type="dxa"/>
          </w:tcPr>
          <w:p w14:paraId="4F8FEAE4" w14:textId="591D7B1E" w:rsidR="00687BC1" w:rsidRPr="00687BC1" w:rsidRDefault="00687BC1" w:rsidP="00EC0C5D">
            <w:pPr>
              <w:pStyle w:val="body"/>
              <w:rPr>
                <w:sz w:val="18"/>
              </w:rPr>
            </w:pPr>
            <w:r w:rsidRPr="00687BC1">
              <w:rPr>
                <w:sz w:val="18"/>
              </w:rPr>
              <w:t>EBA</w:t>
            </w:r>
          </w:p>
        </w:tc>
        <w:tc>
          <w:tcPr>
            <w:tcW w:w="1213" w:type="dxa"/>
          </w:tcPr>
          <w:p w14:paraId="5F330338" w14:textId="22417E18" w:rsidR="00687BC1" w:rsidRPr="009F1652" w:rsidRDefault="00687BC1" w:rsidP="00EC0C5D">
            <w:pPr>
              <w:pStyle w:val="body"/>
              <w:rPr>
                <w:i/>
                <w:sz w:val="18"/>
              </w:rPr>
            </w:pPr>
            <w:r w:rsidRPr="009F1652">
              <w:rPr>
                <w:i/>
                <w:sz w:val="18"/>
              </w:rPr>
              <w:t>EIOPA</w:t>
            </w:r>
            <w:r w:rsidR="009F1652">
              <w:rPr>
                <w:rStyle w:val="FootnoteReference"/>
                <w:i/>
              </w:rPr>
              <w:footnoteReference w:id="14"/>
            </w:r>
          </w:p>
        </w:tc>
        <w:tc>
          <w:tcPr>
            <w:tcW w:w="1159" w:type="dxa"/>
          </w:tcPr>
          <w:p w14:paraId="430F65BE" w14:textId="3C7E690D" w:rsidR="00687BC1" w:rsidRPr="00687BC1" w:rsidRDefault="00687BC1" w:rsidP="00EC0C5D">
            <w:pPr>
              <w:pStyle w:val="body"/>
              <w:rPr>
                <w:sz w:val="18"/>
              </w:rPr>
            </w:pPr>
            <w:r w:rsidRPr="00687BC1">
              <w:rPr>
                <w:sz w:val="18"/>
              </w:rPr>
              <w:t>XBRL Assertion severity</w:t>
            </w:r>
          </w:p>
        </w:tc>
        <w:tc>
          <w:tcPr>
            <w:tcW w:w="2126" w:type="dxa"/>
          </w:tcPr>
          <w:p w14:paraId="182AA6C9" w14:textId="71741A15" w:rsidR="00687BC1" w:rsidRPr="00687BC1" w:rsidRDefault="00E36339" w:rsidP="00E36339">
            <w:pPr>
              <w:pStyle w:val="body"/>
              <w:rPr>
                <w:sz w:val="18"/>
              </w:rPr>
            </w:pPr>
            <w:r>
              <w:rPr>
                <w:sz w:val="18"/>
              </w:rPr>
              <w:t>Data b</w:t>
            </w:r>
            <w:r w:rsidR="00687BC1">
              <w:rPr>
                <w:sz w:val="18"/>
              </w:rPr>
              <w:t>reach</w:t>
            </w:r>
            <w:r>
              <w:rPr>
                <w:sz w:val="18"/>
              </w:rPr>
              <w:t>ing</w:t>
            </w:r>
            <w:r w:rsidR="00687BC1">
              <w:rPr>
                <w:sz w:val="18"/>
              </w:rPr>
              <w:t xml:space="preserve"> rule is</w:t>
            </w:r>
          </w:p>
        </w:tc>
        <w:tc>
          <w:tcPr>
            <w:tcW w:w="3513" w:type="dxa"/>
          </w:tcPr>
          <w:p w14:paraId="40BF012A" w14:textId="564EB269" w:rsidR="00687BC1" w:rsidRPr="00687BC1" w:rsidRDefault="00687BC1" w:rsidP="00687BC1">
            <w:pPr>
              <w:pStyle w:val="body"/>
              <w:rPr>
                <w:sz w:val="18"/>
              </w:rPr>
            </w:pPr>
            <w:r w:rsidRPr="00687BC1">
              <w:rPr>
                <w:sz w:val="18"/>
              </w:rPr>
              <w:t xml:space="preserve">Typical </w:t>
            </w:r>
            <w:r w:rsidR="00056A93">
              <w:rPr>
                <w:sz w:val="18"/>
              </w:rPr>
              <w:t xml:space="preserve">(EBA) </w:t>
            </w:r>
            <w:r w:rsidRPr="00687BC1">
              <w:rPr>
                <w:sz w:val="18"/>
              </w:rPr>
              <w:t>collection system behaviour</w:t>
            </w:r>
          </w:p>
        </w:tc>
      </w:tr>
      <w:tr w:rsidR="00687BC1" w:rsidRPr="00687BC1" w14:paraId="47999C99" w14:textId="77777777" w:rsidTr="00687BC1">
        <w:tc>
          <w:tcPr>
            <w:tcW w:w="1280" w:type="dxa"/>
          </w:tcPr>
          <w:p w14:paraId="6958AFB1" w14:textId="5A978F0B" w:rsidR="00687BC1" w:rsidRPr="00687BC1" w:rsidRDefault="00687BC1" w:rsidP="00EC0C5D">
            <w:pPr>
              <w:pStyle w:val="body"/>
              <w:rPr>
                <w:sz w:val="18"/>
              </w:rPr>
            </w:pPr>
            <w:r w:rsidRPr="00687BC1">
              <w:rPr>
                <w:sz w:val="18"/>
              </w:rPr>
              <w:t>Blocking</w:t>
            </w:r>
          </w:p>
        </w:tc>
        <w:tc>
          <w:tcPr>
            <w:tcW w:w="1213" w:type="dxa"/>
          </w:tcPr>
          <w:p w14:paraId="0A58F7B7" w14:textId="2816CD77" w:rsidR="00687BC1" w:rsidRPr="009F1652" w:rsidRDefault="00687BC1" w:rsidP="00EC0C5D">
            <w:pPr>
              <w:pStyle w:val="body"/>
              <w:rPr>
                <w:i/>
                <w:sz w:val="18"/>
              </w:rPr>
            </w:pPr>
            <w:r w:rsidRPr="009F1652">
              <w:rPr>
                <w:i/>
                <w:sz w:val="18"/>
              </w:rPr>
              <w:t>Blocking</w:t>
            </w:r>
          </w:p>
        </w:tc>
        <w:tc>
          <w:tcPr>
            <w:tcW w:w="1159" w:type="dxa"/>
          </w:tcPr>
          <w:p w14:paraId="1223D5DD" w14:textId="70A3C9F4" w:rsidR="00687BC1" w:rsidRPr="00687BC1" w:rsidRDefault="00687BC1" w:rsidP="00EC0C5D">
            <w:pPr>
              <w:pStyle w:val="body"/>
              <w:rPr>
                <w:sz w:val="18"/>
              </w:rPr>
            </w:pPr>
            <w:r w:rsidRPr="00687BC1">
              <w:rPr>
                <w:sz w:val="18"/>
              </w:rPr>
              <w:t>Error</w:t>
            </w:r>
          </w:p>
        </w:tc>
        <w:tc>
          <w:tcPr>
            <w:tcW w:w="2126" w:type="dxa"/>
          </w:tcPr>
          <w:p w14:paraId="241B42DD" w14:textId="43F43881" w:rsidR="00687BC1" w:rsidRPr="00687BC1" w:rsidRDefault="00687BC1" w:rsidP="00EC0C5D">
            <w:pPr>
              <w:pStyle w:val="body"/>
              <w:rPr>
                <w:sz w:val="18"/>
              </w:rPr>
            </w:pPr>
            <w:r>
              <w:rPr>
                <w:sz w:val="18"/>
              </w:rPr>
              <w:t>Invalid/Incoherent</w:t>
            </w:r>
          </w:p>
        </w:tc>
        <w:tc>
          <w:tcPr>
            <w:tcW w:w="3513" w:type="dxa"/>
          </w:tcPr>
          <w:p w14:paraId="03D04379" w14:textId="58F4F56C" w:rsidR="00687BC1" w:rsidRPr="00687BC1" w:rsidRDefault="00687BC1" w:rsidP="00EC0C5D">
            <w:pPr>
              <w:pStyle w:val="body"/>
              <w:rPr>
                <w:sz w:val="18"/>
              </w:rPr>
            </w:pPr>
            <w:r w:rsidRPr="00687BC1">
              <w:rPr>
                <w:sz w:val="18"/>
              </w:rPr>
              <w:t>Reject</w:t>
            </w:r>
            <w:r w:rsidR="00052E3F">
              <w:rPr>
                <w:sz w:val="18"/>
              </w:rPr>
              <w:t xml:space="preserve"> outright</w:t>
            </w:r>
          </w:p>
        </w:tc>
      </w:tr>
      <w:tr w:rsidR="00687BC1" w:rsidRPr="00687BC1" w14:paraId="7A8665F9" w14:textId="77777777" w:rsidTr="00687BC1">
        <w:tc>
          <w:tcPr>
            <w:tcW w:w="1280" w:type="dxa"/>
          </w:tcPr>
          <w:p w14:paraId="6B196EA0" w14:textId="411978E2" w:rsidR="00687BC1" w:rsidRPr="00687BC1" w:rsidRDefault="00687BC1" w:rsidP="00EC0C5D">
            <w:pPr>
              <w:pStyle w:val="body"/>
              <w:rPr>
                <w:sz w:val="18"/>
              </w:rPr>
            </w:pPr>
            <w:r w:rsidRPr="00687BC1">
              <w:rPr>
                <w:sz w:val="18"/>
              </w:rPr>
              <w:t>Non-Blocking</w:t>
            </w:r>
          </w:p>
        </w:tc>
        <w:tc>
          <w:tcPr>
            <w:tcW w:w="1213" w:type="dxa"/>
          </w:tcPr>
          <w:p w14:paraId="49B5D02F" w14:textId="77777777" w:rsidR="00687BC1" w:rsidRPr="009F1652" w:rsidRDefault="00687BC1" w:rsidP="00EC0C5D">
            <w:pPr>
              <w:pStyle w:val="body"/>
              <w:rPr>
                <w:i/>
                <w:sz w:val="18"/>
              </w:rPr>
            </w:pPr>
          </w:p>
        </w:tc>
        <w:tc>
          <w:tcPr>
            <w:tcW w:w="1159" w:type="dxa"/>
          </w:tcPr>
          <w:p w14:paraId="5F006FAB" w14:textId="5687856F" w:rsidR="00687BC1" w:rsidRPr="00687BC1" w:rsidRDefault="00687BC1" w:rsidP="00EC0C5D">
            <w:pPr>
              <w:pStyle w:val="body"/>
              <w:rPr>
                <w:sz w:val="18"/>
              </w:rPr>
            </w:pPr>
            <w:r w:rsidRPr="00687BC1">
              <w:rPr>
                <w:sz w:val="18"/>
              </w:rPr>
              <w:t>Error</w:t>
            </w:r>
          </w:p>
        </w:tc>
        <w:tc>
          <w:tcPr>
            <w:tcW w:w="2126" w:type="dxa"/>
          </w:tcPr>
          <w:p w14:paraId="01E127E4" w14:textId="055C82C7" w:rsidR="00687BC1" w:rsidRPr="00687BC1" w:rsidRDefault="00687BC1" w:rsidP="00687BC1">
            <w:pPr>
              <w:pStyle w:val="body"/>
              <w:rPr>
                <w:sz w:val="18"/>
              </w:rPr>
            </w:pPr>
            <w:r>
              <w:rPr>
                <w:sz w:val="18"/>
              </w:rPr>
              <w:t>Invalid/Incoherent</w:t>
            </w:r>
          </w:p>
        </w:tc>
        <w:tc>
          <w:tcPr>
            <w:tcW w:w="3513" w:type="dxa"/>
          </w:tcPr>
          <w:p w14:paraId="2EC8CFBC" w14:textId="44E0DF3E" w:rsidR="00687BC1" w:rsidRPr="00687BC1" w:rsidRDefault="00687BC1" w:rsidP="00687BC1">
            <w:pPr>
              <w:pStyle w:val="body"/>
              <w:rPr>
                <w:sz w:val="18"/>
              </w:rPr>
            </w:pPr>
            <w:r w:rsidRPr="00687BC1">
              <w:rPr>
                <w:sz w:val="18"/>
              </w:rPr>
              <w:t>Process further, but expect a subsequent correction</w:t>
            </w:r>
          </w:p>
        </w:tc>
      </w:tr>
      <w:tr w:rsidR="00687BC1" w:rsidRPr="00687BC1" w14:paraId="5ED74906" w14:textId="77777777" w:rsidTr="00687BC1">
        <w:tc>
          <w:tcPr>
            <w:tcW w:w="1280" w:type="dxa"/>
          </w:tcPr>
          <w:p w14:paraId="110303E9" w14:textId="4FEB413D" w:rsidR="00687BC1" w:rsidRPr="00687BC1" w:rsidRDefault="00687BC1" w:rsidP="00EC0C5D">
            <w:pPr>
              <w:pStyle w:val="body"/>
              <w:rPr>
                <w:sz w:val="18"/>
              </w:rPr>
            </w:pPr>
            <w:r w:rsidRPr="00687BC1">
              <w:rPr>
                <w:sz w:val="18"/>
              </w:rPr>
              <w:t>Warning</w:t>
            </w:r>
          </w:p>
        </w:tc>
        <w:tc>
          <w:tcPr>
            <w:tcW w:w="1213" w:type="dxa"/>
          </w:tcPr>
          <w:p w14:paraId="3BB9BE43" w14:textId="0F32AF75" w:rsidR="00687BC1" w:rsidRPr="009F1652" w:rsidRDefault="00687BC1" w:rsidP="00EC0C5D">
            <w:pPr>
              <w:pStyle w:val="body"/>
              <w:rPr>
                <w:i/>
                <w:sz w:val="18"/>
              </w:rPr>
            </w:pPr>
            <w:r w:rsidRPr="009F1652">
              <w:rPr>
                <w:i/>
                <w:sz w:val="18"/>
              </w:rPr>
              <w:t>Non-Blocking</w:t>
            </w:r>
          </w:p>
        </w:tc>
        <w:tc>
          <w:tcPr>
            <w:tcW w:w="1159" w:type="dxa"/>
          </w:tcPr>
          <w:p w14:paraId="5FC4E827" w14:textId="0DD5156A" w:rsidR="00687BC1" w:rsidRPr="00687BC1" w:rsidRDefault="00687BC1" w:rsidP="00EC0C5D">
            <w:pPr>
              <w:pStyle w:val="body"/>
              <w:rPr>
                <w:sz w:val="18"/>
              </w:rPr>
            </w:pPr>
            <w:r w:rsidRPr="00687BC1">
              <w:rPr>
                <w:sz w:val="18"/>
              </w:rPr>
              <w:t>Warning</w:t>
            </w:r>
          </w:p>
        </w:tc>
        <w:tc>
          <w:tcPr>
            <w:tcW w:w="2126" w:type="dxa"/>
          </w:tcPr>
          <w:p w14:paraId="3CFC0321" w14:textId="4911CBD5" w:rsidR="00687BC1" w:rsidRPr="00687BC1" w:rsidRDefault="00687BC1" w:rsidP="00EC0C5D">
            <w:pPr>
              <w:pStyle w:val="body"/>
              <w:rPr>
                <w:sz w:val="18"/>
              </w:rPr>
            </w:pPr>
            <w:r>
              <w:rPr>
                <w:sz w:val="18"/>
              </w:rPr>
              <w:t>Unlikely/unusual</w:t>
            </w:r>
          </w:p>
        </w:tc>
        <w:tc>
          <w:tcPr>
            <w:tcW w:w="3513" w:type="dxa"/>
          </w:tcPr>
          <w:p w14:paraId="200B1BE0" w14:textId="241F4202" w:rsidR="00687BC1" w:rsidRPr="00687BC1" w:rsidRDefault="00687BC1" w:rsidP="00EC0C5D">
            <w:pPr>
              <w:pStyle w:val="body"/>
              <w:rPr>
                <w:sz w:val="18"/>
              </w:rPr>
            </w:pPr>
            <w:r w:rsidRPr="00687BC1">
              <w:rPr>
                <w:sz w:val="18"/>
              </w:rPr>
              <w:t>Accept</w:t>
            </w:r>
            <w:r w:rsidR="00056A93">
              <w:rPr>
                <w:sz w:val="18"/>
              </w:rPr>
              <w:t>, perhaps request explanation</w:t>
            </w:r>
          </w:p>
        </w:tc>
      </w:tr>
    </w:tbl>
    <w:p w14:paraId="10543D2D" w14:textId="0ABBB32E" w:rsidR="00EF0E4E" w:rsidRDefault="00687BC1" w:rsidP="00EC0C5D">
      <w:pPr>
        <w:pStyle w:val="body"/>
      </w:pPr>
      <w:r>
        <w:t xml:space="preserve"> </w:t>
      </w:r>
    </w:p>
    <w:p w14:paraId="5EEF60F1" w14:textId="40B47B90" w:rsidR="00EC0C5D" w:rsidRDefault="00EC0C5D" w:rsidP="00052E3F">
      <w:pPr>
        <w:pStyle w:val="Titlelevel2"/>
      </w:pPr>
      <w:r>
        <w:lastRenderedPageBreak/>
        <w:t>DPM DB Changes:</w:t>
      </w:r>
    </w:p>
    <w:p w14:paraId="661D1545" w14:textId="4163B117" w:rsidR="00EC0C5D" w:rsidRDefault="00EC0C5D" w:rsidP="00EC0C5D">
      <w:pPr>
        <w:pStyle w:val="bullet1"/>
        <w:rPr>
          <w:rFonts w:eastAsia="Times New Roman"/>
        </w:rPr>
      </w:pPr>
      <w:r w:rsidRPr="00EC0C5D">
        <w:rPr>
          <w:rFonts w:eastAsia="Times New Roman"/>
        </w:rPr>
        <w:t xml:space="preserve">Added </w:t>
      </w:r>
      <w:r w:rsidRPr="00452B9F">
        <w:rPr>
          <w:rFonts w:eastAsia="Times New Roman"/>
          <w:b/>
        </w:rPr>
        <w:t>ValidationRuleSetCode</w:t>
      </w:r>
      <w:r w:rsidRPr="00EC0C5D">
        <w:rPr>
          <w:rFonts w:eastAsia="Times New Roman"/>
        </w:rPr>
        <w:t xml:space="preserve"> as additional </w:t>
      </w:r>
      <w:r>
        <w:rPr>
          <w:rFonts w:eastAsia="Times New Roman"/>
        </w:rPr>
        <w:t xml:space="preserve">part of primary </w:t>
      </w:r>
      <w:r w:rsidRPr="00EC0C5D">
        <w:rPr>
          <w:rFonts w:eastAsia="Times New Roman"/>
        </w:rPr>
        <w:t xml:space="preserve">key on </w:t>
      </w:r>
      <w:r w:rsidRPr="00452B9F">
        <w:rPr>
          <w:rFonts w:eastAsia="Times New Roman"/>
          <w:b/>
        </w:rPr>
        <w:t>ValidationRuleSet</w:t>
      </w:r>
      <w:r w:rsidRPr="00EC0C5D">
        <w:rPr>
          <w:rFonts w:eastAsia="Times New Roman"/>
        </w:rPr>
        <w:t xml:space="preserve"> field</w:t>
      </w:r>
      <w:r>
        <w:rPr>
          <w:rFonts w:eastAsia="Times New Roman"/>
        </w:rPr>
        <w:t>. This is intended to prepare for the possible use of multiple releases of validation rules for the same taxonomy version, applicable for different reference date ranges. This field was generated for existing entries as per:</w:t>
      </w:r>
    </w:p>
    <w:p w14:paraId="607A3751" w14:textId="0F46D0DB" w:rsidR="00EC0C5D" w:rsidRDefault="00EC0C5D" w:rsidP="00EC0C5D">
      <w:pPr>
        <w:pStyle w:val="SQL"/>
      </w:pPr>
      <w:r>
        <w:t xml:space="preserve">UPDATE (ValidationRuleSet </w:t>
      </w:r>
    </w:p>
    <w:p w14:paraId="4BA90633" w14:textId="7C190502" w:rsidR="00EC0C5D" w:rsidRDefault="00EC0C5D" w:rsidP="00EC0C5D">
      <w:pPr>
        <w:pStyle w:val="SQL"/>
      </w:pPr>
      <w:r>
        <w:t xml:space="preserve">INNER JOIN [Module] ON Module.ModuleID = ValidationRuleSet.ModuleID) </w:t>
      </w:r>
    </w:p>
    <w:p w14:paraId="2E5FC252" w14:textId="3B4EA101" w:rsidR="00EC0C5D" w:rsidRDefault="00EC0C5D" w:rsidP="00EC0C5D">
      <w:pPr>
        <w:pStyle w:val="SQL"/>
      </w:pPr>
      <w:r>
        <w:t xml:space="preserve">INNER JOIN Taxonomy ON Taxonomy.TaxonomyID = Module.TaxonomyID </w:t>
      </w:r>
    </w:p>
    <w:p w14:paraId="2AAE9DEE" w14:textId="1F4F7871" w:rsidR="00EC0C5D" w:rsidRDefault="00EC0C5D" w:rsidP="00EC0C5D">
      <w:pPr>
        <w:pStyle w:val="SQL"/>
      </w:pPr>
      <w:r>
        <w:t xml:space="preserve">SET ValidationRuleSet.ValidationRuleSetCode = Switch( </w:t>
      </w:r>
    </w:p>
    <w:p w14:paraId="07ED7AA6" w14:textId="43DF49E7" w:rsidR="00EC0C5D" w:rsidRDefault="00EC0C5D" w:rsidP="00EC0C5D">
      <w:pPr>
        <w:pStyle w:val="SQL"/>
      </w:pPr>
      <w:r>
        <w:t xml:space="preserve">[dpmpackagecode]='2.5','2.5.0.1', </w:t>
      </w:r>
    </w:p>
    <w:p w14:paraId="064605D9" w14:textId="77777777" w:rsidR="00EC0C5D" w:rsidRDefault="00EC0C5D" w:rsidP="00EC0C5D">
      <w:pPr>
        <w:pStyle w:val="SQL"/>
      </w:pPr>
      <w:r>
        <w:t>[dpmpackagecode]='2.4.1','2.4.1.1',</w:t>
      </w:r>
    </w:p>
    <w:p w14:paraId="1BA0588F" w14:textId="6822FDBB" w:rsidR="00EC0C5D" w:rsidRDefault="00EC0C5D" w:rsidP="00EC0C5D">
      <w:pPr>
        <w:pStyle w:val="SQL"/>
      </w:pPr>
      <w:r>
        <w:t xml:space="preserve">[dpmpackagecode]='2.4','2.4.1.1', </w:t>
      </w:r>
    </w:p>
    <w:p w14:paraId="7172239D" w14:textId="216CCE78" w:rsidR="00EC0C5D" w:rsidRDefault="00EC0C5D" w:rsidP="00EC0C5D">
      <w:pPr>
        <w:pStyle w:val="SQL"/>
      </w:pPr>
      <w:r>
        <w:t xml:space="preserve">[dpmpackagecode]='2.3.2','2.3.2.0', </w:t>
      </w:r>
    </w:p>
    <w:p w14:paraId="3FA9ABF5" w14:textId="66399BC5" w:rsidR="00EC0C5D" w:rsidRDefault="00EC0C5D" w:rsidP="00EC0C5D">
      <w:pPr>
        <w:pStyle w:val="SQL"/>
      </w:pPr>
      <w:r>
        <w:t>[dpmpackagecode]='2.3.1','2.3.1.0',</w:t>
      </w:r>
    </w:p>
    <w:p w14:paraId="326BD264" w14:textId="77777777" w:rsidR="00EC0C5D" w:rsidRDefault="00EC0C5D" w:rsidP="00EC0C5D">
      <w:pPr>
        <w:pStyle w:val="SQL"/>
      </w:pPr>
      <w:r>
        <w:t>[dpmpackagecode]='2.3','2.3.0.0',</w:t>
      </w:r>
    </w:p>
    <w:p w14:paraId="02A67E4F" w14:textId="2936BC9C" w:rsidR="00EC0C5D" w:rsidRDefault="00EC0C5D" w:rsidP="00EC0C5D">
      <w:pPr>
        <w:pStyle w:val="SQL"/>
      </w:pPr>
      <w:r>
        <w:t xml:space="preserve">[dpmpackagecode]='2.2','2.2.0', </w:t>
      </w:r>
    </w:p>
    <w:p w14:paraId="484855DF" w14:textId="521F06BD" w:rsidR="00EC0C5D" w:rsidRDefault="00EC0C5D" w:rsidP="00EC0C5D">
      <w:pPr>
        <w:pStyle w:val="SQL"/>
      </w:pPr>
      <w:r>
        <w:t xml:space="preserve">[dpmpackagecode]='2.1','2.1.0.1' </w:t>
      </w:r>
    </w:p>
    <w:p w14:paraId="3068D943" w14:textId="7286253D" w:rsidR="00EC0C5D" w:rsidRPr="00EC0C5D" w:rsidRDefault="00EC0C5D" w:rsidP="00EC0C5D">
      <w:pPr>
        <w:pStyle w:val="SQL"/>
      </w:pPr>
      <w:r>
        <w:t>[dpmpackagecode]='2.0','2.0.1')</w:t>
      </w:r>
    </w:p>
    <w:p w14:paraId="64BBD39D" w14:textId="0F457131" w:rsidR="00452B9F" w:rsidRDefault="00452B9F" w:rsidP="00452B9F">
      <w:pPr>
        <w:pStyle w:val="bullet1"/>
        <w:rPr>
          <w:rFonts w:eastAsia="Times New Roman"/>
        </w:rPr>
      </w:pPr>
      <w:r>
        <w:rPr>
          <w:rFonts w:eastAsia="Times New Roman"/>
        </w:rPr>
        <w:t xml:space="preserve">Add </w:t>
      </w:r>
      <w:r w:rsidRPr="00452B9F">
        <w:rPr>
          <w:rFonts w:eastAsia="Times New Roman"/>
          <w:b/>
        </w:rPr>
        <w:t>Rows</w:t>
      </w:r>
      <w:r>
        <w:rPr>
          <w:rFonts w:eastAsia="Times New Roman"/>
        </w:rPr>
        <w:t xml:space="preserve">, </w:t>
      </w:r>
      <w:r w:rsidRPr="00452B9F">
        <w:rPr>
          <w:rFonts w:eastAsia="Times New Roman"/>
          <w:b/>
        </w:rPr>
        <w:t>Columns</w:t>
      </w:r>
      <w:r>
        <w:rPr>
          <w:rFonts w:eastAsia="Times New Roman"/>
        </w:rPr>
        <w:t xml:space="preserve">, </w:t>
      </w:r>
      <w:r w:rsidRPr="00452B9F">
        <w:rPr>
          <w:rFonts w:eastAsia="Times New Roman"/>
          <w:b/>
        </w:rPr>
        <w:t>Sheets</w:t>
      </w:r>
      <w:r>
        <w:rPr>
          <w:rFonts w:eastAsia="Times New Roman"/>
        </w:rPr>
        <w:t xml:space="preserve"> fields to </w:t>
      </w:r>
      <w:r w:rsidRPr="00452B9F">
        <w:rPr>
          <w:rFonts w:eastAsia="Times New Roman"/>
          <w:b/>
        </w:rPr>
        <w:t>ValidationRule</w:t>
      </w:r>
      <w:r>
        <w:rPr>
          <w:rFonts w:eastAsia="Times New Roman"/>
        </w:rPr>
        <w:t xml:space="preserve"> (just carry same information as currently included in Scope field, but in perhaps in a form easier to use/compare to published rule spreadsheet).</w:t>
      </w:r>
    </w:p>
    <w:p w14:paraId="23921DCD" w14:textId="5A86D0FF" w:rsidR="00452B9F" w:rsidRDefault="00452B9F" w:rsidP="00452B9F">
      <w:pPr>
        <w:pStyle w:val="bullet1"/>
        <w:rPr>
          <w:rFonts w:eastAsia="Times New Roman"/>
        </w:rPr>
      </w:pPr>
      <w:r>
        <w:rPr>
          <w:rFonts w:eastAsia="Times New Roman"/>
        </w:rPr>
        <w:t xml:space="preserve">Add </w:t>
      </w:r>
      <w:r w:rsidRPr="00452B9F">
        <w:rPr>
          <w:rFonts w:eastAsia="Times New Roman"/>
          <w:b/>
        </w:rPr>
        <w:t>NarrativeExplanation</w:t>
      </w:r>
      <w:r>
        <w:rPr>
          <w:rFonts w:eastAsia="Times New Roman"/>
        </w:rPr>
        <w:t xml:space="preserve"> field to </w:t>
      </w:r>
      <w:r w:rsidRPr="00452B9F">
        <w:rPr>
          <w:rFonts w:eastAsia="Times New Roman"/>
          <w:b/>
        </w:rPr>
        <w:t>ValidationRule</w:t>
      </w:r>
      <w:r>
        <w:rPr>
          <w:rFonts w:eastAsia="Times New Roman"/>
        </w:rPr>
        <w:t xml:space="preserve">. Intended to convey a more “business” relevant description or explanation of the validation rule (rather than the sometimes relatively complex or unintuitive formula). Only included for </w:t>
      </w:r>
      <w:r w:rsidR="00056A93">
        <w:rPr>
          <w:rFonts w:eastAsia="Times New Roman"/>
        </w:rPr>
        <w:t>a few</w:t>
      </w:r>
      <w:r>
        <w:rPr>
          <w:rFonts w:eastAsia="Times New Roman"/>
        </w:rPr>
        <w:t xml:space="preserve"> rules in this version, mostly as a demonstration. </w:t>
      </w:r>
    </w:p>
    <w:p w14:paraId="43855B36" w14:textId="77777777" w:rsidR="00056A93" w:rsidRPr="00056A93" w:rsidRDefault="00056A93" w:rsidP="00056A93">
      <w:pPr>
        <w:pStyle w:val="bullet1"/>
        <w:rPr>
          <w:rFonts w:eastAsia="Times New Roman"/>
          <w:i/>
          <w:sz w:val="20"/>
        </w:rPr>
      </w:pPr>
      <w:r w:rsidRPr="00056A93">
        <w:rPr>
          <w:rFonts w:eastAsia="Times New Roman"/>
          <w:i/>
          <w:sz w:val="20"/>
        </w:rPr>
        <w:t xml:space="preserve">Added </w:t>
      </w:r>
      <w:r w:rsidRPr="00056A93">
        <w:rPr>
          <w:rFonts w:eastAsia="Times New Roman"/>
          <w:b/>
          <w:i/>
          <w:sz w:val="20"/>
        </w:rPr>
        <w:t>Filter</w:t>
      </w:r>
      <w:r w:rsidRPr="00056A93">
        <w:rPr>
          <w:rFonts w:eastAsia="Times New Roman"/>
          <w:i/>
          <w:sz w:val="20"/>
        </w:rPr>
        <w:t xml:space="preserve"> field to both </w:t>
      </w:r>
      <w:r w:rsidRPr="00056A93">
        <w:rPr>
          <w:rFonts w:eastAsia="Times New Roman"/>
          <w:b/>
          <w:i/>
          <w:sz w:val="20"/>
        </w:rPr>
        <w:t>ValidationRule</w:t>
      </w:r>
      <w:r w:rsidRPr="00056A93">
        <w:rPr>
          <w:rFonts w:eastAsia="Times New Roman"/>
          <w:i/>
          <w:sz w:val="20"/>
        </w:rPr>
        <w:t xml:space="preserve"> (to represent a general filter on the rows to which a rule is applicable), and to </w:t>
      </w:r>
      <w:r w:rsidRPr="00056A93">
        <w:rPr>
          <w:rFonts w:eastAsia="Times New Roman"/>
          <w:b/>
          <w:i/>
          <w:sz w:val="20"/>
        </w:rPr>
        <w:t>SumOverOpenAxis</w:t>
      </w:r>
      <w:r w:rsidRPr="00056A93">
        <w:rPr>
          <w:rFonts w:eastAsia="Times New Roman"/>
          <w:i/>
          <w:sz w:val="20"/>
        </w:rPr>
        <w:t xml:space="preserve"> (to restrict the rows included when calculating a sum – e.g. for elements such as sum({C 103.00, (rNNN)} where [dim:eba_PBE] like "SMEC0004") – </w:t>
      </w:r>
      <w:r w:rsidRPr="00056A93">
        <w:rPr>
          <w:rFonts w:eastAsia="Times New Roman"/>
          <w:b/>
          <w:i/>
          <w:sz w:val="20"/>
        </w:rPr>
        <w:t>NOT CURRENTLY USED</w:t>
      </w:r>
    </w:p>
    <w:p w14:paraId="0DBA6A1C" w14:textId="77777777" w:rsidR="00056A93" w:rsidRPr="00056A93" w:rsidRDefault="00056A93" w:rsidP="00056A93">
      <w:pPr>
        <w:pStyle w:val="body"/>
      </w:pPr>
    </w:p>
    <w:p w14:paraId="6582C894" w14:textId="77777777" w:rsidR="00EE38D6" w:rsidRDefault="00EE38D6" w:rsidP="00EE38D6">
      <w:pPr>
        <w:pStyle w:val="Titlelevel2"/>
      </w:pPr>
      <w:r>
        <w:t>XBRL</w:t>
      </w:r>
    </w:p>
    <w:p w14:paraId="6A8CAFAC" w14:textId="339D498B" w:rsidR="00056A93" w:rsidRDefault="00056A93" w:rsidP="00056A93">
      <w:pPr>
        <w:pStyle w:val="body"/>
        <w:numPr>
          <w:ilvl w:val="0"/>
          <w:numId w:val="32"/>
        </w:numPr>
      </w:pPr>
      <w:r>
        <w:t xml:space="preserve">Update to the 1.0 </w:t>
      </w:r>
      <w:r w:rsidR="0061233C">
        <w:t>T</w:t>
      </w:r>
      <w:r>
        <w:t>able linkbase XBRL specification, rather than the “Dublin” PWD specification that had been in use previously.</w:t>
      </w:r>
    </w:p>
    <w:p w14:paraId="7F04A747" w14:textId="022414B7" w:rsidR="00056A93" w:rsidRDefault="00056A93" w:rsidP="00056A93">
      <w:pPr>
        <w:pStyle w:val="body"/>
        <w:numPr>
          <w:ilvl w:val="1"/>
          <w:numId w:val="32"/>
        </w:numPr>
      </w:pPr>
      <w:r>
        <w:t xml:space="preserve">Note that since this changes </w:t>
      </w:r>
      <w:r w:rsidRPr="00460093">
        <w:rPr>
          <w:u w:val="single"/>
        </w:rPr>
        <w:t>all</w:t>
      </w:r>
      <w:r>
        <w:t xml:space="preserve"> the table rendering definition files (although fairly trivially, just namespace changes and one new attribute) it effectively makes the 2.6 taxonomy release a new “baseline”, i.e. it does not references any previous files, unlike the “delta” approach of the previous version.</w:t>
      </w:r>
    </w:p>
    <w:p w14:paraId="2843852C" w14:textId="7F5F747B" w:rsidR="00EE38D6" w:rsidRDefault="00A946D4" w:rsidP="00EE38D6">
      <w:pPr>
        <w:pStyle w:val="body"/>
        <w:numPr>
          <w:ilvl w:val="0"/>
          <w:numId w:val="32"/>
        </w:numPr>
      </w:pPr>
      <w:r>
        <w:t>Introduction of A</w:t>
      </w:r>
      <w:r w:rsidR="00EE38D6">
        <w:t xml:space="preserve">ssertion severity </w:t>
      </w:r>
      <w:r>
        <w:t xml:space="preserve">1.0 </w:t>
      </w:r>
      <w:r w:rsidR="00056A93">
        <w:t xml:space="preserve">specification </w:t>
      </w:r>
      <w:r w:rsidR="00EE38D6">
        <w:t>usage (see above).</w:t>
      </w:r>
    </w:p>
    <w:p w14:paraId="0C651B72" w14:textId="17888D50" w:rsidR="00056A93" w:rsidRDefault="00056A93" w:rsidP="00EE38D6">
      <w:pPr>
        <w:pStyle w:val="body"/>
        <w:numPr>
          <w:ilvl w:val="0"/>
          <w:numId w:val="32"/>
        </w:numPr>
      </w:pPr>
      <w:bookmarkStart w:id="9" w:name="OLE_LINK21"/>
      <w:bookmarkStart w:id="10" w:name="OLE_LINK22"/>
      <w:r>
        <w:lastRenderedPageBreak/>
        <w:t xml:space="preserve">Addition of Extensible Enumeration </w:t>
      </w:r>
      <w:r w:rsidR="00A946D4">
        <w:t xml:space="preserve">1.0 </w:t>
      </w:r>
      <w:r>
        <w:t>specification attributes to metric</w:t>
      </w:r>
      <w:r w:rsidR="00A946D4">
        <w:t>s</w:t>
      </w:r>
      <w:r>
        <w:t xml:space="preserve"> that had previously used model attributes</w:t>
      </w:r>
      <w:r w:rsidR="0061233C">
        <w:rPr>
          <w:rStyle w:val="FootnoteReference"/>
        </w:rPr>
        <w:footnoteReference w:id="15"/>
      </w:r>
      <w:r>
        <w:t xml:space="preserve"> described by the EBA Architecture to convey the same information.</w:t>
      </w:r>
    </w:p>
    <w:p w14:paraId="4158C1B3" w14:textId="60893FE5" w:rsidR="00EE38D6" w:rsidRDefault="00EE38D6" w:rsidP="00EE38D6">
      <w:pPr>
        <w:pStyle w:val="body"/>
        <w:numPr>
          <w:ilvl w:val="0"/>
          <w:numId w:val="32"/>
        </w:numPr>
      </w:pPr>
      <w:r>
        <w:t xml:space="preserve">Examples </w:t>
      </w:r>
      <w:bookmarkEnd w:id="9"/>
      <w:bookmarkEnd w:id="10"/>
      <w:r>
        <w:t xml:space="preserve">of slightly improved error messages for some rules (see </w:t>
      </w:r>
      <w:r w:rsidRPr="00452B9F">
        <w:rPr>
          <w:rFonts w:eastAsia="Times New Roman"/>
          <w:b/>
        </w:rPr>
        <w:t>NarrativeExplanation</w:t>
      </w:r>
      <w:r>
        <w:rPr>
          <w:rFonts w:eastAsia="Times New Roman"/>
          <w:b/>
        </w:rPr>
        <w:t xml:space="preserve"> </w:t>
      </w:r>
      <w:r w:rsidRPr="00EE38D6">
        <w:t>above)</w:t>
      </w:r>
      <w:r>
        <w:t xml:space="preserve">. Changed usage/differentiation of different labels and error messages on validation rules </w:t>
      </w:r>
      <w:r w:rsidR="00056A93">
        <w:t xml:space="preserve">to provide differentiation </w:t>
      </w:r>
      <w:r>
        <w:t>(previously all were the same as shown below for terseMessage).</w:t>
      </w:r>
    </w:p>
    <w:tbl>
      <w:tblPr>
        <w:tblStyle w:val="EBAtable"/>
        <w:tblW w:w="0" w:type="auto"/>
        <w:tblLook w:val="04A0" w:firstRow="1" w:lastRow="0" w:firstColumn="1" w:lastColumn="0" w:noHBand="0" w:noVBand="1"/>
      </w:tblPr>
      <w:tblGrid>
        <w:gridCol w:w="1234"/>
        <w:gridCol w:w="1297"/>
        <w:gridCol w:w="2397"/>
        <w:gridCol w:w="4363"/>
      </w:tblGrid>
      <w:tr w:rsidR="00EE38D6" w:rsidRPr="00EE38D6" w14:paraId="4C075ABF" w14:textId="77777777" w:rsidTr="00A946D4">
        <w:trPr>
          <w:cnfStyle w:val="100000000000" w:firstRow="1" w:lastRow="0" w:firstColumn="0" w:lastColumn="0" w:oddVBand="0" w:evenVBand="0" w:oddHBand="0" w:evenHBand="0" w:firstRowFirstColumn="0" w:firstRowLastColumn="0" w:lastRowFirstColumn="0" w:lastRowLastColumn="0"/>
        </w:trPr>
        <w:tc>
          <w:tcPr>
            <w:tcW w:w="0" w:type="auto"/>
          </w:tcPr>
          <w:p w14:paraId="050BCC45" w14:textId="77777777" w:rsidR="00EE38D6" w:rsidRPr="00EE38D6" w:rsidRDefault="00EE38D6" w:rsidP="00637090">
            <w:pPr>
              <w:pStyle w:val="body"/>
              <w:rPr>
                <w:sz w:val="18"/>
              </w:rPr>
            </w:pPr>
            <w:r w:rsidRPr="00EE38D6">
              <w:rPr>
                <w:sz w:val="18"/>
              </w:rPr>
              <w:t>XBRL</w:t>
            </w:r>
          </w:p>
        </w:tc>
        <w:tc>
          <w:tcPr>
            <w:tcW w:w="0" w:type="auto"/>
          </w:tcPr>
          <w:p w14:paraId="30A8172F" w14:textId="77777777" w:rsidR="00EE38D6" w:rsidRPr="00EE38D6" w:rsidRDefault="00EE38D6" w:rsidP="00637090">
            <w:pPr>
              <w:pStyle w:val="body"/>
              <w:rPr>
                <w:sz w:val="18"/>
              </w:rPr>
            </w:pPr>
            <w:r w:rsidRPr="00EE38D6">
              <w:rPr>
                <w:sz w:val="18"/>
              </w:rPr>
              <w:t>DPM Architect</w:t>
            </w:r>
          </w:p>
        </w:tc>
        <w:tc>
          <w:tcPr>
            <w:tcW w:w="2397" w:type="dxa"/>
          </w:tcPr>
          <w:p w14:paraId="3B8E2EAE" w14:textId="77777777" w:rsidR="00EE38D6" w:rsidRPr="00EE38D6" w:rsidRDefault="00EE38D6" w:rsidP="00637090">
            <w:pPr>
              <w:pStyle w:val="body"/>
              <w:rPr>
                <w:sz w:val="18"/>
              </w:rPr>
            </w:pPr>
            <w:r w:rsidRPr="00EE38D6">
              <w:rPr>
                <w:sz w:val="18"/>
              </w:rPr>
              <w:t>Pattern</w:t>
            </w:r>
          </w:p>
        </w:tc>
        <w:tc>
          <w:tcPr>
            <w:tcW w:w="4363" w:type="dxa"/>
          </w:tcPr>
          <w:p w14:paraId="58A1A36C" w14:textId="77777777" w:rsidR="00EE38D6" w:rsidRPr="00EE38D6" w:rsidRDefault="00EE38D6" w:rsidP="00637090">
            <w:pPr>
              <w:pStyle w:val="body"/>
              <w:rPr>
                <w:sz w:val="18"/>
              </w:rPr>
            </w:pPr>
            <w:r w:rsidRPr="00EE38D6">
              <w:rPr>
                <w:sz w:val="18"/>
              </w:rPr>
              <w:t>Example</w:t>
            </w:r>
          </w:p>
        </w:tc>
      </w:tr>
      <w:tr w:rsidR="00EE38D6" w:rsidRPr="00EE38D6" w14:paraId="213F454A" w14:textId="77777777" w:rsidTr="00A946D4">
        <w:tc>
          <w:tcPr>
            <w:tcW w:w="0" w:type="auto"/>
          </w:tcPr>
          <w:p w14:paraId="51313C89" w14:textId="77777777" w:rsidR="00EE38D6" w:rsidRPr="00EE38D6" w:rsidRDefault="00EE38D6" w:rsidP="00637090">
            <w:pPr>
              <w:pStyle w:val="body"/>
              <w:rPr>
                <w:sz w:val="18"/>
              </w:rPr>
            </w:pPr>
            <w:r w:rsidRPr="00EE38D6">
              <w:rPr>
                <w:sz w:val="18"/>
              </w:rPr>
              <w:t>label</w:t>
            </w:r>
          </w:p>
        </w:tc>
        <w:tc>
          <w:tcPr>
            <w:tcW w:w="0" w:type="auto"/>
          </w:tcPr>
          <w:p w14:paraId="68EC23DE" w14:textId="77777777" w:rsidR="00EE38D6" w:rsidRPr="00EE38D6" w:rsidRDefault="00EE38D6" w:rsidP="00637090">
            <w:pPr>
              <w:pStyle w:val="body"/>
              <w:rPr>
                <w:sz w:val="18"/>
              </w:rPr>
            </w:pPr>
            <w:r w:rsidRPr="00EE38D6">
              <w:rPr>
                <w:sz w:val="18"/>
              </w:rPr>
              <w:t>Description</w:t>
            </w:r>
          </w:p>
        </w:tc>
        <w:tc>
          <w:tcPr>
            <w:tcW w:w="2397" w:type="dxa"/>
          </w:tcPr>
          <w:p w14:paraId="4628DC28" w14:textId="77777777" w:rsidR="00EE38D6" w:rsidRPr="00EE38D6" w:rsidRDefault="00EE38D6" w:rsidP="00637090">
            <w:pPr>
              <w:pStyle w:val="body"/>
              <w:jc w:val="left"/>
              <w:rPr>
                <w:b/>
                <w:sz w:val="14"/>
              </w:rPr>
            </w:pPr>
            <w:r w:rsidRPr="00EE38D6">
              <w:rPr>
                <w:b/>
                <w:sz w:val="14"/>
              </w:rPr>
              <w:t>code</w:t>
            </w:r>
          </w:p>
        </w:tc>
        <w:tc>
          <w:tcPr>
            <w:tcW w:w="4363" w:type="dxa"/>
          </w:tcPr>
          <w:p w14:paraId="2892C293" w14:textId="77777777" w:rsidR="00EE38D6" w:rsidRPr="00EE38D6" w:rsidRDefault="00EE38D6" w:rsidP="00637090">
            <w:pPr>
              <w:pStyle w:val="body"/>
              <w:jc w:val="left"/>
              <w:rPr>
                <w:sz w:val="14"/>
              </w:rPr>
            </w:pPr>
            <w:r w:rsidRPr="00EE38D6">
              <w:rPr>
                <w:sz w:val="14"/>
              </w:rPr>
              <w:t>v4915_m</w:t>
            </w:r>
          </w:p>
        </w:tc>
      </w:tr>
      <w:tr w:rsidR="00EE38D6" w:rsidRPr="00EE38D6" w14:paraId="111E61D2" w14:textId="77777777" w:rsidTr="00A946D4">
        <w:tc>
          <w:tcPr>
            <w:tcW w:w="0" w:type="auto"/>
          </w:tcPr>
          <w:p w14:paraId="1351F117" w14:textId="77777777" w:rsidR="00EE38D6" w:rsidRPr="00EE38D6" w:rsidRDefault="00EE38D6" w:rsidP="00637090">
            <w:pPr>
              <w:pStyle w:val="body"/>
              <w:rPr>
                <w:sz w:val="18"/>
              </w:rPr>
            </w:pPr>
            <w:r w:rsidRPr="00EE38D6">
              <w:rPr>
                <w:sz w:val="18"/>
              </w:rPr>
              <w:t>verboseLabel</w:t>
            </w:r>
          </w:p>
        </w:tc>
        <w:tc>
          <w:tcPr>
            <w:tcW w:w="0" w:type="auto"/>
          </w:tcPr>
          <w:p w14:paraId="499AC497" w14:textId="77777777" w:rsidR="00EE38D6" w:rsidRPr="00EE38D6" w:rsidRDefault="00EE38D6" w:rsidP="00637090">
            <w:pPr>
              <w:pStyle w:val="body"/>
              <w:rPr>
                <w:sz w:val="18"/>
              </w:rPr>
            </w:pPr>
            <w:r w:rsidRPr="00EE38D6">
              <w:rPr>
                <w:sz w:val="18"/>
              </w:rPr>
              <w:t>Extended description</w:t>
            </w:r>
          </w:p>
        </w:tc>
        <w:tc>
          <w:tcPr>
            <w:tcW w:w="2397" w:type="dxa"/>
          </w:tcPr>
          <w:p w14:paraId="5174A866" w14:textId="77777777" w:rsidR="00EE38D6" w:rsidRPr="00EE38D6" w:rsidRDefault="00EE38D6" w:rsidP="00637090">
            <w:pPr>
              <w:pStyle w:val="body"/>
              <w:jc w:val="left"/>
              <w:rPr>
                <w:sz w:val="14"/>
              </w:rPr>
            </w:pPr>
            <w:r w:rsidRPr="00EE38D6">
              <w:rPr>
                <w:b/>
                <w:sz w:val="14"/>
              </w:rPr>
              <w:t>code</w:t>
            </w:r>
            <w:r w:rsidRPr="00EE38D6">
              <w:rPr>
                <w:sz w:val="14"/>
              </w:rPr>
              <w:t xml:space="preserve">: </w:t>
            </w:r>
            <w:r w:rsidRPr="00EE38D6">
              <w:rPr>
                <w:b/>
                <w:sz w:val="14"/>
              </w:rPr>
              <w:t>explanation</w:t>
            </w:r>
            <w:r w:rsidRPr="00EE38D6">
              <w:rPr>
                <w:sz w:val="14"/>
              </w:rPr>
              <w:t xml:space="preserve"> --&gt; [</w:t>
            </w:r>
            <w:r w:rsidRPr="00EE38D6">
              <w:rPr>
                <w:b/>
                <w:sz w:val="14"/>
              </w:rPr>
              <w:t>scope</w:t>
            </w:r>
            <w:r w:rsidRPr="00EE38D6">
              <w:rPr>
                <w:sz w:val="14"/>
              </w:rPr>
              <w:t xml:space="preserve">] </w:t>
            </w:r>
            <w:r w:rsidRPr="00EE38D6">
              <w:rPr>
                <w:b/>
                <w:sz w:val="14"/>
              </w:rPr>
              <w:t>formula</w:t>
            </w:r>
          </w:p>
        </w:tc>
        <w:tc>
          <w:tcPr>
            <w:tcW w:w="4363" w:type="dxa"/>
          </w:tcPr>
          <w:p w14:paraId="036D3F34" w14:textId="77777777" w:rsidR="00EE38D6" w:rsidRPr="00EE38D6" w:rsidRDefault="00EE38D6" w:rsidP="00637090">
            <w:pPr>
              <w:pStyle w:val="body"/>
              <w:jc w:val="left"/>
              <w:rPr>
                <w:sz w:val="14"/>
              </w:rPr>
            </w:pPr>
            <w:r w:rsidRPr="00EE38D6">
              <w:rPr>
                <w:sz w:val="14"/>
              </w:rPr>
              <w:t>v4915_m: If Default Status is not "Defaulted" then the probability of default must not be 100% --&gt; [C 101.00 (All rows)] if {c070} != [eba_IM:x3] then {c060} != 1</w:t>
            </w:r>
          </w:p>
        </w:tc>
      </w:tr>
      <w:tr w:rsidR="00EE38D6" w:rsidRPr="00EE38D6" w14:paraId="4446B277" w14:textId="77777777" w:rsidTr="00A946D4">
        <w:tc>
          <w:tcPr>
            <w:tcW w:w="0" w:type="auto"/>
          </w:tcPr>
          <w:p w14:paraId="559B640B" w14:textId="77777777" w:rsidR="00EE38D6" w:rsidRPr="00EE38D6" w:rsidRDefault="00EE38D6" w:rsidP="00637090">
            <w:pPr>
              <w:pStyle w:val="body"/>
              <w:rPr>
                <w:sz w:val="18"/>
              </w:rPr>
            </w:pPr>
            <w:r w:rsidRPr="00EE38D6">
              <w:rPr>
                <w:sz w:val="18"/>
              </w:rPr>
              <w:t>terseMessage</w:t>
            </w:r>
          </w:p>
        </w:tc>
        <w:tc>
          <w:tcPr>
            <w:tcW w:w="0" w:type="auto"/>
          </w:tcPr>
          <w:p w14:paraId="4559E106" w14:textId="77777777" w:rsidR="00EE38D6" w:rsidRPr="00EE38D6" w:rsidRDefault="00EE38D6" w:rsidP="00637090">
            <w:pPr>
              <w:pStyle w:val="body"/>
              <w:rPr>
                <w:sz w:val="18"/>
              </w:rPr>
            </w:pPr>
            <w:r w:rsidRPr="00EE38D6">
              <w:rPr>
                <w:sz w:val="18"/>
              </w:rPr>
              <w:t>Custom message</w:t>
            </w:r>
          </w:p>
        </w:tc>
        <w:tc>
          <w:tcPr>
            <w:tcW w:w="2397" w:type="dxa"/>
          </w:tcPr>
          <w:p w14:paraId="241A73A8" w14:textId="77777777" w:rsidR="00EE38D6" w:rsidRPr="00EE38D6" w:rsidRDefault="00EE38D6" w:rsidP="00637090">
            <w:pPr>
              <w:pStyle w:val="body"/>
              <w:jc w:val="left"/>
              <w:rPr>
                <w:sz w:val="14"/>
              </w:rPr>
            </w:pPr>
            <w:r w:rsidRPr="00EE38D6">
              <w:rPr>
                <w:b/>
                <w:sz w:val="14"/>
              </w:rPr>
              <w:t>code</w:t>
            </w:r>
            <w:r w:rsidRPr="00EE38D6">
              <w:rPr>
                <w:sz w:val="14"/>
              </w:rPr>
              <w:t>: [</w:t>
            </w:r>
            <w:r w:rsidRPr="00EE38D6">
              <w:rPr>
                <w:b/>
                <w:sz w:val="14"/>
              </w:rPr>
              <w:t>scope</w:t>
            </w:r>
            <w:r w:rsidRPr="00EE38D6">
              <w:rPr>
                <w:sz w:val="14"/>
              </w:rPr>
              <w:t xml:space="preserve">] </w:t>
            </w:r>
            <w:r w:rsidRPr="00EE38D6">
              <w:rPr>
                <w:b/>
                <w:sz w:val="14"/>
              </w:rPr>
              <w:t>formula</w:t>
            </w:r>
          </w:p>
        </w:tc>
        <w:tc>
          <w:tcPr>
            <w:tcW w:w="4363" w:type="dxa"/>
          </w:tcPr>
          <w:p w14:paraId="25D3AAA8" w14:textId="77777777" w:rsidR="00EE38D6" w:rsidRPr="00EE38D6" w:rsidRDefault="00EE38D6" w:rsidP="00637090">
            <w:pPr>
              <w:pStyle w:val="body"/>
              <w:jc w:val="left"/>
              <w:rPr>
                <w:sz w:val="14"/>
              </w:rPr>
            </w:pPr>
            <w:r w:rsidRPr="00EE38D6">
              <w:rPr>
                <w:sz w:val="14"/>
              </w:rPr>
              <w:t>v4915_m: [C 101.00 (All rows)] if {c070} != [eba_IM:x3] then {c060} != 1</w:t>
            </w:r>
          </w:p>
        </w:tc>
      </w:tr>
      <w:tr w:rsidR="00EE38D6" w:rsidRPr="00EE38D6" w14:paraId="25898A6E" w14:textId="77777777" w:rsidTr="00A946D4">
        <w:tc>
          <w:tcPr>
            <w:tcW w:w="0" w:type="auto"/>
          </w:tcPr>
          <w:p w14:paraId="67396B5A" w14:textId="77777777" w:rsidR="00EE38D6" w:rsidRPr="00EE38D6" w:rsidRDefault="00EE38D6" w:rsidP="00637090">
            <w:pPr>
              <w:pStyle w:val="body"/>
              <w:rPr>
                <w:sz w:val="18"/>
              </w:rPr>
            </w:pPr>
            <w:r w:rsidRPr="00EE38D6">
              <w:rPr>
                <w:sz w:val="18"/>
              </w:rPr>
              <w:t>message</w:t>
            </w:r>
          </w:p>
        </w:tc>
        <w:tc>
          <w:tcPr>
            <w:tcW w:w="0" w:type="auto"/>
          </w:tcPr>
          <w:p w14:paraId="20D839A8" w14:textId="77777777" w:rsidR="00EE38D6" w:rsidRPr="00EE38D6" w:rsidRDefault="00EE38D6" w:rsidP="00637090">
            <w:pPr>
              <w:pStyle w:val="body"/>
              <w:rPr>
                <w:sz w:val="18"/>
              </w:rPr>
            </w:pPr>
            <w:r w:rsidRPr="00EE38D6">
              <w:rPr>
                <w:sz w:val="18"/>
              </w:rPr>
              <w:t>Message</w:t>
            </w:r>
          </w:p>
        </w:tc>
        <w:tc>
          <w:tcPr>
            <w:tcW w:w="2397" w:type="dxa"/>
          </w:tcPr>
          <w:p w14:paraId="2228B355" w14:textId="77777777" w:rsidR="00EE38D6" w:rsidRPr="00EE38D6" w:rsidRDefault="00EE38D6" w:rsidP="00637090">
            <w:pPr>
              <w:pStyle w:val="body"/>
              <w:jc w:val="left"/>
              <w:rPr>
                <w:sz w:val="14"/>
              </w:rPr>
            </w:pPr>
            <w:r w:rsidRPr="00EE38D6">
              <w:rPr>
                <w:b/>
                <w:sz w:val="14"/>
              </w:rPr>
              <w:t>code</w:t>
            </w:r>
            <w:r w:rsidRPr="00EE38D6">
              <w:rPr>
                <w:sz w:val="14"/>
              </w:rPr>
              <w:t xml:space="preserve">: </w:t>
            </w:r>
            <w:r w:rsidRPr="00EE38D6">
              <w:rPr>
                <w:b/>
                <w:sz w:val="14"/>
              </w:rPr>
              <w:t>explanation</w:t>
            </w:r>
            <w:r w:rsidRPr="00EE38D6">
              <w:rPr>
                <w:sz w:val="14"/>
              </w:rPr>
              <w:t xml:space="preserve"> --&gt; [</w:t>
            </w:r>
            <w:r w:rsidRPr="00EE38D6">
              <w:rPr>
                <w:b/>
                <w:sz w:val="14"/>
              </w:rPr>
              <w:t>scope</w:t>
            </w:r>
            <w:r w:rsidRPr="00EE38D6">
              <w:rPr>
                <w:sz w:val="14"/>
              </w:rPr>
              <w:t xml:space="preserve">] </w:t>
            </w:r>
            <w:r w:rsidRPr="00EE38D6">
              <w:rPr>
                <w:b/>
                <w:sz w:val="14"/>
              </w:rPr>
              <w:t>formula</w:t>
            </w:r>
          </w:p>
        </w:tc>
        <w:tc>
          <w:tcPr>
            <w:tcW w:w="4363" w:type="dxa"/>
          </w:tcPr>
          <w:p w14:paraId="0E747A6E" w14:textId="77777777" w:rsidR="00EE38D6" w:rsidRPr="00EE38D6" w:rsidRDefault="00EE38D6" w:rsidP="00637090">
            <w:pPr>
              <w:pStyle w:val="body"/>
              <w:jc w:val="left"/>
              <w:rPr>
                <w:sz w:val="14"/>
              </w:rPr>
            </w:pPr>
            <w:r w:rsidRPr="00EE38D6">
              <w:rPr>
                <w:sz w:val="14"/>
              </w:rPr>
              <w:t>v4915_m: If Default Status is not "Defaulted" then the probability of default must not be 100% --&gt; [C 101.00 (All rows)] if {c070} != [eba_IM:x3] then {c060} != 1</w:t>
            </w:r>
          </w:p>
        </w:tc>
      </w:tr>
    </w:tbl>
    <w:p w14:paraId="2105FFC6" w14:textId="77777777" w:rsidR="00A307D6" w:rsidRDefault="00A307D6" w:rsidP="00352DD9">
      <w:pPr>
        <w:contextualSpacing/>
      </w:pPr>
    </w:p>
    <w:p w14:paraId="2441FA9A" w14:textId="1C3F35AC" w:rsidR="00A307D6" w:rsidRDefault="00DB6D5C" w:rsidP="00352DD9">
      <w:pPr>
        <w:contextualSpacing/>
      </w:pPr>
      <w:r>
        <w:t>I</w:t>
      </w:r>
      <w:r w:rsidR="00A307D6">
        <w:t xml:space="preserve">ncluded </w:t>
      </w:r>
      <w:r>
        <w:t>is</w:t>
      </w:r>
      <w:r w:rsidR="00A307D6">
        <w:t xml:space="preserve"> the usual plain “archive of all relevant files” for 2.6 (or earlier versions), </w:t>
      </w:r>
      <w:r w:rsidR="00A307D6" w:rsidRPr="00A307D6">
        <w:t>FullTaxonomy.2.6.0.0.7z</w:t>
      </w:r>
    </w:p>
    <w:p w14:paraId="1FA5A3AD" w14:textId="77777777" w:rsidR="00637090" w:rsidRDefault="00637090" w:rsidP="00637090">
      <w:pPr>
        <w:ind w:left="360"/>
      </w:pPr>
    </w:p>
    <w:p w14:paraId="24454A4A" w14:textId="77777777" w:rsidR="002B431C" w:rsidRDefault="002B431C">
      <w:pPr>
        <w:rPr>
          <w:rFonts w:asciiTheme="majorHAnsi" w:eastAsiaTheme="majorEastAsia" w:hAnsiTheme="majorHAnsi" w:cstheme="majorBidi"/>
          <w:i/>
          <w:color w:val="2F5773" w:themeColor="text2"/>
          <w:spacing w:val="5"/>
          <w:kern w:val="28"/>
          <w:sz w:val="52"/>
          <w:szCs w:val="52"/>
        </w:rPr>
      </w:pPr>
      <w:r>
        <w:rPr>
          <w:i/>
        </w:rPr>
        <w:br w:type="page"/>
      </w:r>
    </w:p>
    <w:p w14:paraId="33003281" w14:textId="4BF8D662" w:rsidR="009D1FF0" w:rsidRDefault="009D1FF0" w:rsidP="009D1FF0">
      <w:pPr>
        <w:pStyle w:val="Titlelevel1"/>
        <w:rPr>
          <w:i/>
        </w:rPr>
      </w:pPr>
      <w:r>
        <w:rPr>
          <w:i/>
        </w:rPr>
        <w:lastRenderedPageBreak/>
        <w:t>v2.5</w:t>
      </w:r>
      <w:r w:rsidRPr="00E47786">
        <w:rPr>
          <w:i/>
        </w:rPr>
        <w:t>.</w:t>
      </w:r>
      <w:r>
        <w:rPr>
          <w:i/>
        </w:rPr>
        <w:t>0.1 and v2.4.1.1</w:t>
      </w:r>
      <w:r w:rsidR="0045148F">
        <w:rPr>
          <w:i/>
        </w:rPr>
        <w:t xml:space="preserve"> </w:t>
      </w:r>
    </w:p>
    <w:p w14:paraId="1ABD5978" w14:textId="075A100F" w:rsidR="008C6146" w:rsidRDefault="008C6146" w:rsidP="00B37B93">
      <w:pPr>
        <w:pStyle w:val="Titlelevel2"/>
      </w:pPr>
      <w:r>
        <w:t xml:space="preserve">Summary </w:t>
      </w:r>
    </w:p>
    <w:p w14:paraId="4E5F244B" w14:textId="1E4943A5" w:rsidR="009D1FF0" w:rsidRDefault="00433B41" w:rsidP="00B37B93">
      <w:r>
        <w:t>“Instance compatible” patch to c</w:t>
      </w:r>
      <w:r w:rsidR="009D1FF0">
        <w:t>orrect validation rule implementation error affecting rules on table C 75</w:t>
      </w:r>
      <w:r w:rsidR="00F66EEB">
        <w:rPr>
          <w:rStyle w:val="FootnoteReference"/>
        </w:rPr>
        <w:footnoteReference w:id="16"/>
      </w:r>
      <w:r w:rsidR="002317E2">
        <w:t>, and removing invalid rules applied to tables C 101-103</w:t>
      </w:r>
      <w:r w:rsidR="002317E2">
        <w:rPr>
          <w:rStyle w:val="FootnoteReference"/>
        </w:rPr>
        <w:footnoteReference w:id="17"/>
      </w:r>
      <w:r w:rsidR="002317E2">
        <w:t>.</w:t>
      </w:r>
    </w:p>
    <w:p w14:paraId="2526B118" w14:textId="50EAAF97" w:rsidR="008C6146" w:rsidRDefault="008C6146" w:rsidP="008C6146">
      <w:pPr>
        <w:pStyle w:val="Titlelevel2"/>
      </w:pPr>
      <w:r>
        <w:t>Impact</w:t>
      </w:r>
    </w:p>
    <w:p w14:paraId="720134DC" w14:textId="5C90F67B" w:rsidR="008C6146" w:rsidRDefault="008C6146" w:rsidP="009D1FF0">
      <w:r>
        <w:t>This patch is implemented in the form of changes to some of the XBRL files specified by previous</w:t>
      </w:r>
      <w:r w:rsidR="00455509">
        <w:t xml:space="preserve"> taxonomy</w:t>
      </w:r>
      <w:r>
        <w:t xml:space="preserve"> </w:t>
      </w:r>
      <w:r w:rsidR="00455509">
        <w:t>releases.</w:t>
      </w:r>
    </w:p>
    <w:p w14:paraId="032E0719" w14:textId="77777777" w:rsidR="008C6146" w:rsidRDefault="008C6146" w:rsidP="009D1FF0"/>
    <w:p w14:paraId="6A4D85B1" w14:textId="5DFA89F6" w:rsidR="008C6146" w:rsidRDefault="008C6146" w:rsidP="009D1FF0">
      <w:r>
        <w:t xml:space="preserve">Note that since this patch release merely corrects some taxonomy files involved in specific validation rule implementations, </w:t>
      </w:r>
      <w:r w:rsidR="00455509">
        <w:t xml:space="preserve">and does not change the structure (table layout, allowed cells, enumerations/lists of values etc.) of the reporting requirements </w:t>
      </w:r>
      <w:r>
        <w:t>it is possible for parties utilising different parallel</w:t>
      </w:r>
      <w:r w:rsidR="00455509">
        <w:rPr>
          <w:rStyle w:val="FootnoteReference"/>
        </w:rPr>
        <w:footnoteReference w:id="18"/>
      </w:r>
      <w:r>
        <w:t xml:space="preserve"> minor revisions of the taxonomy to successfully exchange instance files and to structural validate them (since identical instance files would result/be defined by either version).</w:t>
      </w:r>
    </w:p>
    <w:p w14:paraId="42F2A719" w14:textId="77777777" w:rsidR="008C6146" w:rsidRDefault="008C6146" w:rsidP="009D1FF0"/>
    <w:p w14:paraId="60D4B411" w14:textId="45E1FF1E" w:rsidR="008C6146" w:rsidRDefault="008C6146" w:rsidP="009D1FF0">
      <w:r>
        <w:t>Two such parties w</w:t>
      </w:r>
      <w:r w:rsidR="007B6124">
        <w:t>ill</w:t>
      </w:r>
      <w:r>
        <w:t xml:space="preserve"> differ only in the validation results (XBRL assertion formula output) the</w:t>
      </w:r>
      <w:r w:rsidR="007B6124">
        <w:t>y will</w:t>
      </w:r>
      <w:r>
        <w:t xml:space="preserve"> obtain for a given file</w:t>
      </w:r>
      <w:r w:rsidR="00455509">
        <w:t>. Therefore if a party does not wish to update to these latest versions then</w:t>
      </w:r>
      <w:r w:rsidR="007B6124">
        <w:t>,</w:t>
      </w:r>
      <w:r w:rsidR="00455509">
        <w:t xml:space="preserve"> provided they make appropriate provisions to deal with any potential incorrect validation results they may produce locally</w:t>
      </w:r>
      <w:r w:rsidR="00455509">
        <w:rPr>
          <w:rStyle w:val="FootnoteReference"/>
        </w:rPr>
        <w:footnoteReference w:id="19"/>
      </w:r>
      <w:r w:rsidR="00455509">
        <w:t>, they would be able to continue to utilise the prior version successfully with no necessary impact on the reporting chain.</w:t>
      </w:r>
      <w:r w:rsidR="00455509">
        <w:rPr>
          <w:rStyle w:val="FootnoteReference"/>
        </w:rPr>
        <w:footnoteReference w:id="20"/>
      </w:r>
      <w:r w:rsidR="00455509">
        <w:t xml:space="preserve"> </w:t>
      </w:r>
      <w:r>
        <w:t xml:space="preserve"> </w:t>
      </w:r>
    </w:p>
    <w:p w14:paraId="679E3B97" w14:textId="77777777" w:rsidR="008C6146" w:rsidRDefault="008C6146" w:rsidP="009D1FF0"/>
    <w:p w14:paraId="78DFB5CF" w14:textId="3E9263C9" w:rsidR="008C6146" w:rsidRDefault="008C6146" w:rsidP="009D1FF0">
      <w:r>
        <w:t xml:space="preserve">As such, the impact of this release is considered low. </w:t>
      </w:r>
    </w:p>
    <w:p w14:paraId="46BEF860" w14:textId="77777777" w:rsidR="00B37B93" w:rsidRDefault="00B37B93" w:rsidP="00B37B93">
      <w:pPr>
        <w:pStyle w:val="Titlelevel2"/>
      </w:pPr>
      <w:r>
        <w:t>DPM / Reporting content changes:</w:t>
      </w:r>
    </w:p>
    <w:p w14:paraId="4939BAC5" w14:textId="2D764CE4" w:rsidR="00B37B93" w:rsidRDefault="00B37B93" w:rsidP="009D1FF0">
      <w:r>
        <w:t>No changes to the fundamental reporting content, just corrections to implementation in order to more closely align with reporting content as intended by the validation rule specification spreadsheets.</w:t>
      </w:r>
    </w:p>
    <w:p w14:paraId="3F10F5F8" w14:textId="77777777" w:rsidR="002317E2" w:rsidRDefault="002317E2" w:rsidP="009D1FF0"/>
    <w:p w14:paraId="087B4887" w14:textId="1D695A73" w:rsidR="002317E2" w:rsidRDefault="002317E2" w:rsidP="009D1FF0">
      <w:r>
        <w:t>Three validation rules deactivated/removed (v4741_h-v4743_h) as they applied numerical addition relationships to non-numeric &amp; non-additive values in error.</w:t>
      </w:r>
    </w:p>
    <w:p w14:paraId="07A7C8B8" w14:textId="77777777" w:rsidR="009D1FF0" w:rsidRDefault="009D1FF0" w:rsidP="009D1FF0">
      <w:pPr>
        <w:pStyle w:val="Titlelevel2"/>
      </w:pPr>
      <w:r w:rsidRPr="002C21E9">
        <w:t>DPM</w:t>
      </w:r>
      <w:r>
        <w:t xml:space="preserve"> DB</w:t>
      </w:r>
      <w:r w:rsidRPr="002C21E9">
        <w:t xml:space="preserve"> Changes</w:t>
      </w:r>
    </w:p>
    <w:p w14:paraId="51462874" w14:textId="1DDC8E41" w:rsidR="009D1FF0" w:rsidRDefault="009D1FF0" w:rsidP="009D1FF0">
      <w:pPr>
        <w:pStyle w:val="ListParagraph"/>
        <w:numPr>
          <w:ilvl w:val="0"/>
          <w:numId w:val="23"/>
        </w:numPr>
      </w:pPr>
      <w:r>
        <w:t>Removal of erroneous ordinates from sums</w:t>
      </w:r>
    </w:p>
    <w:p w14:paraId="20775ABE" w14:textId="559298D7" w:rsidR="009D1FF0" w:rsidRPr="002F1FBD" w:rsidRDefault="000669A1" w:rsidP="002F1FBD">
      <w:pPr>
        <w:pStyle w:val="SQL"/>
      </w:pPr>
      <w:r>
        <w:lastRenderedPageBreak/>
        <w:t>delete from SumOfManyO</w:t>
      </w:r>
      <w:r w:rsidR="009D1FF0" w:rsidRPr="002F1FBD">
        <w:t>rdinates</w:t>
      </w:r>
    </w:p>
    <w:p w14:paraId="6C22A1D8" w14:textId="32CFD408" w:rsidR="009D1FF0" w:rsidRPr="002F1FBD" w:rsidRDefault="009D1FF0" w:rsidP="002F1FBD">
      <w:pPr>
        <w:pStyle w:val="SQL"/>
      </w:pPr>
      <w:r w:rsidRPr="002F1FBD">
        <w:t>where VariableCode = "b" and OrdinateId in (39953,39962,39971,39980,39989,39998,40007,40016,40043,45051,40052,45060,45069,40061,40070,45078,40079,45087,40088,45096,40097,45105,40106,45114);</w:t>
      </w:r>
    </w:p>
    <w:p w14:paraId="314A163A" w14:textId="77777777" w:rsidR="00433B41" w:rsidRDefault="00433B41" w:rsidP="009D1FF0">
      <w:pPr>
        <w:ind w:left="720"/>
        <w:rPr>
          <w:sz w:val="16"/>
          <w:szCs w:val="16"/>
        </w:rPr>
      </w:pPr>
    </w:p>
    <w:p w14:paraId="2D6E1E92" w14:textId="3F0A0124" w:rsidR="00433B41" w:rsidRDefault="00433B41" w:rsidP="00433B41">
      <w:pPr>
        <w:pStyle w:val="ListParagraph"/>
        <w:numPr>
          <w:ilvl w:val="0"/>
          <w:numId w:val="23"/>
        </w:numPr>
      </w:pPr>
      <w:r>
        <w:t>Correction of one attribute for one formula variable ordinate association</w:t>
      </w:r>
    </w:p>
    <w:p w14:paraId="71380A4E" w14:textId="77777777" w:rsidR="009D1FF0" w:rsidRPr="002F1FBD" w:rsidRDefault="009D1FF0" w:rsidP="002F1FBD">
      <w:pPr>
        <w:pStyle w:val="SQL"/>
      </w:pPr>
      <w:r w:rsidRPr="002F1FBD">
        <w:t>update OrdinateVariable</w:t>
      </w:r>
    </w:p>
    <w:p w14:paraId="0DF03C70" w14:textId="77777777" w:rsidR="009D1FF0" w:rsidRPr="002F1FBD" w:rsidRDefault="009D1FF0" w:rsidP="002F1FBD">
      <w:pPr>
        <w:pStyle w:val="SQL"/>
      </w:pPr>
      <w:r w:rsidRPr="002F1FBD">
        <w:t xml:space="preserve">set IsScopeFilter = 0 </w:t>
      </w:r>
    </w:p>
    <w:p w14:paraId="544B4FF4" w14:textId="77777777" w:rsidR="009D1FF0" w:rsidRPr="002F1FBD" w:rsidRDefault="009D1FF0" w:rsidP="002F1FBD">
      <w:pPr>
        <w:pStyle w:val="SQL"/>
      </w:pPr>
      <w:r w:rsidRPr="002F1FBD">
        <w:t>where Expressionid =13314 and VariableCode = "a" and Ordinateid = 39953;</w:t>
      </w:r>
    </w:p>
    <w:p w14:paraId="5BFAB042" w14:textId="77777777" w:rsidR="00EF4B8E" w:rsidRPr="009D1FF0" w:rsidRDefault="00EF4B8E" w:rsidP="009D1FF0">
      <w:pPr>
        <w:ind w:left="720"/>
        <w:rPr>
          <w:sz w:val="16"/>
          <w:szCs w:val="16"/>
        </w:rPr>
      </w:pPr>
    </w:p>
    <w:p w14:paraId="4CC04EDA" w14:textId="080A135C" w:rsidR="0023080F" w:rsidRDefault="00EF4B8E" w:rsidP="009D1FF0">
      <w:pPr>
        <w:pStyle w:val="ListParagraph"/>
        <w:numPr>
          <w:ilvl w:val="0"/>
          <w:numId w:val="23"/>
        </w:numPr>
      </w:pPr>
      <w:r>
        <w:t>(Incidental) Adjustment of start date for v2.4 line</w:t>
      </w:r>
      <w:r w:rsidR="00972653">
        <w:t xml:space="preserve">, </w:t>
      </w:r>
      <w:r>
        <w:t>now</w:t>
      </w:r>
      <w:r w:rsidR="00972653">
        <w:t xml:space="preserve"> that </w:t>
      </w:r>
      <w:r w:rsidR="00F66EEB">
        <w:t xml:space="preserve">LR &amp; </w:t>
      </w:r>
      <w:r>
        <w:t>LCR delegated act reporting commencement date has been set by European Commission via publication of ITS in Official Journal:</w:t>
      </w:r>
    </w:p>
    <w:p w14:paraId="77C3C1BD" w14:textId="77777777" w:rsidR="002F1FBD" w:rsidRPr="002F1FBD" w:rsidRDefault="002F1FBD" w:rsidP="002F1FBD">
      <w:pPr>
        <w:pStyle w:val="SQL"/>
      </w:pPr>
      <w:r w:rsidRPr="002F1FBD">
        <w:t xml:space="preserve">update Taxonomy </w:t>
      </w:r>
    </w:p>
    <w:p w14:paraId="7712C072" w14:textId="77777777" w:rsidR="00972653" w:rsidRDefault="002F1FBD" w:rsidP="002F1FBD">
      <w:pPr>
        <w:pStyle w:val="SQL"/>
      </w:pPr>
      <w:r w:rsidRPr="002F1FBD">
        <w:t xml:space="preserve">set FromDate = switch(FromDate=#03/30/2016#, #09/29/2016#,  </w:t>
      </w:r>
    </w:p>
    <w:p w14:paraId="2BEC667F" w14:textId="5C304A2A" w:rsidR="002F1FBD" w:rsidRPr="002F1FBD" w:rsidRDefault="00972653" w:rsidP="002F1FBD">
      <w:pPr>
        <w:pStyle w:val="SQL"/>
      </w:pPr>
      <w:r>
        <w:t xml:space="preserve">                      </w:t>
      </w:r>
      <w:r w:rsidR="002F1FBD" w:rsidRPr="002F1FBD">
        <w:t>FromDate=#03/31/2016#, #09/30/2016#,  true,</w:t>
      </w:r>
      <w:r>
        <w:t xml:space="preserve"> </w:t>
      </w:r>
      <w:r w:rsidR="002F1FBD" w:rsidRPr="002F1FBD">
        <w:t>FromDate),</w:t>
      </w:r>
    </w:p>
    <w:p w14:paraId="141DC6EF" w14:textId="77777777" w:rsidR="00972653" w:rsidRDefault="002F1FBD" w:rsidP="002F1FBD">
      <w:pPr>
        <w:pStyle w:val="SQL"/>
      </w:pPr>
      <w:r w:rsidRPr="002F1FBD">
        <w:t xml:space="preserve">    ToDate = switch(ToDa</w:t>
      </w:r>
      <w:r w:rsidR="00972653">
        <w:t xml:space="preserve">te=#03/30/2016#, #09/29/2016#, </w:t>
      </w:r>
    </w:p>
    <w:p w14:paraId="4F8FD60F" w14:textId="73FE4ED0" w:rsidR="002F1FBD" w:rsidRPr="002F1FBD" w:rsidRDefault="00972653" w:rsidP="002F1FBD">
      <w:pPr>
        <w:pStyle w:val="SQL"/>
      </w:pPr>
      <w:r>
        <w:t xml:space="preserve"> </w:t>
      </w:r>
      <w:r>
        <w:tab/>
      </w:r>
      <w:r>
        <w:tab/>
        <w:t xml:space="preserve"> </w:t>
      </w:r>
      <w:r w:rsidR="000669A1">
        <w:t xml:space="preserve">    </w:t>
      </w:r>
      <w:r w:rsidR="002F1FBD" w:rsidRPr="002F1FBD">
        <w:t>ToDate=#03/31/2016#, #09/30/2016#,  true,</w:t>
      </w:r>
      <w:r>
        <w:t xml:space="preserve"> </w:t>
      </w:r>
      <w:r w:rsidR="002F1FBD" w:rsidRPr="002F1FBD">
        <w:t>ToDate);</w:t>
      </w:r>
    </w:p>
    <w:p w14:paraId="02F46401" w14:textId="77777777" w:rsidR="002F1FBD" w:rsidRPr="002F1FBD" w:rsidRDefault="002F1FBD" w:rsidP="002F1FBD">
      <w:pPr>
        <w:pStyle w:val="SQL"/>
      </w:pPr>
    </w:p>
    <w:p w14:paraId="1F6EF0EE" w14:textId="03CAEF2D" w:rsidR="002F1FBD" w:rsidRPr="002F1FBD" w:rsidRDefault="002F1FBD" w:rsidP="002F1FBD">
      <w:pPr>
        <w:pStyle w:val="SQL"/>
      </w:pPr>
      <w:r w:rsidRPr="002F1FBD">
        <w:t xml:space="preserve">update </w:t>
      </w:r>
      <w:r w:rsidR="00972653">
        <w:t>C</w:t>
      </w:r>
      <w:r w:rsidRPr="002F1FBD">
        <w:t xml:space="preserve">oncept </w:t>
      </w:r>
    </w:p>
    <w:p w14:paraId="465365BD" w14:textId="77777777" w:rsidR="00972653" w:rsidRDefault="00972653" w:rsidP="00972653">
      <w:pPr>
        <w:pStyle w:val="SQL"/>
      </w:pPr>
      <w:r w:rsidRPr="002F1FBD">
        <w:t xml:space="preserve">set FromDate = switch(FromDate=#03/30/2016#, #09/29/2016#,  </w:t>
      </w:r>
    </w:p>
    <w:p w14:paraId="0872CE11" w14:textId="77777777" w:rsidR="00972653" w:rsidRPr="002F1FBD" w:rsidRDefault="00972653" w:rsidP="00972653">
      <w:pPr>
        <w:pStyle w:val="SQL"/>
      </w:pPr>
      <w:r>
        <w:t xml:space="preserve">                      </w:t>
      </w:r>
      <w:r w:rsidRPr="002F1FBD">
        <w:t>FromDate=#03/31/2016#, #09/30/2016#,  true,</w:t>
      </w:r>
      <w:r>
        <w:t xml:space="preserve"> </w:t>
      </w:r>
      <w:r w:rsidRPr="002F1FBD">
        <w:t>FromDate),</w:t>
      </w:r>
    </w:p>
    <w:p w14:paraId="375823D0" w14:textId="77777777" w:rsidR="00972653" w:rsidRDefault="00972653" w:rsidP="00972653">
      <w:pPr>
        <w:pStyle w:val="SQL"/>
      </w:pPr>
      <w:r w:rsidRPr="002F1FBD">
        <w:t xml:space="preserve">    ToDate = switch(ToDa</w:t>
      </w:r>
      <w:r>
        <w:t xml:space="preserve">te=#03/30/2016#, #09/29/2016#, </w:t>
      </w:r>
    </w:p>
    <w:p w14:paraId="4B62C0E6" w14:textId="7E22722D" w:rsidR="00972653" w:rsidRPr="002F1FBD" w:rsidRDefault="00972653" w:rsidP="00972653">
      <w:pPr>
        <w:pStyle w:val="SQL"/>
      </w:pPr>
      <w:r>
        <w:t xml:space="preserve"> </w:t>
      </w:r>
      <w:r>
        <w:tab/>
      </w:r>
      <w:r>
        <w:tab/>
        <w:t xml:space="preserve"> </w:t>
      </w:r>
      <w:r w:rsidR="000669A1">
        <w:t xml:space="preserve">    </w:t>
      </w:r>
      <w:r w:rsidRPr="002F1FBD">
        <w:t>ToDate=#03/31/2016#, #09/30/2016#,  true,</w:t>
      </w:r>
      <w:r>
        <w:t xml:space="preserve"> </w:t>
      </w:r>
      <w:r w:rsidRPr="002F1FBD">
        <w:t>ToDate);</w:t>
      </w:r>
    </w:p>
    <w:p w14:paraId="51CAC3BE" w14:textId="77777777" w:rsidR="00EF4B8E" w:rsidRDefault="00EF4B8E" w:rsidP="00EF4B8E">
      <w:pPr>
        <w:ind w:left="720"/>
        <w:rPr>
          <w:sz w:val="16"/>
          <w:szCs w:val="16"/>
        </w:rPr>
      </w:pPr>
    </w:p>
    <w:p w14:paraId="4B59F23E" w14:textId="594A9A73" w:rsidR="00972653" w:rsidRPr="002F1FBD" w:rsidRDefault="00972653" w:rsidP="00972653">
      <w:pPr>
        <w:pStyle w:val="SQL"/>
      </w:pPr>
      <w:r w:rsidRPr="002F1FBD">
        <w:t xml:space="preserve">update </w:t>
      </w:r>
      <w:r>
        <w:t>DataPointVersion</w:t>
      </w:r>
      <w:r w:rsidRPr="002F1FBD">
        <w:t xml:space="preserve"> </w:t>
      </w:r>
    </w:p>
    <w:p w14:paraId="54AF0512" w14:textId="77777777" w:rsidR="00972653" w:rsidRDefault="00972653" w:rsidP="00972653">
      <w:pPr>
        <w:pStyle w:val="SQL"/>
      </w:pPr>
      <w:r w:rsidRPr="002F1FBD">
        <w:t xml:space="preserve">set FromDate = switch(FromDate=#03/30/2016#, #09/29/2016#,  </w:t>
      </w:r>
    </w:p>
    <w:p w14:paraId="5962677E" w14:textId="77777777" w:rsidR="00972653" w:rsidRPr="002F1FBD" w:rsidRDefault="00972653" w:rsidP="00972653">
      <w:pPr>
        <w:pStyle w:val="SQL"/>
      </w:pPr>
      <w:r>
        <w:t xml:space="preserve">                      </w:t>
      </w:r>
      <w:r w:rsidRPr="002F1FBD">
        <w:t>FromDate=#03/31/2016#, #09/30/2016#,  true,</w:t>
      </w:r>
      <w:r>
        <w:t xml:space="preserve"> </w:t>
      </w:r>
      <w:r w:rsidRPr="002F1FBD">
        <w:t>FromDate),</w:t>
      </w:r>
    </w:p>
    <w:p w14:paraId="2F293274" w14:textId="77777777" w:rsidR="00972653" w:rsidRDefault="00972653" w:rsidP="00972653">
      <w:pPr>
        <w:pStyle w:val="SQL"/>
      </w:pPr>
      <w:r w:rsidRPr="002F1FBD">
        <w:t xml:space="preserve">    ToDate = switch(ToDa</w:t>
      </w:r>
      <w:r>
        <w:t xml:space="preserve">te=#03/30/2016#, #09/29/2016#, </w:t>
      </w:r>
    </w:p>
    <w:p w14:paraId="5A815246" w14:textId="0A8328DA" w:rsidR="00972653" w:rsidRDefault="00972653" w:rsidP="00972653">
      <w:pPr>
        <w:pStyle w:val="SQL"/>
      </w:pPr>
      <w:r>
        <w:t xml:space="preserve"> </w:t>
      </w:r>
      <w:r>
        <w:tab/>
      </w:r>
      <w:r>
        <w:tab/>
        <w:t xml:space="preserve"> </w:t>
      </w:r>
      <w:r w:rsidR="000669A1">
        <w:t xml:space="preserve">    </w:t>
      </w:r>
      <w:r w:rsidRPr="002F1FBD">
        <w:t>ToDate=#03/31/2016#, #09/30/2016#,  true,</w:t>
      </w:r>
      <w:r>
        <w:t xml:space="preserve"> </w:t>
      </w:r>
      <w:r w:rsidRPr="002F1FBD">
        <w:t>ToDate);</w:t>
      </w:r>
    </w:p>
    <w:p w14:paraId="6ECD3D1B" w14:textId="77777777" w:rsidR="00972653" w:rsidRPr="002F1FBD" w:rsidRDefault="00972653" w:rsidP="00972653">
      <w:pPr>
        <w:pStyle w:val="SQL"/>
      </w:pPr>
    </w:p>
    <w:p w14:paraId="07F17944" w14:textId="453A75FD" w:rsidR="00972653" w:rsidRPr="002F1FBD" w:rsidRDefault="00972653" w:rsidP="00972653">
      <w:pPr>
        <w:pStyle w:val="SQL"/>
      </w:pPr>
      <w:r w:rsidRPr="002F1FBD">
        <w:t xml:space="preserve">update </w:t>
      </w:r>
      <w:r>
        <w:t>TableVersion</w:t>
      </w:r>
      <w:r w:rsidRPr="002F1FBD">
        <w:t xml:space="preserve"> </w:t>
      </w:r>
    </w:p>
    <w:p w14:paraId="55C5E4F1" w14:textId="77777777" w:rsidR="00972653" w:rsidRDefault="00972653" w:rsidP="00972653">
      <w:pPr>
        <w:pStyle w:val="SQL"/>
      </w:pPr>
      <w:r w:rsidRPr="002F1FBD">
        <w:t xml:space="preserve">set FromDate = switch(FromDate=#03/30/2016#, #09/29/2016#,  </w:t>
      </w:r>
    </w:p>
    <w:p w14:paraId="23ECD715" w14:textId="77777777" w:rsidR="00972653" w:rsidRPr="002F1FBD" w:rsidRDefault="00972653" w:rsidP="00972653">
      <w:pPr>
        <w:pStyle w:val="SQL"/>
      </w:pPr>
      <w:r>
        <w:t xml:space="preserve">                      </w:t>
      </w:r>
      <w:r w:rsidRPr="002F1FBD">
        <w:t>FromDate=#03/31/2016#, #09/30/2016#,  true,</w:t>
      </w:r>
      <w:r>
        <w:t xml:space="preserve"> </w:t>
      </w:r>
      <w:r w:rsidRPr="002F1FBD">
        <w:t>FromDate),</w:t>
      </w:r>
    </w:p>
    <w:p w14:paraId="5003F8D3" w14:textId="77777777" w:rsidR="00972653" w:rsidRDefault="00972653" w:rsidP="00972653">
      <w:pPr>
        <w:pStyle w:val="SQL"/>
      </w:pPr>
      <w:r w:rsidRPr="002F1FBD">
        <w:t xml:space="preserve">    ToDate = switch(ToDa</w:t>
      </w:r>
      <w:r>
        <w:t xml:space="preserve">te=#03/30/2016#, #09/29/2016#, </w:t>
      </w:r>
    </w:p>
    <w:p w14:paraId="436D9955" w14:textId="64C2FA73" w:rsidR="00972653" w:rsidRPr="002F1FBD" w:rsidRDefault="00972653" w:rsidP="00972653">
      <w:pPr>
        <w:pStyle w:val="SQL"/>
      </w:pPr>
      <w:r>
        <w:t xml:space="preserve"> </w:t>
      </w:r>
      <w:r>
        <w:tab/>
      </w:r>
      <w:r>
        <w:tab/>
        <w:t xml:space="preserve"> </w:t>
      </w:r>
      <w:r w:rsidR="000669A1">
        <w:t xml:space="preserve">    </w:t>
      </w:r>
      <w:r w:rsidRPr="002F1FBD">
        <w:t>ToDate=#03/31/2016#, #09/30/2016#,  true,</w:t>
      </w:r>
      <w:r>
        <w:t xml:space="preserve"> </w:t>
      </w:r>
      <w:r w:rsidRPr="002F1FBD">
        <w:t>ToDate);</w:t>
      </w:r>
    </w:p>
    <w:p w14:paraId="0FEB2793" w14:textId="77777777" w:rsidR="00972653" w:rsidRPr="00EF4B8E" w:rsidRDefault="00972653" w:rsidP="00EF4B8E">
      <w:pPr>
        <w:ind w:left="720"/>
        <w:rPr>
          <w:sz w:val="16"/>
          <w:szCs w:val="16"/>
        </w:rPr>
      </w:pPr>
    </w:p>
    <w:p w14:paraId="60EDE6EA" w14:textId="77777777" w:rsidR="00B37B93" w:rsidRDefault="00B37B93" w:rsidP="00B37B93">
      <w:pPr>
        <w:pStyle w:val="Titlelevel2"/>
      </w:pPr>
      <w:r>
        <w:t>XBRL</w:t>
      </w:r>
      <w:r w:rsidRPr="002C21E9">
        <w:t xml:space="preserve"> Changes</w:t>
      </w:r>
    </w:p>
    <w:p w14:paraId="089DF1D1" w14:textId="59993B47" w:rsidR="0023080F" w:rsidRDefault="00B37B93" w:rsidP="0045148F">
      <w:pPr>
        <w:pStyle w:val="Titlelevel3"/>
      </w:pPr>
      <w:r>
        <w:t>For 2.4.1.1 (c.f. release 2.4.1.0)</w:t>
      </w:r>
      <w:r w:rsidR="0045148F">
        <w:t xml:space="preserve"> and 2.5.0.1 (c.f. release 2.5.0.0):</w:t>
      </w:r>
      <w:r>
        <w:t>:</w:t>
      </w:r>
    </w:p>
    <w:p w14:paraId="2E70991A" w14:textId="77777777" w:rsidR="00B37B93" w:rsidRDefault="00B37B93" w:rsidP="00B37B93">
      <w:pPr>
        <w:rPr>
          <w:sz w:val="16"/>
          <w:szCs w:val="16"/>
        </w:rPr>
      </w:pPr>
    </w:p>
    <w:p w14:paraId="3D7F831F" w14:textId="627B41B7" w:rsidR="00B37B93" w:rsidRDefault="0045148F" w:rsidP="0045148F">
      <w:pPr>
        <w:pStyle w:val="ListParagraph"/>
        <w:numPr>
          <w:ilvl w:val="0"/>
          <w:numId w:val="23"/>
        </w:numPr>
      </w:pPr>
      <w:r>
        <w:t xml:space="preserve">COREP </w:t>
      </w:r>
      <w:r w:rsidR="00CD1A55">
        <w:t>“</w:t>
      </w:r>
      <w:r>
        <w:t>2.2.1</w:t>
      </w:r>
      <w:r w:rsidR="00CD1A55">
        <w:t>”</w:t>
      </w:r>
      <w:r>
        <w:t xml:space="preserve"> (from set 2.4.1) and </w:t>
      </w:r>
      <w:r w:rsidR="00CD1A55">
        <w:t>“</w:t>
      </w:r>
      <w:r>
        <w:t>2.2.</w:t>
      </w:r>
      <w:r w:rsidR="00CD1A55">
        <w:t>2”</w:t>
      </w:r>
      <w:r>
        <w:t xml:space="preserve"> (from set 2.5.0): </w:t>
      </w:r>
      <w:r w:rsidR="00B37B93" w:rsidRPr="0045148F">
        <w:t>Change in assertion set for C75.00.a and C75.00.w, addition</w:t>
      </w:r>
      <w:r>
        <w:t>/correction</w:t>
      </w:r>
      <w:r w:rsidR="00B37B93" w:rsidRPr="0045148F">
        <w:t xml:space="preserve"> of local versions of validation rule files for rules v4533-454</w:t>
      </w:r>
      <w:r w:rsidR="008C6146">
        <w:t>9 and v4672-4688</w:t>
      </w:r>
      <w:r w:rsidR="00B37B93" w:rsidRPr="0045148F">
        <w:t>), change to module schema files for COREP_LCR entry points</w:t>
      </w:r>
      <w:r>
        <w:t xml:space="preserve"> </w:t>
      </w:r>
      <w:r w:rsidR="00B37B93" w:rsidRPr="0045148F">
        <w:t xml:space="preserve"> to reference the local versions of the corrected validation rule files </w:t>
      </w:r>
      <w:r>
        <w:t xml:space="preserve">where previously </w:t>
      </w:r>
      <w:r w:rsidRPr="0045148F">
        <w:t xml:space="preserve">the </w:t>
      </w:r>
      <w:r w:rsidR="00B37B93" w:rsidRPr="0045148F">
        <w:t xml:space="preserve">2.4.0.0 </w:t>
      </w:r>
      <w:r w:rsidRPr="0045148F">
        <w:t xml:space="preserve">taxonomy </w:t>
      </w:r>
      <w:r w:rsidR="00CD1A55">
        <w:t xml:space="preserve">set </w:t>
      </w:r>
      <w:r w:rsidR="00B37B93" w:rsidRPr="0045148F">
        <w:t>version</w:t>
      </w:r>
      <w:r w:rsidRPr="0045148F">
        <w:t>s of these files</w:t>
      </w:r>
      <w:r>
        <w:t xml:space="preserve"> were </w:t>
      </w:r>
      <w:r w:rsidRPr="0045148F">
        <w:t>directly reference</w:t>
      </w:r>
      <w:r>
        <w:t>d</w:t>
      </w:r>
      <w:r w:rsidR="00B37B93" w:rsidRPr="0045148F">
        <w:t>.</w:t>
      </w:r>
    </w:p>
    <w:p w14:paraId="50151380" w14:textId="6EE5FF2D" w:rsidR="00B37B93" w:rsidRPr="0045148F" w:rsidRDefault="002317E2" w:rsidP="0045148F">
      <w:pPr>
        <w:pStyle w:val="ListParagraph"/>
        <w:numPr>
          <w:ilvl w:val="0"/>
          <w:numId w:val="23"/>
        </w:numPr>
      </w:pPr>
      <w:r>
        <w:t>SBP “1.0.3” from 2.5 line: commenting out of link between SBP_IND and SBP_CON modules and validation rules v4741_h-v4743_h.</w:t>
      </w:r>
    </w:p>
    <w:p w14:paraId="5FBB5275" w14:textId="077BB71C" w:rsidR="00B37B93" w:rsidRDefault="0045148F" w:rsidP="0045148F">
      <w:pPr>
        <w:pStyle w:val="ListParagraph"/>
        <w:numPr>
          <w:ilvl w:val="0"/>
          <w:numId w:val="23"/>
        </w:numPr>
      </w:pPr>
      <w:r>
        <w:t xml:space="preserve">(Incidental) </w:t>
      </w:r>
      <w:r w:rsidR="00B37B93" w:rsidRPr="0045148F">
        <w:t>Change of to / from date metadata attributes in various dictionary schema files, and tax.xsd</w:t>
      </w:r>
      <w:r>
        <w:t xml:space="preserve"> files for 2.3 and 2.4 line COREP, FINREP and SBP reporting taxonomies </w:t>
      </w:r>
      <w:r w:rsidR="00B37B93" w:rsidRPr="0045148F">
        <w:t xml:space="preserve">with now known start date for 2.4.x taxonomy line (i.e. end March 2016 </w:t>
      </w:r>
      <w:r>
        <w:t xml:space="preserve">dates </w:t>
      </w:r>
      <w:r w:rsidR="00B37B93" w:rsidRPr="0045148F">
        <w:t>changed to end September 2016</w:t>
      </w:r>
      <w:r>
        <w:t xml:space="preserve"> dates</w:t>
      </w:r>
      <w:r w:rsidR="00B37B93" w:rsidRPr="0045148F">
        <w:t>).</w:t>
      </w:r>
    </w:p>
    <w:p w14:paraId="029F7521" w14:textId="77777777" w:rsidR="008C6146" w:rsidRDefault="008C6146" w:rsidP="008C6146">
      <w:pPr>
        <w:pStyle w:val="ListParagraph"/>
      </w:pPr>
    </w:p>
    <w:p w14:paraId="35406640" w14:textId="77777777" w:rsidR="008C6146" w:rsidRDefault="008C6146" w:rsidP="008C6146">
      <w:pPr>
        <w:pStyle w:val="ListParagraph"/>
      </w:pPr>
    </w:p>
    <w:p w14:paraId="37650E03" w14:textId="594F4F91" w:rsidR="0045148F" w:rsidRDefault="008C6146" w:rsidP="008C6146">
      <w:r>
        <w:lastRenderedPageBreak/>
        <w:t>Note that the taxonomy packages included are laid out in directories so as to indicate both the changes in this version vs 2.5.0 / 2.4.1, and the changes that were made to them in 2.5.0/2.4.1</w:t>
      </w:r>
    </w:p>
    <w:p w14:paraId="2DAF03DC" w14:textId="77777777" w:rsidR="00625D93" w:rsidRPr="0045148F" w:rsidRDefault="00625D93" w:rsidP="008C6146"/>
    <w:p w14:paraId="55B5EA66" w14:textId="182A831A" w:rsidR="00AD231B" w:rsidRDefault="00AD231B" w:rsidP="00923CC5">
      <w:pPr>
        <w:pStyle w:val="Titlelevel1"/>
        <w:rPr>
          <w:i/>
        </w:rPr>
      </w:pPr>
      <w:r>
        <w:rPr>
          <w:i/>
        </w:rPr>
        <w:t>v2.5</w:t>
      </w:r>
      <w:r w:rsidRPr="00E47786">
        <w:rPr>
          <w:i/>
        </w:rPr>
        <w:t>.</w:t>
      </w:r>
      <w:r>
        <w:rPr>
          <w:i/>
        </w:rPr>
        <w:t xml:space="preserve">0 </w:t>
      </w:r>
      <w:r w:rsidRPr="00E47786">
        <w:rPr>
          <w:i/>
        </w:rPr>
        <w:t>(“201</w:t>
      </w:r>
      <w:r>
        <w:rPr>
          <w:i/>
        </w:rPr>
        <w:t>6</w:t>
      </w:r>
      <w:r w:rsidRPr="00E47786">
        <w:rPr>
          <w:i/>
        </w:rPr>
        <w:t>-</w:t>
      </w:r>
      <w:r>
        <w:rPr>
          <w:i/>
        </w:rPr>
        <w:t>A”</w:t>
      </w:r>
      <w:r w:rsidRPr="00E47786">
        <w:rPr>
          <w:i/>
        </w:rPr>
        <w:t>)</w:t>
      </w:r>
    </w:p>
    <w:p w14:paraId="5CD8344B" w14:textId="77777777" w:rsidR="008350C5" w:rsidRDefault="008350C5" w:rsidP="008350C5">
      <w:pPr>
        <w:pStyle w:val="Titlelevel2"/>
      </w:pPr>
      <w:bookmarkStart w:id="13" w:name="OLE_LINK16"/>
      <w:r>
        <w:t>Summary and Impact</w:t>
      </w:r>
    </w:p>
    <w:p w14:paraId="6DD4151E" w14:textId="56E44AAD" w:rsidR="008350C5" w:rsidRDefault="008350C5" w:rsidP="008350C5">
      <w:r>
        <w:t>This release implements general evolution of the EBA reporting frameworks. All of the EBA frameworks and reports are affected, though the degree of change is not extensive. Changes are in general relatively minor adjustments, corrections and enhancements, with only limited additional data requirements.</w:t>
      </w:r>
    </w:p>
    <w:p w14:paraId="008DF6C0" w14:textId="77777777" w:rsidR="008350C5" w:rsidRDefault="008350C5" w:rsidP="008350C5"/>
    <w:p w14:paraId="5AB4DABE" w14:textId="4D7A7466" w:rsidR="008350C5" w:rsidRPr="008350C5" w:rsidRDefault="008350C5" w:rsidP="008350C5">
      <w:pPr>
        <w:ind w:left="720"/>
        <w:rPr>
          <w:i/>
        </w:rPr>
      </w:pPr>
      <w:r w:rsidRPr="008350C5">
        <w:rPr>
          <w:i/>
        </w:rPr>
        <w:t xml:space="preserve">Implementation effort for participants is not expected to be </w:t>
      </w:r>
      <w:r>
        <w:rPr>
          <w:i/>
        </w:rPr>
        <w:t>large</w:t>
      </w:r>
      <w:r w:rsidRPr="008350C5">
        <w:rPr>
          <w:i/>
        </w:rPr>
        <w:t>.</w:t>
      </w:r>
    </w:p>
    <w:p w14:paraId="08E3BFD8" w14:textId="77777777" w:rsidR="00A526CE" w:rsidRDefault="00A526CE" w:rsidP="00A526CE">
      <w:pPr>
        <w:pStyle w:val="Titlelevel2"/>
      </w:pPr>
      <w:bookmarkStart w:id="14" w:name="OLE_LINK12"/>
      <w:bookmarkStart w:id="15" w:name="OLE_LINK13"/>
      <w:bookmarkEnd w:id="13"/>
      <w:r w:rsidRPr="00AF5AA3">
        <w:t>Purpose</w:t>
      </w:r>
    </w:p>
    <w:bookmarkEnd w:id="14"/>
    <w:bookmarkEnd w:id="15"/>
    <w:p w14:paraId="2443897A" w14:textId="18B79101" w:rsidR="00A526CE" w:rsidRDefault="00B2759E" w:rsidP="00183058">
      <w:pPr>
        <w:pStyle w:val="ListParagraph"/>
        <w:numPr>
          <w:ilvl w:val="0"/>
          <w:numId w:val="21"/>
        </w:numPr>
      </w:pPr>
      <w:r>
        <w:t>Primarily c</w:t>
      </w:r>
      <w:r w:rsidR="00A526CE">
        <w:t>orrections and changes to FINREP and COREP:</w:t>
      </w:r>
    </w:p>
    <w:p w14:paraId="4DFDD626" w14:textId="77777777" w:rsidR="00A526CE" w:rsidRDefault="00A526CE" w:rsidP="00183058">
      <w:pPr>
        <w:pStyle w:val="ListParagraph"/>
        <w:numPr>
          <w:ilvl w:val="1"/>
          <w:numId w:val="21"/>
        </w:numPr>
      </w:pPr>
      <w:r>
        <w:t>Changes to FINREP as regards GAAP reporters</w:t>
      </w:r>
    </w:p>
    <w:p w14:paraId="1E0D5EED" w14:textId="77777777" w:rsidR="00A526CE" w:rsidRDefault="00A526CE" w:rsidP="00183058">
      <w:pPr>
        <w:pStyle w:val="ListParagraph"/>
        <w:numPr>
          <w:ilvl w:val="1"/>
          <w:numId w:val="21"/>
        </w:numPr>
      </w:pPr>
      <w:r>
        <w:t>Changes to COREP to align with CCB disclosure</w:t>
      </w:r>
    </w:p>
    <w:p w14:paraId="01FF6BE4" w14:textId="77777777" w:rsidR="00A526CE" w:rsidRDefault="00A526CE" w:rsidP="00183058">
      <w:pPr>
        <w:pStyle w:val="ListParagraph"/>
        <w:numPr>
          <w:ilvl w:val="0"/>
          <w:numId w:val="21"/>
        </w:numPr>
      </w:pPr>
      <w:r>
        <w:t>Implementation at the XBRL level of the additional Asset Encumbrance validation rules that were added to the validation rule spreadsheet in v2.4</w:t>
      </w:r>
    </w:p>
    <w:p w14:paraId="2D1DA64D" w14:textId="3B7E0B03" w:rsidR="0000662A" w:rsidRDefault="0000662A" w:rsidP="00183058">
      <w:pPr>
        <w:pStyle w:val="ListParagraph"/>
        <w:numPr>
          <w:ilvl w:val="0"/>
          <w:numId w:val="21"/>
        </w:numPr>
      </w:pPr>
      <w:r>
        <w:t>Minor changes and corrections to the other frameworks.</w:t>
      </w:r>
    </w:p>
    <w:p w14:paraId="55B5EA67" w14:textId="2C5E4D14" w:rsidR="00394670" w:rsidRDefault="00BC7A7F" w:rsidP="00BC7A7F">
      <w:pPr>
        <w:pStyle w:val="Titlelevel2"/>
      </w:pPr>
      <w:r>
        <w:t xml:space="preserve">DPM / </w:t>
      </w:r>
      <w:r w:rsidR="0060474C">
        <w:t>Reporting content</w:t>
      </w:r>
      <w:r w:rsidR="00394670">
        <w:t xml:space="preserve"> changes:</w:t>
      </w:r>
    </w:p>
    <w:p w14:paraId="55B5EA68" w14:textId="48DCBE42" w:rsidR="00394670" w:rsidRDefault="001A4D91" w:rsidP="00AD231B">
      <w:r>
        <w:t>(see “</w:t>
      </w:r>
      <w:r w:rsidR="00A526CE" w:rsidRPr="00F14EAF">
        <w:t>Summary Differences 2.5 to 2.4.docx</w:t>
      </w:r>
      <w:r>
        <w:t>” file for more detail of changes)</w:t>
      </w:r>
    </w:p>
    <w:p w14:paraId="55B5EA69" w14:textId="77777777" w:rsidR="00BC7A7F" w:rsidRPr="00BC7A7F" w:rsidRDefault="00BC7A7F" w:rsidP="00BC7A7F">
      <w:pPr>
        <w:pStyle w:val="Titlelevel3"/>
      </w:pPr>
      <w:r w:rsidRPr="00BC7A7F">
        <w:t xml:space="preserve">COREP </w:t>
      </w:r>
    </w:p>
    <w:p w14:paraId="59394D6D" w14:textId="7518892C" w:rsidR="001A4D91" w:rsidRPr="0000662A" w:rsidRDefault="00113BFD" w:rsidP="00183058">
      <w:pPr>
        <w:pStyle w:val="ListParagraph"/>
        <w:numPr>
          <w:ilvl w:val="0"/>
          <w:numId w:val="28"/>
        </w:numPr>
        <w:rPr>
          <w:rFonts w:ascii="Calibri" w:eastAsia="Times New Roman" w:hAnsi="Calibri" w:cs="Times New Roman"/>
          <w:color w:val="000000"/>
          <w:szCs w:val="22"/>
        </w:rPr>
      </w:pPr>
      <w:r>
        <w:t>C 09.03 table deleted, replaced with C09.04</w:t>
      </w:r>
      <w:r w:rsidR="001A4D91">
        <w:t xml:space="preserve"> requesting a wider set of data related to the Countercyclical buffer calculation.</w:t>
      </w:r>
    </w:p>
    <w:p w14:paraId="16472928" w14:textId="74E97EB7" w:rsidR="001A4D91" w:rsidRPr="0000662A" w:rsidRDefault="001A4D91" w:rsidP="00183058">
      <w:pPr>
        <w:pStyle w:val="ListParagraph"/>
        <w:numPr>
          <w:ilvl w:val="0"/>
          <w:numId w:val="28"/>
        </w:numPr>
        <w:rPr>
          <w:rFonts w:ascii="Calibri" w:eastAsia="Times New Roman" w:hAnsi="Calibri" w:cs="Times New Roman"/>
          <w:color w:val="000000"/>
          <w:szCs w:val="22"/>
        </w:rPr>
      </w:pPr>
      <w:r w:rsidRPr="0000662A">
        <w:rPr>
          <w:rFonts w:ascii="Calibri" w:eastAsia="Times New Roman" w:hAnsi="Calibri" w:cs="Times New Roman"/>
          <w:color w:val="000000"/>
          <w:szCs w:val="22"/>
        </w:rPr>
        <w:t>Additions to the currency codes noted below, impacting C 51-54, 60, 61, 66-76.</w:t>
      </w:r>
    </w:p>
    <w:p w14:paraId="55B5EA6B" w14:textId="77777777" w:rsidR="00BC7A7F" w:rsidRPr="00BC7A7F" w:rsidRDefault="00BC7A7F" w:rsidP="00BC7A7F">
      <w:pPr>
        <w:pStyle w:val="Titlelevel3"/>
      </w:pPr>
      <w:r w:rsidRPr="00BC7A7F">
        <w:t>FINREP</w:t>
      </w:r>
    </w:p>
    <w:p w14:paraId="55B5EA6C" w14:textId="5AC2D339" w:rsidR="00394670" w:rsidRDefault="00394670" w:rsidP="00183058">
      <w:pPr>
        <w:pStyle w:val="ListParagraph"/>
        <w:numPr>
          <w:ilvl w:val="0"/>
          <w:numId w:val="27"/>
        </w:numPr>
      </w:pPr>
      <w:r w:rsidRPr="00394670">
        <w:t>Nesting of row</w:t>
      </w:r>
      <w:r w:rsidR="00024782">
        <w:t xml:space="preserve">s in F_18.00 and F_19.00 corrected. Previously rows 010 to 170 did </w:t>
      </w:r>
      <w:r w:rsidRPr="00394670">
        <w:t>not appear to be chi</w:t>
      </w:r>
      <w:r w:rsidR="00024782">
        <w:t>ldren of row 180 but rather had</w:t>
      </w:r>
      <w:r w:rsidRPr="00394670">
        <w:t xml:space="preserve"> no par</w:t>
      </w:r>
      <w:r w:rsidR="00024782">
        <w:t xml:space="preserve">ent, and rows 190 to 310 appeared </w:t>
      </w:r>
      <w:r w:rsidRPr="00394670">
        <w:t>as children of row 180 ins</w:t>
      </w:r>
      <w:r w:rsidR="00C27FA7">
        <w:t>tead. Note this is the first use of a different value for ParentBeforeChildren field in AxisOrdinate</w:t>
      </w:r>
      <w:r w:rsidR="00AF39A0">
        <w:t xml:space="preserve"> table of DPM database.</w:t>
      </w:r>
    </w:p>
    <w:p w14:paraId="55B5EA6D" w14:textId="77777777" w:rsidR="00DD74C7" w:rsidRPr="00BC7A7F" w:rsidRDefault="00BC7A7F" w:rsidP="00BC7A7F">
      <w:pPr>
        <w:pStyle w:val="Titlelevel3"/>
      </w:pPr>
      <w:r w:rsidRPr="00BC7A7F">
        <w:lastRenderedPageBreak/>
        <w:t xml:space="preserve">Funding </w:t>
      </w:r>
      <w:r>
        <w:t>P</w:t>
      </w:r>
      <w:r w:rsidRPr="00BC7A7F">
        <w:t>lans</w:t>
      </w:r>
      <w:r w:rsidR="00AB25CF" w:rsidRPr="00BC7A7F">
        <w:tab/>
      </w:r>
    </w:p>
    <w:p w14:paraId="55B5EA6E" w14:textId="4135C94E" w:rsidR="00DD74C7" w:rsidRPr="0000662A" w:rsidRDefault="00DD74C7" w:rsidP="00183058">
      <w:pPr>
        <w:pStyle w:val="ListParagraph"/>
        <w:numPr>
          <w:ilvl w:val="0"/>
          <w:numId w:val="26"/>
        </w:numPr>
        <w:rPr>
          <w:rFonts w:ascii="Calibri" w:eastAsia="Times New Roman" w:hAnsi="Calibri" w:cs="Times New Roman"/>
          <w:color w:val="000000"/>
          <w:szCs w:val="22"/>
        </w:rPr>
      </w:pPr>
      <w:r w:rsidRPr="0000662A">
        <w:rPr>
          <w:rFonts w:ascii="Calibri" w:eastAsia="Times New Roman" w:hAnsi="Calibri" w:cs="Times New Roman"/>
          <w:color w:val="000000"/>
          <w:szCs w:val="22"/>
        </w:rPr>
        <w:t>Renumber</w:t>
      </w:r>
      <w:r w:rsidR="00AF39A0" w:rsidRPr="0000662A">
        <w:rPr>
          <w:rFonts w:ascii="Calibri" w:eastAsia="Times New Roman" w:hAnsi="Calibri" w:cs="Times New Roman"/>
          <w:color w:val="000000"/>
          <w:szCs w:val="22"/>
        </w:rPr>
        <w:t>ed</w:t>
      </w:r>
      <w:r w:rsidRPr="0000662A">
        <w:rPr>
          <w:rFonts w:ascii="Calibri" w:eastAsia="Times New Roman" w:hAnsi="Calibri" w:cs="Times New Roman"/>
          <w:color w:val="000000"/>
          <w:szCs w:val="22"/>
        </w:rPr>
        <w:t>/corrected P02.06 row 049 to 039 (to reflect correct position in layout), this shuffles the XBRL hierarchy, such that 040 is now correctly the child of this row (rather than erroneously being included with rows 010-030).</w:t>
      </w:r>
    </w:p>
    <w:p w14:paraId="55B5EA6F" w14:textId="77777777" w:rsidR="00BC7A7F" w:rsidRDefault="00BC7A7F" w:rsidP="00BC7A7F">
      <w:pPr>
        <w:pStyle w:val="Titlelevel3"/>
        <w:rPr>
          <w:rFonts w:eastAsia="Times New Roman"/>
        </w:rPr>
      </w:pPr>
      <w:r>
        <w:rPr>
          <w:rFonts w:eastAsia="Times New Roman"/>
        </w:rPr>
        <w:t>Benchmarking (SBP)</w:t>
      </w:r>
    </w:p>
    <w:p w14:paraId="55B5EA70" w14:textId="47787E64" w:rsidR="00BC7A7F" w:rsidRPr="0000662A" w:rsidRDefault="00BC7A7F" w:rsidP="00183058">
      <w:pPr>
        <w:pStyle w:val="ListParagraph"/>
        <w:numPr>
          <w:ilvl w:val="0"/>
          <w:numId w:val="25"/>
        </w:numPr>
        <w:rPr>
          <w:rFonts w:ascii="Calibri" w:eastAsia="Times New Roman" w:hAnsi="Calibri" w:cs="Times New Roman"/>
          <w:color w:val="0070C0"/>
          <w:szCs w:val="22"/>
        </w:rPr>
      </w:pPr>
      <w:r w:rsidRPr="0000662A">
        <w:rPr>
          <w:rFonts w:ascii="Calibri" w:eastAsia="Times New Roman" w:hAnsi="Calibri" w:cs="Times New Roman"/>
          <w:color w:val="000000"/>
          <w:szCs w:val="22"/>
        </w:rPr>
        <w:t xml:space="preserve">Tables C101-103 </w:t>
      </w:r>
      <w:r w:rsidR="00AF39A0" w:rsidRPr="0000662A">
        <w:rPr>
          <w:rFonts w:ascii="Calibri" w:eastAsia="Times New Roman" w:hAnsi="Calibri" w:cs="Times New Roman"/>
          <w:color w:val="000000"/>
          <w:szCs w:val="22"/>
        </w:rPr>
        <w:t xml:space="preserve">are </w:t>
      </w:r>
      <w:r w:rsidRPr="0000662A">
        <w:rPr>
          <w:rFonts w:ascii="Calibri" w:eastAsia="Times New Roman" w:hAnsi="Calibri" w:cs="Times New Roman"/>
          <w:color w:val="000000"/>
          <w:szCs w:val="22"/>
        </w:rPr>
        <w:t>each split into 3 sheets (one each for “Credit risk, counterparty credit risk and free deliveries” , “Credit risk and free deliveries”  and “Counterparty credit risk”) – rather than all implicitly being “Credit risk, counterparty credit risk and free deliveries”.</w:t>
      </w:r>
    </w:p>
    <w:p w14:paraId="55B5EA71" w14:textId="77777777" w:rsidR="006E587D" w:rsidRDefault="006E587D" w:rsidP="00BC7A7F">
      <w:pPr>
        <w:pStyle w:val="Titlelevel3"/>
      </w:pPr>
      <w:r>
        <w:t>Asset Encumbrance (AE)</w:t>
      </w:r>
    </w:p>
    <w:p w14:paraId="0146DBA8" w14:textId="2D3CB818" w:rsidR="0095121B" w:rsidRPr="0000662A" w:rsidRDefault="00C132AD" w:rsidP="00183058">
      <w:pPr>
        <w:pStyle w:val="ListParagraph"/>
        <w:numPr>
          <w:ilvl w:val="0"/>
          <w:numId w:val="24"/>
        </w:numPr>
        <w:rPr>
          <w:rFonts w:ascii="Calibri" w:eastAsia="Times New Roman" w:hAnsi="Calibri" w:cs="Times New Roman"/>
          <w:color w:val="000000"/>
          <w:szCs w:val="22"/>
        </w:rPr>
      </w:pPr>
      <w:r w:rsidRPr="0000662A">
        <w:rPr>
          <w:rFonts w:ascii="Calibri" w:eastAsia="Times New Roman" w:hAnsi="Calibri" w:cs="Times New Roman"/>
          <w:color w:val="000000"/>
          <w:szCs w:val="22"/>
        </w:rPr>
        <w:t>Additional validation rules</w:t>
      </w:r>
      <w:r w:rsidR="0095121B" w:rsidRPr="0000662A">
        <w:rPr>
          <w:rFonts w:ascii="Calibri" w:eastAsia="Times New Roman" w:hAnsi="Calibri" w:cs="Times New Roman"/>
          <w:color w:val="000000"/>
          <w:szCs w:val="22"/>
        </w:rPr>
        <w:t xml:space="preserve"> (that were previously published but noted as not implemented in the XBRL taxonomy)</w:t>
      </w:r>
      <w:r w:rsidRPr="0000662A">
        <w:rPr>
          <w:rFonts w:ascii="Calibri" w:eastAsia="Times New Roman" w:hAnsi="Calibri" w:cs="Times New Roman"/>
          <w:color w:val="000000"/>
          <w:szCs w:val="22"/>
        </w:rPr>
        <w:t xml:space="preserve"> included at XBRL level. </w:t>
      </w:r>
    </w:p>
    <w:p w14:paraId="7F2E2132" w14:textId="097DACEE" w:rsidR="001A4D91" w:rsidRPr="0000662A" w:rsidRDefault="001A4D91" w:rsidP="00183058">
      <w:pPr>
        <w:pStyle w:val="ListParagraph"/>
        <w:numPr>
          <w:ilvl w:val="0"/>
          <w:numId w:val="24"/>
        </w:numPr>
        <w:rPr>
          <w:rFonts w:ascii="Calibri" w:eastAsia="Times New Roman" w:hAnsi="Calibri" w:cs="Times New Roman"/>
          <w:color w:val="000000"/>
          <w:szCs w:val="22"/>
        </w:rPr>
      </w:pPr>
      <w:r w:rsidRPr="0000662A">
        <w:rPr>
          <w:rFonts w:ascii="Calibri" w:eastAsia="Times New Roman" w:hAnsi="Calibri" w:cs="Times New Roman"/>
          <w:color w:val="000000"/>
          <w:szCs w:val="22"/>
        </w:rPr>
        <w:t>Corrections to sign metadata on columns 100, 200 and 140 of F 35.00.</w:t>
      </w:r>
    </w:p>
    <w:p w14:paraId="55B5EA72" w14:textId="5B1D9724" w:rsidR="006E587D" w:rsidRPr="0000662A" w:rsidRDefault="00156A70" w:rsidP="00183058">
      <w:pPr>
        <w:pStyle w:val="ListParagraph"/>
        <w:numPr>
          <w:ilvl w:val="0"/>
          <w:numId w:val="24"/>
        </w:numPr>
        <w:rPr>
          <w:rFonts w:ascii="Calibri" w:eastAsia="Times New Roman" w:hAnsi="Calibri" w:cs="Times New Roman"/>
          <w:color w:val="000000"/>
          <w:szCs w:val="22"/>
        </w:rPr>
      </w:pPr>
      <w:r w:rsidRPr="0000662A">
        <w:rPr>
          <w:rFonts w:ascii="Calibri" w:eastAsia="Times New Roman" w:hAnsi="Calibri" w:cs="Times New Roman"/>
          <w:color w:val="000000"/>
          <w:szCs w:val="22"/>
        </w:rPr>
        <w:t>Additions</w:t>
      </w:r>
      <w:r w:rsidR="006E587D" w:rsidRPr="0000662A">
        <w:rPr>
          <w:rFonts w:ascii="Calibri" w:eastAsia="Times New Roman" w:hAnsi="Calibri" w:cs="Times New Roman"/>
          <w:color w:val="000000"/>
          <w:szCs w:val="22"/>
        </w:rPr>
        <w:t xml:space="preserve"> to the currency codes noted below, impacting F 34.00.c . </w:t>
      </w:r>
    </w:p>
    <w:p w14:paraId="55B5EA73" w14:textId="77777777" w:rsidR="00BC7A7F" w:rsidRPr="00BC7A7F" w:rsidRDefault="00BC7A7F" w:rsidP="00BC7A7F">
      <w:pPr>
        <w:pStyle w:val="Titlelevel3"/>
      </w:pPr>
      <w:r w:rsidRPr="00BC7A7F">
        <w:t>G</w:t>
      </w:r>
      <w:r>
        <w:t>e</w:t>
      </w:r>
      <w:r w:rsidRPr="00BC7A7F">
        <w:t>neral</w:t>
      </w:r>
    </w:p>
    <w:p w14:paraId="44ED4FFC" w14:textId="77777777" w:rsidR="00B2759E" w:rsidRPr="00B2759E" w:rsidRDefault="00BC7A7F" w:rsidP="00183058">
      <w:pPr>
        <w:pStyle w:val="ListParagraph"/>
        <w:numPr>
          <w:ilvl w:val="0"/>
          <w:numId w:val="29"/>
        </w:numPr>
        <w:rPr>
          <w:rFonts w:ascii="Calibri" w:eastAsia="Times New Roman" w:hAnsi="Calibri" w:cs="Times New Roman"/>
          <w:szCs w:val="22"/>
        </w:rPr>
      </w:pPr>
      <w:r>
        <w:t>Addition of new Eurostat International organisations fr</w:t>
      </w:r>
      <w:r w:rsidR="00675C65">
        <w:t>om 2015 vandemecum update</w:t>
      </w:r>
    </w:p>
    <w:p w14:paraId="39750C26" w14:textId="77777777" w:rsidR="00B2759E" w:rsidRDefault="00B2759E" w:rsidP="00B2759E"/>
    <w:p w14:paraId="55B5EA74" w14:textId="388AA1FC" w:rsidR="00BC7A7F" w:rsidRPr="00B2759E" w:rsidRDefault="00B2759E" w:rsidP="00B2759E">
      <w:pPr>
        <w:rPr>
          <w:rFonts w:ascii="Calibri" w:eastAsia="Times New Roman" w:hAnsi="Calibri" w:cs="Times New Roman"/>
          <w:szCs w:val="22"/>
        </w:rPr>
      </w:pPr>
      <w:r>
        <w:t>N</w:t>
      </w:r>
      <w:r w:rsidR="00675C65">
        <w:t xml:space="preserve">ote Eurostat’s </w:t>
      </w:r>
      <w:r w:rsidR="00BC7A7F">
        <w:t xml:space="preserve">change from </w:t>
      </w:r>
      <w:r w:rsidR="00675C65">
        <w:t xml:space="preserve">use of </w:t>
      </w:r>
      <w:r w:rsidR="00BC7A7F">
        <w:t>ESTAT:CL_AREA_EE</w:t>
      </w:r>
      <w:r w:rsidR="00156A70">
        <w:t xml:space="preserve"> code list</w:t>
      </w:r>
      <w:r w:rsidR="00CE0618">
        <w:t xml:space="preserve"> to IMF:CL_AREA in 2015(2014</w:t>
      </w:r>
      <w:r w:rsidR="003006D2">
        <w:t>?</w:t>
      </w:r>
      <w:r w:rsidR="00BC7A7F">
        <w:t>)</w:t>
      </w:r>
      <w:r w:rsidR="003006D2">
        <w:t xml:space="preserve"> Under BPM6</w:t>
      </w:r>
      <w:r w:rsidR="00BC7A7F">
        <w:t>. Several of the codes from the new country list clash with those from the old, in those cases the new countries have been given codes prefixed with “</w:t>
      </w:r>
      <w:r w:rsidR="00BC7A7F" w:rsidRPr="00B2759E">
        <w:rPr>
          <w:rFonts w:ascii="Calibri" w:eastAsia="Times New Roman" w:hAnsi="Calibri" w:cs="Times New Roman"/>
          <w:szCs w:val="22"/>
        </w:rPr>
        <w:t>IMF.CL_AREA.</w:t>
      </w:r>
      <w:r w:rsidR="00EA370A" w:rsidRPr="00B2759E">
        <w:rPr>
          <w:rFonts w:ascii="Calibri" w:eastAsia="Times New Roman" w:hAnsi="Calibri" w:cs="Times New Roman"/>
          <w:szCs w:val="22"/>
        </w:rPr>
        <w:t>”. Countries with pre-existing (CL_AREA_</w:t>
      </w:r>
      <w:r w:rsidR="00780161" w:rsidRPr="00B2759E">
        <w:rPr>
          <w:rFonts w:ascii="Calibri" w:eastAsia="Times New Roman" w:hAnsi="Calibri" w:cs="Times New Roman"/>
          <w:szCs w:val="22"/>
        </w:rPr>
        <w:t>EE) codes that are different in</w:t>
      </w:r>
      <w:r w:rsidR="00EA370A" w:rsidRPr="00B2759E">
        <w:rPr>
          <w:rFonts w:ascii="Calibri" w:eastAsia="Times New Roman" w:hAnsi="Calibri" w:cs="Times New Roman"/>
          <w:szCs w:val="22"/>
        </w:rPr>
        <w:t xml:space="preserve"> the new Eurostat list retain their previous codes.</w:t>
      </w:r>
    </w:p>
    <w:p w14:paraId="55B5EA75" w14:textId="77777777" w:rsidR="00BC7A7F" w:rsidRDefault="00BC7A7F" w:rsidP="00BC7A7F"/>
    <w:p w14:paraId="63099102" w14:textId="296743C9" w:rsidR="00B2759E" w:rsidRDefault="00BC7A7F" w:rsidP="00183058">
      <w:pPr>
        <w:pStyle w:val="ListParagraph"/>
        <w:numPr>
          <w:ilvl w:val="0"/>
          <w:numId w:val="29"/>
        </w:numPr>
      </w:pPr>
      <w:r>
        <w:t>Addition of currency member (CU:</w:t>
      </w:r>
      <w:r w:rsidR="00780161">
        <w:t>B</w:t>
      </w:r>
      <w:r w:rsidR="007E291A" w:rsidRPr="007E291A">
        <w:rPr>
          <w:highlight w:val="yellow"/>
        </w:rPr>
        <w:t>Y</w:t>
      </w:r>
      <w:r w:rsidR="00780161">
        <w:t>N</w:t>
      </w:r>
      <w:r>
        <w:t xml:space="preserve">) for planned new (“2009 series”) Belarus Ruble, and “new” </w:t>
      </w:r>
      <w:r w:rsidR="00B2759E">
        <w:t>(2013) Zambian Kwacha (CU:ZMW).</w:t>
      </w:r>
    </w:p>
    <w:p w14:paraId="65FEF65F" w14:textId="77777777" w:rsidR="00B2759E" w:rsidRDefault="00B2759E" w:rsidP="00B2759E"/>
    <w:p w14:paraId="55B5EA76" w14:textId="013E89B6" w:rsidR="00BC7A7F" w:rsidRDefault="00BC7A7F" w:rsidP="00B2759E">
      <w:r>
        <w:t>Add</w:t>
      </w:r>
      <w:r w:rsidR="00B2759E">
        <w:t>ition of</w:t>
      </w:r>
      <w:r>
        <w:t xml:space="preserve"> these new currencies to CU3_1 (triggers knock on regeneration of </w:t>
      </w:r>
      <w:r w:rsidRPr="00B2759E">
        <w:rPr>
          <w:rFonts w:ascii="Calibri" w:eastAsia="Times New Roman" w:hAnsi="Calibri" w:cs="Times New Roman"/>
          <w:color w:val="000000"/>
          <w:szCs w:val="22"/>
        </w:rPr>
        <w:t>C 51.00.w, C 51.00.x, C 52.00.w, C 52.00.x, C 52.00.y, C 52.00.z, C 53.00.w, C 53.00.x, C 53.00.y, C 54.00.w, C 60.00.w, C 60.00.x, C 61.00.w, C 61.00.x, F 34.00.c, P 02.06, C 66.00.w, C 66.00.x, C 67.00.w, C 68.00.w, C 69.00.w, C 70.00.w, C 71.00.w, C 72.00.w, C 73.00.w, C 74.00.w, C 75.00.w, C 76.00.w</w:t>
      </w:r>
      <w:r w:rsidR="00DF1E50">
        <w:t xml:space="preserve"> at XBRL level </w:t>
      </w:r>
      <w:r>
        <w:t>to add app</w:t>
      </w:r>
      <w:r w:rsidR="00DF1E50">
        <w:t xml:space="preserve">ropriated entries to the valid </w:t>
      </w:r>
      <w:r>
        <w:t>hypercubes).</w:t>
      </w:r>
    </w:p>
    <w:p w14:paraId="3D75D189" w14:textId="77777777" w:rsidR="00F823CC" w:rsidRDefault="00F823CC" w:rsidP="00BC7A7F"/>
    <w:p w14:paraId="174D3EC7" w14:textId="77777777" w:rsidR="00F823CC" w:rsidRDefault="00F823CC" w:rsidP="00F823CC">
      <w:pPr>
        <w:pStyle w:val="Titlelevel2"/>
      </w:pPr>
      <w:r w:rsidRPr="002C21E9">
        <w:t>DPM</w:t>
      </w:r>
      <w:r>
        <w:t xml:space="preserve"> DB</w:t>
      </w:r>
      <w:r w:rsidRPr="002C21E9">
        <w:t xml:space="preserve"> Changes</w:t>
      </w:r>
    </w:p>
    <w:p w14:paraId="096E0D45" w14:textId="77777777" w:rsidR="00F823CC" w:rsidRDefault="00F823CC" w:rsidP="00183058">
      <w:pPr>
        <w:pStyle w:val="ListParagraph"/>
        <w:numPr>
          <w:ilvl w:val="0"/>
          <w:numId w:val="21"/>
        </w:numPr>
      </w:pPr>
      <w:r>
        <w:t>Use of new DatapointVersionTransition and DatapointVersionTransitionLink tables:</w:t>
      </w:r>
    </w:p>
    <w:p w14:paraId="5DFFD3A6" w14:textId="77777777" w:rsidR="00F823CC" w:rsidRDefault="00F823CC" w:rsidP="00F823CC">
      <w:pPr>
        <w:pStyle w:val="ListParagraph"/>
        <w:ind w:left="1080"/>
      </w:pPr>
      <w:r>
        <w:rPr>
          <w:noProof/>
        </w:rPr>
        <w:lastRenderedPageBreak/>
        <w:drawing>
          <wp:inline distT="0" distB="0" distL="0" distR="0" wp14:anchorId="15C4C084" wp14:editId="381A4193">
            <wp:extent cx="5762625" cy="1367101"/>
            <wp:effectExtent l="0" t="0" r="0" b="0"/>
            <wp:docPr id="1" name="Picture 1" descr="cid:image001.png@01D0FF78.A6EA0F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0FF78.A6EA0F6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2625" cy="1367101"/>
                    </a:xfrm>
                    <a:prstGeom prst="rect">
                      <a:avLst/>
                    </a:prstGeom>
                    <a:noFill/>
                    <a:ln>
                      <a:noFill/>
                    </a:ln>
                  </pic:spPr>
                </pic:pic>
              </a:graphicData>
            </a:graphic>
          </wp:inline>
        </w:drawing>
      </w:r>
    </w:p>
    <w:p w14:paraId="3A67815D" w14:textId="77777777" w:rsidR="00F823CC" w:rsidRDefault="00F823CC" w:rsidP="00183058">
      <w:pPr>
        <w:pStyle w:val="ListParagraph"/>
        <w:numPr>
          <w:ilvl w:val="1"/>
          <w:numId w:val="21"/>
        </w:numPr>
      </w:pPr>
      <w:r>
        <w:t>The intention of these tables is to provide a mechanism to document more complex transitions to data series than the current possibilities of “start” (new DataPoint and DataPointVersion), “change modelling” (additional DataPointVersion for same DataPoint) or “stop” (end date on last DataPointVersion).</w:t>
      </w:r>
    </w:p>
    <w:p w14:paraId="2FDAA281" w14:textId="77777777" w:rsidR="00F823CC" w:rsidRDefault="00F823CC" w:rsidP="00183058">
      <w:pPr>
        <w:pStyle w:val="ListParagraph"/>
        <w:numPr>
          <w:ilvl w:val="1"/>
          <w:numId w:val="21"/>
        </w:numPr>
      </w:pPr>
      <w:r>
        <w:t>Note that at present the data in these tables is not an exhaustive documentation of historic changes. (I.e. it does not document all modelling changes that have previously happened).</w:t>
      </w:r>
    </w:p>
    <w:p w14:paraId="719900E8" w14:textId="77777777" w:rsidR="00F823CC" w:rsidRDefault="00F823CC" w:rsidP="00183058">
      <w:pPr>
        <w:pStyle w:val="ListParagraph"/>
        <w:numPr>
          <w:ilvl w:val="1"/>
          <w:numId w:val="21"/>
        </w:numPr>
      </w:pPr>
      <w:r>
        <w:t xml:space="preserve">This version currently documents </w:t>
      </w:r>
      <w:r w:rsidRPr="0000662A">
        <w:t>1841</w:t>
      </w:r>
      <w:r>
        <w:t xml:space="preserve"> Datapoints that stopped being reported at some point in time due to changes in tables, and one “merge” of two time series between version 2.4 and 2.5</w:t>
      </w:r>
      <w:r>
        <w:rPr>
          <w:rStyle w:val="FootnoteReference"/>
        </w:rPr>
        <w:footnoteReference w:id="21"/>
      </w:r>
      <w:r>
        <w:t>.</w:t>
      </w:r>
    </w:p>
    <w:p w14:paraId="51A13AD4" w14:textId="77777777" w:rsidR="00187BD9" w:rsidRDefault="00187BD9" w:rsidP="00AD231B"/>
    <w:p w14:paraId="60462DA3" w14:textId="77777777" w:rsidR="0000662A" w:rsidRDefault="0000662A" w:rsidP="0000662A">
      <w:pPr>
        <w:pStyle w:val="Titlelevel2"/>
      </w:pPr>
      <w:r>
        <w:t>XBRL</w:t>
      </w:r>
      <w:r w:rsidRPr="002C21E9">
        <w:t xml:space="preserve"> Changes</w:t>
      </w:r>
    </w:p>
    <w:p w14:paraId="6B77C2A7" w14:textId="77777777" w:rsidR="00F823CC" w:rsidRDefault="00F823CC" w:rsidP="00183058">
      <w:pPr>
        <w:pStyle w:val="ListParagraph"/>
        <w:numPr>
          <w:ilvl w:val="0"/>
          <w:numId w:val="21"/>
        </w:numPr>
      </w:pPr>
      <w:r>
        <w:t>All frameworks have new reporting taxonomy versions.</w:t>
      </w:r>
    </w:p>
    <w:p w14:paraId="6C73631F" w14:textId="77777777" w:rsidR="00F823CC" w:rsidRDefault="00F823CC" w:rsidP="00183058">
      <w:pPr>
        <w:pStyle w:val="ListParagraph"/>
        <w:numPr>
          <w:ilvl w:val="1"/>
          <w:numId w:val="21"/>
        </w:numPr>
      </w:pPr>
      <w:r>
        <w:t>N.B. FINREP and FINREP_IND are still identical in terms of tables.</w:t>
      </w:r>
    </w:p>
    <w:p w14:paraId="21AE9007" w14:textId="716F269C" w:rsidR="00F823CC" w:rsidRDefault="00F823CC" w:rsidP="00183058">
      <w:pPr>
        <w:pStyle w:val="ListParagraph"/>
        <w:numPr>
          <w:ilvl w:val="0"/>
          <w:numId w:val="21"/>
        </w:numPr>
      </w:pPr>
      <w:r>
        <w:t>Implement</w:t>
      </w:r>
      <w:r w:rsidR="00B2759E">
        <w:t>ation</w:t>
      </w:r>
      <w:r>
        <w:t xml:space="preserve"> in XBRL formulae </w:t>
      </w:r>
      <w:r w:rsidR="00B2759E">
        <w:t xml:space="preserve">of </w:t>
      </w:r>
      <w:r>
        <w:t>the additional Asset Encumbrance validation rules that were previously added to the validation rule spreadsheet in v2.4</w:t>
      </w:r>
    </w:p>
    <w:p w14:paraId="3E113DD3" w14:textId="111E4418" w:rsidR="00F823CC" w:rsidRDefault="00F823CC" w:rsidP="00183058">
      <w:pPr>
        <w:pStyle w:val="ListParagraph"/>
        <w:numPr>
          <w:ilvl w:val="0"/>
          <w:numId w:val="21"/>
        </w:numPr>
      </w:pPr>
      <w:r>
        <w:t>Change to allowable currencies on tables with currency z-axis</w:t>
      </w:r>
    </w:p>
    <w:p w14:paraId="2E592F6F" w14:textId="7F1B59D4" w:rsidR="00BC1FD0" w:rsidRDefault="00BC1FD0" w:rsidP="006C65AD">
      <w:pPr>
        <w:pStyle w:val="Titlelevel3"/>
      </w:pPr>
      <w:r>
        <w:t>XBRL Taxonomy structure</w:t>
      </w:r>
    </w:p>
    <w:p w14:paraId="02144CEB" w14:textId="77777777" w:rsidR="006C65AD" w:rsidRDefault="00A93E8D" w:rsidP="00AD231B">
      <w:r>
        <w:t>XBRL taxonomy constructed</w:t>
      </w:r>
      <w:r w:rsidR="002230AE">
        <w:t xml:space="preserve"> by</w:t>
      </w:r>
      <w:r w:rsidR="00823E7E">
        <w:t xml:space="preserve"> “delta” approach described under v2.4.1.0 below. Each of the new reporting taxonomy versions references unchanged elements of its</w:t>
      </w:r>
      <w:r w:rsidR="00AF1DDD">
        <w:t xml:space="preserve"> </w:t>
      </w:r>
      <w:r w:rsidR="00104E8B">
        <w:t xml:space="preserve">immediate </w:t>
      </w:r>
      <w:r w:rsidR="000753EF">
        <w:t>predecessor (generally v2.4.0.1)</w:t>
      </w:r>
      <w:r w:rsidR="00AF1DDD">
        <w:t xml:space="preserve"> </w:t>
      </w:r>
      <w:r w:rsidR="006C65AD">
        <w:t>and hence is dependent upon it.</w:t>
      </w:r>
    </w:p>
    <w:p w14:paraId="6B2BFB31" w14:textId="77777777" w:rsidR="006C65AD" w:rsidRDefault="006C65AD" w:rsidP="00AD231B"/>
    <w:p w14:paraId="55B5EA7D" w14:textId="6B1DA812" w:rsidR="00394670" w:rsidRDefault="00AF1DDD" w:rsidP="00AD231B">
      <w:r>
        <w:t xml:space="preserve">Note that the v2.5.0.0 </w:t>
      </w:r>
      <w:r w:rsidR="000753EF">
        <w:t xml:space="preserve">COREP entry points </w:t>
      </w:r>
      <w:r w:rsidR="00617050">
        <w:t>reference</w:t>
      </w:r>
      <w:r>
        <w:t xml:space="preserve"> both v2.4.1.0 </w:t>
      </w:r>
      <w:r w:rsidR="00FE66B8">
        <w:t>COREP</w:t>
      </w:r>
      <w:r w:rsidR="00F31A03">
        <w:t xml:space="preserve"> files (</w:t>
      </w:r>
      <w:r w:rsidR="00AB6DC8">
        <w:t>for items changed in 2.4.1.0 but not changed in 2.5.0.0) and v2.4.0</w:t>
      </w:r>
      <w:r w:rsidR="00B87A85">
        <w:t>.1 COREP (for items unchanged by 2.4.1.0 and 2.5.0.0)</w:t>
      </w:r>
      <w:r w:rsidR="00774202">
        <w:t xml:space="preserve">. As such v2.5.0.0 COREP entry points </w:t>
      </w:r>
      <w:r w:rsidR="001805E5">
        <w:t>will require</w:t>
      </w:r>
      <w:r w:rsidR="00C320E8">
        <w:t xml:space="preserve"> the</w:t>
      </w:r>
      <w:r w:rsidR="00CD4B4B">
        <w:t xml:space="preserve"> XBRL files from v2.5.0.0, v2.4.1.0 and v2.4.0.1 COREP</w:t>
      </w:r>
      <w:r w:rsidR="00C320E8">
        <w:t xml:space="preserve"> as well as the v2.5.0.0 dictionary files in order to be processed.</w:t>
      </w:r>
    </w:p>
    <w:p w14:paraId="55B5EAD9" w14:textId="77777777" w:rsidR="00F07268" w:rsidRDefault="00F07268" w:rsidP="00F07268"/>
    <w:p w14:paraId="55B5EADA" w14:textId="54D271CE" w:rsidR="00923CC5" w:rsidRDefault="00923CC5" w:rsidP="00923CC5">
      <w:pPr>
        <w:pStyle w:val="Titlelevel2"/>
      </w:pPr>
      <w:r>
        <w:t>Note</w:t>
      </w:r>
    </w:p>
    <w:p w14:paraId="55B5EADC" w14:textId="4716B715" w:rsidR="00F14EAF" w:rsidRDefault="0084357B">
      <w:r>
        <w:t>The appropriate c</w:t>
      </w:r>
      <w:r w:rsidR="00923CC5">
        <w:t xml:space="preserve">ode for “Normative Reference” </w:t>
      </w:r>
      <w:r w:rsidR="00F07268">
        <w:t xml:space="preserve">for 2.5 </w:t>
      </w:r>
      <w:r w:rsidR="008350C5">
        <w:t>was</w:t>
      </w:r>
      <w:r w:rsidR="00923CC5">
        <w:t xml:space="preserve"> not known </w:t>
      </w:r>
      <w:r w:rsidR="008350C5">
        <w:t xml:space="preserve">at the time of production of the taxonomy, as a result more generic values than usual </w:t>
      </w:r>
      <w:r>
        <w:t>(e.g. “its</w:t>
      </w:r>
      <w:r w:rsidR="00F07268">
        <w:t>-2016-</w:t>
      </w:r>
      <w:r>
        <w:t>repxx</w:t>
      </w:r>
      <w:r w:rsidR="00F07268">
        <w:t>”</w:t>
      </w:r>
      <w:r w:rsidR="00F823CC">
        <w:t>)</w:t>
      </w:r>
      <w:r>
        <w:t xml:space="preserve"> </w:t>
      </w:r>
      <w:r w:rsidR="00F07268">
        <w:t>ha</w:t>
      </w:r>
      <w:r>
        <w:t>ve</w:t>
      </w:r>
      <w:r w:rsidR="00F07268">
        <w:t xml:space="preserve"> been </w:t>
      </w:r>
      <w:r w:rsidR="00923CC5">
        <w:t>used.</w:t>
      </w:r>
      <w:r w:rsidR="008350C5">
        <w:t xml:space="preserve"> This is a trivial XBRL level detail however, and unlikely to be of functional concern for any participants.</w:t>
      </w:r>
      <w:r w:rsidR="00923CC5">
        <w:t xml:space="preserve">  </w:t>
      </w:r>
      <w:r w:rsidR="00F14EAF">
        <w:br w:type="page"/>
      </w:r>
    </w:p>
    <w:p w14:paraId="01E2B3EA" w14:textId="45D1A639" w:rsidR="001444B4" w:rsidRDefault="001444B4" w:rsidP="001444B4">
      <w:pPr>
        <w:pStyle w:val="Titlelevel1"/>
        <w:rPr>
          <w:i/>
        </w:rPr>
      </w:pPr>
      <w:r>
        <w:rPr>
          <w:i/>
        </w:rPr>
        <w:lastRenderedPageBreak/>
        <w:t>v2.4</w:t>
      </w:r>
      <w:r w:rsidRPr="00E47786">
        <w:rPr>
          <w:i/>
        </w:rPr>
        <w:t>.</w:t>
      </w:r>
      <w:r>
        <w:rPr>
          <w:i/>
        </w:rPr>
        <w:t xml:space="preserve">1 </w:t>
      </w:r>
      <w:r w:rsidRPr="00E47786">
        <w:rPr>
          <w:i/>
        </w:rPr>
        <w:t>(“201</w:t>
      </w:r>
      <w:r>
        <w:rPr>
          <w:i/>
        </w:rPr>
        <w:t>5</w:t>
      </w:r>
      <w:r w:rsidRPr="00E47786">
        <w:rPr>
          <w:i/>
        </w:rPr>
        <w:t>-</w:t>
      </w:r>
      <w:r>
        <w:rPr>
          <w:i/>
        </w:rPr>
        <w:t>B-1”</w:t>
      </w:r>
      <w:r w:rsidRPr="00E47786">
        <w:rPr>
          <w:i/>
        </w:rPr>
        <w:t>)</w:t>
      </w:r>
      <w:r>
        <w:rPr>
          <w:i/>
        </w:rPr>
        <w:t xml:space="preserve"> </w:t>
      </w:r>
      <w:r w:rsidRPr="00E47786">
        <w:rPr>
          <w:rFonts w:ascii="Arial" w:hAnsi="Arial" w:cs="Arial"/>
          <w:i/>
          <w:color w:val="696969"/>
          <w:sz w:val="18"/>
          <w:szCs w:val="18"/>
          <w:shd w:val="clear" w:color="auto" w:fill="FFFFFF"/>
        </w:rPr>
        <w:t xml:space="preserve"> </w:t>
      </w:r>
      <w:r>
        <w:rPr>
          <w:rFonts w:ascii="Arial" w:hAnsi="Arial" w:cs="Arial"/>
          <w:i/>
          <w:color w:val="696969"/>
          <w:sz w:val="18"/>
          <w:szCs w:val="18"/>
          <w:shd w:val="clear" w:color="auto" w:fill="FFFFFF"/>
        </w:rPr>
        <w:t>(Incorporating v2.4.0.1, 02/02</w:t>
      </w:r>
      <w:r w:rsidRPr="00E47786">
        <w:rPr>
          <w:rFonts w:ascii="Arial" w:hAnsi="Arial" w:cs="Arial"/>
          <w:i/>
          <w:color w:val="696969"/>
          <w:sz w:val="18"/>
          <w:szCs w:val="18"/>
          <w:shd w:val="clear" w:color="auto" w:fill="FFFFFF"/>
        </w:rPr>
        <w:t>/201</w:t>
      </w:r>
      <w:r>
        <w:rPr>
          <w:rFonts w:ascii="Arial" w:hAnsi="Arial" w:cs="Arial"/>
          <w:i/>
          <w:color w:val="696969"/>
          <w:sz w:val="18"/>
          <w:szCs w:val="18"/>
          <w:shd w:val="clear" w:color="auto" w:fill="FFFFFF"/>
        </w:rPr>
        <w:t>6</w:t>
      </w:r>
      <w:r w:rsidRPr="00E47786">
        <w:rPr>
          <w:rFonts w:ascii="Arial" w:hAnsi="Arial" w:cs="Arial"/>
          <w:i/>
          <w:color w:val="696969"/>
          <w:sz w:val="18"/>
          <w:szCs w:val="18"/>
          <w:shd w:val="clear" w:color="auto" w:fill="FFFFFF"/>
        </w:rPr>
        <w:t>)</w:t>
      </w:r>
    </w:p>
    <w:p w14:paraId="3889DD1C" w14:textId="77777777" w:rsidR="008350C5" w:rsidRDefault="008350C5" w:rsidP="008350C5">
      <w:pPr>
        <w:pStyle w:val="Titlelevel2"/>
      </w:pPr>
      <w:r>
        <w:t>Summary and Impact</w:t>
      </w:r>
    </w:p>
    <w:p w14:paraId="1BF44068" w14:textId="77777777" w:rsidR="008350C5" w:rsidRDefault="008350C5" w:rsidP="008350C5">
      <w:r>
        <w:t>This release corrects errors identified in the 2.4.0 release of the EBA taxonomy.</w:t>
      </w:r>
    </w:p>
    <w:p w14:paraId="0457A955" w14:textId="77777777" w:rsidR="008350C5" w:rsidRDefault="008350C5" w:rsidP="008350C5"/>
    <w:p w14:paraId="3207C34C" w14:textId="44D751EF" w:rsidR="008350C5" w:rsidRDefault="008350C5" w:rsidP="008350C5">
      <w:r>
        <w:t xml:space="preserve">The most significant of these would have led to an inability for filers  to report the “Leverage ratio calculation” summary table (C 47.00) in </w:t>
      </w:r>
      <w:r w:rsidR="009679C4">
        <w:t>individual</w:t>
      </w:r>
      <w:r>
        <w:t xml:space="preserve"> COREP reports. Correcting this issue requires a new set of “entry points” for COREP. </w:t>
      </w:r>
    </w:p>
    <w:p w14:paraId="6EDC14E5" w14:textId="77777777" w:rsidR="008350C5" w:rsidRDefault="008350C5" w:rsidP="008350C5"/>
    <w:p w14:paraId="0C1A90AD" w14:textId="7E0CB217" w:rsidR="008350C5" w:rsidRDefault="008350C5" w:rsidP="008350C5">
      <w:pPr>
        <w:ind w:left="720"/>
        <w:rPr>
          <w:i/>
        </w:rPr>
      </w:pPr>
      <w:r>
        <w:rPr>
          <w:i/>
        </w:rPr>
        <w:t>In practice this means that XBRL instance files that were produced targeting the 2.4.0 version of COREP modules will need the value of their SchemaRef element changed. For all modules other than COREP_</w:t>
      </w:r>
      <w:r w:rsidR="009679C4">
        <w:rPr>
          <w:i/>
        </w:rPr>
        <w:t>IND</w:t>
      </w:r>
      <w:r>
        <w:rPr>
          <w:i/>
        </w:rPr>
        <w:t xml:space="preserve"> this is the only required change. COREP_</w:t>
      </w:r>
      <w:r w:rsidR="009679C4">
        <w:rPr>
          <w:i/>
        </w:rPr>
        <w:t>IND</w:t>
      </w:r>
      <w:r>
        <w:rPr>
          <w:i/>
        </w:rPr>
        <w:t xml:space="preserve"> instances will also need to </w:t>
      </w:r>
      <w:r w:rsidR="009679C4">
        <w:rPr>
          <w:i/>
        </w:rPr>
        <w:t>include data</w:t>
      </w:r>
      <w:r>
        <w:rPr>
          <w:i/>
        </w:rPr>
        <w:t xml:space="preserve"> for C47.00</w:t>
      </w:r>
      <w:r w:rsidR="009679C4">
        <w:rPr>
          <w:i/>
        </w:rPr>
        <w:t xml:space="preserve"> where the reporter is required to submit this template</w:t>
      </w:r>
      <w:r>
        <w:rPr>
          <w:i/>
        </w:rPr>
        <w:t xml:space="preserve"> (as most reporters likely anyway expected to have been the case).</w:t>
      </w:r>
    </w:p>
    <w:p w14:paraId="722CFD82" w14:textId="77777777" w:rsidR="008350C5" w:rsidRDefault="008350C5" w:rsidP="008350C5">
      <w:pPr>
        <w:rPr>
          <w:i/>
        </w:rPr>
      </w:pPr>
    </w:p>
    <w:p w14:paraId="43065B10" w14:textId="77777777" w:rsidR="008350C5" w:rsidRDefault="008350C5" w:rsidP="008350C5">
      <w:r>
        <w:t>In addition the 2.4.0 release of the COREP, FINREP and SBP report modules had errors in some of their validation rules that would have led to these validation rules always reporting a failure. In addition an error has been corrected in the implementation of the underlying evaluation approach for the validation calculations which might have led to subtle disagreements between different XBRL validation tools in certain circumstances.  These errors are directly corrected in the relevant files.</w:t>
      </w:r>
    </w:p>
    <w:p w14:paraId="65E051CC" w14:textId="77777777" w:rsidR="008350C5" w:rsidRDefault="008350C5" w:rsidP="008350C5"/>
    <w:p w14:paraId="69AEE8E8" w14:textId="77777777" w:rsidR="008350C5" w:rsidRDefault="008350C5" w:rsidP="008350C5">
      <w:pPr>
        <w:ind w:left="720"/>
        <w:rPr>
          <w:i/>
        </w:rPr>
      </w:pPr>
      <w:r>
        <w:rPr>
          <w:i/>
        </w:rPr>
        <w:t>Where the relevant files from this release are used in place of those from the 2.4.0 release, these validation rules will now produce the correct results. No change to any produced instance files is required – only to the configuration of whatever XBRL validation tool is used to generate the validation results.</w:t>
      </w:r>
    </w:p>
    <w:p w14:paraId="7629F866" w14:textId="77777777" w:rsidR="008350C5" w:rsidRDefault="008350C5" w:rsidP="008350C5">
      <w:pPr>
        <w:rPr>
          <w:i/>
        </w:rPr>
      </w:pPr>
      <w:r>
        <w:rPr>
          <w:i/>
        </w:rPr>
        <w:t xml:space="preserve"> </w:t>
      </w:r>
    </w:p>
    <w:p w14:paraId="432B6561" w14:textId="77777777" w:rsidR="008350C5" w:rsidRDefault="008350C5" w:rsidP="008350C5">
      <w:r>
        <w:t xml:space="preserve">At a technical XBRL level, because of the essentially trivial degree of change between 2.4.0 and 2.4.1 the usual EBA practice of including completely new sets of files for each taxonomy update was viewed as likely to cause excessive and unnecessary overhead and confusion. As a result the 2.4.1 taxonomy has been constructed in a way which much more clearly identifies those elements (i.e. tables and validation rules) which have changed, separating out the minimal set of changed files into the location of the “new” modules, and referencing instead of duplicating those files that are unchanged. </w:t>
      </w:r>
    </w:p>
    <w:p w14:paraId="72DD0B88" w14:textId="77777777" w:rsidR="008350C5" w:rsidRDefault="008350C5" w:rsidP="008350C5"/>
    <w:p w14:paraId="251063AF" w14:textId="77777777" w:rsidR="008350C5" w:rsidRDefault="008350C5" w:rsidP="008350C5">
      <w:pPr>
        <w:ind w:left="720"/>
      </w:pPr>
      <w:r>
        <w:rPr>
          <w:i/>
        </w:rPr>
        <w:t>The change in the construction/layout of the taxonomy at the file level may in the short term be expected to make implementation easier or more complex in some respects depending on the details of individual reporter’s systems. Following this approach in future would be expected to generally make future implementations easier.</w:t>
      </w:r>
    </w:p>
    <w:p w14:paraId="00CCED0C" w14:textId="77777777" w:rsidR="008350C5" w:rsidRDefault="008350C5" w:rsidP="008350C5"/>
    <w:p w14:paraId="50AE88E0" w14:textId="77777777" w:rsidR="008350C5" w:rsidRDefault="008350C5" w:rsidP="008350C5">
      <w:pPr>
        <w:ind w:left="720"/>
        <w:rPr>
          <w:b/>
          <w:i/>
        </w:rPr>
      </w:pPr>
      <w:r>
        <w:rPr>
          <w:b/>
          <w:i/>
        </w:rPr>
        <w:t xml:space="preserve">Overall the impact of these changes on filers is expected to be relatively minimal (since no significant change to the content or process of production of instance files will be required). </w:t>
      </w:r>
    </w:p>
    <w:p w14:paraId="52C5D6F6" w14:textId="77777777" w:rsidR="008350C5" w:rsidRDefault="008350C5" w:rsidP="008350C5">
      <w:pPr>
        <w:ind w:left="720"/>
        <w:rPr>
          <w:i/>
        </w:rPr>
      </w:pPr>
    </w:p>
    <w:p w14:paraId="1C4D3D25" w14:textId="77777777" w:rsidR="008350C5" w:rsidRDefault="008350C5" w:rsidP="008350C5">
      <w:pPr>
        <w:ind w:left="720"/>
        <w:rPr>
          <w:i/>
        </w:rPr>
      </w:pPr>
    </w:p>
    <w:p w14:paraId="5DBBF0A5" w14:textId="77777777" w:rsidR="00D62FD8" w:rsidRDefault="00D62FD8" w:rsidP="008350C5">
      <w:pPr>
        <w:pStyle w:val="Titlelevel2"/>
        <w:keepNext/>
      </w:pPr>
      <w:r w:rsidRPr="00AF5AA3">
        <w:lastRenderedPageBreak/>
        <w:t>Purpose</w:t>
      </w:r>
    </w:p>
    <w:p w14:paraId="48F4DE13" w14:textId="77777777" w:rsidR="001444B4" w:rsidRDefault="001444B4" w:rsidP="001444B4">
      <w:r>
        <w:t xml:space="preserve">Corrective release for v2.4: </w:t>
      </w:r>
    </w:p>
    <w:p w14:paraId="22E159DB" w14:textId="77777777" w:rsidR="00D62FD8" w:rsidRDefault="001444B4" w:rsidP="00183058">
      <w:pPr>
        <w:pStyle w:val="ListParagraph"/>
        <w:numPr>
          <w:ilvl w:val="0"/>
          <w:numId w:val="22"/>
        </w:numPr>
      </w:pPr>
      <w:r>
        <w:t>New COREP taxonomy c</w:t>
      </w:r>
      <w:r w:rsidR="00D62FD8">
        <w:t>orrecting version from 2.4.0.0</w:t>
      </w:r>
    </w:p>
    <w:p w14:paraId="6335367F" w14:textId="424B0C8F" w:rsidR="001444B4" w:rsidRDefault="001444B4" w:rsidP="00183058">
      <w:pPr>
        <w:pStyle w:val="ListParagraph"/>
        <w:numPr>
          <w:ilvl w:val="1"/>
          <w:numId w:val="22"/>
        </w:numPr>
      </w:pPr>
      <w:r w:rsidRPr="00394670">
        <w:t xml:space="preserve">Addition of missing C 47.00 to COREP </w:t>
      </w:r>
      <w:r w:rsidR="009679C4">
        <w:t>IND</w:t>
      </w:r>
      <w:r w:rsidRPr="00394670">
        <w:t xml:space="preserve"> in COREP 2.2.1 </w:t>
      </w:r>
      <w:r w:rsidR="00D62FD8">
        <w:t>(“</w:t>
      </w:r>
      <w:r w:rsidR="00D62FD8" w:rsidRPr="00D62FD8">
        <w:t>COREP 2015-B-1</w:t>
      </w:r>
      <w:r w:rsidR="00D62FD8">
        <w:t xml:space="preserve">”) </w:t>
      </w:r>
      <w:r w:rsidRPr="00394670">
        <w:t>fix version.</w:t>
      </w:r>
    </w:p>
    <w:p w14:paraId="355BD13D" w14:textId="46FCEC98" w:rsidR="001444B4" w:rsidRDefault="001444B4" w:rsidP="00183058">
      <w:pPr>
        <w:pStyle w:val="ListParagraph"/>
        <w:numPr>
          <w:ilvl w:val="0"/>
          <w:numId w:val="22"/>
        </w:numPr>
      </w:pPr>
      <w:r>
        <w:t>Correction to XBRL implementation</w:t>
      </w:r>
      <w:r w:rsidR="00F00500">
        <w:t xml:space="preserve"> of validation rules in COREP, FINREP, FINREP-IND and SBP</w:t>
      </w:r>
    </w:p>
    <w:p w14:paraId="700D6C91" w14:textId="42F2C0AB" w:rsidR="00F00500" w:rsidRDefault="001444B4" w:rsidP="00183058">
      <w:pPr>
        <w:pStyle w:val="ListParagraph"/>
        <w:numPr>
          <w:ilvl w:val="0"/>
          <w:numId w:val="22"/>
        </w:numPr>
      </w:pPr>
      <w:r>
        <w:t>Inclusion of corrected Eurofiling “interval-arithmetics.xml” file</w:t>
      </w:r>
    </w:p>
    <w:p w14:paraId="6291C5D1" w14:textId="77777777" w:rsidR="001444B4" w:rsidRDefault="001444B4" w:rsidP="001444B4">
      <w:pPr>
        <w:pStyle w:val="ListParagraph"/>
      </w:pPr>
    </w:p>
    <w:p w14:paraId="2C9B1FE9" w14:textId="4705A8E2" w:rsidR="001444B4" w:rsidRDefault="001444B4" w:rsidP="001444B4">
      <w:r>
        <w:t xml:space="preserve">Note that v2.4.1.0 replaces v2.4.0.0 (for COREP) and </w:t>
      </w:r>
      <w:r w:rsidRPr="001C6AD9">
        <w:rPr>
          <w:b/>
        </w:rPr>
        <w:t>v2.4.1.0 must be used for reporting of COREP entry points to the EBA under any “2.4” reporting requested</w:t>
      </w:r>
      <w:r>
        <w:t xml:space="preserve">. Similarly </w:t>
      </w:r>
      <w:r w:rsidR="00F00500">
        <w:rPr>
          <w:b/>
        </w:rPr>
        <w:t xml:space="preserve">v2.4.0.1 </w:t>
      </w:r>
      <w:r w:rsidRPr="001C6AD9">
        <w:rPr>
          <w:b/>
        </w:rPr>
        <w:t>should be used for entry points other than COREP</w:t>
      </w:r>
      <w:r>
        <w:t xml:space="preserve"> (though since v2.4.0.1 and v2.4.0.0 are “instance compatible” – use the same schemaRef URI and produce/define identical instance files - this is relevant only in terms of validation results).</w:t>
      </w:r>
    </w:p>
    <w:p w14:paraId="6879DB57" w14:textId="77777777" w:rsidR="00D62FD8" w:rsidRPr="002C21E9" w:rsidRDefault="00D62FD8" w:rsidP="00D62FD8">
      <w:pPr>
        <w:pStyle w:val="Titlelevel2"/>
      </w:pPr>
      <w:r w:rsidRPr="002C21E9">
        <w:t>DPM Changes</w:t>
      </w:r>
    </w:p>
    <w:p w14:paraId="79450911" w14:textId="5E4D07CF" w:rsidR="00D62FD8" w:rsidRDefault="00D62FD8" w:rsidP="001444B4">
      <w:r>
        <w:t>There are no substantive reporting requirement changes; all changes are corrective (i.e. to give effect to the reporting requirements as intended for v2.4).</w:t>
      </w:r>
    </w:p>
    <w:p w14:paraId="2702B299" w14:textId="06C9CA9D" w:rsidR="001444B4" w:rsidRDefault="00D62FD8" w:rsidP="001444B4">
      <w:pPr>
        <w:pStyle w:val="Titlelevel3"/>
      </w:pPr>
      <w:r>
        <w:t xml:space="preserve">DPM </w:t>
      </w:r>
      <w:r w:rsidR="001444B4">
        <w:t>DB corrections:</w:t>
      </w:r>
    </w:p>
    <w:p w14:paraId="547BC5C4" w14:textId="50DD7290" w:rsidR="00D62FD8" w:rsidRDefault="00D62FD8" w:rsidP="00183058">
      <w:pPr>
        <w:pStyle w:val="ListParagraph"/>
        <w:numPr>
          <w:ilvl w:val="0"/>
          <w:numId w:val="23"/>
        </w:numPr>
      </w:pPr>
      <w:r>
        <w:t>Additional taxonomy entry (“</w:t>
      </w:r>
      <w:r w:rsidRPr="00D62FD8">
        <w:t>COREP 2015-B-1</w:t>
      </w:r>
      <w:r>
        <w:t xml:space="preserve">”) and related entries </w:t>
      </w:r>
    </w:p>
    <w:p w14:paraId="6D88F2D0" w14:textId="0D884769" w:rsidR="00D62FD8" w:rsidRDefault="00D62FD8" w:rsidP="00183058">
      <w:pPr>
        <w:pStyle w:val="ListParagraph"/>
        <w:numPr>
          <w:ilvl w:val="1"/>
          <w:numId w:val="23"/>
        </w:numPr>
      </w:pPr>
      <w:r>
        <w:t>Only difference from “COREP 2015-B” is correct</w:t>
      </w:r>
      <w:r w:rsidR="009679C4">
        <w:t>ly linking C 47 table to COREP IND</w:t>
      </w:r>
      <w:r>
        <w:t xml:space="preserve"> module.</w:t>
      </w:r>
    </w:p>
    <w:p w14:paraId="2DD8AB56" w14:textId="6DFE5235" w:rsidR="001444B4" w:rsidRDefault="00F00500" w:rsidP="00183058">
      <w:pPr>
        <w:pStyle w:val="ListParagraph"/>
        <w:numPr>
          <w:ilvl w:val="0"/>
          <w:numId w:val="23"/>
        </w:numPr>
      </w:pPr>
      <w:r>
        <w:t>A</w:t>
      </w:r>
      <w:r w:rsidR="001444B4" w:rsidRPr="00394670">
        <w:t>ddition of ToDate to TableVersions no longer in use</w:t>
      </w:r>
      <w:r w:rsidR="001444B4">
        <w:t>:</w:t>
      </w:r>
    </w:p>
    <w:p w14:paraId="6C31DC9A" w14:textId="77777777" w:rsidR="001444B4" w:rsidRPr="00394670" w:rsidRDefault="001444B4" w:rsidP="001444B4">
      <w:pPr>
        <w:ind w:left="720"/>
        <w:rPr>
          <w:sz w:val="16"/>
          <w:szCs w:val="16"/>
        </w:rPr>
      </w:pPr>
      <w:r w:rsidRPr="00394670">
        <w:rPr>
          <w:sz w:val="16"/>
          <w:szCs w:val="16"/>
        </w:rPr>
        <w:t>*Updated TableVersions 605,605,732,739 (C 08.01.c, C 08.01.d, C 06.02, C 06.01) with missing ToDate (29/06/201)</w:t>
      </w:r>
    </w:p>
    <w:p w14:paraId="4FE90265" w14:textId="77777777" w:rsidR="001444B4" w:rsidRPr="00394670" w:rsidRDefault="001444B4" w:rsidP="001444B4">
      <w:pPr>
        <w:ind w:left="720"/>
        <w:rPr>
          <w:sz w:val="16"/>
          <w:szCs w:val="16"/>
        </w:rPr>
      </w:pPr>
    </w:p>
    <w:p w14:paraId="390DBFAC" w14:textId="77777777" w:rsidR="001444B4" w:rsidRPr="00972653" w:rsidRDefault="001444B4" w:rsidP="00972653">
      <w:pPr>
        <w:pStyle w:val="SQL"/>
      </w:pPr>
      <w:r w:rsidRPr="00972653">
        <w:t xml:space="preserve">UPDATE concept INNER JOIN TableVersion ON Concept.ConceptID = TableVersion.ConceptID </w:t>
      </w:r>
    </w:p>
    <w:p w14:paraId="5F7F014C" w14:textId="77777777" w:rsidR="001444B4" w:rsidRPr="00972653" w:rsidRDefault="001444B4" w:rsidP="00972653">
      <w:pPr>
        <w:pStyle w:val="SQL"/>
      </w:pPr>
      <w:r w:rsidRPr="00972653">
        <w:t>SET TableVersion.ToDate = #06/29/2015#, Concept.ModificationDate =#1/15/2016#, Concept.ToDate=#06/29/2015#</w:t>
      </w:r>
    </w:p>
    <w:p w14:paraId="2661BC51" w14:textId="77777777" w:rsidR="001444B4" w:rsidRPr="00972653" w:rsidRDefault="001444B4" w:rsidP="00972653">
      <w:pPr>
        <w:pStyle w:val="SQL"/>
      </w:pPr>
      <w:r w:rsidRPr="00972653">
        <w:t>WHERE (((TableVersion.TableVID) In (605,606,732,739)));</w:t>
      </w:r>
    </w:p>
    <w:p w14:paraId="0E8244FF" w14:textId="77777777" w:rsidR="001444B4" w:rsidRPr="00394670" w:rsidRDefault="001444B4" w:rsidP="001444B4">
      <w:pPr>
        <w:ind w:left="720"/>
        <w:rPr>
          <w:sz w:val="16"/>
          <w:szCs w:val="16"/>
        </w:rPr>
      </w:pPr>
    </w:p>
    <w:p w14:paraId="369DAEBF" w14:textId="77777777" w:rsidR="001444B4" w:rsidRPr="00394670" w:rsidRDefault="001444B4" w:rsidP="001444B4">
      <w:pPr>
        <w:ind w:left="720"/>
        <w:rPr>
          <w:sz w:val="16"/>
          <w:szCs w:val="16"/>
        </w:rPr>
      </w:pPr>
      <w:r w:rsidRPr="00394670">
        <w:rPr>
          <w:sz w:val="16"/>
          <w:szCs w:val="16"/>
        </w:rPr>
        <w:t>*Updated TableVersions 642,643,644,646,819 (C 45.00.a, C 45.00.b, C 46.00.a, C 46.00.c, C 46.00.b) with missing ToDates</w:t>
      </w:r>
    </w:p>
    <w:p w14:paraId="5A45B37F" w14:textId="77777777" w:rsidR="001444B4" w:rsidRPr="00394670" w:rsidRDefault="001444B4" w:rsidP="001444B4">
      <w:pPr>
        <w:ind w:left="720"/>
        <w:rPr>
          <w:sz w:val="16"/>
          <w:szCs w:val="16"/>
        </w:rPr>
      </w:pPr>
    </w:p>
    <w:p w14:paraId="3F03EE5F" w14:textId="77777777" w:rsidR="001444B4" w:rsidRPr="00972653" w:rsidRDefault="001444B4" w:rsidP="00972653">
      <w:pPr>
        <w:pStyle w:val="SQL"/>
      </w:pPr>
      <w:r w:rsidRPr="00972653">
        <w:t xml:space="preserve">UPDATE concept INNER JOIN TableVersion ON Concept.ConceptID = TableVersion.ConceptID </w:t>
      </w:r>
    </w:p>
    <w:p w14:paraId="14DC872F" w14:textId="77777777" w:rsidR="001444B4" w:rsidRPr="00972653" w:rsidRDefault="001444B4" w:rsidP="00972653">
      <w:pPr>
        <w:pStyle w:val="SQL"/>
      </w:pPr>
      <w:r w:rsidRPr="00972653">
        <w:t>SET TableVersion.ToDate = #03/30/2016#, Concept.ModificationDate =#1/15/2016#, Concept.ToDate=#03/30/2016#</w:t>
      </w:r>
    </w:p>
    <w:p w14:paraId="6B3AD34A" w14:textId="77777777" w:rsidR="001444B4" w:rsidRPr="00972653" w:rsidRDefault="001444B4" w:rsidP="00972653">
      <w:pPr>
        <w:pStyle w:val="SQL"/>
      </w:pPr>
      <w:r w:rsidRPr="00972653">
        <w:t>WHERE (((TableVersion.TableVID) In (642,643,644,646,819)));</w:t>
      </w:r>
    </w:p>
    <w:p w14:paraId="4AC8A715" w14:textId="77777777" w:rsidR="001444B4" w:rsidRPr="00394670" w:rsidRDefault="001444B4" w:rsidP="001444B4">
      <w:pPr>
        <w:ind w:left="720"/>
        <w:rPr>
          <w:sz w:val="16"/>
          <w:szCs w:val="16"/>
        </w:rPr>
      </w:pPr>
    </w:p>
    <w:p w14:paraId="0EBEAB5F" w14:textId="77777777" w:rsidR="001444B4" w:rsidRDefault="001444B4" w:rsidP="00183058">
      <w:pPr>
        <w:pStyle w:val="ListParagraph"/>
        <w:numPr>
          <w:ilvl w:val="0"/>
          <w:numId w:val="23"/>
        </w:numPr>
      </w:pPr>
      <w:r>
        <w:t>Removal of incorrect links between validation rule and previous table versions (for metric allowed value rules)</w:t>
      </w:r>
    </w:p>
    <w:p w14:paraId="43C10DB7" w14:textId="77777777" w:rsidR="001444B4" w:rsidRDefault="001444B4" w:rsidP="001444B4">
      <w:pPr>
        <w:rPr>
          <w:sz w:val="16"/>
          <w:szCs w:val="16"/>
        </w:rPr>
      </w:pPr>
    </w:p>
    <w:p w14:paraId="6037F3C7" w14:textId="77777777" w:rsidR="001444B4" w:rsidRDefault="001444B4" w:rsidP="00183058">
      <w:pPr>
        <w:pStyle w:val="ListParagraph"/>
        <w:numPr>
          <w:ilvl w:val="0"/>
          <w:numId w:val="23"/>
        </w:numPr>
      </w:pPr>
      <w:r w:rsidRPr="00406EBB">
        <w:t xml:space="preserve">Remove misleading severity information from validation rule </w:t>
      </w:r>
      <w:r>
        <w:t>(basically this never actually provided reliable information, since EBA publishes changes to the status of rules in between taxonomy releases).</w:t>
      </w:r>
    </w:p>
    <w:p w14:paraId="5D901260" w14:textId="77777777" w:rsidR="001444B4" w:rsidRDefault="001444B4" w:rsidP="001444B4"/>
    <w:p w14:paraId="7B1DDB17" w14:textId="77777777" w:rsidR="001444B4" w:rsidRPr="00972653" w:rsidRDefault="001444B4" w:rsidP="00972653">
      <w:pPr>
        <w:pStyle w:val="SQL"/>
      </w:pPr>
      <w:r w:rsidRPr="00972653">
        <w:t>UPDATE ValidationRule SET ValidationRule.Severity = Null;</w:t>
      </w:r>
    </w:p>
    <w:p w14:paraId="44D98C79" w14:textId="77777777" w:rsidR="0084357B" w:rsidRPr="000321C4" w:rsidRDefault="0084357B" w:rsidP="00183058">
      <w:pPr>
        <w:pStyle w:val="ListParagraph"/>
        <w:numPr>
          <w:ilvl w:val="0"/>
          <w:numId w:val="21"/>
        </w:numPr>
      </w:pPr>
      <w:r>
        <w:t xml:space="preserve">Clarified status of the old/orphaned C 06.01 and C06.02 tables which used the filing indicator “C 06.00” (TableVersionIDs 732 and 739) by </w:t>
      </w:r>
      <w:r w:rsidRPr="000321C4">
        <w:t>set</w:t>
      </w:r>
      <w:r>
        <w:t>ting</w:t>
      </w:r>
      <w:r w:rsidRPr="000321C4">
        <w:t xml:space="preserve"> </w:t>
      </w:r>
      <w:r>
        <w:t>ToD</w:t>
      </w:r>
      <w:r w:rsidRPr="000321C4">
        <w:t>ate to 29/06/2015</w:t>
      </w:r>
      <w:r>
        <w:t>.</w:t>
      </w:r>
    </w:p>
    <w:p w14:paraId="68EEDDB7" w14:textId="77777777" w:rsidR="0084357B" w:rsidRDefault="0084357B" w:rsidP="00183058">
      <w:pPr>
        <w:pStyle w:val="ListParagraph"/>
        <w:numPr>
          <w:ilvl w:val="0"/>
          <w:numId w:val="21"/>
        </w:numPr>
      </w:pPr>
      <w:r>
        <w:t>Corrected the version number of taxonomy SBP 2015-B to 1.0.2</w:t>
      </w:r>
    </w:p>
    <w:p w14:paraId="2EBC9491" w14:textId="77777777" w:rsidR="0084357B" w:rsidRDefault="0084357B" w:rsidP="00183058">
      <w:pPr>
        <w:pStyle w:val="ListParagraph"/>
        <w:numPr>
          <w:ilvl w:val="0"/>
          <w:numId w:val="21"/>
        </w:numPr>
      </w:pPr>
      <w:r>
        <w:lastRenderedPageBreak/>
        <w:t>Corrected OpenMemberRestriction records, all records with MemberIncluded=true should also have had the (slightly redundant) AllowsDefaultMember field set to true as well</w:t>
      </w:r>
    </w:p>
    <w:p w14:paraId="142D6947" w14:textId="320F2AD1" w:rsidR="0084357B" w:rsidRDefault="0084357B" w:rsidP="0084357B">
      <w:pPr>
        <w:pStyle w:val="Titlelevel3"/>
      </w:pPr>
      <w:r>
        <w:t>DPM DB structure changes:</w:t>
      </w:r>
    </w:p>
    <w:p w14:paraId="139C4569" w14:textId="77777777" w:rsidR="0084357B" w:rsidRDefault="0084357B" w:rsidP="00183058">
      <w:pPr>
        <w:pStyle w:val="ListParagraph"/>
        <w:numPr>
          <w:ilvl w:val="0"/>
          <w:numId w:val="21"/>
        </w:numPr>
      </w:pPr>
      <w:r>
        <w:t>Added new DatapointVersionTransition and DatapointVersionTransitionLink tables:</w:t>
      </w:r>
    </w:p>
    <w:p w14:paraId="6D1F929A" w14:textId="77777777" w:rsidR="0084357B" w:rsidRDefault="0084357B" w:rsidP="0084357B">
      <w:pPr>
        <w:pStyle w:val="ListParagraph"/>
        <w:ind w:left="1080"/>
      </w:pPr>
      <w:r>
        <w:rPr>
          <w:noProof/>
        </w:rPr>
        <w:drawing>
          <wp:inline distT="0" distB="0" distL="0" distR="0" wp14:anchorId="392A3279" wp14:editId="22DF2772">
            <wp:extent cx="5762625" cy="1367101"/>
            <wp:effectExtent l="0" t="0" r="0" b="0"/>
            <wp:docPr id="2" name="Picture 2" descr="cid:image001.png@01D0FF78.A6EA0F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0FF78.A6EA0F6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2625" cy="1367101"/>
                    </a:xfrm>
                    <a:prstGeom prst="rect">
                      <a:avLst/>
                    </a:prstGeom>
                    <a:noFill/>
                    <a:ln>
                      <a:noFill/>
                    </a:ln>
                  </pic:spPr>
                </pic:pic>
              </a:graphicData>
            </a:graphic>
          </wp:inline>
        </w:drawing>
      </w:r>
    </w:p>
    <w:p w14:paraId="6F480665" w14:textId="5C5FA272" w:rsidR="0084357B" w:rsidRDefault="0084357B" w:rsidP="00183058">
      <w:pPr>
        <w:pStyle w:val="ListParagraph"/>
        <w:numPr>
          <w:ilvl w:val="1"/>
          <w:numId w:val="21"/>
        </w:numPr>
      </w:pPr>
      <w:r>
        <w:t xml:space="preserve">The intention of these tables is to provide a mechanism to document more complex transitions to data series than the current possibilities of “start” (new DataPoint and DataPointVersion), “change modelling” (additional DataPointVersion for same DataPoint) or “stop” (end date on last DataPointVersion). </w:t>
      </w:r>
    </w:p>
    <w:p w14:paraId="0AEA5F88" w14:textId="5BE7D889" w:rsidR="0084357B" w:rsidRDefault="0084357B" w:rsidP="00183058">
      <w:pPr>
        <w:pStyle w:val="ListParagraph"/>
        <w:numPr>
          <w:ilvl w:val="1"/>
          <w:numId w:val="21"/>
        </w:numPr>
      </w:pPr>
      <w:r>
        <w:t>Note they contain no records in this version.</w:t>
      </w:r>
    </w:p>
    <w:p w14:paraId="104BBE8B" w14:textId="77777777" w:rsidR="0084357B" w:rsidRDefault="0084357B" w:rsidP="001444B4">
      <w:pPr>
        <w:ind w:left="720"/>
        <w:rPr>
          <w:sz w:val="16"/>
          <w:szCs w:val="16"/>
        </w:rPr>
      </w:pPr>
    </w:p>
    <w:p w14:paraId="1FE4182E" w14:textId="77777777" w:rsidR="00D62FD8" w:rsidRDefault="00D62FD8" w:rsidP="001444B4">
      <w:pPr>
        <w:ind w:left="720"/>
        <w:rPr>
          <w:sz w:val="16"/>
          <w:szCs w:val="16"/>
        </w:rPr>
      </w:pPr>
    </w:p>
    <w:p w14:paraId="3C105FA0" w14:textId="77777777" w:rsidR="00D62FD8" w:rsidRPr="00AF5AA3" w:rsidRDefault="00D62FD8" w:rsidP="00D62FD8">
      <w:pPr>
        <w:pStyle w:val="Titlelevel2"/>
        <w:keepNext/>
      </w:pPr>
      <w:r>
        <w:t>XBRL c</w:t>
      </w:r>
      <w:r w:rsidRPr="00AF5AA3">
        <w:t>hanges</w:t>
      </w:r>
    </w:p>
    <w:p w14:paraId="34AA7AEB" w14:textId="5B3151A5" w:rsidR="00D62FD8" w:rsidRDefault="00D62FD8" w:rsidP="00D62FD8">
      <w:pPr>
        <w:pStyle w:val="Titlelevel3"/>
      </w:pPr>
      <w:r>
        <w:t xml:space="preserve"> “Changes only” XBRL taxonomy structure</w:t>
      </w:r>
    </w:p>
    <w:p w14:paraId="0B3A5889" w14:textId="77777777" w:rsidR="00D62FD8" w:rsidRDefault="00D62FD8" w:rsidP="00D62FD8">
      <w:r>
        <w:t xml:space="preserve">Note that the file structure of the XBRL taxonomy for this new correction version of COREP is implemented differently from previous EBA taxonomy releases. The new taxonomy directly references the (files containing the) unchanged elements (validation rules and tables) of the previous version, itself containing only those items that have changed or been added (i.e. it is a kind of “delta”). </w:t>
      </w:r>
    </w:p>
    <w:p w14:paraId="586342B8" w14:textId="77777777" w:rsidR="00D62FD8" w:rsidRDefault="00D62FD8" w:rsidP="00D62FD8"/>
    <w:p w14:paraId="73035EDA" w14:textId="77777777" w:rsidR="00D62FD8" w:rsidRDefault="00D62FD8" w:rsidP="00D62FD8">
      <w:r>
        <w:t>This has the significant advantages of making the (set of new files describing the) additional reporting taxonomy version much smaller (as it does not repeat the vast swathe of unchanged content), and making much clearer what is and is not changed. However it has the notable consequent disadvantage of making the new COREP entry points dependent on the files of the previous version, rather than solely on the dictionary files as was the previous pattern.</w:t>
      </w:r>
    </w:p>
    <w:p w14:paraId="7C87D191" w14:textId="199D3346" w:rsidR="00D62FD8" w:rsidRDefault="00D62FD8" w:rsidP="00D62FD8">
      <w:pPr>
        <w:pStyle w:val="Titlelevel3"/>
      </w:pPr>
      <w:r>
        <w:t>Validation rule implementation corrections</w:t>
      </w:r>
    </w:p>
    <w:p w14:paraId="27F94223" w14:textId="055A8740" w:rsidR="00D62FD8" w:rsidRDefault="00D62FD8" w:rsidP="00D62FD8">
      <w:pPr>
        <w:pStyle w:val="ListParagraph"/>
        <w:ind w:left="0"/>
      </w:pPr>
      <w:r>
        <w:t>As a result of a technical error in the taxonomy production process, validation rules intended to be of the form “</w:t>
      </w:r>
      <w:r w:rsidRPr="000F3477">
        <w:rPr>
          <w:i/>
        </w:rPr>
        <w:t>if a then b</w:t>
      </w:r>
      <w:r w:rsidR="000F3477">
        <w:rPr>
          <w:i/>
        </w:rPr>
        <w:t>”</w:t>
      </w:r>
      <w:r>
        <w:t xml:space="preserve"> were incorrectly implemented in the original release of the 2.4 XBRL taxonomy, and would always result in </w:t>
      </w:r>
      <w:r w:rsidR="000F3477">
        <w:t>a “failed” rule.</w:t>
      </w:r>
    </w:p>
    <w:p w14:paraId="15A1F052" w14:textId="77777777" w:rsidR="000F3477" w:rsidRDefault="000F3477" w:rsidP="00D62FD8">
      <w:pPr>
        <w:pStyle w:val="ListParagraph"/>
        <w:ind w:left="0"/>
      </w:pPr>
    </w:p>
    <w:p w14:paraId="008D46BF" w14:textId="4A7188F5" w:rsidR="000F3477" w:rsidRDefault="000F3477" w:rsidP="00D62FD8">
      <w:pPr>
        <w:pStyle w:val="ListParagraph"/>
        <w:ind w:left="0"/>
      </w:pPr>
      <w:r>
        <w:t xml:space="preserve">As the correction of this error does not affect the structural validity of any instance file, merely the potential results of evaluating XBRL assertions (i.e. they are “instance compatible”) this release includes “in-place” corrections to these files. The new versions of these files (or equivalently the new version of the relevant taxonomy packages) should be used.  Instances prepared using the previous </w:t>
      </w:r>
      <w:r>
        <w:lastRenderedPageBreak/>
        <w:t>versions of these taxonomies may be directly validated against the new taxonomy files without needing any changes (i.e. the schemaRef URIs needed are unchanged), or indeed vice versa.</w:t>
      </w:r>
    </w:p>
    <w:p w14:paraId="15612267" w14:textId="77777777" w:rsidR="000F3477" w:rsidRDefault="000F3477" w:rsidP="00D62FD8">
      <w:pPr>
        <w:pStyle w:val="ListParagraph"/>
        <w:ind w:left="0"/>
      </w:pPr>
    </w:p>
    <w:p w14:paraId="009FFA0C" w14:textId="083ACB3B" w:rsidR="000F3477" w:rsidRDefault="000F3477" w:rsidP="00D62FD8">
      <w:pPr>
        <w:pStyle w:val="ListParagraph"/>
        <w:ind w:left="0"/>
      </w:pPr>
      <w:r>
        <w:t xml:space="preserve">This applies to the v2.4 SBP and FINREP, for which updated versions 2.1.4.1 and 1.0.2.1 are supplied. In addition a correction for this error in the v2.4 COREP </w:t>
      </w:r>
      <w:r w:rsidR="00172A38">
        <w:t xml:space="preserve">files </w:t>
      </w:r>
      <w:r>
        <w:t xml:space="preserve">is also included, though this is superseded by the </w:t>
      </w:r>
      <w:r w:rsidR="00172A38">
        <w:t>new entry points required for the correction in the v2.4.1.0 COREP noted above</w:t>
      </w:r>
      <w:r w:rsidR="00172A38">
        <w:rPr>
          <w:rStyle w:val="FootnoteReference"/>
        </w:rPr>
        <w:footnoteReference w:id="22"/>
      </w:r>
      <w:r>
        <w:t>,</w:t>
      </w:r>
      <w:r w:rsidR="00172A38">
        <w:t xml:space="preserve"> and should not be used for any reporting to the EBA.</w:t>
      </w:r>
      <w:r>
        <w:t xml:space="preserve"> </w:t>
      </w:r>
      <w:r w:rsidR="00172A38">
        <w:t xml:space="preserve">These corrections form </w:t>
      </w:r>
      <w:r>
        <w:t xml:space="preserve">a notional </w:t>
      </w:r>
      <w:r>
        <w:rPr>
          <w:b/>
        </w:rPr>
        <w:t xml:space="preserve">v2.4.0.1 </w:t>
      </w:r>
      <w:r w:rsidRPr="000F3477">
        <w:t>release</w:t>
      </w:r>
      <w:r w:rsidR="00172A38">
        <w:t>.</w:t>
      </w:r>
    </w:p>
    <w:p w14:paraId="2A2395A4" w14:textId="77777777" w:rsidR="00D62FD8" w:rsidRDefault="00D62FD8" w:rsidP="00D62FD8">
      <w:pPr>
        <w:pStyle w:val="Titlelevel3"/>
      </w:pPr>
      <w:r>
        <w:t>Additional metadata files</w:t>
      </w:r>
    </w:p>
    <w:p w14:paraId="32306CC7" w14:textId="00DF67E8" w:rsidR="00D62FD8" w:rsidRDefault="00D62FD8" w:rsidP="00D62FD8">
      <w:pPr>
        <w:pStyle w:val="ListParagraph"/>
        <w:ind w:left="0"/>
      </w:pPr>
      <w:r>
        <w:t>Inclusion of DPM architect format “tax-inf.xml” files to provide metadata on required precision</w:t>
      </w:r>
      <w:r w:rsidR="000F3477">
        <w:t>.</w:t>
      </w:r>
      <w:r>
        <w:t xml:space="preserve"> </w:t>
      </w:r>
      <w:r w:rsidR="000F3477">
        <w:t>N.B.</w:t>
      </w:r>
      <w:r>
        <w:t xml:space="preserve"> these are merely complementary to existing information in filing rules, not directly referenced by any entry point, not crucial for any XBRL processing, and provided only in case they are useful to some consumers</w:t>
      </w:r>
      <w:r w:rsidR="000F3477">
        <w:t>.</w:t>
      </w:r>
    </w:p>
    <w:p w14:paraId="436B08FA" w14:textId="77777777" w:rsidR="001444B4" w:rsidRDefault="001444B4" w:rsidP="001444B4">
      <w:pPr>
        <w:rPr>
          <w:sz w:val="16"/>
          <w:szCs w:val="16"/>
        </w:rPr>
      </w:pPr>
    </w:p>
    <w:p w14:paraId="7C442FD0" w14:textId="77777777" w:rsidR="001444B4" w:rsidRDefault="001444B4" w:rsidP="001444B4">
      <w:pPr>
        <w:pStyle w:val="Titlelevel3"/>
      </w:pPr>
      <w:r w:rsidRPr="00394670">
        <w:t>Known Errors:</w:t>
      </w:r>
    </w:p>
    <w:p w14:paraId="488DC59B" w14:textId="00D832CA" w:rsidR="001444B4" w:rsidRDefault="00F00500" w:rsidP="001444B4">
      <w:pPr>
        <w:rPr>
          <w:rFonts w:asciiTheme="majorHAnsi" w:eastAsiaTheme="majorEastAsia" w:hAnsiTheme="majorHAnsi" w:cstheme="majorBidi"/>
          <w:bCs/>
          <w:color w:val="2F5773" w:themeColor="text2"/>
          <w:sz w:val="32"/>
        </w:rPr>
      </w:pPr>
      <w:r>
        <w:t>There is</w:t>
      </w:r>
      <w:r w:rsidR="001444B4" w:rsidRPr="00394670">
        <w:t xml:space="preserve"> an error in the table layout for P 02.06 in DPM/XBRL. </w:t>
      </w:r>
      <w:r>
        <w:t>R</w:t>
      </w:r>
      <w:r w:rsidR="001444B4" w:rsidRPr="00394670">
        <w:t xml:space="preserve">ow 040 </w:t>
      </w:r>
      <w:r>
        <w:t>is positioned i</w:t>
      </w:r>
      <w:r w:rsidR="001444B4" w:rsidRPr="00394670">
        <w:t>n the first section (under the first header) in the DPM/XBRL, but should fall into the second section. This is a display issue not a categorization one, i.e. the dimensional attributes and label of the row is still correct, but please be aware.</w:t>
      </w:r>
      <w:r>
        <w:t xml:space="preserve"> [This is corrected in v2.5]</w:t>
      </w:r>
    </w:p>
    <w:p w14:paraId="39AE2F27" w14:textId="77777777" w:rsidR="00F00500" w:rsidRDefault="00F00500">
      <w:pPr>
        <w:rPr>
          <w:rFonts w:asciiTheme="majorHAnsi" w:eastAsiaTheme="majorEastAsia" w:hAnsiTheme="majorHAnsi" w:cstheme="majorBidi"/>
          <w:i/>
          <w:color w:val="2F5773" w:themeColor="text2"/>
          <w:spacing w:val="5"/>
          <w:kern w:val="28"/>
          <w:sz w:val="52"/>
          <w:szCs w:val="52"/>
        </w:rPr>
      </w:pPr>
      <w:r>
        <w:rPr>
          <w:i/>
        </w:rPr>
        <w:br w:type="page"/>
      </w:r>
    </w:p>
    <w:p w14:paraId="55B5EADD" w14:textId="228A9621" w:rsidR="00DC113D" w:rsidRDefault="00DC113D" w:rsidP="00DC113D">
      <w:pPr>
        <w:pStyle w:val="Titlelevel1"/>
        <w:rPr>
          <w:i/>
        </w:rPr>
      </w:pPr>
      <w:r>
        <w:rPr>
          <w:i/>
        </w:rPr>
        <w:lastRenderedPageBreak/>
        <w:t>v2.4</w:t>
      </w:r>
      <w:r w:rsidRPr="00E47786">
        <w:rPr>
          <w:i/>
        </w:rPr>
        <w:t>.</w:t>
      </w:r>
      <w:r w:rsidR="00351662">
        <w:rPr>
          <w:i/>
        </w:rPr>
        <w:t>0</w:t>
      </w:r>
      <w:r w:rsidRPr="00E47786">
        <w:rPr>
          <w:i/>
        </w:rPr>
        <w:t xml:space="preserve"> (“2015-</w:t>
      </w:r>
      <w:r>
        <w:rPr>
          <w:i/>
        </w:rPr>
        <w:t>B”</w:t>
      </w:r>
      <w:r w:rsidRPr="00E47786">
        <w:rPr>
          <w:i/>
        </w:rPr>
        <w:t>)</w:t>
      </w:r>
      <w:r w:rsidRPr="00E47786">
        <w:rPr>
          <w:rFonts w:ascii="Arial" w:hAnsi="Arial" w:cs="Arial"/>
          <w:i/>
          <w:color w:val="696969"/>
          <w:sz w:val="18"/>
          <w:szCs w:val="18"/>
          <w:shd w:val="clear" w:color="auto" w:fill="FFFFFF"/>
        </w:rPr>
        <w:t xml:space="preserve"> </w:t>
      </w:r>
      <w:r>
        <w:rPr>
          <w:rFonts w:ascii="Arial" w:hAnsi="Arial" w:cs="Arial"/>
          <w:i/>
          <w:color w:val="696969"/>
          <w:sz w:val="18"/>
          <w:szCs w:val="18"/>
          <w:shd w:val="clear" w:color="auto" w:fill="FFFFFF"/>
        </w:rPr>
        <w:t>(11/08</w:t>
      </w:r>
      <w:r w:rsidRPr="00E47786">
        <w:rPr>
          <w:rFonts w:ascii="Arial" w:hAnsi="Arial" w:cs="Arial"/>
          <w:i/>
          <w:color w:val="696969"/>
          <w:sz w:val="18"/>
          <w:szCs w:val="18"/>
          <w:shd w:val="clear" w:color="auto" w:fill="FFFFFF"/>
        </w:rPr>
        <w:t>/2015)</w:t>
      </w:r>
    </w:p>
    <w:p w14:paraId="55B5EADE" w14:textId="77777777" w:rsidR="00D77280" w:rsidRDefault="00D77280" w:rsidP="00D77280">
      <w:pPr>
        <w:pStyle w:val="Titlelevel2"/>
      </w:pPr>
      <w:r w:rsidRPr="00AF5AA3">
        <w:t>Purpose</w:t>
      </w:r>
    </w:p>
    <w:p w14:paraId="55B5EADF" w14:textId="77777777" w:rsidR="00D77280" w:rsidRDefault="00D77280" w:rsidP="00183058">
      <w:pPr>
        <w:pStyle w:val="ListParagraph"/>
        <w:numPr>
          <w:ilvl w:val="0"/>
          <w:numId w:val="21"/>
        </w:numPr>
      </w:pPr>
      <w:r>
        <w:t>Alignment of LR and LCR reporting with respective Commission delegated acts.</w:t>
      </w:r>
    </w:p>
    <w:p w14:paraId="55B5EAE0" w14:textId="77777777" w:rsidR="00D77280" w:rsidRDefault="00D77280" w:rsidP="00183058">
      <w:pPr>
        <w:pStyle w:val="ListParagraph"/>
        <w:numPr>
          <w:ilvl w:val="0"/>
          <w:numId w:val="21"/>
        </w:numPr>
      </w:pPr>
      <w:r>
        <w:t xml:space="preserve">Introduction of true Multicurrency reporting to COREP and ALM per QA 1042.  </w:t>
      </w:r>
    </w:p>
    <w:p w14:paraId="55B5EAE1" w14:textId="77777777" w:rsidR="00D77280" w:rsidRDefault="00D77280" w:rsidP="00D77280"/>
    <w:p w14:paraId="55B5EAE2" w14:textId="77777777" w:rsidR="00D77280" w:rsidRPr="002C21E9" w:rsidRDefault="00D77280" w:rsidP="00D77280">
      <w:pPr>
        <w:pStyle w:val="Titlelevel2"/>
      </w:pPr>
      <w:r w:rsidRPr="002C21E9">
        <w:t>DPM Changes</w:t>
      </w:r>
    </w:p>
    <w:p w14:paraId="55B5EAE3" w14:textId="77777777" w:rsidR="00D77280" w:rsidRPr="00360446" w:rsidRDefault="00D77280" w:rsidP="00D77280">
      <w:pPr>
        <w:pStyle w:val="Titlelevel3"/>
      </w:pPr>
      <w:r w:rsidRPr="00360446">
        <w:t>Leverage Ratio</w:t>
      </w:r>
    </w:p>
    <w:p w14:paraId="55B5EAE4" w14:textId="77777777" w:rsidR="00D77280" w:rsidRDefault="00D77280" w:rsidP="00D77280">
      <w:r>
        <w:t>In accordance with the Commission Delegated Regulation 2015/62, and Implementing Technical Standards EBA/ITS/2015/03, the leverage ratio templates (C 40-46) have been updated. Templates C 40-44 have been adapted, C 45-46 deleted and C 47 added (effectively replacing C 45). As usual, these templates should be reported as part of the main COREP module.</w:t>
      </w:r>
    </w:p>
    <w:p w14:paraId="55B5EAE5" w14:textId="77777777" w:rsidR="00D77280" w:rsidRDefault="00D77280" w:rsidP="00D77280"/>
    <w:p w14:paraId="55B5EAE6" w14:textId="77777777" w:rsidR="00D77280" w:rsidRPr="002D2F3D" w:rsidRDefault="00D77280" w:rsidP="00D77280">
      <w:pPr>
        <w:pStyle w:val="Titlelevel3"/>
      </w:pPr>
      <w:r w:rsidRPr="002D2F3D">
        <w:t>Liquidity Coverage Ratio</w:t>
      </w:r>
    </w:p>
    <w:p w14:paraId="55B5EAE7" w14:textId="77777777" w:rsidR="00D77280" w:rsidRDefault="00D77280" w:rsidP="00D77280">
      <w:r>
        <w:t>In accordance with Commission Delegated Regulation 2015/61, and Implementing Technical Standards EBA/ITS/2015/04, an additional conceptual module (LCR_DA in Individual and Consolidated variants) has been introduced containing revised versions of the Liquidity Coverage Ratio templates. These are included in an additional module, rather than altering the existing templates, as the delegated act applies to only one section (broadly credit institutions) of the potential reporters of LCR templates, others of which (broadly investment firms) may continue to be required to report the pre-delegated act LCR templates.</w:t>
      </w:r>
    </w:p>
    <w:p w14:paraId="55B5EAE8" w14:textId="77777777" w:rsidR="00D77280" w:rsidRPr="002D2F3D" w:rsidRDefault="00D77280" w:rsidP="00D77280">
      <w:pPr>
        <w:pStyle w:val="Titlelevel3"/>
      </w:pPr>
      <w:r w:rsidRPr="002D2F3D">
        <w:t>QA 1042</w:t>
      </w:r>
      <w:r>
        <w:t xml:space="preserve"> - Multicurrency</w:t>
      </w:r>
    </w:p>
    <w:p w14:paraId="55B5EAE9" w14:textId="77777777" w:rsidR="00D77280" w:rsidRDefault="00D77280" w:rsidP="00D77280">
      <w:r>
        <w:t>Significant implementation changes have been made to the data model and XBRL reporting mechanics regarding the reporting of currency breakdowns (and other non-reporting currency figures).</w:t>
      </w:r>
    </w:p>
    <w:p w14:paraId="55B5EAEA" w14:textId="77777777" w:rsidR="00D77280" w:rsidRDefault="00D77280" w:rsidP="00D77280"/>
    <w:p w14:paraId="55B5EAEB" w14:textId="77777777" w:rsidR="00D77280" w:rsidRDefault="00D77280" w:rsidP="00D77280">
      <w:r>
        <w:t xml:space="preserve">On </w:t>
      </w:r>
      <w:r w:rsidRPr="002D2F3D">
        <w:t>29/05/2015</w:t>
      </w:r>
      <w:r>
        <w:t xml:space="preserve"> the question #1042 on the EBA Single Rulebook Q&amp;A</w:t>
      </w:r>
      <w:r w:rsidRPr="003F60D3">
        <w:rPr>
          <w:vertAlign w:val="superscript"/>
        </w:rPr>
        <w:footnoteReference w:id="23"/>
      </w:r>
      <w:r w:rsidRPr="003F60D3">
        <w:rPr>
          <w:vertAlign w:val="superscript"/>
        </w:rPr>
        <w:t xml:space="preserve"> </w:t>
      </w:r>
      <w:r>
        <w:t>(“</w:t>
      </w:r>
      <w:r w:rsidRPr="003F60D3">
        <w:rPr>
          <w:rFonts w:ascii="Arial" w:hAnsi="Arial" w:cs="Arial"/>
          <w:color w:val="303A40"/>
          <w:sz w:val="18"/>
          <w:szCs w:val="18"/>
          <w:shd w:val="clear" w:color="auto" w:fill="FFFFFF"/>
        </w:rPr>
        <w:t>Currency in which the information that the institutions report to the competent authorities of the home member State must be submitted, according to art. 415 (2) [LCR and NSFR templates]</w:t>
      </w:r>
      <w:r>
        <w:t>”) was answered thus:</w:t>
      </w:r>
    </w:p>
    <w:p w14:paraId="55B5EAEC" w14:textId="77777777" w:rsidR="00D77280" w:rsidRDefault="00D77280" w:rsidP="00D77280"/>
    <w:p w14:paraId="55B5EAED" w14:textId="77777777" w:rsidR="00D77280" w:rsidRDefault="00D77280" w:rsidP="00D77280">
      <w:r>
        <w:t>“</w:t>
      </w:r>
      <w:r w:rsidRPr="003F60D3">
        <w:rPr>
          <w:rFonts w:ascii="Arial" w:hAnsi="Arial" w:cs="Arial"/>
          <w:color w:val="303A40"/>
          <w:sz w:val="18"/>
          <w:szCs w:val="18"/>
          <w:shd w:val="clear" w:color="auto" w:fill="FFFFFF"/>
        </w:rPr>
        <w:t xml:space="preserve">The reporting of data in each significant currency shall, according to Article 415(2) a, be done using the significant currency itself. As the IT solutions of Article 17 of Regulation (EU) No 680/2014 - ITS on Supervisory Reporting currently do not allow for a reporting in each significant currency, the reporting currency should be used. Therefore significant currencies have to be converted into the reporting currency, </w:t>
      </w:r>
      <w:r w:rsidRPr="003F60D3">
        <w:rPr>
          <w:rFonts w:ascii="Arial" w:hAnsi="Arial" w:cs="Arial"/>
          <w:b/>
          <w:color w:val="303A40"/>
          <w:sz w:val="18"/>
          <w:szCs w:val="18"/>
          <w:shd w:val="clear" w:color="auto" w:fill="FFFFFF"/>
        </w:rPr>
        <w:t>until the IT solutions have been amended accordingly, to allow for reporting in significant currencies. This change will be made with the next possible release</w:t>
      </w:r>
      <w:r w:rsidRPr="003F60D3">
        <w:rPr>
          <w:rFonts w:ascii="Arial" w:hAnsi="Arial" w:cs="Arial"/>
          <w:color w:val="303A40"/>
          <w:sz w:val="18"/>
          <w:szCs w:val="18"/>
          <w:shd w:val="clear" w:color="auto" w:fill="FFFFFF"/>
        </w:rPr>
        <w:t>. Until then the conversion should be made according to the spot ECB foreign exchange reference rates as at the reporting reference date</w:t>
      </w:r>
      <w:r>
        <w:t>”</w:t>
      </w:r>
    </w:p>
    <w:p w14:paraId="55B5EAEE" w14:textId="77777777" w:rsidR="00D77280" w:rsidRDefault="00D77280" w:rsidP="00D77280"/>
    <w:p w14:paraId="55B5EAEF" w14:textId="77777777" w:rsidR="00D77280" w:rsidRDefault="00D77280" w:rsidP="00D77280">
      <w:r>
        <w:t>This release gives effect to this response (being the next feasible release after the QA response publication) and adjusts the operation of the requirement for a single reporting currency. The EBA filing rules have been modified to provide for reporting in other than the main reporting currency of an instance where indicated as appropriate by the Data Point Model.</w:t>
      </w:r>
    </w:p>
    <w:p w14:paraId="55B5EAF0" w14:textId="77777777" w:rsidR="00D77280" w:rsidRDefault="00D77280" w:rsidP="00D77280">
      <w:pPr>
        <w:pStyle w:val="Titlelevel4"/>
      </w:pPr>
      <w:r>
        <w:t>Currency breakdown sheets in LCR and NSFR</w:t>
      </w:r>
    </w:p>
    <w:p w14:paraId="55B5EAF1" w14:textId="77777777" w:rsidR="00D77280" w:rsidRDefault="00D77280" w:rsidP="00D77280">
      <w:r>
        <w:t xml:space="preserve">The existing tables </w:t>
      </w:r>
      <w:r w:rsidRPr="00A14D23">
        <w:t>C.51.00.w, C.51.00.x, C.52.00.w, C.52.00.x, C.52.00.y, C.52.00.z, C.53.00.w, C.53.00.x, C.53.00.y, C.54.00.a, C54.00.w</w:t>
      </w:r>
      <w:r>
        <w:t>, C 60.00.w, C 60.00.x, C 61.00.w, C 61.00.x (LCR and NSFR) have been altered.</w:t>
      </w:r>
    </w:p>
    <w:p w14:paraId="55B5EAF2" w14:textId="77777777" w:rsidR="00D77280" w:rsidRDefault="00D77280" w:rsidP="00D77280"/>
    <w:p w14:paraId="55B5EAF3" w14:textId="77777777" w:rsidR="00D77280" w:rsidRDefault="00D77280" w:rsidP="00D77280">
      <w:r>
        <w:t xml:space="preserve">Each of the monetary data items on these tables has had the member </w:t>
      </w:r>
      <w:r w:rsidRPr="007C4AD7">
        <w:rPr>
          <w:b/>
        </w:rPr>
        <w:t>eba_CA:x1</w:t>
      </w:r>
      <w:r w:rsidRPr="007C4AD7">
        <w:rPr>
          <w:rFonts w:ascii="Courier New" w:hAnsi="Courier New" w:cs="Courier New"/>
          <w:b/>
        </w:rPr>
        <w:t xml:space="preserve"> </w:t>
      </w:r>
      <w:r w:rsidRPr="002C21E9">
        <w:rPr>
          <w:i/>
        </w:rPr>
        <w:t>(“Expressed in currency of denomination (not converted to reporting currency)”</w:t>
      </w:r>
      <w:r>
        <w:rPr>
          <w:i/>
        </w:rPr>
        <w:t xml:space="preserve"> </w:t>
      </w:r>
      <w:r>
        <w:t xml:space="preserve">for the new dimension </w:t>
      </w:r>
      <w:r w:rsidRPr="007C4AD7">
        <w:rPr>
          <w:b/>
        </w:rPr>
        <w:t>CCA</w:t>
      </w:r>
      <w:r>
        <w:t xml:space="preserve"> </w:t>
      </w:r>
      <w:r w:rsidRPr="002C21E9">
        <w:rPr>
          <w:i/>
        </w:rPr>
        <w:t>(“Currency Conversion Approach”)</w:t>
      </w:r>
      <w:r>
        <w:t xml:space="preserve"> added to its modelling.  As noted above the EBA filing rules (v4.1) now allow such data items to be reported in currencies other than the “reporting currency” of the instance (whereas other monetary data items not so marked must still be reported in a single reporting currency per instance).</w:t>
      </w:r>
    </w:p>
    <w:p w14:paraId="55B5EAF4" w14:textId="77777777" w:rsidR="00D77280" w:rsidRDefault="00D77280" w:rsidP="00D77280"/>
    <w:p w14:paraId="55B5EAF5" w14:textId="77777777" w:rsidR="00D77280" w:rsidRPr="002C21E9" w:rsidRDefault="00D77280" w:rsidP="00D77280">
      <w:r>
        <w:t xml:space="preserve">Furthermore the filing rules state that for such facts where they have a value for </w:t>
      </w:r>
      <w:r w:rsidRPr="007C4AD7">
        <w:rPr>
          <w:b/>
        </w:rPr>
        <w:t>CUS</w:t>
      </w:r>
      <w:r>
        <w:t xml:space="preserve"> (</w:t>
      </w:r>
      <w:r w:rsidRPr="002C21E9">
        <w:rPr>
          <w:i/>
        </w:rPr>
        <w:t>“Currency with significant liabilities”)</w:t>
      </w:r>
      <w:r>
        <w:rPr>
          <w:i/>
        </w:rPr>
        <w:t xml:space="preserve"> </w:t>
      </w:r>
      <w:r>
        <w:t>the currency unit of the reported value must be consistent</w:t>
      </w:r>
      <w:r>
        <w:rPr>
          <w:rStyle w:val="FootnoteReference"/>
        </w:rPr>
        <w:footnoteReference w:id="24"/>
      </w:r>
      <w:r>
        <w:t xml:space="preserve"> with the value given for this dimension. This is the dimension used on the open z axis to identify to which sheet of the currency breakdown tables each fact relates.</w:t>
      </w:r>
    </w:p>
    <w:p w14:paraId="55B5EAF6" w14:textId="77777777" w:rsidR="00D77280" w:rsidRDefault="00D77280" w:rsidP="00D77280"/>
    <w:p w14:paraId="55B5EAF7" w14:textId="77777777" w:rsidR="00D77280" w:rsidRDefault="00D77280" w:rsidP="00D77280">
      <w:r>
        <w:t>The new LCR delegated act tables are also modelled in this way.</w:t>
      </w:r>
    </w:p>
    <w:p w14:paraId="55B5EAF8" w14:textId="77777777" w:rsidR="00D77280" w:rsidRDefault="00D77280" w:rsidP="00D77280"/>
    <w:p w14:paraId="55B5EAF9" w14:textId="77777777" w:rsidR="00D77280" w:rsidRDefault="00D77280" w:rsidP="00D77280">
      <w:r>
        <w:t>Note that table F 34.00.c in Asset Encumbrance and P 02.06 from Funding Plans, although sharing the same structure as the above mentioned tables in LCR and NSFR have NOT been altered. This is because the scope of the QA 1042 was specifically LCR and NSFR, and so does not automatically apply to these tables. F 34.00.c and P 02.06 should for now continue to be reported with all figures converted to the reporting currency (they are not marked with the member indicating otherwise).</w:t>
      </w:r>
    </w:p>
    <w:p w14:paraId="55B5EAFA" w14:textId="77777777" w:rsidR="00D77280" w:rsidRDefault="00D77280" w:rsidP="00D77280">
      <w:pPr>
        <w:pStyle w:val="Titlelevel4"/>
      </w:pPr>
      <w:r>
        <w:t>Benchmarking</w:t>
      </w:r>
    </w:p>
    <w:p w14:paraId="55B5EAFB" w14:textId="77777777" w:rsidR="00D77280" w:rsidRDefault="00D77280" w:rsidP="00D77280">
      <w:r>
        <w:t>The tables in benchmarking that previously used “decimal” primary items to report figures in various currencies without mentioning the currency have been remodelled to instead use normal monetary primary items.</w:t>
      </w:r>
    </w:p>
    <w:p w14:paraId="55B5EAFC" w14:textId="77777777" w:rsidR="00D77280" w:rsidRDefault="00D77280" w:rsidP="00D77280"/>
    <w:p w14:paraId="55B5EAFD" w14:textId="77777777" w:rsidR="00D77280" w:rsidRDefault="00D77280" w:rsidP="00D77280">
      <w:r>
        <w:t xml:space="preserve">The dimensional attributes of these data items in the DPM again contain the </w:t>
      </w:r>
      <w:r w:rsidRPr="007C4AD7">
        <w:rPr>
          <w:b/>
        </w:rPr>
        <w:t>eba_CA:x1</w:t>
      </w:r>
      <w:r>
        <w:t xml:space="preserve"> member of the </w:t>
      </w:r>
      <w:r w:rsidRPr="007C4AD7">
        <w:rPr>
          <w:b/>
        </w:rPr>
        <w:t>C</w:t>
      </w:r>
      <w:r>
        <w:rPr>
          <w:b/>
        </w:rPr>
        <w:t>CA</w:t>
      </w:r>
      <w:r>
        <w:t xml:space="preserve"> dimension to indicate they can (must) be reported with currencies other than the reporting currency where relevant.</w:t>
      </w:r>
    </w:p>
    <w:p w14:paraId="55B5EAFE" w14:textId="77777777" w:rsidR="00D77280" w:rsidRDefault="00D77280" w:rsidP="00D77280"/>
    <w:p w14:paraId="55B5EAFF" w14:textId="77777777" w:rsidR="00D77280" w:rsidRDefault="00D77280" w:rsidP="00D77280">
      <w:r>
        <w:t xml:space="preserve">The data items (unlike those in LCR and NSFR) do not however have any predetermined currency dimension associated. This is because the appropriate currency varies for each item (each row/sheet associated to a portfolio ID) in the open tables, driven by the details specified for the notional supervisory benchmarking portfolios in the lists published by the EBA in preparation for each specific </w:t>
      </w:r>
      <w:r>
        <w:lastRenderedPageBreak/>
        <w:t>benchmarking exercise</w:t>
      </w:r>
      <w:r>
        <w:rPr>
          <w:rStyle w:val="FootnoteReference"/>
        </w:rPr>
        <w:footnoteReference w:id="25"/>
      </w:r>
      <w:r>
        <w:t>. These open data items are therefore not a priori restricted by the data model to being reported in a specific currency, but of course should be reported in the appropriate currency of denomination on a reported fact by fact basis.</w:t>
      </w:r>
    </w:p>
    <w:p w14:paraId="55B5EB00" w14:textId="77777777" w:rsidR="00D77280" w:rsidRDefault="00D77280" w:rsidP="00D77280"/>
    <w:p w14:paraId="55B5EB01" w14:textId="77777777" w:rsidR="00AE7465" w:rsidRDefault="00AE7465" w:rsidP="00AE7465">
      <w:pPr>
        <w:pStyle w:val="Titlelevel3"/>
      </w:pPr>
      <w:r>
        <w:t>Finrep Individual</w:t>
      </w:r>
    </w:p>
    <w:p w14:paraId="55B5EB02" w14:textId="77777777" w:rsidR="00AE7465" w:rsidRPr="002D2F3D" w:rsidRDefault="00AE7465" w:rsidP="00AE7465">
      <w:r>
        <w:t>Please note that in order to facilitate implementation the Finrep Individual entry points form a separate reporting taxonomy (i.e. are separated into their own subdirectory at the XBRL level), the definitions of the tables (and hence the table layouts) are identical between the Consolidated and Individual versions.</w:t>
      </w:r>
    </w:p>
    <w:p w14:paraId="55B5EB03" w14:textId="77777777" w:rsidR="00D77280" w:rsidRDefault="00D77280" w:rsidP="00D77280">
      <w:pPr>
        <w:pStyle w:val="Titlelevel3"/>
      </w:pPr>
      <w:r>
        <w:t>Validation rules</w:t>
      </w:r>
    </w:p>
    <w:p w14:paraId="55B5EB04" w14:textId="77777777" w:rsidR="00D77280" w:rsidRDefault="00D77280" w:rsidP="00D77280">
      <w:r>
        <w:t>The “severity” attribute of validation rules is no longer populated in the DPM database (since it is essentially out of date as soon as the taxonomy is published, and hence just a potential source of confusion). All validation rules entries for 2.4 have this field as null. The activation / deactivation and blocking / non-blocking status of rules should be determined from the validation rule spreadsheets published from time to time by the EBA.</w:t>
      </w:r>
    </w:p>
    <w:p w14:paraId="55B5EB05" w14:textId="77777777" w:rsidR="00D77280" w:rsidRDefault="00D77280" w:rsidP="00D77280"/>
    <w:p w14:paraId="55B5EB06" w14:textId="77777777" w:rsidR="00D77280" w:rsidRDefault="00D77280" w:rsidP="00D77280">
      <w:r>
        <w:t>The accompanying validation spreadsheet includes additional rules for Asset Encumbrance, which are not represented in the XBRL taxonomy, being marked as “Not implemented in XBRL”. There is no new Asset Encumbrance taxonomy version in this release.</w:t>
      </w:r>
    </w:p>
    <w:p w14:paraId="55B5EB07" w14:textId="77777777" w:rsidR="00D77280" w:rsidRDefault="00D77280" w:rsidP="00D77280"/>
    <w:p w14:paraId="55B5EB08" w14:textId="77777777" w:rsidR="00D77280" w:rsidRDefault="00D77280" w:rsidP="00D77280">
      <w:r>
        <w:t>The function “min” is used for the first time in validation rules in this release.</w:t>
      </w:r>
    </w:p>
    <w:p w14:paraId="55B5EB09" w14:textId="77777777" w:rsidR="00D77280" w:rsidRPr="000818EE" w:rsidRDefault="00D77280" w:rsidP="00D77280">
      <w:pPr>
        <w:pStyle w:val="Titlelevel4"/>
        <w:ind w:left="720" w:right="711"/>
      </w:pPr>
      <w:r w:rsidRPr="000818EE">
        <w:t>A quick clarification regarding the “xsum” function.</w:t>
      </w:r>
    </w:p>
    <w:p w14:paraId="55B5EB0A" w14:textId="77777777" w:rsidR="00D77280" w:rsidRPr="00055C2E" w:rsidRDefault="00D77280" w:rsidP="00D77280">
      <w:pPr>
        <w:ind w:left="720" w:right="711"/>
        <w:jc w:val="both"/>
      </w:pPr>
      <w:r>
        <w:t xml:space="preserve">Used in the EBA validation rule formulae, </w:t>
      </w:r>
      <w:r w:rsidRPr="00055C2E">
        <w:t>“xsum” indicates that the value of all the cells at intersections of the listed co-ordinates should be summed. I.e. if a formula stated “xsum({TABLECODE, (r010, r030, c010, 030, 040)})”, then it would indicate the sum of the six cells labelled A-F in the illustration below</w:t>
      </w:r>
    </w:p>
    <w:p w14:paraId="55B5EB0B" w14:textId="77777777" w:rsidR="00D77280" w:rsidRDefault="00D77280" w:rsidP="00D77280">
      <w:pPr>
        <w:ind w:left="720"/>
        <w:rPr>
          <w:rFonts w:ascii="Calibri" w:hAnsi="Calibri"/>
          <w:color w:val="44546A"/>
          <w:szCs w:val="22"/>
        </w:rPr>
      </w:pPr>
    </w:p>
    <w:tbl>
      <w:tblPr>
        <w:tblW w:w="4633" w:type="dxa"/>
        <w:tblInd w:w="1440" w:type="dxa"/>
        <w:tblCellMar>
          <w:left w:w="0" w:type="dxa"/>
          <w:right w:w="0" w:type="dxa"/>
        </w:tblCellMar>
        <w:tblLook w:val="04A0" w:firstRow="1" w:lastRow="0" w:firstColumn="1" w:lastColumn="0" w:noHBand="0" w:noVBand="1"/>
      </w:tblPr>
      <w:tblGrid>
        <w:gridCol w:w="664"/>
        <w:gridCol w:w="709"/>
        <w:gridCol w:w="850"/>
        <w:gridCol w:w="851"/>
        <w:gridCol w:w="850"/>
        <w:gridCol w:w="709"/>
      </w:tblGrid>
      <w:tr w:rsidR="00D77280" w14:paraId="55B5EB12" w14:textId="77777777" w:rsidTr="00923CC5">
        <w:tc>
          <w:tcPr>
            <w:tcW w:w="664" w:type="dxa"/>
            <w:tcBorders>
              <w:top w:val="single" w:sz="8" w:space="0" w:color="auto"/>
              <w:left w:val="single" w:sz="8" w:space="0" w:color="auto"/>
              <w:bottom w:val="single" w:sz="18" w:space="0" w:color="FFFF00"/>
              <w:right w:val="single" w:sz="18" w:space="0" w:color="D44D2A" w:themeColor="accent3"/>
            </w:tcBorders>
            <w:shd w:val="clear" w:color="auto" w:fill="auto"/>
            <w:tcMar>
              <w:top w:w="0" w:type="dxa"/>
              <w:left w:w="108" w:type="dxa"/>
              <w:bottom w:w="0" w:type="dxa"/>
              <w:right w:w="108" w:type="dxa"/>
            </w:tcMar>
          </w:tcPr>
          <w:p w14:paraId="55B5EB0C" w14:textId="77777777" w:rsidR="00D77280" w:rsidRDefault="00D77280" w:rsidP="00923CC5">
            <w:pPr>
              <w:rPr>
                <w:rFonts w:ascii="Calibri" w:eastAsiaTheme="minorHAnsi" w:hAnsi="Calibri"/>
                <w:b/>
                <w:bCs/>
                <w:color w:val="44546A"/>
                <w:szCs w:val="22"/>
              </w:rPr>
            </w:pPr>
          </w:p>
        </w:tc>
        <w:tc>
          <w:tcPr>
            <w:tcW w:w="709" w:type="dxa"/>
            <w:tcBorders>
              <w:top w:val="single" w:sz="18" w:space="0" w:color="D44D2A" w:themeColor="accent3"/>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hideMark/>
          </w:tcPr>
          <w:p w14:paraId="55B5EB0D"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010</w:t>
            </w:r>
          </w:p>
        </w:tc>
        <w:tc>
          <w:tcPr>
            <w:tcW w:w="850" w:type="dxa"/>
            <w:tcBorders>
              <w:top w:val="single" w:sz="8" w:space="0" w:color="auto"/>
              <w:left w:val="single" w:sz="18" w:space="0" w:color="D44D2A" w:themeColor="accent3"/>
              <w:bottom w:val="single" w:sz="18" w:space="0" w:color="FFFF00"/>
              <w:right w:val="single" w:sz="18" w:space="0" w:color="D44D2A" w:themeColor="accent3"/>
            </w:tcBorders>
            <w:shd w:val="clear" w:color="auto" w:fill="auto"/>
            <w:tcMar>
              <w:top w:w="0" w:type="dxa"/>
              <w:left w:w="108" w:type="dxa"/>
              <w:bottom w:w="0" w:type="dxa"/>
              <w:right w:w="108" w:type="dxa"/>
            </w:tcMar>
            <w:hideMark/>
          </w:tcPr>
          <w:p w14:paraId="55B5EB0E"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020</w:t>
            </w:r>
          </w:p>
        </w:tc>
        <w:tc>
          <w:tcPr>
            <w:tcW w:w="851" w:type="dxa"/>
            <w:tcBorders>
              <w:top w:val="single" w:sz="18" w:space="0" w:color="D44D2A" w:themeColor="accent3"/>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hideMark/>
          </w:tcPr>
          <w:p w14:paraId="55B5EB0F"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030</w:t>
            </w:r>
          </w:p>
        </w:tc>
        <w:tc>
          <w:tcPr>
            <w:tcW w:w="850" w:type="dxa"/>
            <w:tcBorders>
              <w:top w:val="single" w:sz="18" w:space="0" w:color="D44D2A" w:themeColor="accent3"/>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hideMark/>
          </w:tcPr>
          <w:p w14:paraId="55B5EB10"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040</w:t>
            </w:r>
          </w:p>
        </w:tc>
        <w:tc>
          <w:tcPr>
            <w:tcW w:w="709" w:type="dxa"/>
            <w:tcBorders>
              <w:top w:val="single" w:sz="8" w:space="0" w:color="auto"/>
              <w:left w:val="nil"/>
              <w:bottom w:val="single" w:sz="18" w:space="0" w:color="FFFF00"/>
              <w:right w:val="single" w:sz="8" w:space="0" w:color="auto"/>
            </w:tcBorders>
          </w:tcPr>
          <w:p w14:paraId="55B5EB11" w14:textId="77777777" w:rsidR="00D77280" w:rsidRDefault="00D77280" w:rsidP="00923CC5">
            <w:pPr>
              <w:rPr>
                <w:rFonts w:ascii="Calibri" w:hAnsi="Calibri"/>
                <w:b/>
                <w:bCs/>
                <w:color w:val="44546A"/>
                <w:szCs w:val="22"/>
              </w:rPr>
            </w:pPr>
            <w:r>
              <w:rPr>
                <w:rFonts w:ascii="Calibri" w:hAnsi="Calibri"/>
                <w:b/>
                <w:bCs/>
                <w:color w:val="44546A"/>
                <w:szCs w:val="22"/>
              </w:rPr>
              <w:t>050</w:t>
            </w:r>
          </w:p>
        </w:tc>
      </w:tr>
      <w:tr w:rsidR="00D77280" w14:paraId="55B5EB19" w14:textId="77777777" w:rsidTr="00923CC5">
        <w:tc>
          <w:tcPr>
            <w:tcW w:w="664" w:type="dxa"/>
            <w:tcBorders>
              <w:top w:val="single" w:sz="18" w:space="0" w:color="FFFF00"/>
              <w:left w:val="single" w:sz="18" w:space="0" w:color="FFFF00"/>
              <w:bottom w:val="single" w:sz="18" w:space="0" w:color="FFFF00"/>
              <w:right w:val="single" w:sz="18" w:space="0" w:color="D44D2A" w:themeColor="accent3"/>
            </w:tcBorders>
            <w:shd w:val="clear" w:color="auto" w:fill="FFFFCC"/>
            <w:tcMar>
              <w:top w:w="0" w:type="dxa"/>
              <w:left w:w="108" w:type="dxa"/>
              <w:bottom w:w="0" w:type="dxa"/>
              <w:right w:w="108" w:type="dxa"/>
            </w:tcMar>
            <w:hideMark/>
          </w:tcPr>
          <w:p w14:paraId="55B5EB13"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010</w:t>
            </w:r>
          </w:p>
        </w:tc>
        <w:tc>
          <w:tcPr>
            <w:tcW w:w="709"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14" w14:textId="77777777" w:rsidR="00D77280" w:rsidRDefault="00D77280" w:rsidP="00923CC5">
            <w:pPr>
              <w:rPr>
                <w:rFonts w:ascii="Calibri" w:eastAsiaTheme="minorHAnsi" w:hAnsi="Calibri"/>
                <w:color w:val="44546A"/>
                <w:szCs w:val="22"/>
              </w:rPr>
            </w:pPr>
            <w:r>
              <w:rPr>
                <w:rFonts w:ascii="Calibri" w:hAnsi="Calibri"/>
                <w:color w:val="44546A"/>
                <w:szCs w:val="22"/>
              </w:rPr>
              <w:t>A</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FFFCC"/>
            <w:tcMar>
              <w:top w:w="0" w:type="dxa"/>
              <w:left w:w="108" w:type="dxa"/>
              <w:bottom w:w="0" w:type="dxa"/>
              <w:right w:w="108" w:type="dxa"/>
            </w:tcMar>
          </w:tcPr>
          <w:p w14:paraId="55B5EB15" w14:textId="77777777" w:rsidR="00D77280" w:rsidRDefault="00D77280" w:rsidP="00923CC5">
            <w:pPr>
              <w:rPr>
                <w:rFonts w:ascii="Calibri" w:eastAsiaTheme="minorHAnsi" w:hAnsi="Calibri"/>
                <w:color w:val="44546A"/>
                <w:szCs w:val="22"/>
              </w:rPr>
            </w:pPr>
          </w:p>
        </w:tc>
        <w:tc>
          <w:tcPr>
            <w:tcW w:w="851"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16" w14:textId="77777777" w:rsidR="00D77280" w:rsidRPr="00055C2E" w:rsidRDefault="00D77280" w:rsidP="00923CC5">
            <w:pPr>
              <w:rPr>
                <w:rFonts w:ascii="Calibri" w:hAnsi="Calibri"/>
                <w:color w:val="44546A"/>
                <w:szCs w:val="22"/>
              </w:rPr>
            </w:pPr>
            <w:r>
              <w:rPr>
                <w:rFonts w:ascii="Calibri" w:hAnsi="Calibri"/>
                <w:color w:val="44546A"/>
                <w:szCs w:val="22"/>
              </w:rPr>
              <w:t>B</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17" w14:textId="77777777" w:rsidR="00D77280" w:rsidRDefault="00D77280" w:rsidP="00923CC5">
            <w:pPr>
              <w:rPr>
                <w:rFonts w:ascii="Calibri" w:eastAsiaTheme="minorHAnsi" w:hAnsi="Calibri"/>
                <w:color w:val="44546A"/>
                <w:szCs w:val="22"/>
              </w:rPr>
            </w:pPr>
            <w:r>
              <w:rPr>
                <w:rFonts w:ascii="Calibri" w:hAnsi="Calibri"/>
                <w:color w:val="44546A"/>
                <w:szCs w:val="22"/>
              </w:rPr>
              <w:t>C</w:t>
            </w:r>
          </w:p>
        </w:tc>
        <w:tc>
          <w:tcPr>
            <w:tcW w:w="709" w:type="dxa"/>
            <w:tcBorders>
              <w:top w:val="single" w:sz="18" w:space="0" w:color="FFFF00"/>
              <w:left w:val="nil"/>
              <w:bottom w:val="single" w:sz="18" w:space="0" w:color="FFFF00"/>
              <w:right w:val="single" w:sz="18" w:space="0" w:color="FFFF00"/>
            </w:tcBorders>
            <w:shd w:val="clear" w:color="auto" w:fill="FFFFCC"/>
          </w:tcPr>
          <w:p w14:paraId="55B5EB18" w14:textId="77777777" w:rsidR="00D77280" w:rsidRDefault="00D77280" w:rsidP="00923CC5">
            <w:pPr>
              <w:rPr>
                <w:rFonts w:ascii="Calibri" w:hAnsi="Calibri"/>
                <w:color w:val="44546A"/>
                <w:szCs w:val="22"/>
              </w:rPr>
            </w:pPr>
          </w:p>
        </w:tc>
      </w:tr>
      <w:tr w:rsidR="00D77280" w14:paraId="55B5EB20" w14:textId="77777777" w:rsidTr="00923CC5">
        <w:tc>
          <w:tcPr>
            <w:tcW w:w="664" w:type="dxa"/>
            <w:tcBorders>
              <w:top w:val="single" w:sz="18" w:space="0" w:color="FFFF00"/>
              <w:left w:val="single" w:sz="8" w:space="0" w:color="auto"/>
              <w:bottom w:val="single" w:sz="18" w:space="0" w:color="FFFF00"/>
              <w:right w:val="single" w:sz="18" w:space="0" w:color="D44D2A" w:themeColor="accent3"/>
            </w:tcBorders>
            <w:shd w:val="clear" w:color="auto" w:fill="auto"/>
            <w:tcMar>
              <w:top w:w="0" w:type="dxa"/>
              <w:left w:w="108" w:type="dxa"/>
              <w:bottom w:w="0" w:type="dxa"/>
              <w:right w:w="108" w:type="dxa"/>
            </w:tcMar>
            <w:hideMark/>
          </w:tcPr>
          <w:p w14:paraId="55B5EB1A"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020</w:t>
            </w:r>
          </w:p>
        </w:tc>
        <w:tc>
          <w:tcPr>
            <w:tcW w:w="709"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tcPr>
          <w:p w14:paraId="55B5EB1B" w14:textId="77777777" w:rsidR="00D77280" w:rsidRDefault="00D77280" w:rsidP="00923CC5">
            <w:pPr>
              <w:rPr>
                <w:rFonts w:ascii="Calibri" w:eastAsiaTheme="minorHAnsi" w:hAnsi="Calibri"/>
                <w:color w:val="44546A"/>
                <w:szCs w:val="22"/>
              </w:rPr>
            </w:pP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auto"/>
            <w:tcMar>
              <w:top w:w="0" w:type="dxa"/>
              <w:left w:w="108" w:type="dxa"/>
              <w:bottom w:w="0" w:type="dxa"/>
              <w:right w:w="108" w:type="dxa"/>
            </w:tcMar>
          </w:tcPr>
          <w:p w14:paraId="55B5EB1C" w14:textId="77777777" w:rsidR="00D77280" w:rsidRDefault="00D77280" w:rsidP="00923CC5">
            <w:pPr>
              <w:rPr>
                <w:rFonts w:ascii="Calibri" w:eastAsiaTheme="minorHAnsi" w:hAnsi="Calibri"/>
                <w:color w:val="44546A"/>
                <w:szCs w:val="22"/>
              </w:rPr>
            </w:pPr>
          </w:p>
        </w:tc>
        <w:tc>
          <w:tcPr>
            <w:tcW w:w="851"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tcPr>
          <w:p w14:paraId="55B5EB1D" w14:textId="77777777" w:rsidR="00D77280" w:rsidRDefault="00D77280" w:rsidP="00923CC5">
            <w:pPr>
              <w:rPr>
                <w:rFonts w:ascii="Calibri" w:eastAsiaTheme="minorHAnsi" w:hAnsi="Calibri"/>
                <w:color w:val="44546A"/>
                <w:szCs w:val="22"/>
              </w:rPr>
            </w:pP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tcPr>
          <w:p w14:paraId="55B5EB1E" w14:textId="77777777" w:rsidR="00D77280" w:rsidRDefault="00D77280" w:rsidP="00923CC5">
            <w:pPr>
              <w:rPr>
                <w:rFonts w:ascii="Calibri" w:eastAsiaTheme="minorHAnsi" w:hAnsi="Calibri"/>
                <w:color w:val="44546A"/>
                <w:szCs w:val="22"/>
              </w:rPr>
            </w:pPr>
          </w:p>
        </w:tc>
        <w:tc>
          <w:tcPr>
            <w:tcW w:w="709" w:type="dxa"/>
            <w:tcBorders>
              <w:top w:val="single" w:sz="18" w:space="0" w:color="FFFF00"/>
              <w:left w:val="nil"/>
              <w:bottom w:val="single" w:sz="18" w:space="0" w:color="FFFF00"/>
              <w:right w:val="single" w:sz="8" w:space="0" w:color="auto"/>
            </w:tcBorders>
          </w:tcPr>
          <w:p w14:paraId="55B5EB1F" w14:textId="77777777" w:rsidR="00D77280" w:rsidRDefault="00D77280" w:rsidP="00923CC5">
            <w:pPr>
              <w:rPr>
                <w:rFonts w:ascii="Calibri" w:eastAsiaTheme="minorHAnsi" w:hAnsi="Calibri"/>
                <w:color w:val="44546A"/>
                <w:szCs w:val="22"/>
              </w:rPr>
            </w:pPr>
          </w:p>
        </w:tc>
      </w:tr>
      <w:tr w:rsidR="00D77280" w14:paraId="55B5EB27" w14:textId="77777777" w:rsidTr="00923CC5">
        <w:tc>
          <w:tcPr>
            <w:tcW w:w="664" w:type="dxa"/>
            <w:tcBorders>
              <w:top w:val="single" w:sz="18" w:space="0" w:color="FFFF00"/>
              <w:left w:val="single" w:sz="18" w:space="0" w:color="FFFF00"/>
              <w:bottom w:val="single" w:sz="18" w:space="0" w:color="FFFF00"/>
              <w:right w:val="single" w:sz="18" w:space="0" w:color="D44D2A" w:themeColor="accent3"/>
            </w:tcBorders>
            <w:shd w:val="clear" w:color="auto" w:fill="FFFFCC"/>
            <w:tcMar>
              <w:top w:w="0" w:type="dxa"/>
              <w:left w:w="108" w:type="dxa"/>
              <w:bottom w:w="0" w:type="dxa"/>
              <w:right w:w="108" w:type="dxa"/>
            </w:tcMar>
            <w:hideMark/>
          </w:tcPr>
          <w:p w14:paraId="55B5EB21"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030</w:t>
            </w:r>
          </w:p>
        </w:tc>
        <w:tc>
          <w:tcPr>
            <w:tcW w:w="709"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22" w14:textId="77777777" w:rsidR="00D77280" w:rsidRDefault="00D77280" w:rsidP="00923CC5">
            <w:pPr>
              <w:rPr>
                <w:rFonts w:ascii="Calibri" w:eastAsiaTheme="minorHAnsi" w:hAnsi="Calibri"/>
                <w:color w:val="44546A"/>
                <w:szCs w:val="22"/>
              </w:rPr>
            </w:pPr>
            <w:r>
              <w:rPr>
                <w:rFonts w:ascii="Calibri" w:hAnsi="Calibri"/>
                <w:color w:val="44546A"/>
                <w:szCs w:val="22"/>
              </w:rPr>
              <w:t>D</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FFFCC"/>
            <w:tcMar>
              <w:top w:w="0" w:type="dxa"/>
              <w:left w:w="108" w:type="dxa"/>
              <w:bottom w:w="0" w:type="dxa"/>
              <w:right w:w="108" w:type="dxa"/>
            </w:tcMar>
          </w:tcPr>
          <w:p w14:paraId="55B5EB23" w14:textId="77777777" w:rsidR="00D77280" w:rsidRDefault="00D77280" w:rsidP="00923CC5">
            <w:pPr>
              <w:rPr>
                <w:rFonts w:ascii="Calibri" w:eastAsiaTheme="minorHAnsi" w:hAnsi="Calibri"/>
                <w:color w:val="44546A"/>
                <w:szCs w:val="22"/>
              </w:rPr>
            </w:pPr>
          </w:p>
        </w:tc>
        <w:tc>
          <w:tcPr>
            <w:tcW w:w="851"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24" w14:textId="77777777" w:rsidR="00D77280" w:rsidRDefault="00D77280" w:rsidP="00923CC5">
            <w:pPr>
              <w:rPr>
                <w:rFonts w:ascii="Calibri" w:eastAsiaTheme="minorHAnsi" w:hAnsi="Calibri"/>
                <w:color w:val="44546A"/>
                <w:szCs w:val="22"/>
              </w:rPr>
            </w:pPr>
            <w:r>
              <w:rPr>
                <w:rFonts w:ascii="Calibri" w:hAnsi="Calibri"/>
                <w:color w:val="44546A"/>
                <w:szCs w:val="22"/>
              </w:rPr>
              <w:t>E</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25" w14:textId="77777777" w:rsidR="00D77280" w:rsidRDefault="00D77280" w:rsidP="00923CC5">
            <w:pPr>
              <w:rPr>
                <w:rFonts w:ascii="Calibri" w:eastAsiaTheme="minorHAnsi" w:hAnsi="Calibri"/>
                <w:color w:val="44546A"/>
                <w:szCs w:val="22"/>
              </w:rPr>
            </w:pPr>
            <w:r>
              <w:rPr>
                <w:rFonts w:ascii="Calibri" w:hAnsi="Calibri"/>
                <w:color w:val="44546A"/>
                <w:szCs w:val="22"/>
              </w:rPr>
              <w:t>F</w:t>
            </w:r>
          </w:p>
        </w:tc>
        <w:tc>
          <w:tcPr>
            <w:tcW w:w="709" w:type="dxa"/>
            <w:tcBorders>
              <w:top w:val="single" w:sz="18" w:space="0" w:color="FFFF00"/>
              <w:bottom w:val="single" w:sz="18" w:space="0" w:color="FFFF00"/>
              <w:right w:val="single" w:sz="18" w:space="0" w:color="FFFF00"/>
            </w:tcBorders>
            <w:shd w:val="clear" w:color="auto" w:fill="FFFFCC"/>
          </w:tcPr>
          <w:p w14:paraId="55B5EB26" w14:textId="77777777" w:rsidR="00D77280" w:rsidRDefault="00D77280" w:rsidP="00923CC5">
            <w:pPr>
              <w:rPr>
                <w:rFonts w:ascii="Calibri" w:hAnsi="Calibri"/>
                <w:color w:val="44546A"/>
                <w:szCs w:val="22"/>
              </w:rPr>
            </w:pPr>
          </w:p>
        </w:tc>
      </w:tr>
      <w:tr w:rsidR="00D77280" w14:paraId="55B5EB2E" w14:textId="77777777" w:rsidTr="00923CC5">
        <w:tc>
          <w:tcPr>
            <w:tcW w:w="664" w:type="dxa"/>
            <w:tcBorders>
              <w:top w:val="single" w:sz="18" w:space="0" w:color="FFFF00"/>
              <w:left w:val="single" w:sz="8" w:space="0" w:color="auto"/>
              <w:bottom w:val="single" w:sz="8" w:space="0" w:color="auto"/>
              <w:right w:val="single" w:sz="18" w:space="0" w:color="D44D2A" w:themeColor="accent3"/>
            </w:tcBorders>
            <w:shd w:val="clear" w:color="auto" w:fill="auto"/>
            <w:tcMar>
              <w:top w:w="0" w:type="dxa"/>
              <w:left w:w="108" w:type="dxa"/>
              <w:bottom w:w="0" w:type="dxa"/>
              <w:right w:w="108" w:type="dxa"/>
            </w:tcMar>
          </w:tcPr>
          <w:p w14:paraId="55B5EB28" w14:textId="77777777" w:rsidR="00D77280" w:rsidRDefault="00D77280" w:rsidP="00923CC5">
            <w:pPr>
              <w:rPr>
                <w:rFonts w:ascii="Calibri" w:hAnsi="Calibri"/>
                <w:b/>
                <w:bCs/>
                <w:color w:val="44546A"/>
                <w:szCs w:val="22"/>
              </w:rPr>
            </w:pPr>
            <w:r>
              <w:rPr>
                <w:rFonts w:ascii="Calibri" w:hAnsi="Calibri"/>
                <w:b/>
                <w:bCs/>
                <w:color w:val="44546A"/>
                <w:szCs w:val="22"/>
              </w:rPr>
              <w:t>040</w:t>
            </w:r>
          </w:p>
        </w:tc>
        <w:tc>
          <w:tcPr>
            <w:tcW w:w="709" w:type="dxa"/>
            <w:tcBorders>
              <w:top w:val="single" w:sz="18" w:space="0" w:color="FFFF00"/>
              <w:left w:val="single" w:sz="18" w:space="0" w:color="D44D2A" w:themeColor="accent3"/>
              <w:bottom w:val="single" w:sz="18" w:space="0" w:color="D44D2A" w:themeColor="accent3"/>
              <w:right w:val="single" w:sz="18" w:space="0" w:color="D44D2A" w:themeColor="accent3"/>
            </w:tcBorders>
            <w:shd w:val="clear" w:color="auto" w:fill="F6DBD4" w:themeFill="accent3" w:themeFillTint="33"/>
            <w:tcMar>
              <w:top w:w="0" w:type="dxa"/>
              <w:left w:w="108" w:type="dxa"/>
              <w:bottom w:w="0" w:type="dxa"/>
              <w:right w:w="108" w:type="dxa"/>
            </w:tcMar>
          </w:tcPr>
          <w:p w14:paraId="55B5EB29" w14:textId="77777777" w:rsidR="00D77280" w:rsidRPr="00055C2E" w:rsidRDefault="00D77280" w:rsidP="00923CC5">
            <w:pPr>
              <w:rPr>
                <w:rFonts w:ascii="Calibri" w:hAnsi="Calibri"/>
                <w:b/>
                <w:bCs/>
                <w:color w:val="44546A"/>
                <w:szCs w:val="22"/>
              </w:rPr>
            </w:pPr>
          </w:p>
        </w:tc>
        <w:tc>
          <w:tcPr>
            <w:tcW w:w="850" w:type="dxa"/>
            <w:tcBorders>
              <w:top w:val="single" w:sz="18" w:space="0" w:color="FFFF00"/>
              <w:left w:val="single" w:sz="18" w:space="0" w:color="D44D2A" w:themeColor="accent3"/>
              <w:bottom w:val="single" w:sz="8" w:space="0" w:color="auto"/>
              <w:right w:val="single" w:sz="18" w:space="0" w:color="D44D2A" w:themeColor="accent3"/>
            </w:tcBorders>
            <w:shd w:val="clear" w:color="auto" w:fill="auto"/>
            <w:tcMar>
              <w:top w:w="0" w:type="dxa"/>
              <w:left w:w="108" w:type="dxa"/>
              <w:bottom w:w="0" w:type="dxa"/>
              <w:right w:w="108" w:type="dxa"/>
            </w:tcMar>
          </w:tcPr>
          <w:p w14:paraId="55B5EB2A" w14:textId="77777777" w:rsidR="00D77280" w:rsidRPr="00055C2E" w:rsidRDefault="00D77280" w:rsidP="00923CC5">
            <w:pPr>
              <w:rPr>
                <w:rFonts w:ascii="Calibri" w:hAnsi="Calibri"/>
                <w:b/>
                <w:bCs/>
                <w:color w:val="44546A"/>
                <w:szCs w:val="22"/>
              </w:rPr>
            </w:pPr>
          </w:p>
        </w:tc>
        <w:tc>
          <w:tcPr>
            <w:tcW w:w="851" w:type="dxa"/>
            <w:tcBorders>
              <w:top w:val="single" w:sz="18" w:space="0" w:color="FFFF00"/>
              <w:left w:val="single" w:sz="18" w:space="0" w:color="D44D2A" w:themeColor="accent3"/>
              <w:bottom w:val="single" w:sz="18" w:space="0" w:color="D44D2A" w:themeColor="accent3"/>
              <w:right w:val="single" w:sz="18" w:space="0" w:color="D44D2A" w:themeColor="accent3"/>
            </w:tcBorders>
            <w:shd w:val="clear" w:color="auto" w:fill="F6DBD4" w:themeFill="accent3" w:themeFillTint="33"/>
            <w:tcMar>
              <w:top w:w="0" w:type="dxa"/>
              <w:left w:w="108" w:type="dxa"/>
              <w:bottom w:w="0" w:type="dxa"/>
              <w:right w:w="108" w:type="dxa"/>
            </w:tcMar>
          </w:tcPr>
          <w:p w14:paraId="55B5EB2B" w14:textId="77777777" w:rsidR="00D77280" w:rsidRPr="00055C2E" w:rsidRDefault="00D77280" w:rsidP="00923CC5">
            <w:pPr>
              <w:rPr>
                <w:rFonts w:ascii="Calibri" w:hAnsi="Calibri"/>
                <w:b/>
                <w:bCs/>
                <w:color w:val="44546A"/>
                <w:szCs w:val="22"/>
              </w:rPr>
            </w:pPr>
          </w:p>
        </w:tc>
        <w:tc>
          <w:tcPr>
            <w:tcW w:w="850" w:type="dxa"/>
            <w:tcBorders>
              <w:top w:val="single" w:sz="18" w:space="0" w:color="FFFF00"/>
              <w:left w:val="single" w:sz="18" w:space="0" w:color="D44D2A" w:themeColor="accent3"/>
              <w:bottom w:val="single" w:sz="18" w:space="0" w:color="D44D2A" w:themeColor="accent3"/>
              <w:right w:val="single" w:sz="18" w:space="0" w:color="D44D2A" w:themeColor="accent3"/>
            </w:tcBorders>
            <w:shd w:val="clear" w:color="auto" w:fill="F6DBD4" w:themeFill="accent3" w:themeFillTint="33"/>
            <w:tcMar>
              <w:top w:w="0" w:type="dxa"/>
              <w:left w:w="108" w:type="dxa"/>
              <w:bottom w:w="0" w:type="dxa"/>
              <w:right w:w="108" w:type="dxa"/>
            </w:tcMar>
          </w:tcPr>
          <w:p w14:paraId="55B5EB2C" w14:textId="77777777" w:rsidR="00D77280" w:rsidRPr="00055C2E" w:rsidRDefault="00D77280" w:rsidP="00923CC5">
            <w:pPr>
              <w:rPr>
                <w:rFonts w:ascii="Calibri" w:hAnsi="Calibri"/>
                <w:b/>
                <w:bCs/>
                <w:color w:val="44546A"/>
                <w:szCs w:val="22"/>
              </w:rPr>
            </w:pPr>
          </w:p>
        </w:tc>
        <w:tc>
          <w:tcPr>
            <w:tcW w:w="709" w:type="dxa"/>
            <w:tcBorders>
              <w:top w:val="single" w:sz="18" w:space="0" w:color="FFFF00"/>
              <w:left w:val="single" w:sz="18" w:space="0" w:color="D44D2A" w:themeColor="accent3"/>
              <w:bottom w:val="single" w:sz="8" w:space="0" w:color="auto"/>
              <w:right w:val="single" w:sz="8" w:space="0" w:color="auto"/>
            </w:tcBorders>
          </w:tcPr>
          <w:p w14:paraId="55B5EB2D" w14:textId="77777777" w:rsidR="00D77280" w:rsidRPr="00055C2E" w:rsidRDefault="00D77280" w:rsidP="00923CC5">
            <w:pPr>
              <w:rPr>
                <w:rFonts w:ascii="Calibri" w:hAnsi="Calibri"/>
                <w:b/>
                <w:bCs/>
                <w:color w:val="44546A"/>
                <w:szCs w:val="22"/>
              </w:rPr>
            </w:pPr>
          </w:p>
        </w:tc>
      </w:tr>
    </w:tbl>
    <w:p w14:paraId="55B5EB2F" w14:textId="77777777" w:rsidR="00D77280" w:rsidRDefault="00D77280" w:rsidP="00D77280"/>
    <w:p w14:paraId="55B5EB30" w14:textId="77777777" w:rsidR="00D77280" w:rsidRPr="00AF5AA3" w:rsidRDefault="00D77280" w:rsidP="00D77280">
      <w:pPr>
        <w:pStyle w:val="Titlelevel2"/>
        <w:keepNext/>
      </w:pPr>
      <w:r>
        <w:lastRenderedPageBreak/>
        <w:t>XBRL c</w:t>
      </w:r>
      <w:r w:rsidRPr="00AF5AA3">
        <w:t>hanges</w:t>
      </w:r>
    </w:p>
    <w:p w14:paraId="55B5EB31" w14:textId="77777777" w:rsidR="00D77280" w:rsidRDefault="00D77280" w:rsidP="00D77280">
      <w:pPr>
        <w:pStyle w:val="Titlelevel3"/>
      </w:pPr>
      <w:r>
        <w:t>Validation rules</w:t>
      </w:r>
    </w:p>
    <w:p w14:paraId="55B5EB32" w14:textId="77777777" w:rsidR="00D77280" w:rsidRDefault="00D77280" w:rsidP="00D77280">
      <w:r>
        <w:t>All validation rules which are not marked as “not implemented in XBRL” or “deleted” are now mapped to XBRL formulae. This includes formulae that are currently marked as “deactivated” (not all of which have been mapped to XBRL in prior releases).</w:t>
      </w:r>
    </w:p>
    <w:p w14:paraId="55B5EB33" w14:textId="77777777" w:rsidR="00D77280" w:rsidRDefault="00D77280" w:rsidP="00D77280"/>
    <w:p w14:paraId="55B5EB34" w14:textId="77777777" w:rsidR="00D77280" w:rsidRPr="002D2F3D" w:rsidRDefault="00D77280" w:rsidP="00D77280">
      <w:pPr>
        <w:pStyle w:val="Titlelevel3"/>
      </w:pPr>
      <w:r w:rsidRPr="002D2F3D">
        <w:t>QA 1042</w:t>
      </w:r>
      <w:r>
        <w:t xml:space="preserve"> - Multicurrency</w:t>
      </w:r>
    </w:p>
    <w:p w14:paraId="55B5EB35" w14:textId="77777777" w:rsidR="00D77280" w:rsidRDefault="00D77280" w:rsidP="00D77280">
      <w:r>
        <w:t xml:space="preserve">Note that at present there is no XBRL level enforcement of the modified EBA filing rule 3.1 which specifies the new rules around multicurrency reporting, i.e. the relationship between value of the </w:t>
      </w:r>
      <w:r w:rsidRPr="00CA7B1F">
        <w:rPr>
          <w:b/>
        </w:rPr>
        <w:t xml:space="preserve">CUS </w:t>
      </w:r>
      <w:r>
        <w:t xml:space="preserve">dimension and the unit currency, and the restriction that non-reporting currency units may only be used on facts with the </w:t>
      </w:r>
      <w:r w:rsidRPr="007C4AD7">
        <w:rPr>
          <w:b/>
        </w:rPr>
        <w:t>eba_CA:x1</w:t>
      </w:r>
      <w:r>
        <w:rPr>
          <w:b/>
        </w:rPr>
        <w:t xml:space="preserve"> </w:t>
      </w:r>
      <w:r w:rsidRPr="00CA7B1F">
        <w:t>member for the</w:t>
      </w:r>
      <w:r>
        <w:rPr>
          <w:b/>
        </w:rPr>
        <w:t xml:space="preserve"> CCA </w:t>
      </w:r>
      <w:r w:rsidRPr="00CA7B1F">
        <w:t>dimension</w:t>
      </w:r>
      <w:r>
        <w:t xml:space="preserve">. As with the previous “one reporting currency per instance” version of the rule this is currently primarily expected to be enforced by recipient data collection platforms. </w:t>
      </w:r>
    </w:p>
    <w:p w14:paraId="55B5EB36" w14:textId="77777777" w:rsidR="00A2385B" w:rsidRDefault="00A2385B" w:rsidP="00D77280"/>
    <w:p w14:paraId="55B5EB37" w14:textId="77777777" w:rsidR="00A2385B" w:rsidRDefault="00A2385B" w:rsidP="00A2385B">
      <w:pPr>
        <w:pStyle w:val="Titlelevel3"/>
      </w:pPr>
      <w:r>
        <w:t>LEI Scheme URI</w:t>
      </w:r>
    </w:p>
    <w:p w14:paraId="55B5EB38" w14:textId="77777777" w:rsidR="00A2385B" w:rsidRDefault="00A2385B" w:rsidP="00A2385B">
      <w:r>
        <w:t>Previous editions of the EBA filing rules have sadly erroneously specified a scheme URI of “http://standard.iso.org/iso/17442” for (pre)LEI codes (note the missing final s of “standards”). RFC5141 however specifies the plural form.</w:t>
      </w:r>
    </w:p>
    <w:p w14:paraId="55B5EB39" w14:textId="77777777" w:rsidR="00A2385B" w:rsidRDefault="00A2385B" w:rsidP="00A2385B"/>
    <w:p w14:paraId="55B5EB3A" w14:textId="77777777" w:rsidR="00A2385B" w:rsidRDefault="00A2385B" w:rsidP="00A2385B">
      <w:r>
        <w:t>Producers of instance documents are encouraged to switch as quickly as possible to producing the correct form “http://standards.iso.org/iso/17442”. The EBA will (and consumers of instance documents are strongly encouraged also to) in practice accept either form from submitters.</w:t>
      </w:r>
    </w:p>
    <w:p w14:paraId="55B5EB3B" w14:textId="77777777" w:rsidR="00D77280" w:rsidRPr="000818EE" w:rsidRDefault="00D77280" w:rsidP="00D77280">
      <w:pPr>
        <w:pStyle w:val="Titlelevel2"/>
        <w:keepNext/>
      </w:pPr>
      <w:r w:rsidRPr="000818EE">
        <w:t>Correction of Outstanding Known Issues</w:t>
      </w:r>
    </w:p>
    <w:p w14:paraId="55B5EB3C" w14:textId="77777777" w:rsidR="00D77280" w:rsidRPr="00AF5AA3" w:rsidRDefault="00D77280" w:rsidP="00D77280">
      <w:r>
        <w:t>The issue noted for 2.3.x regarding the incorrectly assigned metrics for COREP C 06.02 column 040, and FINREP F 40.01 column 150 has been resolved. Reporters should now use the appropriate members for these columns, in alignment with the ITS instructions.</w:t>
      </w:r>
    </w:p>
    <w:p w14:paraId="55B5EB3D" w14:textId="77777777" w:rsidR="00360446" w:rsidRPr="00AF5AA3" w:rsidRDefault="00360446" w:rsidP="00060ADA"/>
    <w:p w14:paraId="55B5EB3E" w14:textId="77777777" w:rsidR="00360446" w:rsidRDefault="00360446" w:rsidP="00360446"/>
    <w:p w14:paraId="55B5EB3F" w14:textId="77777777" w:rsidR="00360446" w:rsidRDefault="00360446">
      <w:pPr>
        <w:rPr>
          <w:rFonts w:asciiTheme="majorHAnsi" w:eastAsiaTheme="majorEastAsia" w:hAnsiTheme="majorHAnsi" w:cstheme="majorBidi"/>
          <w:i/>
          <w:color w:val="2F5773" w:themeColor="text2"/>
          <w:spacing w:val="5"/>
          <w:kern w:val="28"/>
          <w:sz w:val="52"/>
          <w:szCs w:val="52"/>
        </w:rPr>
      </w:pPr>
      <w:r>
        <w:rPr>
          <w:i/>
        </w:rPr>
        <w:br w:type="page"/>
      </w:r>
    </w:p>
    <w:p w14:paraId="55B5EB40" w14:textId="77777777" w:rsidR="00E47786" w:rsidRPr="00E47786" w:rsidRDefault="00E47786" w:rsidP="00E47786">
      <w:pPr>
        <w:pStyle w:val="Titlelevel1"/>
        <w:rPr>
          <w:i/>
        </w:rPr>
      </w:pPr>
      <w:r w:rsidRPr="00E47786">
        <w:rPr>
          <w:i/>
        </w:rPr>
        <w:lastRenderedPageBreak/>
        <w:t>v2.3.</w:t>
      </w:r>
      <w:r>
        <w:rPr>
          <w:i/>
        </w:rPr>
        <w:t>2</w:t>
      </w:r>
      <w:r w:rsidRPr="00E47786">
        <w:rPr>
          <w:i/>
        </w:rPr>
        <w:t xml:space="preserve"> (“2015-A</w:t>
      </w:r>
      <w:r>
        <w:rPr>
          <w:i/>
        </w:rPr>
        <w:t>-2</w:t>
      </w:r>
      <w:r w:rsidRPr="00E47786">
        <w:rPr>
          <w:i/>
        </w:rPr>
        <w:t>”</w:t>
      </w:r>
      <w:r w:rsidR="005A683A">
        <w:rPr>
          <w:i/>
        </w:rPr>
        <w:t xml:space="preserve"> Addition</w:t>
      </w:r>
      <w:r w:rsidRPr="00E47786">
        <w:rPr>
          <w:i/>
        </w:rPr>
        <w:t>)</w:t>
      </w:r>
      <w:r w:rsidRPr="00E47786">
        <w:rPr>
          <w:rFonts w:ascii="Arial" w:hAnsi="Arial" w:cs="Arial"/>
          <w:i/>
          <w:color w:val="696969"/>
          <w:sz w:val="18"/>
          <w:szCs w:val="18"/>
          <w:shd w:val="clear" w:color="auto" w:fill="FFFFFF"/>
        </w:rPr>
        <w:t xml:space="preserve"> </w:t>
      </w:r>
      <w:r w:rsidR="005A683A">
        <w:rPr>
          <w:rFonts w:ascii="Arial" w:hAnsi="Arial" w:cs="Arial"/>
          <w:i/>
          <w:color w:val="696969"/>
          <w:sz w:val="18"/>
          <w:szCs w:val="18"/>
          <w:shd w:val="clear" w:color="auto" w:fill="FFFFFF"/>
        </w:rPr>
        <w:t>(03</w:t>
      </w:r>
      <w:r>
        <w:rPr>
          <w:rFonts w:ascii="Arial" w:hAnsi="Arial" w:cs="Arial"/>
          <w:i/>
          <w:color w:val="696969"/>
          <w:sz w:val="18"/>
          <w:szCs w:val="18"/>
          <w:shd w:val="clear" w:color="auto" w:fill="FFFFFF"/>
        </w:rPr>
        <w:t>/07</w:t>
      </w:r>
      <w:r w:rsidRPr="00E47786">
        <w:rPr>
          <w:rFonts w:ascii="Arial" w:hAnsi="Arial" w:cs="Arial"/>
          <w:i/>
          <w:color w:val="696969"/>
          <w:sz w:val="18"/>
          <w:szCs w:val="18"/>
          <w:shd w:val="clear" w:color="auto" w:fill="FFFFFF"/>
        </w:rPr>
        <w:t>/2015)</w:t>
      </w:r>
    </w:p>
    <w:p w14:paraId="55B5EB41" w14:textId="77777777" w:rsidR="00E47786" w:rsidRPr="00AF5AA3" w:rsidRDefault="00E47786" w:rsidP="00E47786">
      <w:pPr>
        <w:pStyle w:val="Titlelevel2"/>
      </w:pPr>
      <w:r w:rsidRPr="00AF5AA3">
        <w:t>Purpose</w:t>
      </w:r>
    </w:p>
    <w:p w14:paraId="55B5EB42" w14:textId="77777777" w:rsidR="00587A42" w:rsidRPr="00AF5AA3" w:rsidRDefault="00CB1E6B" w:rsidP="00587A42">
      <w:r>
        <w:t>T</w:t>
      </w:r>
      <w:r w:rsidR="00587A42" w:rsidRPr="00AF5AA3">
        <w:t xml:space="preserve">axonomy release for FINREP Individual reporting.  </w:t>
      </w:r>
    </w:p>
    <w:p w14:paraId="55B5EB43" w14:textId="77777777" w:rsidR="00587A42" w:rsidRPr="00AF5AA3" w:rsidRDefault="00587A42" w:rsidP="00587A42"/>
    <w:p w14:paraId="55B5EB44" w14:textId="77777777" w:rsidR="005A683A" w:rsidRDefault="005A683A" w:rsidP="005A683A">
      <w:r>
        <w:t xml:space="preserve">This v2.3.2 </w:t>
      </w:r>
      <w:r w:rsidR="0022111D">
        <w:t xml:space="preserve">additive </w:t>
      </w:r>
      <w:r>
        <w:t>release simply adds two additional entry points (reports) which may be used for individual (</w:t>
      </w:r>
      <w:r w:rsidR="0022111D">
        <w:t>i.e. “S</w:t>
      </w:r>
      <w:r w:rsidR="0022111D" w:rsidRPr="00AF5AA3">
        <w:t>olo</w:t>
      </w:r>
      <w:r w:rsidR="0022111D">
        <w:t>”/unconsolidated</w:t>
      </w:r>
      <w:r>
        <w:t>) FINREP data. Note that the structure of the tables in these Individual entry points is identical to the equivalent Consolidated FINREP reports in v2.3/2.3.1. The validation rules are also functionally equivalent, with the exception of two minor changes to rules applying to table F 00.01 required in order to allow proper indication of the “Individual” reporting scope of these reports.</w:t>
      </w:r>
    </w:p>
    <w:p w14:paraId="55B5EB45" w14:textId="77777777" w:rsidR="005A683A" w:rsidRDefault="005A683A" w:rsidP="005A683A"/>
    <w:p w14:paraId="55B5EB46" w14:textId="77777777" w:rsidR="005A683A" w:rsidRPr="005A683A" w:rsidRDefault="005A683A" w:rsidP="005A683A">
      <w:pPr>
        <w:rPr>
          <w:b/>
        </w:rPr>
      </w:pPr>
      <w:r w:rsidRPr="005A683A">
        <w:rPr>
          <w:b/>
        </w:rPr>
        <w:t>PLEASE NOTE – Entities who do NOT intend to use FINREP Individual reports have no need to use or install 2.3.2.</w:t>
      </w:r>
      <w:r>
        <w:rPr>
          <w:b/>
        </w:rPr>
        <w:t xml:space="preserve"> Remittance of Consolidated FINREP should continue using the existing 2.3 entry points.</w:t>
      </w:r>
    </w:p>
    <w:p w14:paraId="55B5EB47" w14:textId="77777777" w:rsidR="00DA19C1" w:rsidRDefault="00DA19C1" w:rsidP="00587A42"/>
    <w:p w14:paraId="55B5EB48" w14:textId="77777777" w:rsidR="00587A42" w:rsidRPr="00AF5AA3" w:rsidRDefault="007D121B" w:rsidP="00587A42">
      <w:r>
        <w:t>Although the EBA does not currently expect to receive FINREP individual data from Competent Authorities, these reporting structures are being provided at the EB</w:t>
      </w:r>
      <w:r w:rsidR="005A683A">
        <w:t>A level to facilitate greater European h</w:t>
      </w:r>
      <w:r>
        <w:t>armonisation. They are</w:t>
      </w:r>
      <w:r w:rsidR="003E109D">
        <w:t>,</w:t>
      </w:r>
      <w:r>
        <w:t xml:space="preserve"> </w:t>
      </w:r>
      <w:r w:rsidR="003E109D">
        <w:t xml:space="preserve">for example, </w:t>
      </w:r>
      <w:r>
        <w:t xml:space="preserve">likely to be used in the forthcoming SSM </w:t>
      </w:r>
      <w:r w:rsidR="00DA19C1">
        <w:t>reporting of Individual level FINREP.</w:t>
      </w:r>
      <w:r>
        <w:t xml:space="preserve"> </w:t>
      </w:r>
    </w:p>
    <w:p w14:paraId="55B5EB49" w14:textId="77777777" w:rsidR="00413725" w:rsidRDefault="00413725" w:rsidP="00587A42"/>
    <w:p w14:paraId="55B5EB4A" w14:textId="77777777" w:rsidR="00E47786" w:rsidRPr="00AF5AA3" w:rsidRDefault="00E47786" w:rsidP="00E47786">
      <w:pPr>
        <w:pStyle w:val="Titlelevel2"/>
      </w:pPr>
      <w:r w:rsidRPr="00AF5AA3">
        <w:t>DPM Changes</w:t>
      </w:r>
    </w:p>
    <w:p w14:paraId="55B5EB4B" w14:textId="77777777" w:rsidR="00E47786" w:rsidRPr="00AF5AA3" w:rsidRDefault="00587A42" w:rsidP="00183058">
      <w:pPr>
        <w:pStyle w:val="ListParagraph"/>
        <w:numPr>
          <w:ilvl w:val="0"/>
          <w:numId w:val="5"/>
        </w:numPr>
      </w:pPr>
      <w:r w:rsidRPr="00AF5AA3">
        <w:t xml:space="preserve">Two additional </w:t>
      </w:r>
      <w:r w:rsidR="00E47786" w:rsidRPr="00AF5AA3">
        <w:t xml:space="preserve">entry points </w:t>
      </w:r>
      <w:r w:rsidRPr="00AF5AA3">
        <w:t xml:space="preserve">have been added </w:t>
      </w:r>
      <w:r w:rsidR="00E47786" w:rsidRPr="00AF5AA3">
        <w:t xml:space="preserve">for </w:t>
      </w:r>
      <w:r w:rsidRPr="00AF5AA3">
        <w:t xml:space="preserve">Individual (i.e. solo) </w:t>
      </w:r>
      <w:r w:rsidR="00E47786" w:rsidRPr="00AF5AA3">
        <w:t>F</w:t>
      </w:r>
      <w:r w:rsidRPr="00AF5AA3">
        <w:t>INREP</w:t>
      </w:r>
      <w:r w:rsidR="00AF5AA3" w:rsidRPr="00AF5AA3">
        <w:t xml:space="preserve"> alongside the existing consolidated entry points from </w:t>
      </w:r>
      <w:r w:rsidR="005A683A">
        <w:t>v</w:t>
      </w:r>
      <w:r w:rsidR="00AF5AA3" w:rsidRPr="00AF5AA3">
        <w:t>2.3</w:t>
      </w:r>
      <w:r w:rsidR="00E47786" w:rsidRPr="00AF5AA3">
        <w:t>:</w:t>
      </w:r>
    </w:p>
    <w:tbl>
      <w:tblPr>
        <w:tblStyle w:val="EBAtable"/>
        <w:tblW w:w="0" w:type="auto"/>
        <w:tblInd w:w="51" w:type="dxa"/>
        <w:tblLayout w:type="fixed"/>
        <w:tblLook w:val="04A0" w:firstRow="1" w:lastRow="0" w:firstColumn="1" w:lastColumn="0" w:noHBand="0" w:noVBand="1"/>
      </w:tblPr>
      <w:tblGrid>
        <w:gridCol w:w="1475"/>
        <w:gridCol w:w="3402"/>
        <w:gridCol w:w="4312"/>
      </w:tblGrid>
      <w:tr w:rsidR="00AF5AA3" w:rsidRPr="00AF5AA3" w14:paraId="55B5EB4F" w14:textId="77777777" w:rsidTr="00AF5AA3">
        <w:trPr>
          <w:cnfStyle w:val="100000000000" w:firstRow="1" w:lastRow="0" w:firstColumn="0" w:lastColumn="0" w:oddVBand="0" w:evenVBand="0" w:oddHBand="0" w:evenHBand="0" w:firstRowFirstColumn="0" w:firstRowLastColumn="0" w:lastRowFirstColumn="0" w:lastRowLastColumn="0"/>
          <w:cantSplit/>
        </w:trPr>
        <w:tc>
          <w:tcPr>
            <w:tcW w:w="1475" w:type="dxa"/>
          </w:tcPr>
          <w:p w14:paraId="55B5EB4C" w14:textId="77777777" w:rsidR="00AF5AA3" w:rsidRPr="00AF5AA3" w:rsidRDefault="00AF5AA3" w:rsidP="00587A42">
            <w:pPr>
              <w:keepNext/>
              <w:keepLines/>
              <w:rPr>
                <w:b/>
              </w:rPr>
            </w:pPr>
            <w:r w:rsidRPr="00AF5AA3">
              <w:rPr>
                <w:b/>
              </w:rPr>
              <w:t>Introduced In</w:t>
            </w:r>
          </w:p>
        </w:tc>
        <w:tc>
          <w:tcPr>
            <w:tcW w:w="3402" w:type="dxa"/>
            <w:tcMar>
              <w:left w:w="57" w:type="dxa"/>
              <w:right w:w="57" w:type="dxa"/>
            </w:tcMar>
          </w:tcPr>
          <w:p w14:paraId="55B5EB4D" w14:textId="77777777" w:rsidR="00AF5AA3" w:rsidRPr="00AF5AA3" w:rsidRDefault="00AF5AA3" w:rsidP="00587A42">
            <w:pPr>
              <w:keepNext/>
              <w:keepLines/>
              <w:rPr>
                <w:b/>
              </w:rPr>
            </w:pPr>
            <w:r w:rsidRPr="00AF5AA3">
              <w:rPr>
                <w:b/>
              </w:rPr>
              <w:t>Report</w:t>
            </w:r>
          </w:p>
        </w:tc>
        <w:tc>
          <w:tcPr>
            <w:tcW w:w="4312" w:type="dxa"/>
            <w:tcMar>
              <w:left w:w="57" w:type="dxa"/>
              <w:right w:w="57" w:type="dxa"/>
            </w:tcMar>
          </w:tcPr>
          <w:p w14:paraId="55B5EB4E" w14:textId="77777777" w:rsidR="00AF5AA3" w:rsidRPr="00AF5AA3" w:rsidRDefault="00AF5AA3" w:rsidP="00587A42">
            <w:pPr>
              <w:keepNext/>
              <w:keepLines/>
              <w:rPr>
                <w:b/>
              </w:rPr>
            </w:pPr>
            <w:r w:rsidRPr="00AF5AA3">
              <w:rPr>
                <w:b/>
              </w:rPr>
              <w:t>SchemaRef</w:t>
            </w:r>
          </w:p>
        </w:tc>
      </w:tr>
      <w:tr w:rsidR="00AF5AA3" w:rsidRPr="00AF5AA3" w14:paraId="55B5EB53" w14:textId="77777777" w:rsidTr="00AF5AA3">
        <w:trPr>
          <w:cantSplit/>
          <w:trHeight w:val="195"/>
        </w:trPr>
        <w:tc>
          <w:tcPr>
            <w:tcW w:w="1475" w:type="dxa"/>
          </w:tcPr>
          <w:p w14:paraId="55B5EB50" w14:textId="77777777" w:rsidR="00AF5AA3" w:rsidRPr="00AF5AA3" w:rsidRDefault="00AF5AA3" w:rsidP="00587A42">
            <w:pPr>
              <w:keepNext/>
              <w:keepLines/>
              <w:rPr>
                <w:sz w:val="16"/>
              </w:rPr>
            </w:pPr>
            <w:r w:rsidRPr="00AF5AA3">
              <w:rPr>
                <w:sz w:val="16"/>
              </w:rPr>
              <w:t>2.3</w:t>
            </w:r>
          </w:p>
        </w:tc>
        <w:tc>
          <w:tcPr>
            <w:tcW w:w="3402" w:type="dxa"/>
            <w:tcMar>
              <w:left w:w="57" w:type="dxa"/>
              <w:right w:w="57" w:type="dxa"/>
            </w:tcMar>
          </w:tcPr>
          <w:p w14:paraId="55B5EB51" w14:textId="77777777" w:rsidR="00AF5AA3" w:rsidRPr="00AF5AA3" w:rsidRDefault="00AF5AA3" w:rsidP="00587A42">
            <w:pPr>
              <w:keepNext/>
              <w:keepLines/>
              <w:rPr>
                <w:sz w:val="16"/>
              </w:rPr>
            </w:pPr>
            <w:r w:rsidRPr="00AF5AA3">
              <w:rPr>
                <w:sz w:val="16"/>
              </w:rPr>
              <w:t>Financial Reporting, Consolidated (Prudential scope) National GAAP</w:t>
            </w:r>
          </w:p>
        </w:tc>
        <w:tc>
          <w:tcPr>
            <w:tcW w:w="4312" w:type="dxa"/>
            <w:tcMar>
              <w:left w:w="57" w:type="dxa"/>
              <w:right w:w="57" w:type="dxa"/>
            </w:tcMar>
          </w:tcPr>
          <w:p w14:paraId="55B5EB52" w14:textId="77777777" w:rsidR="00AF5AA3" w:rsidRPr="00AF5AA3" w:rsidRDefault="00AF5AA3" w:rsidP="00587A42">
            <w:pPr>
              <w:keepNext/>
              <w:keepLines/>
              <w:rPr>
                <w:rFonts w:ascii="Arial Narrow" w:hAnsi="Arial Narrow"/>
                <w:sz w:val="18"/>
              </w:rPr>
            </w:pPr>
            <w:r w:rsidRPr="00AF5AA3">
              <w:rPr>
                <w:rFonts w:ascii="Arial Narrow" w:hAnsi="Arial Narrow"/>
                <w:sz w:val="18"/>
              </w:rPr>
              <w:t>http://www.eba.europa.eu/eu/fr/xbrl/crr/fws/finrep/its-2014-05/2015-02-16/mod/</w:t>
            </w:r>
            <w:r w:rsidRPr="005A683A">
              <w:rPr>
                <w:rFonts w:ascii="Arial Narrow" w:hAnsi="Arial Narrow"/>
                <w:sz w:val="18"/>
              </w:rPr>
              <w:t>finrep_con_gaap</w:t>
            </w:r>
            <w:r w:rsidRPr="00AF5AA3">
              <w:rPr>
                <w:rFonts w:ascii="Arial Narrow" w:hAnsi="Arial Narrow"/>
                <w:sz w:val="18"/>
              </w:rPr>
              <w:t>.xsd</w:t>
            </w:r>
          </w:p>
        </w:tc>
      </w:tr>
      <w:tr w:rsidR="00AF5AA3" w:rsidRPr="00AF5AA3" w14:paraId="55B5EB57" w14:textId="77777777" w:rsidTr="00AF5AA3">
        <w:trPr>
          <w:cantSplit/>
          <w:trHeight w:val="195"/>
        </w:trPr>
        <w:tc>
          <w:tcPr>
            <w:tcW w:w="1475" w:type="dxa"/>
          </w:tcPr>
          <w:p w14:paraId="55B5EB54" w14:textId="77777777" w:rsidR="00AF5AA3" w:rsidRPr="00AF5AA3" w:rsidRDefault="00AF5AA3" w:rsidP="00587A42">
            <w:pPr>
              <w:keepNext/>
              <w:keepLines/>
              <w:rPr>
                <w:sz w:val="16"/>
              </w:rPr>
            </w:pPr>
            <w:r w:rsidRPr="00AF5AA3">
              <w:rPr>
                <w:sz w:val="16"/>
              </w:rPr>
              <w:t>2.3</w:t>
            </w:r>
          </w:p>
        </w:tc>
        <w:tc>
          <w:tcPr>
            <w:tcW w:w="3402" w:type="dxa"/>
            <w:tcMar>
              <w:left w:w="57" w:type="dxa"/>
              <w:right w:w="57" w:type="dxa"/>
            </w:tcMar>
          </w:tcPr>
          <w:p w14:paraId="55B5EB55" w14:textId="77777777" w:rsidR="00AF5AA3" w:rsidRPr="00AF5AA3" w:rsidRDefault="00AF5AA3" w:rsidP="00587A42">
            <w:pPr>
              <w:keepNext/>
              <w:keepLines/>
              <w:rPr>
                <w:sz w:val="16"/>
              </w:rPr>
            </w:pPr>
            <w:r w:rsidRPr="00AF5AA3">
              <w:rPr>
                <w:sz w:val="16"/>
              </w:rPr>
              <w:t>Financial Reporting, Consolidated (Prudential scope) IFRS</w:t>
            </w:r>
          </w:p>
        </w:tc>
        <w:tc>
          <w:tcPr>
            <w:tcW w:w="4312" w:type="dxa"/>
            <w:tcMar>
              <w:left w:w="57" w:type="dxa"/>
              <w:right w:w="57" w:type="dxa"/>
            </w:tcMar>
          </w:tcPr>
          <w:p w14:paraId="55B5EB56" w14:textId="77777777" w:rsidR="00AF5AA3" w:rsidRPr="00AF5AA3" w:rsidRDefault="00AF5AA3" w:rsidP="00587A42">
            <w:pPr>
              <w:keepNext/>
              <w:keepLines/>
              <w:rPr>
                <w:rFonts w:ascii="Arial Narrow" w:hAnsi="Arial Narrow"/>
                <w:sz w:val="18"/>
              </w:rPr>
            </w:pPr>
            <w:r w:rsidRPr="00AF5AA3">
              <w:rPr>
                <w:rFonts w:ascii="Arial Narrow" w:hAnsi="Arial Narrow"/>
                <w:sz w:val="18"/>
              </w:rPr>
              <w:t>http://www.eba.europa.eu/eu/fr/xbrl/crr/fws/finrep/its-2014-05/2015-02-16/mod/</w:t>
            </w:r>
            <w:r w:rsidRPr="005A683A">
              <w:rPr>
                <w:rFonts w:ascii="Arial Narrow" w:hAnsi="Arial Narrow"/>
                <w:sz w:val="18"/>
              </w:rPr>
              <w:t>finrep_con_ifrs</w:t>
            </w:r>
            <w:r w:rsidRPr="00AF5AA3">
              <w:rPr>
                <w:rFonts w:ascii="Arial Narrow" w:hAnsi="Arial Narrow"/>
                <w:sz w:val="18"/>
              </w:rPr>
              <w:t>.xsd</w:t>
            </w:r>
          </w:p>
        </w:tc>
      </w:tr>
      <w:tr w:rsidR="00AF5AA3" w:rsidRPr="00AF5AA3" w14:paraId="55B5EB5B" w14:textId="77777777" w:rsidTr="00AF5AA3">
        <w:trPr>
          <w:cantSplit/>
          <w:trHeight w:val="195"/>
        </w:trPr>
        <w:tc>
          <w:tcPr>
            <w:tcW w:w="1475" w:type="dxa"/>
          </w:tcPr>
          <w:p w14:paraId="55B5EB58" w14:textId="77777777" w:rsidR="00AF5AA3" w:rsidRPr="00AF5AA3" w:rsidRDefault="00AF5AA3" w:rsidP="00587A42">
            <w:pPr>
              <w:keepNext/>
              <w:keepLines/>
              <w:rPr>
                <w:b/>
                <w:sz w:val="16"/>
              </w:rPr>
            </w:pPr>
            <w:r w:rsidRPr="00AF5AA3">
              <w:rPr>
                <w:b/>
                <w:sz w:val="16"/>
              </w:rPr>
              <w:t>2.3.2</w:t>
            </w:r>
          </w:p>
        </w:tc>
        <w:tc>
          <w:tcPr>
            <w:tcW w:w="3402" w:type="dxa"/>
            <w:tcMar>
              <w:left w:w="57" w:type="dxa"/>
              <w:right w:w="57" w:type="dxa"/>
            </w:tcMar>
          </w:tcPr>
          <w:p w14:paraId="55B5EB59" w14:textId="77777777" w:rsidR="00AF5AA3" w:rsidRPr="00AF5AA3" w:rsidRDefault="00AF5AA3" w:rsidP="00587A42">
            <w:pPr>
              <w:keepNext/>
              <w:keepLines/>
              <w:rPr>
                <w:b/>
                <w:sz w:val="16"/>
              </w:rPr>
            </w:pPr>
            <w:r w:rsidRPr="00AF5AA3">
              <w:rPr>
                <w:b/>
                <w:sz w:val="16"/>
              </w:rPr>
              <w:t>Financial Reporting, Individual National GAAP</w:t>
            </w:r>
          </w:p>
        </w:tc>
        <w:tc>
          <w:tcPr>
            <w:tcW w:w="4312" w:type="dxa"/>
            <w:tcMar>
              <w:left w:w="57" w:type="dxa"/>
              <w:right w:w="57" w:type="dxa"/>
            </w:tcMar>
          </w:tcPr>
          <w:p w14:paraId="55B5EB5A" w14:textId="77777777" w:rsidR="00AF5AA3" w:rsidRPr="00AF5AA3" w:rsidRDefault="00AF5AA3" w:rsidP="005A683A">
            <w:pPr>
              <w:keepNext/>
              <w:keepLines/>
              <w:rPr>
                <w:rFonts w:ascii="Arial Narrow" w:hAnsi="Arial Narrow"/>
                <w:sz w:val="18"/>
              </w:rPr>
            </w:pPr>
            <w:r w:rsidRPr="00AF5AA3">
              <w:rPr>
                <w:rFonts w:ascii="Arial Narrow" w:hAnsi="Arial Narrow"/>
                <w:sz w:val="18"/>
              </w:rPr>
              <w:t>http://www.eba.europa.eu/eu/fr/xbrl/crr/fws/finrep/its-2014-05/2015-</w:t>
            </w:r>
            <w:r w:rsidRPr="005A683A">
              <w:rPr>
                <w:rFonts w:ascii="Arial Narrow" w:hAnsi="Arial Narrow"/>
                <w:b/>
                <w:sz w:val="18"/>
              </w:rPr>
              <w:t>0</w:t>
            </w:r>
            <w:r w:rsidR="005A683A" w:rsidRPr="005A683A">
              <w:rPr>
                <w:rFonts w:ascii="Arial Narrow" w:hAnsi="Arial Narrow"/>
                <w:b/>
                <w:sz w:val="18"/>
              </w:rPr>
              <w:t>7-03</w:t>
            </w:r>
            <w:r w:rsidRPr="00AF5AA3">
              <w:rPr>
                <w:rFonts w:ascii="Arial Narrow" w:hAnsi="Arial Narrow"/>
                <w:sz w:val="18"/>
              </w:rPr>
              <w:t>/mod/</w:t>
            </w:r>
            <w:r w:rsidRPr="005A683A">
              <w:rPr>
                <w:rFonts w:ascii="Arial Narrow" w:hAnsi="Arial Narrow"/>
                <w:sz w:val="18"/>
              </w:rPr>
              <w:t>finrep_</w:t>
            </w:r>
            <w:r w:rsidRPr="005A683A">
              <w:rPr>
                <w:rFonts w:ascii="Arial Narrow" w:hAnsi="Arial Narrow"/>
                <w:b/>
                <w:sz w:val="18"/>
              </w:rPr>
              <w:t>ind</w:t>
            </w:r>
            <w:r w:rsidRPr="005A683A">
              <w:rPr>
                <w:rFonts w:ascii="Arial Narrow" w:hAnsi="Arial Narrow"/>
                <w:sz w:val="18"/>
              </w:rPr>
              <w:t>_gaap</w:t>
            </w:r>
            <w:r w:rsidRPr="00AF5AA3">
              <w:rPr>
                <w:rFonts w:ascii="Arial Narrow" w:hAnsi="Arial Narrow"/>
                <w:sz w:val="18"/>
              </w:rPr>
              <w:t>.xsd</w:t>
            </w:r>
          </w:p>
        </w:tc>
      </w:tr>
      <w:tr w:rsidR="00AF5AA3" w:rsidRPr="00AF5AA3" w14:paraId="55B5EB5F" w14:textId="77777777" w:rsidTr="00AF5AA3">
        <w:trPr>
          <w:trHeight w:val="195"/>
        </w:trPr>
        <w:tc>
          <w:tcPr>
            <w:tcW w:w="1475" w:type="dxa"/>
          </w:tcPr>
          <w:p w14:paraId="55B5EB5C" w14:textId="77777777" w:rsidR="00AF5AA3" w:rsidRPr="00AF5AA3" w:rsidRDefault="00AF5AA3" w:rsidP="00587A42">
            <w:pPr>
              <w:keepLines/>
              <w:rPr>
                <w:b/>
                <w:sz w:val="16"/>
              </w:rPr>
            </w:pPr>
            <w:r w:rsidRPr="00AF5AA3">
              <w:rPr>
                <w:b/>
                <w:sz w:val="16"/>
              </w:rPr>
              <w:t>2.3.2</w:t>
            </w:r>
          </w:p>
        </w:tc>
        <w:tc>
          <w:tcPr>
            <w:tcW w:w="3402" w:type="dxa"/>
            <w:tcMar>
              <w:left w:w="57" w:type="dxa"/>
              <w:right w:w="57" w:type="dxa"/>
            </w:tcMar>
          </w:tcPr>
          <w:p w14:paraId="55B5EB5D" w14:textId="77777777" w:rsidR="00AF5AA3" w:rsidRPr="00AF5AA3" w:rsidRDefault="00AF5AA3" w:rsidP="00587A42">
            <w:pPr>
              <w:keepLines/>
              <w:rPr>
                <w:b/>
                <w:sz w:val="16"/>
              </w:rPr>
            </w:pPr>
            <w:r w:rsidRPr="00AF5AA3">
              <w:rPr>
                <w:b/>
                <w:sz w:val="16"/>
              </w:rPr>
              <w:t>Financial Reporting, Individual IFRS</w:t>
            </w:r>
          </w:p>
        </w:tc>
        <w:tc>
          <w:tcPr>
            <w:tcW w:w="4312" w:type="dxa"/>
            <w:tcMar>
              <w:left w:w="57" w:type="dxa"/>
              <w:right w:w="57" w:type="dxa"/>
            </w:tcMar>
          </w:tcPr>
          <w:p w14:paraId="55B5EB5E" w14:textId="77777777" w:rsidR="00AF5AA3" w:rsidRPr="00AF5AA3" w:rsidRDefault="00AF5AA3" w:rsidP="005A683A">
            <w:pPr>
              <w:keepNext/>
              <w:keepLines/>
              <w:rPr>
                <w:sz w:val="16"/>
              </w:rPr>
            </w:pPr>
            <w:r w:rsidRPr="005A683A">
              <w:rPr>
                <w:rFonts w:ascii="Arial Narrow" w:hAnsi="Arial Narrow"/>
                <w:sz w:val="18"/>
              </w:rPr>
              <w:t>http://www.eba.europa.eu/eu/fr/xbrl/cr</w:t>
            </w:r>
            <w:r w:rsidR="005A683A">
              <w:rPr>
                <w:rFonts w:ascii="Arial Narrow" w:hAnsi="Arial Narrow"/>
                <w:sz w:val="18"/>
              </w:rPr>
              <w:t>r/fws/finrep/its-2014-05/2015-</w:t>
            </w:r>
            <w:r w:rsidR="005A683A" w:rsidRPr="005A683A">
              <w:rPr>
                <w:rFonts w:ascii="Arial Narrow" w:hAnsi="Arial Narrow"/>
                <w:b/>
                <w:sz w:val="18"/>
              </w:rPr>
              <w:t>07-03</w:t>
            </w:r>
            <w:r w:rsidRPr="005A683A">
              <w:rPr>
                <w:rFonts w:ascii="Arial Narrow" w:hAnsi="Arial Narrow"/>
                <w:sz w:val="18"/>
              </w:rPr>
              <w:t>/mod/finrep_</w:t>
            </w:r>
            <w:r w:rsidRPr="005A683A">
              <w:rPr>
                <w:rFonts w:ascii="Arial Narrow" w:hAnsi="Arial Narrow"/>
                <w:b/>
                <w:sz w:val="18"/>
              </w:rPr>
              <w:t>ind</w:t>
            </w:r>
            <w:r w:rsidRPr="005A683A">
              <w:rPr>
                <w:rFonts w:ascii="Arial Narrow" w:hAnsi="Arial Narrow"/>
                <w:sz w:val="18"/>
              </w:rPr>
              <w:t>_ifrs.xsd</w:t>
            </w:r>
          </w:p>
        </w:tc>
      </w:tr>
    </w:tbl>
    <w:p w14:paraId="55B5EB60" w14:textId="77777777" w:rsidR="00E47786" w:rsidRPr="00AF5AA3" w:rsidRDefault="00E47786" w:rsidP="00E47786">
      <w:pPr>
        <w:pStyle w:val="Titlelevel3"/>
      </w:pPr>
      <w:r w:rsidRPr="00AF5AA3">
        <w:t>Validation Rule Changes</w:t>
      </w:r>
    </w:p>
    <w:p w14:paraId="55B5EB61" w14:textId="77777777" w:rsidR="00AF5AA3" w:rsidRDefault="00AF5AA3" w:rsidP="00183058">
      <w:pPr>
        <w:pStyle w:val="ListParagraph"/>
        <w:numPr>
          <w:ilvl w:val="0"/>
          <w:numId w:val="5"/>
        </w:numPr>
      </w:pPr>
      <w:r>
        <w:t xml:space="preserve">The validation rule </w:t>
      </w:r>
      <w:r w:rsidR="00C92C09" w:rsidRPr="00C92C09">
        <w:t>v4006_c</w:t>
      </w:r>
      <w:r w:rsidR="00C05123">
        <w:t>,</w:t>
      </w:r>
      <w:r>
        <w:t xml:space="preserve"> which in v2.3.1 and before enforced that the consolidation level reported in table F 00.01 for a FINREP report had to be “Consolidated”</w:t>
      </w:r>
      <w:r w:rsidR="00C05123">
        <w:t>,</w:t>
      </w:r>
      <w:r>
        <w:t xml:space="preserve"> has been changed to require this only for consolidated FINREP entry points</w:t>
      </w:r>
      <w:r w:rsidR="00C05123">
        <w:t xml:space="preserve"> </w:t>
      </w:r>
      <w:r>
        <w:t>as per the equivalent rules for other frameworks.</w:t>
      </w:r>
    </w:p>
    <w:p w14:paraId="55B5EB62" w14:textId="77777777" w:rsidR="00AF5AA3" w:rsidRDefault="00AF5AA3" w:rsidP="00183058">
      <w:pPr>
        <w:pStyle w:val="ListParagraph"/>
        <w:numPr>
          <w:ilvl w:val="0"/>
          <w:numId w:val="5"/>
        </w:numPr>
      </w:pPr>
      <w:r>
        <w:t xml:space="preserve">An additional rule </w:t>
      </w:r>
      <w:r w:rsidR="00C92C09" w:rsidRPr="00C92C09">
        <w:t>v4442_c</w:t>
      </w:r>
      <w:r w:rsidR="00C92C09">
        <w:t xml:space="preserve"> </w:t>
      </w:r>
      <w:r>
        <w:t>has been added to FINREP to enforce the complementary check that the consolidation reported in F 00.01 should be “Individual” for the individual entry points.</w:t>
      </w:r>
    </w:p>
    <w:p w14:paraId="55B5EB63" w14:textId="77777777" w:rsidR="00AF5AA3" w:rsidRPr="00AF5AA3" w:rsidRDefault="00AF5AA3" w:rsidP="007D121B">
      <w:pPr>
        <w:pStyle w:val="Titlelevel3"/>
      </w:pPr>
      <w:r>
        <w:lastRenderedPageBreak/>
        <w:t>DPM DB</w:t>
      </w:r>
      <w:r w:rsidRPr="00AF5AA3">
        <w:t xml:space="preserve"> Changes</w:t>
      </w:r>
    </w:p>
    <w:p w14:paraId="55B5EB64" w14:textId="77777777" w:rsidR="00772008" w:rsidRDefault="00772008" w:rsidP="00183058">
      <w:pPr>
        <w:pStyle w:val="ListParagraph"/>
        <w:numPr>
          <w:ilvl w:val="0"/>
          <w:numId w:val="20"/>
        </w:numPr>
      </w:pPr>
      <w:r w:rsidRPr="00C92C09">
        <w:rPr>
          <w:b/>
        </w:rPr>
        <w:t>Taxonomy</w:t>
      </w:r>
      <w:r w:rsidR="00C92C09">
        <w:t>: TaxonomyID 1</w:t>
      </w:r>
      <w:r w:rsidR="0022111D">
        <w:t>6</w:t>
      </w:r>
      <w:r w:rsidR="00C92C09">
        <w:t xml:space="preserve"> </w:t>
      </w:r>
      <w:r w:rsidR="0022111D">
        <w:t xml:space="preserve">added as </w:t>
      </w:r>
      <w:r w:rsidR="00C92C09">
        <w:t>updated to Version=’2.1.3</w:t>
      </w:r>
      <w:r w:rsidR="0022111D">
        <w:t>’, TaxonomyCode='FINREP 2015-A-Ind</w:t>
      </w:r>
      <w:r w:rsidR="00C92C09">
        <w:t xml:space="preserve">', TaxonomyLabel = </w:t>
      </w:r>
      <w:r w:rsidR="0022111D">
        <w:t>‘</w:t>
      </w:r>
      <w:r w:rsidR="0022111D" w:rsidRPr="0022111D">
        <w:t>FINancial REPorting 2015-A Individual (2.1.3)</w:t>
      </w:r>
      <w:r w:rsidR="0022111D">
        <w:t>’</w:t>
      </w:r>
      <w:r w:rsidR="00C92C09">
        <w:t xml:space="preserve">. Matching </w:t>
      </w:r>
      <w:r w:rsidR="00C92C09" w:rsidRPr="00C92C09">
        <w:rPr>
          <w:b/>
        </w:rPr>
        <w:t>Concept</w:t>
      </w:r>
      <w:r w:rsidR="00C92C09">
        <w:t>s entry with ModificationDate added.</w:t>
      </w:r>
    </w:p>
    <w:p w14:paraId="55B5EB65" w14:textId="77777777" w:rsidR="0022111D" w:rsidRDefault="0022111D" w:rsidP="00183058">
      <w:pPr>
        <w:pStyle w:val="ListParagraph"/>
        <w:numPr>
          <w:ilvl w:val="0"/>
          <w:numId w:val="20"/>
        </w:numPr>
      </w:pPr>
      <w:r>
        <w:rPr>
          <w:b/>
        </w:rPr>
        <w:t xml:space="preserve">TableGroup </w:t>
      </w:r>
      <w:r w:rsidRPr="0022111D">
        <w:t>(with associated Concepts),</w:t>
      </w:r>
      <w:r>
        <w:rPr>
          <w:b/>
        </w:rPr>
        <w:t xml:space="preserve"> TableGroupTemplate </w:t>
      </w:r>
      <w:r w:rsidRPr="0022111D">
        <w:t>and</w:t>
      </w:r>
      <w:r>
        <w:rPr>
          <w:b/>
        </w:rPr>
        <w:t xml:space="preserve"> TaxonomyTableVersion </w:t>
      </w:r>
      <w:r w:rsidRPr="0022111D">
        <w:t>entries added</w:t>
      </w:r>
      <w:r>
        <w:t xml:space="preserve"> duplicating those related to the FINREP 2.3 taxonomy</w:t>
      </w:r>
      <w:r w:rsidRPr="0022111D">
        <w:t>.</w:t>
      </w:r>
    </w:p>
    <w:p w14:paraId="55B5EB66" w14:textId="77777777" w:rsidR="00C92C09" w:rsidRDefault="00C92C09" w:rsidP="00183058">
      <w:pPr>
        <w:pStyle w:val="ListParagraph"/>
        <w:numPr>
          <w:ilvl w:val="0"/>
          <w:numId w:val="20"/>
        </w:numPr>
      </w:pPr>
      <w:r>
        <w:t xml:space="preserve">New </w:t>
      </w:r>
      <w:r w:rsidRPr="00C92C09">
        <w:rPr>
          <w:b/>
        </w:rPr>
        <w:t>Module</w:t>
      </w:r>
      <w:r w:rsidRPr="00C92C09">
        <w:t>s</w:t>
      </w:r>
      <w:r>
        <w:t xml:space="preserve"> (with associated </w:t>
      </w:r>
      <w:r w:rsidRPr="00C92C09">
        <w:rPr>
          <w:b/>
        </w:rPr>
        <w:t>Concept</w:t>
      </w:r>
      <w:r>
        <w:t>s) 59 (FINREP_Ind_GAAP) and 60 (FINREP_Ind_IFRS) added.</w:t>
      </w:r>
    </w:p>
    <w:p w14:paraId="55B5EB67" w14:textId="77777777" w:rsidR="00C92C09" w:rsidRDefault="00C92C09" w:rsidP="00183058">
      <w:pPr>
        <w:pStyle w:val="ListParagraph"/>
        <w:numPr>
          <w:ilvl w:val="0"/>
          <w:numId w:val="20"/>
        </w:numPr>
      </w:pPr>
      <w:r w:rsidRPr="00C92C09">
        <w:rPr>
          <w:b/>
        </w:rPr>
        <w:t>ModuleTableOrGroup</w:t>
      </w:r>
      <w:r>
        <w:t xml:space="preserve"> and </w:t>
      </w:r>
      <w:r w:rsidRPr="00C92C09">
        <w:rPr>
          <w:b/>
        </w:rPr>
        <w:t>ModuleTableVersion</w:t>
      </w:r>
      <w:r>
        <w:t xml:space="preserve"> records added for </w:t>
      </w:r>
      <w:r w:rsidRPr="00C92C09">
        <w:rPr>
          <w:b/>
        </w:rPr>
        <w:t>Module</w:t>
      </w:r>
      <w:r>
        <w:t xml:space="preserve"> 59 and 60 as per </w:t>
      </w:r>
      <w:r w:rsidRPr="00C92C09">
        <w:rPr>
          <w:b/>
        </w:rPr>
        <w:t>Module</w:t>
      </w:r>
      <w:r>
        <w:t>s 44 (FINREP_Ind_GAAP) and 45 (FINREP_Ind_IFRS)</w:t>
      </w:r>
    </w:p>
    <w:p w14:paraId="55B5EB68" w14:textId="77777777" w:rsidR="00C92C09" w:rsidRDefault="00C92C09" w:rsidP="00183058">
      <w:pPr>
        <w:pStyle w:val="ListParagraph"/>
        <w:numPr>
          <w:ilvl w:val="0"/>
          <w:numId w:val="20"/>
        </w:numPr>
      </w:pPr>
      <w:r>
        <w:t xml:space="preserve">Appropriate </w:t>
      </w:r>
      <w:r w:rsidRPr="00C92C09">
        <w:rPr>
          <w:b/>
        </w:rPr>
        <w:t>ModuleDimensionImpliedValue</w:t>
      </w:r>
      <w:r>
        <w:t xml:space="preserve">, </w:t>
      </w:r>
      <w:r w:rsidRPr="00C92C09">
        <w:rPr>
          <w:b/>
        </w:rPr>
        <w:t>ModuleDataPointRestriction</w:t>
      </w:r>
      <w:r w:rsidR="0022111D">
        <w:rPr>
          <w:b/>
        </w:rPr>
        <w:t xml:space="preserve"> </w:t>
      </w:r>
      <w:r>
        <w:t>records added</w:t>
      </w:r>
    </w:p>
    <w:p w14:paraId="55B5EB69" w14:textId="77777777" w:rsidR="00C05123" w:rsidRPr="0022111D" w:rsidRDefault="00C92C09" w:rsidP="00183058">
      <w:pPr>
        <w:pStyle w:val="ListParagraph"/>
        <w:numPr>
          <w:ilvl w:val="0"/>
          <w:numId w:val="20"/>
        </w:numPr>
      </w:pPr>
      <w:r w:rsidRPr="00C92C09">
        <w:rPr>
          <w:b/>
        </w:rPr>
        <w:t>ValidationRule</w:t>
      </w:r>
      <w:r>
        <w:t xml:space="preserve"> and </w:t>
      </w:r>
      <w:r w:rsidR="0022111D" w:rsidRPr="0022111D">
        <w:t>related records</w:t>
      </w:r>
      <w:r w:rsidR="0022111D">
        <w:t xml:space="preserve"> added for the validation rules associated with the new taxonomy</w:t>
      </w:r>
    </w:p>
    <w:p w14:paraId="55B5EB6A" w14:textId="77777777" w:rsidR="007D121B" w:rsidRPr="00AF5AA3" w:rsidRDefault="007D121B" w:rsidP="007C6692">
      <w:pPr>
        <w:pStyle w:val="Titlelevel2"/>
        <w:keepNext/>
      </w:pPr>
      <w:r>
        <w:t xml:space="preserve">XBRL </w:t>
      </w:r>
      <w:r w:rsidRPr="00AF5AA3">
        <w:t>Changes</w:t>
      </w:r>
    </w:p>
    <w:p w14:paraId="55B5EB6B" w14:textId="77777777" w:rsidR="00600178" w:rsidRDefault="007D121B" w:rsidP="007D121B">
      <w:r>
        <w:t xml:space="preserve">The two additional entry points are added into </w:t>
      </w:r>
      <w:r w:rsidR="00600178">
        <w:t>a new</w:t>
      </w:r>
      <w:r>
        <w:t xml:space="preserve"> directory </w:t>
      </w:r>
      <w:r w:rsidR="00600178">
        <w:t>(</w:t>
      </w:r>
      <w:r w:rsidR="00600178" w:rsidRPr="00600178">
        <w:t>\its-2014-05</w:t>
      </w:r>
      <w:r w:rsidR="00600178">
        <w:t>\2015-07-03)within the FINREP folder, alongside the existing 2.3 FINREP folder (</w:t>
      </w:r>
      <w:r w:rsidR="00600178" w:rsidRPr="00600178">
        <w:t>\its-2014-05</w:t>
      </w:r>
      <w:r w:rsidR="00600178">
        <w:t>\2015-02-16).</w:t>
      </w:r>
      <w:r w:rsidR="00695825">
        <w:t xml:space="preserve"> </w:t>
      </w:r>
      <w:r w:rsidR="00600178">
        <w:t>N</w:t>
      </w:r>
      <w:r w:rsidR="00695825">
        <w:t>ote:</w:t>
      </w:r>
      <w:r w:rsidR="00600178">
        <w:t xml:space="preserve"> </w:t>
      </w:r>
      <w:r w:rsidR="00695825">
        <w:t>o</w:t>
      </w:r>
      <w:r w:rsidR="00600178">
        <w:t>nly the packages required for Individual FINREP reporting are included in this release.</w:t>
      </w:r>
    </w:p>
    <w:p w14:paraId="55B5EB6C" w14:textId="77777777" w:rsidR="00E47786" w:rsidRPr="00E75446" w:rsidRDefault="00E47786" w:rsidP="00E75446">
      <w:pPr>
        <w:pStyle w:val="Titlelevel2"/>
        <w:keepNext/>
      </w:pPr>
      <w:r w:rsidRPr="00E75446">
        <w:t>Known Issues</w:t>
      </w:r>
    </w:p>
    <w:p w14:paraId="55B5EB6D" w14:textId="77777777" w:rsidR="00E47786" w:rsidRPr="00AF5AA3" w:rsidRDefault="00AF5AA3" w:rsidP="00360446">
      <w:pPr>
        <w:keepNext/>
        <w:keepLines/>
        <w:rPr>
          <w:i/>
        </w:rPr>
      </w:pPr>
      <w:r w:rsidRPr="00AF5AA3">
        <w:t xml:space="preserve">The same known issue as noted for v2.3.1 remains in place, reporting </w:t>
      </w:r>
      <w:r w:rsidR="00695825">
        <w:t xml:space="preserve">of table F 40.01 </w:t>
      </w:r>
      <w:r w:rsidRPr="00AF5AA3">
        <w:t>should follow the guidance given under 2.3.1</w:t>
      </w:r>
      <w:r>
        <w:rPr>
          <w:i/>
        </w:rPr>
        <w:t xml:space="preserve"> </w:t>
      </w:r>
    </w:p>
    <w:p w14:paraId="55B5EB6E" w14:textId="77777777" w:rsidR="00E75446" w:rsidRDefault="00E75446">
      <w:pPr>
        <w:rPr>
          <w:rFonts w:asciiTheme="majorHAnsi" w:eastAsiaTheme="majorEastAsia" w:hAnsiTheme="majorHAnsi" w:cstheme="majorBidi"/>
          <w:color w:val="2F5773" w:themeColor="text2"/>
          <w:spacing w:val="5"/>
          <w:kern w:val="28"/>
          <w:sz w:val="52"/>
          <w:szCs w:val="52"/>
        </w:rPr>
      </w:pPr>
      <w:r>
        <w:br w:type="page"/>
      </w:r>
    </w:p>
    <w:p w14:paraId="55B5EB6F" w14:textId="77777777" w:rsidR="00B000E3" w:rsidRDefault="00D515AE" w:rsidP="00D515AE">
      <w:pPr>
        <w:pStyle w:val="Titlelevel1"/>
      </w:pPr>
      <w:r w:rsidRPr="00D515AE">
        <w:lastRenderedPageBreak/>
        <w:t>v2.3.</w:t>
      </w:r>
      <w:r>
        <w:t>1</w:t>
      </w:r>
      <w:r w:rsidRPr="00D515AE">
        <w:t xml:space="preserve"> (“2015-A</w:t>
      </w:r>
      <w:r>
        <w:t>-1” Patch</w:t>
      </w:r>
      <w:r w:rsidRPr="00D515AE">
        <w:t>)</w:t>
      </w:r>
      <w:r w:rsidR="001A4CAA" w:rsidRPr="001A4CAA">
        <w:rPr>
          <w:rFonts w:ascii="Arial" w:hAnsi="Arial" w:cs="Arial"/>
          <w:color w:val="696969"/>
          <w:sz w:val="18"/>
          <w:szCs w:val="18"/>
          <w:shd w:val="clear" w:color="auto" w:fill="FFFFFF"/>
        </w:rPr>
        <w:t xml:space="preserve"> </w:t>
      </w:r>
      <w:r w:rsidR="001A4CAA">
        <w:rPr>
          <w:rFonts w:ascii="Arial" w:hAnsi="Arial" w:cs="Arial"/>
          <w:color w:val="696969"/>
          <w:sz w:val="18"/>
          <w:szCs w:val="18"/>
          <w:shd w:val="clear" w:color="auto" w:fill="FFFFFF"/>
        </w:rPr>
        <w:t>(05/05/2015)</w:t>
      </w:r>
    </w:p>
    <w:p w14:paraId="55B5EB70" w14:textId="77777777" w:rsidR="00B000E3" w:rsidRDefault="00B000E3" w:rsidP="00D515AE">
      <w:pPr>
        <w:pStyle w:val="Titlelevel2"/>
      </w:pPr>
      <w:r>
        <w:t>Purpose</w:t>
      </w:r>
    </w:p>
    <w:p w14:paraId="55B5EB71" w14:textId="77777777" w:rsidR="00B000E3" w:rsidRDefault="00B000E3" w:rsidP="00B000E3">
      <w:r>
        <w:t>The 2.3.1 release is a “patch” release, modifying the FP (funding plans) and SBP (benchmarking) reporting taxonomies to be used for remittance to the EBA to provide distinct entry points (reports) for individual and consolidated data.</w:t>
      </w:r>
      <w:r w:rsidR="00534F52">
        <w:t xml:space="preserve"> This change has been identified to be vital for the proper functioning of a significant number of the European CA’s data collection systems (not least the EBAs own collection system).</w:t>
      </w:r>
    </w:p>
    <w:p w14:paraId="55B5EB72" w14:textId="77777777" w:rsidR="00B000E3" w:rsidRDefault="00B000E3" w:rsidP="00B000E3">
      <w:r>
        <w:t>PLEASE NOTE – reporters who have been directed by their relevant Competent Authority to use XBRL based on the EBA taxonomy to report to the CA, should confirm with their relevant Competent Authority which versions of FP and SBP their CA requires to be used. Reporters should not assume that the 2.3.1 versions will necessarily be utilised by every CA.</w:t>
      </w:r>
    </w:p>
    <w:p w14:paraId="55B5EB73" w14:textId="77777777" w:rsidR="00B000E3" w:rsidRDefault="00B000E3" w:rsidP="00B000E3">
      <w:r w:rsidRPr="00B000E3">
        <w:t xml:space="preserve">The original </w:t>
      </w:r>
      <w:r>
        <w:t>2.3 releases of FP and SBP must NOT be used by CAs for remittance of data to the EBA. The 2.3.1 releases replace the 2.3 versions for this purpose for all reporting reference dates.</w:t>
      </w:r>
    </w:p>
    <w:p w14:paraId="55B5EB74" w14:textId="77777777" w:rsidR="00B000E3" w:rsidRDefault="00B000E3" w:rsidP="00B000E3">
      <w:r>
        <w:t>The main data dictionary and the other reporting taxonomies (COREP, FINREP, AE) are unchanged compared to the 2.3 release.</w:t>
      </w:r>
    </w:p>
    <w:p w14:paraId="55B5EB75" w14:textId="77777777" w:rsidR="00B000E3" w:rsidRDefault="006A5AC9" w:rsidP="00D515AE">
      <w:pPr>
        <w:pStyle w:val="Titlelevel2"/>
      </w:pPr>
      <w:r>
        <w:t xml:space="preserve">DPM </w:t>
      </w:r>
      <w:r w:rsidR="00B000E3">
        <w:t>Changes</w:t>
      </w:r>
    </w:p>
    <w:p w14:paraId="55B5EB76" w14:textId="77777777" w:rsidR="00B000E3" w:rsidRDefault="00534F52" w:rsidP="00183058">
      <w:pPr>
        <w:pStyle w:val="ListParagraph"/>
        <w:numPr>
          <w:ilvl w:val="0"/>
          <w:numId w:val="5"/>
        </w:numPr>
      </w:pPr>
      <w:r>
        <w:t>The 2.3 e</w:t>
      </w:r>
      <w:r w:rsidR="00B000E3">
        <w:t xml:space="preserve">ntry points for FP and SBP each replaced by two distinct </w:t>
      </w:r>
      <w:r>
        <w:t>entry points:</w:t>
      </w:r>
    </w:p>
    <w:tbl>
      <w:tblPr>
        <w:tblStyle w:val="EBAtable"/>
        <w:tblW w:w="0" w:type="auto"/>
        <w:tblLayout w:type="fixed"/>
        <w:tblLook w:val="04A0" w:firstRow="1" w:lastRow="0" w:firstColumn="1" w:lastColumn="0" w:noHBand="0" w:noVBand="1"/>
      </w:tblPr>
      <w:tblGrid>
        <w:gridCol w:w="1162"/>
        <w:gridCol w:w="3261"/>
        <w:gridCol w:w="1134"/>
        <w:gridCol w:w="3574"/>
      </w:tblGrid>
      <w:tr w:rsidR="00AA0EE8" w14:paraId="55B5EB7B" w14:textId="77777777" w:rsidTr="00766D0C">
        <w:trPr>
          <w:cnfStyle w:val="100000000000" w:firstRow="1" w:lastRow="0" w:firstColumn="0" w:lastColumn="0" w:oddVBand="0" w:evenVBand="0" w:oddHBand="0" w:evenHBand="0" w:firstRowFirstColumn="0" w:firstRowLastColumn="0" w:lastRowFirstColumn="0" w:lastRowLastColumn="0"/>
        </w:trPr>
        <w:tc>
          <w:tcPr>
            <w:tcW w:w="1162" w:type="dxa"/>
            <w:tcMar>
              <w:left w:w="57" w:type="dxa"/>
              <w:right w:w="57" w:type="dxa"/>
            </w:tcMar>
          </w:tcPr>
          <w:p w14:paraId="55B5EB77" w14:textId="77777777" w:rsidR="00534F52" w:rsidRPr="00534F52" w:rsidRDefault="00534F52" w:rsidP="00B939D1">
            <w:pPr>
              <w:keepLines/>
              <w:rPr>
                <w:b/>
              </w:rPr>
            </w:pPr>
            <w:r w:rsidRPr="00534F52">
              <w:rPr>
                <w:b/>
              </w:rPr>
              <w:t>Was</w:t>
            </w:r>
          </w:p>
        </w:tc>
        <w:tc>
          <w:tcPr>
            <w:tcW w:w="3261" w:type="dxa"/>
            <w:tcMar>
              <w:left w:w="57" w:type="dxa"/>
              <w:right w:w="57" w:type="dxa"/>
            </w:tcMar>
          </w:tcPr>
          <w:p w14:paraId="55B5EB78" w14:textId="77777777" w:rsidR="00534F52" w:rsidRPr="00534F52" w:rsidRDefault="002E6BE9" w:rsidP="00B939D1">
            <w:pPr>
              <w:keepLines/>
              <w:rPr>
                <w:b/>
              </w:rPr>
            </w:pPr>
            <w:r>
              <w:rPr>
                <w:b/>
              </w:rPr>
              <w:t>Old SchemaRef</w:t>
            </w:r>
          </w:p>
        </w:tc>
        <w:tc>
          <w:tcPr>
            <w:tcW w:w="1134" w:type="dxa"/>
            <w:tcMar>
              <w:left w:w="57" w:type="dxa"/>
              <w:right w:w="57" w:type="dxa"/>
            </w:tcMar>
          </w:tcPr>
          <w:p w14:paraId="55B5EB79" w14:textId="77777777" w:rsidR="00534F52" w:rsidRPr="00534F52" w:rsidRDefault="00534F52" w:rsidP="00B939D1">
            <w:pPr>
              <w:keepLines/>
              <w:rPr>
                <w:b/>
              </w:rPr>
            </w:pPr>
            <w:r w:rsidRPr="00534F52">
              <w:rPr>
                <w:b/>
              </w:rPr>
              <w:t>Now</w:t>
            </w:r>
          </w:p>
        </w:tc>
        <w:tc>
          <w:tcPr>
            <w:tcW w:w="3574" w:type="dxa"/>
            <w:tcMar>
              <w:left w:w="57" w:type="dxa"/>
              <w:right w:w="57" w:type="dxa"/>
            </w:tcMar>
          </w:tcPr>
          <w:p w14:paraId="55B5EB7A" w14:textId="77777777" w:rsidR="00534F52" w:rsidRPr="00534F52" w:rsidRDefault="002E6BE9" w:rsidP="00B939D1">
            <w:pPr>
              <w:keepLines/>
              <w:rPr>
                <w:b/>
              </w:rPr>
            </w:pPr>
            <w:r>
              <w:rPr>
                <w:b/>
              </w:rPr>
              <w:t>New SchemaRef</w:t>
            </w:r>
          </w:p>
        </w:tc>
      </w:tr>
      <w:tr w:rsidR="00AA0EE8" w14:paraId="55B5EB80" w14:textId="77777777" w:rsidTr="00766D0C">
        <w:tc>
          <w:tcPr>
            <w:tcW w:w="1162" w:type="dxa"/>
            <w:vMerge w:val="restart"/>
            <w:tcMar>
              <w:left w:w="57" w:type="dxa"/>
              <w:right w:w="57" w:type="dxa"/>
            </w:tcMar>
          </w:tcPr>
          <w:p w14:paraId="55B5EB7C" w14:textId="77777777" w:rsidR="00AA0EE8" w:rsidRPr="00AA0EE8" w:rsidRDefault="00AA0EE8" w:rsidP="00B939D1">
            <w:pPr>
              <w:keepNext/>
              <w:keepLines/>
              <w:rPr>
                <w:sz w:val="16"/>
              </w:rPr>
            </w:pPr>
            <w:r w:rsidRPr="00AA0EE8">
              <w:rPr>
                <w:sz w:val="16"/>
              </w:rPr>
              <w:t>Funding Plans</w:t>
            </w:r>
          </w:p>
        </w:tc>
        <w:tc>
          <w:tcPr>
            <w:tcW w:w="3261" w:type="dxa"/>
            <w:vMerge w:val="restart"/>
            <w:tcMar>
              <w:left w:w="57" w:type="dxa"/>
              <w:right w:w="57" w:type="dxa"/>
            </w:tcMar>
          </w:tcPr>
          <w:p w14:paraId="55B5EB7D" w14:textId="77777777"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fp/gl-2014-04/</w:t>
            </w:r>
            <w:r w:rsidRPr="00B939D1">
              <w:rPr>
                <w:rFonts w:ascii="Arial Narrow" w:hAnsi="Arial Narrow"/>
                <w:b/>
                <w:sz w:val="18"/>
              </w:rPr>
              <w:t>2015-02-16/mod/fp.xsd</w:t>
            </w:r>
          </w:p>
        </w:tc>
        <w:tc>
          <w:tcPr>
            <w:tcW w:w="1134" w:type="dxa"/>
            <w:tcMar>
              <w:left w:w="57" w:type="dxa"/>
              <w:right w:w="57" w:type="dxa"/>
            </w:tcMar>
          </w:tcPr>
          <w:p w14:paraId="55B5EB7E" w14:textId="77777777" w:rsidR="00AA0EE8" w:rsidRPr="00AA0EE8" w:rsidRDefault="00AA0EE8" w:rsidP="00B939D1">
            <w:pPr>
              <w:keepNext/>
              <w:keepLines/>
              <w:rPr>
                <w:sz w:val="16"/>
              </w:rPr>
            </w:pPr>
            <w:r w:rsidRPr="00AA0EE8">
              <w:rPr>
                <w:sz w:val="16"/>
              </w:rPr>
              <w:t>FP Individual</w:t>
            </w:r>
          </w:p>
        </w:tc>
        <w:tc>
          <w:tcPr>
            <w:tcW w:w="3574" w:type="dxa"/>
            <w:tcMar>
              <w:left w:w="57" w:type="dxa"/>
              <w:right w:w="57" w:type="dxa"/>
            </w:tcMar>
          </w:tcPr>
          <w:p w14:paraId="55B5EB7F" w14:textId="77777777"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002E6BE9" w:rsidRPr="00B939D1">
              <w:rPr>
                <w:rFonts w:ascii="Arial Narrow" w:hAnsi="Arial Narrow"/>
                <w:sz w:val="18"/>
              </w:rPr>
              <w:t>fp/gl</w:t>
            </w:r>
            <w:r w:rsidR="002E6BE9" w:rsidRPr="00B939D1">
              <w:rPr>
                <w:rFonts w:ascii="Arial Narrow" w:hAnsi="Arial Narrow"/>
                <w:sz w:val="18"/>
              </w:rPr>
              <w:noBreakHyphen/>
            </w:r>
            <w:r w:rsidRPr="00B939D1">
              <w:rPr>
                <w:rFonts w:ascii="Arial Narrow" w:hAnsi="Arial Narrow"/>
                <w:sz w:val="18"/>
              </w:rPr>
              <w:t>2014-04/</w:t>
            </w:r>
            <w:r w:rsidRPr="00B939D1">
              <w:rPr>
                <w:rFonts w:ascii="Arial Narrow" w:hAnsi="Arial Narrow"/>
                <w:b/>
                <w:sz w:val="18"/>
              </w:rPr>
              <w:t>2015-05-29/mod/fp_ind.xsd</w:t>
            </w:r>
          </w:p>
        </w:tc>
      </w:tr>
      <w:tr w:rsidR="00AA0EE8" w14:paraId="55B5EB85" w14:textId="77777777" w:rsidTr="00766D0C">
        <w:tc>
          <w:tcPr>
            <w:tcW w:w="1162" w:type="dxa"/>
            <w:vMerge/>
            <w:tcMar>
              <w:left w:w="57" w:type="dxa"/>
              <w:right w:w="57" w:type="dxa"/>
            </w:tcMar>
          </w:tcPr>
          <w:p w14:paraId="55B5EB81" w14:textId="77777777" w:rsidR="00AA0EE8" w:rsidRPr="00AA0EE8" w:rsidRDefault="00AA0EE8" w:rsidP="00B939D1">
            <w:pPr>
              <w:keepLines/>
              <w:rPr>
                <w:sz w:val="16"/>
              </w:rPr>
            </w:pPr>
          </w:p>
        </w:tc>
        <w:tc>
          <w:tcPr>
            <w:tcW w:w="3261" w:type="dxa"/>
            <w:vMerge/>
            <w:tcMar>
              <w:left w:w="57" w:type="dxa"/>
              <w:right w:w="57" w:type="dxa"/>
            </w:tcMar>
          </w:tcPr>
          <w:p w14:paraId="55B5EB82" w14:textId="77777777" w:rsidR="00AA0EE8" w:rsidRPr="00B939D1" w:rsidRDefault="00AA0EE8" w:rsidP="00B939D1">
            <w:pPr>
              <w:keepLines/>
              <w:rPr>
                <w:rFonts w:ascii="Arial Narrow" w:hAnsi="Arial Narrow"/>
                <w:sz w:val="18"/>
              </w:rPr>
            </w:pPr>
          </w:p>
        </w:tc>
        <w:tc>
          <w:tcPr>
            <w:tcW w:w="1134" w:type="dxa"/>
            <w:tcMar>
              <w:left w:w="57" w:type="dxa"/>
              <w:right w:w="57" w:type="dxa"/>
            </w:tcMar>
          </w:tcPr>
          <w:p w14:paraId="55B5EB83" w14:textId="77777777" w:rsidR="00AA0EE8" w:rsidRPr="00AA0EE8" w:rsidRDefault="00AA0EE8" w:rsidP="00B939D1">
            <w:pPr>
              <w:keepLines/>
              <w:rPr>
                <w:sz w:val="16"/>
              </w:rPr>
            </w:pPr>
            <w:r w:rsidRPr="00AA0EE8">
              <w:rPr>
                <w:sz w:val="16"/>
              </w:rPr>
              <w:t>FP Consolidated</w:t>
            </w:r>
          </w:p>
        </w:tc>
        <w:tc>
          <w:tcPr>
            <w:tcW w:w="3574" w:type="dxa"/>
            <w:tcMar>
              <w:left w:w="57" w:type="dxa"/>
              <w:right w:w="57" w:type="dxa"/>
            </w:tcMar>
          </w:tcPr>
          <w:p w14:paraId="55B5EB84" w14:textId="77777777" w:rsidR="00AA0EE8" w:rsidRPr="00B939D1" w:rsidRDefault="00AA0EE8" w:rsidP="00B939D1">
            <w:pPr>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fp/gl</w:t>
            </w:r>
            <w:r w:rsidR="002E6BE9" w:rsidRPr="00B939D1">
              <w:rPr>
                <w:rFonts w:ascii="Arial Narrow" w:hAnsi="Arial Narrow"/>
                <w:sz w:val="18"/>
              </w:rPr>
              <w:noBreakHyphen/>
            </w:r>
            <w:r w:rsidRPr="00B939D1">
              <w:rPr>
                <w:rFonts w:ascii="Arial Narrow" w:hAnsi="Arial Narrow"/>
                <w:sz w:val="18"/>
              </w:rPr>
              <w:t>2014-04/</w:t>
            </w:r>
            <w:r w:rsidRPr="00B939D1">
              <w:rPr>
                <w:rFonts w:ascii="Arial Narrow" w:hAnsi="Arial Narrow"/>
                <w:b/>
                <w:sz w:val="18"/>
              </w:rPr>
              <w:t>2015-05-29/mod/fp_con.xsd</w:t>
            </w:r>
          </w:p>
        </w:tc>
      </w:tr>
      <w:tr w:rsidR="00AA0EE8" w14:paraId="55B5EB8A" w14:textId="77777777" w:rsidTr="00766D0C">
        <w:tc>
          <w:tcPr>
            <w:tcW w:w="1162" w:type="dxa"/>
            <w:vMerge w:val="restart"/>
            <w:tcMar>
              <w:left w:w="57" w:type="dxa"/>
              <w:right w:w="57" w:type="dxa"/>
            </w:tcMar>
          </w:tcPr>
          <w:p w14:paraId="55B5EB86" w14:textId="77777777" w:rsidR="00AA0EE8" w:rsidRPr="00AA0EE8" w:rsidRDefault="00AA0EE8" w:rsidP="00B939D1">
            <w:pPr>
              <w:keepNext/>
              <w:keepLines/>
              <w:rPr>
                <w:sz w:val="16"/>
              </w:rPr>
            </w:pPr>
            <w:r w:rsidRPr="00AA0EE8">
              <w:rPr>
                <w:sz w:val="16"/>
              </w:rPr>
              <w:t>SBP Benchmarking</w:t>
            </w:r>
          </w:p>
        </w:tc>
        <w:tc>
          <w:tcPr>
            <w:tcW w:w="3261" w:type="dxa"/>
            <w:vMerge w:val="restart"/>
            <w:tcMar>
              <w:left w:w="57" w:type="dxa"/>
              <w:right w:w="57" w:type="dxa"/>
            </w:tcMar>
          </w:tcPr>
          <w:p w14:paraId="55B5EB87" w14:textId="77777777"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sbp/cp-2014-07/</w:t>
            </w:r>
            <w:r w:rsidRPr="00B939D1">
              <w:rPr>
                <w:rFonts w:ascii="Arial Narrow" w:hAnsi="Arial Narrow"/>
                <w:b/>
                <w:sz w:val="18"/>
              </w:rPr>
              <w:t>2015-02-16/mod/sbp.xsd</w:t>
            </w:r>
          </w:p>
        </w:tc>
        <w:tc>
          <w:tcPr>
            <w:tcW w:w="1134" w:type="dxa"/>
            <w:tcMar>
              <w:left w:w="57" w:type="dxa"/>
              <w:right w:w="57" w:type="dxa"/>
            </w:tcMar>
          </w:tcPr>
          <w:p w14:paraId="55B5EB88" w14:textId="77777777" w:rsidR="00AA0EE8" w:rsidRPr="00AA0EE8" w:rsidRDefault="00AA0EE8" w:rsidP="00B939D1">
            <w:pPr>
              <w:keepNext/>
              <w:keepLines/>
              <w:rPr>
                <w:sz w:val="16"/>
              </w:rPr>
            </w:pPr>
            <w:r w:rsidRPr="00AA0EE8">
              <w:rPr>
                <w:sz w:val="16"/>
              </w:rPr>
              <w:t>Benchmarking Individual</w:t>
            </w:r>
          </w:p>
        </w:tc>
        <w:tc>
          <w:tcPr>
            <w:tcW w:w="3574" w:type="dxa"/>
            <w:tcMar>
              <w:left w:w="57" w:type="dxa"/>
              <w:right w:w="57" w:type="dxa"/>
            </w:tcMar>
          </w:tcPr>
          <w:p w14:paraId="55B5EB89" w14:textId="77777777"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2E6BE9" w:rsidRPr="00B939D1">
              <w:rPr>
                <w:rFonts w:ascii="Arial Narrow" w:hAnsi="Arial Narrow"/>
                <w:sz w:val="18"/>
              </w:rPr>
              <w:noBreakHyphen/>
            </w:r>
            <w:r w:rsidRPr="00B939D1">
              <w:rPr>
                <w:rFonts w:ascii="Arial Narrow" w:hAnsi="Arial Narrow"/>
                <w:sz w:val="18"/>
              </w:rPr>
              <w:t>2014-07/</w:t>
            </w:r>
            <w:r w:rsidRPr="00B939D1">
              <w:rPr>
                <w:rFonts w:ascii="Arial Narrow" w:hAnsi="Arial Narrow"/>
                <w:b/>
                <w:sz w:val="18"/>
              </w:rPr>
              <w:t>2015-05-29/mod/sbp_ind.xsd</w:t>
            </w:r>
          </w:p>
        </w:tc>
      </w:tr>
      <w:tr w:rsidR="00AA0EE8" w14:paraId="55B5EB8F" w14:textId="77777777" w:rsidTr="00766D0C">
        <w:tc>
          <w:tcPr>
            <w:tcW w:w="1162" w:type="dxa"/>
            <w:vMerge/>
            <w:tcMar>
              <w:left w:w="57" w:type="dxa"/>
              <w:right w:w="57" w:type="dxa"/>
            </w:tcMar>
          </w:tcPr>
          <w:p w14:paraId="55B5EB8B" w14:textId="77777777" w:rsidR="00AA0EE8" w:rsidRPr="00AA0EE8" w:rsidRDefault="00AA0EE8" w:rsidP="00B939D1">
            <w:pPr>
              <w:keepLines/>
              <w:rPr>
                <w:sz w:val="16"/>
              </w:rPr>
            </w:pPr>
          </w:p>
        </w:tc>
        <w:tc>
          <w:tcPr>
            <w:tcW w:w="3261" w:type="dxa"/>
            <w:vMerge/>
            <w:tcMar>
              <w:left w:w="57" w:type="dxa"/>
              <w:right w:w="57" w:type="dxa"/>
            </w:tcMar>
          </w:tcPr>
          <w:p w14:paraId="55B5EB8C" w14:textId="77777777" w:rsidR="00AA0EE8" w:rsidRPr="00B939D1" w:rsidRDefault="00AA0EE8" w:rsidP="00B939D1">
            <w:pPr>
              <w:keepLines/>
              <w:rPr>
                <w:rFonts w:ascii="Arial Narrow" w:hAnsi="Arial Narrow"/>
                <w:sz w:val="18"/>
              </w:rPr>
            </w:pPr>
          </w:p>
        </w:tc>
        <w:tc>
          <w:tcPr>
            <w:tcW w:w="1134" w:type="dxa"/>
            <w:tcMar>
              <w:left w:w="57" w:type="dxa"/>
              <w:right w:w="57" w:type="dxa"/>
            </w:tcMar>
          </w:tcPr>
          <w:p w14:paraId="55B5EB8D" w14:textId="77777777" w:rsidR="00AA0EE8" w:rsidRPr="00AA0EE8" w:rsidRDefault="00AA0EE8" w:rsidP="00B939D1">
            <w:pPr>
              <w:keepLines/>
              <w:rPr>
                <w:sz w:val="16"/>
              </w:rPr>
            </w:pPr>
            <w:r w:rsidRPr="00AA0EE8">
              <w:rPr>
                <w:sz w:val="16"/>
              </w:rPr>
              <w:t>Benchmarking Consolidated</w:t>
            </w:r>
          </w:p>
        </w:tc>
        <w:tc>
          <w:tcPr>
            <w:tcW w:w="3574" w:type="dxa"/>
            <w:tcMar>
              <w:left w:w="57" w:type="dxa"/>
              <w:right w:w="57" w:type="dxa"/>
            </w:tcMar>
          </w:tcPr>
          <w:p w14:paraId="55B5EB8E" w14:textId="77777777" w:rsidR="00AA0EE8" w:rsidRPr="00B939D1" w:rsidRDefault="00AA0EE8" w:rsidP="00766D0C">
            <w:pPr>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766D0C">
              <w:rPr>
                <w:rFonts w:ascii="Arial Narrow" w:hAnsi="Arial Narrow"/>
                <w:sz w:val="18"/>
              </w:rPr>
              <w:noBreakHyphen/>
            </w:r>
            <w:r w:rsidRPr="00B939D1">
              <w:rPr>
                <w:rFonts w:ascii="Arial Narrow" w:hAnsi="Arial Narrow"/>
                <w:sz w:val="18"/>
              </w:rPr>
              <w:t>2014-07/</w:t>
            </w:r>
            <w:r w:rsidRPr="00B939D1">
              <w:rPr>
                <w:rFonts w:ascii="Arial Narrow" w:hAnsi="Arial Narrow"/>
                <w:b/>
                <w:sz w:val="18"/>
              </w:rPr>
              <w:t>2015-05-29/mod/sbp_con.xsd</w:t>
            </w:r>
          </w:p>
        </w:tc>
      </w:tr>
      <w:tr w:rsidR="00AA0EE8" w14:paraId="55B5EB94" w14:textId="77777777" w:rsidTr="00766D0C">
        <w:tc>
          <w:tcPr>
            <w:tcW w:w="1162" w:type="dxa"/>
            <w:vMerge w:val="restart"/>
            <w:tcMar>
              <w:left w:w="57" w:type="dxa"/>
              <w:right w:w="57" w:type="dxa"/>
            </w:tcMar>
          </w:tcPr>
          <w:p w14:paraId="55B5EB90" w14:textId="77777777" w:rsidR="00AA0EE8" w:rsidRPr="00AA0EE8" w:rsidRDefault="00AA0EE8" w:rsidP="00B939D1">
            <w:pPr>
              <w:keepNext/>
              <w:keepLines/>
              <w:rPr>
                <w:sz w:val="16"/>
              </w:rPr>
            </w:pPr>
            <w:r w:rsidRPr="00AA0EE8">
              <w:rPr>
                <w:sz w:val="16"/>
              </w:rPr>
              <w:t>Benchmarking Initial Valuation</w:t>
            </w:r>
          </w:p>
        </w:tc>
        <w:tc>
          <w:tcPr>
            <w:tcW w:w="3261" w:type="dxa"/>
            <w:vMerge w:val="restart"/>
            <w:tcMar>
              <w:left w:w="57" w:type="dxa"/>
              <w:right w:w="57" w:type="dxa"/>
            </w:tcMar>
          </w:tcPr>
          <w:p w14:paraId="55B5EB91" w14:textId="77777777"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B939D1" w:rsidRPr="00B939D1">
              <w:rPr>
                <w:rFonts w:ascii="Arial Narrow" w:hAnsi="Arial Narrow"/>
                <w:sz w:val="18"/>
              </w:rPr>
              <w:noBreakHyphen/>
            </w:r>
            <w:r w:rsidRPr="00B939D1">
              <w:rPr>
                <w:rFonts w:ascii="Arial Narrow" w:hAnsi="Arial Narrow"/>
                <w:sz w:val="18"/>
              </w:rPr>
              <w:t>2014</w:t>
            </w:r>
            <w:r w:rsidR="00B939D1" w:rsidRPr="00B939D1">
              <w:rPr>
                <w:rFonts w:ascii="Arial Narrow" w:hAnsi="Arial Narrow"/>
                <w:sz w:val="18"/>
              </w:rPr>
              <w:noBreakHyphen/>
            </w:r>
            <w:r w:rsidRPr="00B939D1">
              <w:rPr>
                <w:rFonts w:ascii="Arial Narrow" w:hAnsi="Arial Narrow"/>
                <w:sz w:val="18"/>
              </w:rPr>
              <w:t>07/</w:t>
            </w:r>
            <w:r w:rsidRPr="00B939D1">
              <w:rPr>
                <w:rFonts w:ascii="Arial Narrow" w:hAnsi="Arial Narrow"/>
                <w:b/>
                <w:sz w:val="18"/>
              </w:rPr>
              <w:t>2015</w:t>
            </w:r>
            <w:r w:rsidR="00B939D1" w:rsidRPr="00B939D1">
              <w:rPr>
                <w:rFonts w:ascii="Arial Narrow" w:hAnsi="Arial Narrow"/>
                <w:b/>
                <w:sz w:val="18"/>
              </w:rPr>
              <w:noBreakHyphen/>
            </w:r>
            <w:r w:rsidRPr="00B939D1">
              <w:rPr>
                <w:rFonts w:ascii="Arial Narrow" w:hAnsi="Arial Narrow"/>
                <w:b/>
                <w:sz w:val="18"/>
              </w:rPr>
              <w:t>02</w:t>
            </w:r>
            <w:r w:rsidR="00B939D1" w:rsidRPr="00B939D1">
              <w:rPr>
                <w:rFonts w:ascii="Arial Narrow" w:hAnsi="Arial Narrow"/>
                <w:b/>
                <w:sz w:val="18"/>
              </w:rPr>
              <w:noBreakHyphen/>
            </w:r>
            <w:r w:rsidRPr="00B939D1">
              <w:rPr>
                <w:rFonts w:ascii="Arial Narrow" w:hAnsi="Arial Narrow"/>
                <w:b/>
                <w:sz w:val="18"/>
              </w:rPr>
              <w:t>16/mod/sbpimv.xsd</w:t>
            </w:r>
          </w:p>
        </w:tc>
        <w:tc>
          <w:tcPr>
            <w:tcW w:w="1134" w:type="dxa"/>
            <w:tcMar>
              <w:left w:w="57" w:type="dxa"/>
              <w:right w:w="57" w:type="dxa"/>
            </w:tcMar>
          </w:tcPr>
          <w:p w14:paraId="55B5EB92" w14:textId="77777777" w:rsidR="00AA0EE8" w:rsidRPr="00AA0EE8" w:rsidRDefault="00AA0EE8" w:rsidP="00B939D1">
            <w:pPr>
              <w:keepLines/>
              <w:rPr>
                <w:sz w:val="16"/>
              </w:rPr>
            </w:pPr>
            <w:r w:rsidRPr="00AA0EE8">
              <w:rPr>
                <w:sz w:val="16"/>
              </w:rPr>
              <w:t>IMV Individual</w:t>
            </w:r>
          </w:p>
        </w:tc>
        <w:tc>
          <w:tcPr>
            <w:tcW w:w="3574" w:type="dxa"/>
            <w:tcMar>
              <w:left w:w="57" w:type="dxa"/>
              <w:right w:w="57" w:type="dxa"/>
            </w:tcMar>
          </w:tcPr>
          <w:p w14:paraId="55B5EB93" w14:textId="77777777" w:rsidR="00AA0EE8" w:rsidRPr="00B939D1" w:rsidRDefault="00AA0EE8" w:rsidP="00766D0C">
            <w:pPr>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766D0C">
              <w:rPr>
                <w:rFonts w:ascii="Arial Narrow" w:hAnsi="Arial Narrow"/>
                <w:sz w:val="18"/>
              </w:rPr>
              <w:noBreakHyphen/>
            </w:r>
            <w:r w:rsidRPr="00B939D1">
              <w:rPr>
                <w:rFonts w:ascii="Arial Narrow" w:hAnsi="Arial Narrow"/>
                <w:sz w:val="18"/>
              </w:rPr>
              <w:t>2014-07/</w:t>
            </w:r>
            <w:r w:rsidRPr="00B939D1">
              <w:rPr>
                <w:rFonts w:ascii="Arial Narrow" w:hAnsi="Arial Narrow"/>
                <w:b/>
                <w:sz w:val="18"/>
              </w:rPr>
              <w:t>2015-05-29/mod/sbpimv_ind.xsd</w:t>
            </w:r>
          </w:p>
        </w:tc>
      </w:tr>
      <w:tr w:rsidR="00AA0EE8" w14:paraId="55B5EB99" w14:textId="77777777" w:rsidTr="00766D0C">
        <w:tc>
          <w:tcPr>
            <w:tcW w:w="1162" w:type="dxa"/>
            <w:vMerge/>
            <w:tcMar>
              <w:left w:w="57" w:type="dxa"/>
              <w:right w:w="57" w:type="dxa"/>
            </w:tcMar>
          </w:tcPr>
          <w:p w14:paraId="55B5EB95" w14:textId="77777777" w:rsidR="00AA0EE8" w:rsidRPr="00AA0EE8" w:rsidRDefault="00AA0EE8" w:rsidP="00B939D1">
            <w:pPr>
              <w:keepLines/>
              <w:rPr>
                <w:sz w:val="16"/>
              </w:rPr>
            </w:pPr>
          </w:p>
        </w:tc>
        <w:tc>
          <w:tcPr>
            <w:tcW w:w="3261" w:type="dxa"/>
            <w:vMerge/>
            <w:tcMar>
              <w:left w:w="57" w:type="dxa"/>
              <w:right w:w="57" w:type="dxa"/>
            </w:tcMar>
          </w:tcPr>
          <w:p w14:paraId="55B5EB96" w14:textId="77777777" w:rsidR="00AA0EE8" w:rsidRPr="00AA0EE8" w:rsidRDefault="00AA0EE8" w:rsidP="00B939D1">
            <w:pPr>
              <w:keepLines/>
              <w:rPr>
                <w:sz w:val="16"/>
              </w:rPr>
            </w:pPr>
          </w:p>
        </w:tc>
        <w:tc>
          <w:tcPr>
            <w:tcW w:w="1134" w:type="dxa"/>
            <w:tcMar>
              <w:left w:w="57" w:type="dxa"/>
              <w:right w:w="57" w:type="dxa"/>
            </w:tcMar>
          </w:tcPr>
          <w:p w14:paraId="55B5EB97" w14:textId="77777777" w:rsidR="00AA0EE8" w:rsidRPr="00AA0EE8" w:rsidRDefault="00AA0EE8" w:rsidP="00B939D1">
            <w:pPr>
              <w:keepLines/>
              <w:rPr>
                <w:sz w:val="16"/>
              </w:rPr>
            </w:pPr>
            <w:r w:rsidRPr="00AA0EE8">
              <w:rPr>
                <w:sz w:val="16"/>
              </w:rPr>
              <w:t>IMV Consolidated</w:t>
            </w:r>
          </w:p>
        </w:tc>
        <w:tc>
          <w:tcPr>
            <w:tcW w:w="3574" w:type="dxa"/>
            <w:tcMar>
              <w:left w:w="57" w:type="dxa"/>
              <w:right w:w="57" w:type="dxa"/>
            </w:tcMar>
          </w:tcPr>
          <w:p w14:paraId="55B5EB98" w14:textId="77777777" w:rsidR="00AA0EE8" w:rsidRPr="00B939D1" w:rsidRDefault="00AA0EE8" w:rsidP="00766D0C">
            <w:pPr>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766D0C">
              <w:rPr>
                <w:rFonts w:ascii="Arial Narrow" w:hAnsi="Arial Narrow"/>
                <w:sz w:val="18"/>
              </w:rPr>
              <w:noBreakHyphen/>
            </w:r>
            <w:r w:rsidRPr="00B939D1">
              <w:rPr>
                <w:rFonts w:ascii="Arial Narrow" w:hAnsi="Arial Narrow"/>
                <w:sz w:val="18"/>
              </w:rPr>
              <w:t>2014-07/</w:t>
            </w:r>
            <w:r w:rsidRPr="00B939D1">
              <w:rPr>
                <w:rFonts w:ascii="Arial Narrow" w:hAnsi="Arial Narrow"/>
                <w:b/>
                <w:sz w:val="18"/>
              </w:rPr>
              <w:t>2015-05-29/mod/sbpimv_con.xsd</w:t>
            </w:r>
          </w:p>
        </w:tc>
      </w:tr>
    </w:tbl>
    <w:p w14:paraId="55B5EB9A" w14:textId="77777777" w:rsidR="00534F52" w:rsidRDefault="00534F52" w:rsidP="00B000E3"/>
    <w:p w14:paraId="55B5EB9B" w14:textId="77777777" w:rsidR="00534F52" w:rsidRDefault="00534F52" w:rsidP="00057CFC">
      <w:pPr>
        <w:keepNext/>
        <w:keepLines/>
        <w:pBdr>
          <w:top w:val="single" w:sz="4" w:space="1" w:color="auto"/>
          <w:left w:val="single" w:sz="4" w:space="4" w:color="auto"/>
          <w:bottom w:val="single" w:sz="4" w:space="1" w:color="auto"/>
          <w:right w:val="single" w:sz="4" w:space="4" w:color="auto"/>
        </w:pBdr>
        <w:ind w:left="720" w:right="425"/>
        <w:rPr>
          <w:b/>
        </w:rPr>
      </w:pPr>
      <w:r w:rsidRPr="00534F52">
        <w:rPr>
          <w:b/>
        </w:rPr>
        <w:lastRenderedPageBreak/>
        <w:t>Mapping 2.3 Instance files to 2.3.1</w:t>
      </w:r>
    </w:p>
    <w:p w14:paraId="55B5EB9C" w14:textId="77777777" w:rsidR="00534F52" w:rsidRPr="00534F52" w:rsidRDefault="00534F52" w:rsidP="00057CFC">
      <w:pPr>
        <w:keepNext/>
        <w:keepLines/>
        <w:pBdr>
          <w:top w:val="single" w:sz="4" w:space="1" w:color="auto"/>
          <w:left w:val="single" w:sz="4" w:space="4" w:color="auto"/>
          <w:bottom w:val="single" w:sz="4" w:space="1" w:color="auto"/>
          <w:right w:val="single" w:sz="4" w:space="4" w:color="auto"/>
        </w:pBdr>
        <w:ind w:left="720" w:right="425"/>
      </w:pPr>
      <w:r w:rsidRPr="00534F52">
        <w:t>S</w:t>
      </w:r>
      <w:r>
        <w:t>i</w:t>
      </w:r>
      <w:r w:rsidRPr="00534F52">
        <w:t>nce</w:t>
      </w:r>
      <w:r>
        <w:t xml:space="preserve"> the data content of 2.3 and 2.3.1 FP and SBP reports are mostly identical (with one exception, see below), is it plausible to map 2.3 Instance Files to 2.3.1 compatible instance files.</w:t>
      </w:r>
    </w:p>
    <w:p w14:paraId="55B5EB9D" w14:textId="77777777" w:rsidR="00534F52" w:rsidRDefault="00534F52" w:rsidP="00057CFC">
      <w:pPr>
        <w:keepNext/>
        <w:keepLines/>
        <w:pBdr>
          <w:top w:val="single" w:sz="4" w:space="1" w:color="auto"/>
          <w:left w:val="single" w:sz="4" w:space="4" w:color="auto"/>
          <w:bottom w:val="single" w:sz="4" w:space="1" w:color="auto"/>
          <w:right w:val="single" w:sz="4" w:space="4" w:color="auto"/>
        </w:pBdr>
        <w:ind w:left="720" w:right="425"/>
      </w:pPr>
      <w:r>
        <w:t>Both the 2.3.1 SBP and SBPIMV reports are identical structures to the 2.3 versions, with the only difference being the explicit differentiation</w:t>
      </w:r>
      <w:r w:rsidR="00AA0EE8">
        <w:t xml:space="preserve"> of individual and c</w:t>
      </w:r>
      <w:r>
        <w:t xml:space="preserve">onsolidated entry points, </w:t>
      </w:r>
      <w:r w:rsidR="00AA0EE8">
        <w:t>replacing the schemaR</w:t>
      </w:r>
      <w:r>
        <w:t xml:space="preserve">ef of a valid 2.3 instance file </w:t>
      </w:r>
      <w:r w:rsidR="00AA0EE8">
        <w:t>with the appropriate i</w:t>
      </w:r>
      <w:r>
        <w:t xml:space="preserve">ndividual or </w:t>
      </w:r>
      <w:r w:rsidR="00AA0EE8">
        <w:t>c</w:t>
      </w:r>
      <w:r>
        <w:t>onsolidated schemaRef for 2.3.1 would converted the file to a valid 2.3.1 Instance.</w:t>
      </w:r>
    </w:p>
    <w:p w14:paraId="55B5EB9E" w14:textId="77777777" w:rsidR="00534F52" w:rsidRDefault="00534F52" w:rsidP="00057CFC">
      <w:pPr>
        <w:keepNext/>
        <w:keepLines/>
        <w:pBdr>
          <w:top w:val="single" w:sz="4" w:space="1" w:color="auto"/>
          <w:left w:val="single" w:sz="4" w:space="4" w:color="auto"/>
          <w:bottom w:val="single" w:sz="4" w:space="1" w:color="auto"/>
          <w:right w:val="single" w:sz="4" w:space="4" w:color="auto"/>
        </w:pBdr>
        <w:ind w:left="720" w:right="425"/>
      </w:pPr>
      <w:r>
        <w:t>FP table P</w:t>
      </w:r>
      <w:r w:rsidR="00B939D1">
        <w:t xml:space="preserve"> </w:t>
      </w:r>
      <w:r>
        <w:t>00.01 in version 2.3 did not contain a row 020 to indicate consolidation status. This is added in version 2.3.1. As such</w:t>
      </w:r>
      <w:r w:rsidR="00AA0EE8">
        <w:t>, as well as mapping the schemaR</w:t>
      </w:r>
      <w:r>
        <w:t>ef to the appropriate value based on the consolidation nature of the report</w:t>
      </w:r>
      <w:r w:rsidR="00AA0EE8">
        <w:t>, this data point should be added, i.e. either:</w:t>
      </w:r>
    </w:p>
    <w:p w14:paraId="55B5EB9F" w14:textId="77777777" w:rsidR="00AA0EE8" w:rsidRDefault="00AA0EE8" w:rsidP="00057CFC">
      <w:pPr>
        <w:keepNext/>
        <w:keepLines/>
        <w:pBdr>
          <w:top w:val="single" w:sz="4" w:space="1" w:color="auto"/>
          <w:left w:val="single" w:sz="4" w:space="4" w:color="auto"/>
          <w:bottom w:val="single" w:sz="4" w:space="1" w:color="auto"/>
          <w:right w:val="single" w:sz="4" w:space="4" w:color="auto"/>
        </w:pBdr>
        <w:ind w:left="720" w:right="425"/>
        <w:rPr>
          <w:b/>
        </w:rPr>
      </w:pPr>
      <w:r w:rsidRPr="009037B2">
        <w:rPr>
          <w:b/>
        </w:rPr>
        <w:t>&lt;eba_met:ei207 contextRef="c2"&gt;eba_SC:x6&lt;/eba_met:ei207&gt;</w:t>
      </w:r>
    </w:p>
    <w:p w14:paraId="55B5EBA0" w14:textId="77777777" w:rsidR="00AA0EE8" w:rsidRDefault="00AA0EE8" w:rsidP="00057CFC">
      <w:pPr>
        <w:keepNext/>
        <w:keepLines/>
        <w:pBdr>
          <w:top w:val="single" w:sz="4" w:space="1" w:color="auto"/>
          <w:left w:val="single" w:sz="4" w:space="4" w:color="auto"/>
          <w:bottom w:val="single" w:sz="4" w:space="1" w:color="auto"/>
          <w:right w:val="single" w:sz="4" w:space="4" w:color="auto"/>
        </w:pBdr>
        <w:ind w:left="720" w:right="425"/>
      </w:pPr>
      <w:r>
        <w:t>for individual, or for consolidated:</w:t>
      </w:r>
    </w:p>
    <w:p w14:paraId="55B5EBA1" w14:textId="77777777" w:rsidR="00AA0EE8" w:rsidRDefault="00AA0EE8" w:rsidP="00057CFC">
      <w:pPr>
        <w:keepNext/>
        <w:keepLines/>
        <w:pBdr>
          <w:top w:val="single" w:sz="4" w:space="1" w:color="auto"/>
          <w:left w:val="single" w:sz="4" w:space="4" w:color="auto"/>
          <w:bottom w:val="single" w:sz="4" w:space="1" w:color="auto"/>
          <w:right w:val="single" w:sz="4" w:space="4" w:color="auto"/>
        </w:pBdr>
        <w:ind w:left="720" w:right="425"/>
        <w:rPr>
          <w:b/>
        </w:rPr>
      </w:pPr>
      <w:r w:rsidRPr="009037B2">
        <w:rPr>
          <w:b/>
        </w:rPr>
        <w:t>&lt;eba_met:ei207 contextRef="c2"&gt;eba_SC:x</w:t>
      </w:r>
      <w:r>
        <w:rPr>
          <w:b/>
        </w:rPr>
        <w:t>7</w:t>
      </w:r>
      <w:r w:rsidRPr="009037B2">
        <w:rPr>
          <w:b/>
        </w:rPr>
        <w:t>&lt;/eba_met:ei207&gt;</w:t>
      </w:r>
    </w:p>
    <w:p w14:paraId="55B5EBA2" w14:textId="77777777" w:rsidR="00AA0EE8" w:rsidRDefault="00AA0EE8" w:rsidP="00057CFC">
      <w:pPr>
        <w:keepLines/>
        <w:pBdr>
          <w:top w:val="single" w:sz="4" w:space="1" w:color="auto"/>
          <w:left w:val="single" w:sz="4" w:space="4" w:color="auto"/>
          <w:bottom w:val="single" w:sz="4" w:space="1" w:color="auto"/>
          <w:right w:val="single" w:sz="4" w:space="4" w:color="auto"/>
        </w:pBdr>
        <w:ind w:left="720" w:right="425"/>
      </w:pPr>
      <w:r>
        <w:t xml:space="preserve">would be added within the &lt;xbrl&gt; tag, </w:t>
      </w:r>
      <w:r w:rsidRPr="009037B2">
        <w:t>where context “c2” is the context already used for ei4 data i</w:t>
      </w:r>
      <w:r>
        <w:t>tem, and assuming the use in the instance of the canonical namespace prefixes (if this is not the case, “eba_met” and “eba_SC” would need to be changed appropriately).</w:t>
      </w:r>
    </w:p>
    <w:p w14:paraId="55B5EBA3" w14:textId="77777777" w:rsidR="00D515AE" w:rsidRDefault="00D515AE" w:rsidP="00B000E3">
      <w:pPr>
        <w:rPr>
          <w:b/>
        </w:rPr>
      </w:pPr>
    </w:p>
    <w:p w14:paraId="55B5EBA4" w14:textId="77777777" w:rsidR="00534F52" w:rsidRDefault="00B939D1" w:rsidP="00D515AE">
      <w:pPr>
        <w:pStyle w:val="Titlelevel3"/>
      </w:pPr>
      <w:r w:rsidRPr="00B939D1">
        <w:t>Table Changes</w:t>
      </w:r>
    </w:p>
    <w:p w14:paraId="55B5EBA5" w14:textId="77777777" w:rsidR="00B939D1" w:rsidRPr="00B939D1" w:rsidRDefault="00B939D1" w:rsidP="00183058">
      <w:pPr>
        <w:pStyle w:val="ListParagraph"/>
        <w:numPr>
          <w:ilvl w:val="0"/>
          <w:numId w:val="5"/>
        </w:numPr>
      </w:pPr>
      <w:r w:rsidRPr="00B939D1">
        <w:t>As noted above, row 020 “</w:t>
      </w:r>
      <w:r w:rsidR="001F0E7F" w:rsidRPr="001F0E7F">
        <w:t>Reporting Level</w:t>
      </w:r>
      <w:r w:rsidRPr="00B939D1">
        <w:t>” added to P 00.01.</w:t>
      </w:r>
    </w:p>
    <w:p w14:paraId="55B5EBA6" w14:textId="77777777" w:rsidR="00B939D1" w:rsidRPr="00B939D1" w:rsidRDefault="00B939D1" w:rsidP="00183058">
      <w:pPr>
        <w:pStyle w:val="ListParagraph"/>
        <w:numPr>
          <w:ilvl w:val="0"/>
          <w:numId w:val="5"/>
        </w:numPr>
      </w:pPr>
      <w:r w:rsidRPr="00B939D1">
        <w:t xml:space="preserve">Label of Open Axis for C 105.02 </w:t>
      </w:r>
      <w:r>
        <w:t>“</w:t>
      </w:r>
      <w:r w:rsidRPr="00B939D1">
        <w:t>Mapping of internal models to portfolios</w:t>
      </w:r>
      <w:r>
        <w:t xml:space="preserve">” </w:t>
      </w:r>
      <w:r w:rsidRPr="00B939D1">
        <w:t>changed from “Portfolio” to “</w:t>
      </w:r>
      <w:r>
        <w:t>Row Number”</w:t>
      </w:r>
      <w:r w:rsidR="001A4CAA">
        <w:t xml:space="preserve"> (minor cosmetic change only, does not affect instance files)</w:t>
      </w:r>
      <w:r>
        <w:t>.</w:t>
      </w:r>
    </w:p>
    <w:p w14:paraId="55B5EBA7" w14:textId="77777777" w:rsidR="00B939D1" w:rsidRDefault="00057CFC" w:rsidP="00D515AE">
      <w:pPr>
        <w:pStyle w:val="Titlelevel3"/>
      </w:pPr>
      <w:r>
        <w:t>Validation Rule Changes</w:t>
      </w:r>
    </w:p>
    <w:p w14:paraId="55B5EBA8" w14:textId="77777777" w:rsidR="006A5AC9" w:rsidRDefault="006A5AC9" w:rsidP="00183058">
      <w:pPr>
        <w:pStyle w:val="ListParagraph"/>
        <w:numPr>
          <w:ilvl w:val="0"/>
          <w:numId w:val="5"/>
        </w:numPr>
      </w:pPr>
      <w:r>
        <w:t>Added check on existence of value for P 00.01 row 020 (e4437_e), and checks that the values of P 00.01 and S 00.01 are agree with the Individual/Consolidated nature of the report (v4438_c - v4441_c).</w:t>
      </w:r>
    </w:p>
    <w:p w14:paraId="55B5EBA9" w14:textId="77777777" w:rsidR="00766D0C" w:rsidRDefault="00766D0C" w:rsidP="00766D0C">
      <w:pPr>
        <w:pStyle w:val="Titlelevel3"/>
      </w:pPr>
      <w:r>
        <w:t>Documentation</w:t>
      </w:r>
      <w:r w:rsidR="00057CFC">
        <w:t xml:space="preserve"> Changes</w:t>
      </w:r>
    </w:p>
    <w:p w14:paraId="55B5EBAA" w14:textId="77777777" w:rsidR="001F0E7F" w:rsidRDefault="001F0E7F" w:rsidP="00183058">
      <w:pPr>
        <w:pStyle w:val="ListParagraph"/>
        <w:numPr>
          <w:ilvl w:val="0"/>
          <w:numId w:val="5"/>
        </w:numPr>
      </w:pPr>
      <w:r w:rsidRPr="001F0E7F">
        <w:t xml:space="preserve">“Not Included in XBRL” marker added to </w:t>
      </w:r>
      <w:r w:rsidR="00766D0C">
        <w:t>validation rules</w:t>
      </w:r>
      <w:r w:rsidR="00766D0C" w:rsidRPr="001F0E7F">
        <w:t xml:space="preserve"> v3330_i and v3331_i </w:t>
      </w:r>
      <w:r w:rsidR="00766D0C">
        <w:t xml:space="preserve">on </w:t>
      </w:r>
      <w:r w:rsidRPr="001F0E7F">
        <w:t xml:space="preserve">2.3 </w:t>
      </w:r>
      <w:r w:rsidR="00766D0C">
        <w:t>tab</w:t>
      </w:r>
      <w:r w:rsidRPr="001F0E7F">
        <w:t xml:space="preserve"> </w:t>
      </w:r>
      <w:r w:rsidR="006A5AC9">
        <w:t xml:space="preserve">(was </w:t>
      </w:r>
      <w:r w:rsidR="00766D0C">
        <w:t xml:space="preserve">already </w:t>
      </w:r>
      <w:r w:rsidR="006A5AC9">
        <w:t>present on the other tabs).</w:t>
      </w:r>
    </w:p>
    <w:p w14:paraId="55B5EBAB" w14:textId="77777777" w:rsidR="00057CFC" w:rsidRDefault="00057CFC" w:rsidP="00057CFC"/>
    <w:p w14:paraId="55B5EBAC" w14:textId="77777777" w:rsidR="00057CFC" w:rsidRDefault="00057CFC" w:rsidP="00057CFC">
      <w:pPr>
        <w:pStyle w:val="Titlelevel3"/>
      </w:pPr>
      <w:r>
        <w:t>Unchanged</w:t>
      </w:r>
    </w:p>
    <w:p w14:paraId="55B5EBAD" w14:textId="77777777" w:rsidR="00057CFC" w:rsidRDefault="00057CFC" w:rsidP="00183058">
      <w:pPr>
        <w:pStyle w:val="ListParagraph"/>
        <w:numPr>
          <w:ilvl w:val="0"/>
          <w:numId w:val="5"/>
        </w:numPr>
      </w:pPr>
      <w:r>
        <w:t>Asset Encumbrance remains unchanged from version 2.2 (i.e. v2.2 entry point/taxonomy should continue to be used)</w:t>
      </w:r>
    </w:p>
    <w:p w14:paraId="55B5EBAE" w14:textId="77777777" w:rsidR="00057CFC" w:rsidRDefault="00057CFC" w:rsidP="00183058">
      <w:pPr>
        <w:pStyle w:val="ListParagraph"/>
        <w:numPr>
          <w:ilvl w:val="0"/>
          <w:numId w:val="5"/>
        </w:numPr>
      </w:pPr>
      <w:r>
        <w:t>FINREP remains unchanged from version 2.3</w:t>
      </w:r>
    </w:p>
    <w:p w14:paraId="55B5EBAF" w14:textId="77777777" w:rsidR="00057CFC" w:rsidRDefault="00057CFC" w:rsidP="00183058">
      <w:pPr>
        <w:pStyle w:val="ListParagraph"/>
        <w:numPr>
          <w:ilvl w:val="0"/>
          <w:numId w:val="5"/>
        </w:numPr>
      </w:pPr>
      <w:r>
        <w:t>COREP remains unchanged from version 2.3 (however see Known Issues section below)</w:t>
      </w:r>
    </w:p>
    <w:p w14:paraId="55B5EBB0" w14:textId="77777777" w:rsidR="00057CFC" w:rsidRPr="001F0E7F" w:rsidRDefault="00057CFC" w:rsidP="00057CFC">
      <w:pPr>
        <w:pStyle w:val="ListParagraph"/>
      </w:pPr>
    </w:p>
    <w:p w14:paraId="55B5EBB1" w14:textId="77777777" w:rsidR="00057CFC" w:rsidRPr="00057CFC" w:rsidRDefault="00057CFC" w:rsidP="00057CFC">
      <w:pPr>
        <w:pStyle w:val="Titlelevel2"/>
        <w:keepNext/>
        <w:keepLines/>
        <w:rPr>
          <w:b/>
        </w:rPr>
      </w:pPr>
      <w:r w:rsidRPr="00057CFC">
        <w:rPr>
          <w:b/>
        </w:rPr>
        <w:lastRenderedPageBreak/>
        <w:t>Known Issues</w:t>
      </w:r>
    </w:p>
    <w:p w14:paraId="55B5EBB2" w14:textId="77777777" w:rsidR="00057CFC" w:rsidRDefault="00057CFC" w:rsidP="00183058">
      <w:pPr>
        <w:pStyle w:val="ListParagraph"/>
        <w:keepNext/>
        <w:keepLines/>
        <w:numPr>
          <w:ilvl w:val="0"/>
          <w:numId w:val="5"/>
        </w:numPr>
      </w:pPr>
      <w:r>
        <w:t>The metrics assigned to COREP C 06.02 column 040, and FINREP F 40.01 column 150 are incorrect in v2.3 (and 2.3.1), have been mistakenly swapped over.</w:t>
      </w:r>
    </w:p>
    <w:p w14:paraId="55B5EBB3" w14:textId="77777777" w:rsidR="00057CFC" w:rsidRDefault="00057CFC" w:rsidP="00183058">
      <w:pPr>
        <w:pStyle w:val="ListParagraph"/>
        <w:keepNext/>
        <w:keepLines/>
        <w:numPr>
          <w:ilvl w:val="1"/>
          <w:numId w:val="5"/>
        </w:numPr>
      </w:pPr>
      <w:r>
        <w:t xml:space="preserve">This error has </w:t>
      </w:r>
      <w:r w:rsidRPr="006A5AC9">
        <w:rPr>
          <w:b/>
        </w:rPr>
        <w:t>NOT</w:t>
      </w:r>
      <w:r>
        <w:t xml:space="preserve"> been corrected in v2.3.1, so as to avoid impacting the FINREP or COREP taxonomies</w:t>
      </w:r>
    </w:p>
    <w:p w14:paraId="55B5EBB4" w14:textId="77777777" w:rsidR="00057CFC" w:rsidRDefault="00057CFC" w:rsidP="00183058">
      <w:pPr>
        <w:pStyle w:val="ListParagraph"/>
        <w:keepNext/>
        <w:keepLines/>
        <w:numPr>
          <w:ilvl w:val="1"/>
          <w:numId w:val="5"/>
        </w:numPr>
      </w:pPr>
      <w:r>
        <w:t>F 40.01 col 150 remains a string metric as it was in previous versions, reporters should continue to report this as they have done previously</w:t>
      </w:r>
    </w:p>
    <w:p w14:paraId="55B5EBB5" w14:textId="77777777" w:rsidR="00057CFC" w:rsidRDefault="00057CFC" w:rsidP="00183058">
      <w:pPr>
        <w:pStyle w:val="ListParagraph"/>
        <w:keepNext/>
        <w:keepLines/>
        <w:numPr>
          <w:ilvl w:val="1"/>
          <w:numId w:val="5"/>
        </w:numPr>
      </w:pPr>
      <w:r w:rsidRPr="00766D0C">
        <w:rPr>
          <w:b/>
        </w:rPr>
        <w:t>For COREP, table C 06.02</w:t>
      </w:r>
      <w:r>
        <w:t xml:space="preserve"> the taxonomy allows for column 040 all four values below, but </w:t>
      </w:r>
      <w:r w:rsidRPr="00057CFC">
        <w:rPr>
          <w:b/>
        </w:rPr>
        <w:t>instance files should be reported respecting the supplementary instructions below</w:t>
      </w:r>
      <w:r>
        <w:t xml:space="preserve">: </w:t>
      </w:r>
    </w:p>
    <w:p w14:paraId="55B5EBB6" w14:textId="77777777" w:rsidR="00057CFC" w:rsidRDefault="00057CFC" w:rsidP="00057CFC">
      <w:pPr>
        <w:ind w:left="1080"/>
      </w:pPr>
    </w:p>
    <w:tbl>
      <w:tblPr>
        <w:tblStyle w:val="EBAtable"/>
        <w:tblW w:w="0" w:type="auto"/>
        <w:tblLook w:val="04A0" w:firstRow="1" w:lastRow="0" w:firstColumn="1" w:lastColumn="0" w:noHBand="0" w:noVBand="1"/>
      </w:tblPr>
      <w:tblGrid>
        <w:gridCol w:w="1391"/>
        <w:gridCol w:w="3904"/>
        <w:gridCol w:w="3996"/>
      </w:tblGrid>
      <w:tr w:rsidR="00057CFC" w:rsidRPr="006A5AC9" w14:paraId="55B5EBBA" w14:textId="77777777" w:rsidTr="00587A42">
        <w:trPr>
          <w:cnfStyle w:val="100000000000" w:firstRow="1" w:lastRow="0" w:firstColumn="0" w:lastColumn="0" w:oddVBand="0" w:evenVBand="0" w:oddHBand="0" w:evenHBand="0" w:firstRowFirstColumn="0" w:firstRowLastColumn="0" w:lastRowFirstColumn="0" w:lastRowLastColumn="0"/>
        </w:trPr>
        <w:tc>
          <w:tcPr>
            <w:tcW w:w="1126" w:type="dxa"/>
          </w:tcPr>
          <w:p w14:paraId="55B5EBB7" w14:textId="77777777" w:rsidR="00057CFC" w:rsidRPr="00D515AE" w:rsidRDefault="00057CFC" w:rsidP="00587A42">
            <w:pPr>
              <w:rPr>
                <w:rFonts w:ascii="Arial" w:hAnsi="Arial" w:cs="Arial"/>
                <w:b/>
              </w:rPr>
            </w:pPr>
            <w:r>
              <w:rPr>
                <w:rFonts w:ascii="Arial" w:hAnsi="Arial" w:cs="Arial"/>
                <w:b/>
              </w:rPr>
              <w:t>Member</w:t>
            </w:r>
          </w:p>
        </w:tc>
        <w:tc>
          <w:tcPr>
            <w:tcW w:w="3984" w:type="dxa"/>
          </w:tcPr>
          <w:p w14:paraId="55B5EBB8" w14:textId="77777777" w:rsidR="00057CFC" w:rsidRPr="00D515AE" w:rsidRDefault="00057CFC" w:rsidP="00587A42">
            <w:pPr>
              <w:rPr>
                <w:rFonts w:ascii="Arial" w:hAnsi="Arial" w:cs="Arial"/>
                <w:b/>
              </w:rPr>
            </w:pPr>
            <w:r w:rsidRPr="00D515AE">
              <w:rPr>
                <w:rFonts w:ascii="Arial" w:hAnsi="Arial" w:cs="Arial"/>
                <w:b/>
              </w:rPr>
              <w:t>Label</w:t>
            </w:r>
          </w:p>
        </w:tc>
        <w:tc>
          <w:tcPr>
            <w:tcW w:w="4070" w:type="dxa"/>
          </w:tcPr>
          <w:p w14:paraId="55B5EBB9" w14:textId="77777777" w:rsidR="00057CFC" w:rsidRPr="00D515AE" w:rsidRDefault="00057CFC" w:rsidP="00587A42">
            <w:pPr>
              <w:rPr>
                <w:rFonts w:ascii="Arial" w:hAnsi="Arial" w:cs="Arial"/>
                <w:b/>
              </w:rPr>
            </w:pPr>
            <w:r w:rsidRPr="00D515AE">
              <w:rPr>
                <w:rFonts w:ascii="Arial" w:hAnsi="Arial" w:cs="Arial"/>
                <w:b/>
              </w:rPr>
              <w:t>Supplementary instruction</w:t>
            </w:r>
          </w:p>
        </w:tc>
      </w:tr>
      <w:tr w:rsidR="00057CFC" w:rsidRPr="006A5AC9" w14:paraId="55B5EBBE" w14:textId="77777777" w:rsidTr="00587A42">
        <w:tc>
          <w:tcPr>
            <w:tcW w:w="1126" w:type="dxa"/>
          </w:tcPr>
          <w:p w14:paraId="55B5EBBB" w14:textId="77777777" w:rsidR="00057CFC" w:rsidRPr="00D515AE" w:rsidRDefault="00057CFC" w:rsidP="00587A42">
            <w:pPr>
              <w:rPr>
                <w:rFonts w:ascii="Arial" w:hAnsi="Arial" w:cs="Arial"/>
              </w:rPr>
            </w:pPr>
            <w:r w:rsidRPr="00BC0A15">
              <w:rPr>
                <w:rFonts w:ascii="Arial" w:hAnsi="Arial" w:cs="Arial"/>
              </w:rPr>
              <w:t>eba_Z</w:t>
            </w:r>
            <w:r>
              <w:rPr>
                <w:rFonts w:ascii="Arial" w:hAnsi="Arial" w:cs="Arial"/>
              </w:rPr>
              <w:t>Z:</w:t>
            </w:r>
            <w:r w:rsidRPr="00D515AE">
              <w:rPr>
                <w:rFonts w:ascii="Arial" w:hAnsi="Arial" w:cs="Arial"/>
              </w:rPr>
              <w:t>x29</w:t>
            </w:r>
          </w:p>
        </w:tc>
        <w:tc>
          <w:tcPr>
            <w:tcW w:w="3984" w:type="dxa"/>
          </w:tcPr>
          <w:p w14:paraId="55B5EBBC" w14:textId="77777777" w:rsidR="00057CFC" w:rsidRPr="00D515AE" w:rsidRDefault="00057CFC" w:rsidP="00587A42">
            <w:pPr>
              <w:rPr>
                <w:rFonts w:ascii="Arial" w:hAnsi="Arial" w:cs="Arial"/>
              </w:rPr>
            </w:pPr>
            <w:r w:rsidRPr="00D515AE">
              <w:rPr>
                <w:rFonts w:ascii="Arial" w:hAnsi="Arial" w:cs="Arial"/>
              </w:rPr>
              <w:t>Full consolidation</w:t>
            </w:r>
          </w:p>
        </w:tc>
        <w:tc>
          <w:tcPr>
            <w:tcW w:w="4070" w:type="dxa"/>
          </w:tcPr>
          <w:p w14:paraId="55B5EBBD" w14:textId="77777777" w:rsidR="00057CFC" w:rsidRPr="00D515AE" w:rsidRDefault="00057CFC" w:rsidP="00587A42">
            <w:pPr>
              <w:rPr>
                <w:rFonts w:ascii="Arial" w:hAnsi="Arial" w:cs="Arial"/>
              </w:rPr>
            </w:pPr>
            <w:r w:rsidRPr="00D515AE">
              <w:rPr>
                <w:rFonts w:ascii="Arial" w:hAnsi="Arial" w:cs="Arial"/>
              </w:rPr>
              <w:t>Us</w:t>
            </w:r>
            <w:r>
              <w:rPr>
                <w:rFonts w:ascii="Arial" w:hAnsi="Arial" w:cs="Arial"/>
              </w:rPr>
              <w:t>e</w:t>
            </w:r>
            <w:r w:rsidRPr="00D515AE">
              <w:rPr>
                <w:rFonts w:ascii="Arial" w:hAnsi="Arial" w:cs="Arial"/>
              </w:rPr>
              <w:t xml:space="preserve"> to report value “fully consolidated” ("SF")</w:t>
            </w:r>
          </w:p>
        </w:tc>
      </w:tr>
      <w:tr w:rsidR="00057CFC" w:rsidRPr="006A5AC9" w14:paraId="55B5EBC2" w14:textId="77777777" w:rsidTr="00587A42">
        <w:tc>
          <w:tcPr>
            <w:tcW w:w="1126" w:type="dxa"/>
          </w:tcPr>
          <w:p w14:paraId="55B5EBBF" w14:textId="77777777" w:rsidR="00057CFC" w:rsidRPr="00766D0C" w:rsidRDefault="00057CFC" w:rsidP="00587A42">
            <w:pPr>
              <w:rPr>
                <w:rFonts w:ascii="Arial" w:hAnsi="Arial" w:cs="Arial"/>
              </w:rPr>
            </w:pPr>
            <w:r w:rsidRPr="00766D0C">
              <w:rPr>
                <w:rFonts w:ascii="Arial" w:hAnsi="Arial" w:cs="Arial"/>
              </w:rPr>
              <w:t>eba_ZZ:x30</w:t>
            </w:r>
          </w:p>
        </w:tc>
        <w:tc>
          <w:tcPr>
            <w:tcW w:w="3984" w:type="dxa"/>
          </w:tcPr>
          <w:p w14:paraId="55B5EBC0" w14:textId="77777777" w:rsidR="00057CFC" w:rsidRPr="00766D0C" w:rsidRDefault="00057CFC" w:rsidP="00587A42">
            <w:pPr>
              <w:rPr>
                <w:rFonts w:ascii="Arial" w:hAnsi="Arial" w:cs="Arial"/>
              </w:rPr>
            </w:pPr>
            <w:r w:rsidRPr="00766D0C">
              <w:rPr>
                <w:rFonts w:ascii="Arial" w:hAnsi="Arial" w:cs="Arial"/>
              </w:rPr>
              <w:t>Proportional consolidation</w:t>
            </w:r>
          </w:p>
        </w:tc>
        <w:tc>
          <w:tcPr>
            <w:tcW w:w="4070" w:type="dxa"/>
          </w:tcPr>
          <w:p w14:paraId="55B5EBC1" w14:textId="77777777" w:rsidR="00057CFC" w:rsidRPr="00766D0C" w:rsidRDefault="00057CFC" w:rsidP="00587A42">
            <w:pPr>
              <w:rPr>
                <w:rFonts w:ascii="Arial" w:hAnsi="Arial" w:cs="Arial"/>
              </w:rPr>
            </w:pPr>
            <w:r w:rsidRPr="00766D0C">
              <w:rPr>
                <w:rFonts w:ascii="Arial" w:hAnsi="Arial" w:cs="Arial"/>
              </w:rPr>
              <w:t>DO NOT USE</w:t>
            </w:r>
          </w:p>
        </w:tc>
      </w:tr>
      <w:tr w:rsidR="00057CFC" w:rsidRPr="006A5AC9" w14:paraId="55B5EBC6" w14:textId="77777777" w:rsidTr="00587A42">
        <w:tc>
          <w:tcPr>
            <w:tcW w:w="1126" w:type="dxa"/>
          </w:tcPr>
          <w:p w14:paraId="55B5EBC3" w14:textId="77777777" w:rsidR="00057CFC" w:rsidRPr="00766D0C" w:rsidRDefault="00057CFC" w:rsidP="00587A42">
            <w:pPr>
              <w:rPr>
                <w:rFonts w:ascii="Arial" w:hAnsi="Arial" w:cs="Arial"/>
              </w:rPr>
            </w:pPr>
            <w:r w:rsidRPr="00766D0C">
              <w:rPr>
                <w:rFonts w:ascii="Arial" w:hAnsi="Arial" w:cs="Arial"/>
              </w:rPr>
              <w:t>eba_ZZ:x31</w:t>
            </w:r>
          </w:p>
        </w:tc>
        <w:tc>
          <w:tcPr>
            <w:tcW w:w="3984" w:type="dxa"/>
          </w:tcPr>
          <w:p w14:paraId="55B5EBC4" w14:textId="77777777" w:rsidR="00057CFC" w:rsidRPr="00766D0C" w:rsidRDefault="00057CFC" w:rsidP="00587A42">
            <w:pPr>
              <w:rPr>
                <w:rFonts w:ascii="Arial" w:hAnsi="Arial" w:cs="Arial"/>
              </w:rPr>
            </w:pPr>
            <w:r w:rsidRPr="00766D0C">
              <w:rPr>
                <w:rFonts w:ascii="Arial" w:hAnsi="Arial" w:cs="Arial"/>
              </w:rPr>
              <w:t>Equity method</w:t>
            </w:r>
          </w:p>
        </w:tc>
        <w:tc>
          <w:tcPr>
            <w:tcW w:w="4070" w:type="dxa"/>
          </w:tcPr>
          <w:p w14:paraId="55B5EBC5" w14:textId="77777777" w:rsidR="00057CFC" w:rsidRPr="00766D0C" w:rsidRDefault="00057CFC" w:rsidP="00587A42">
            <w:pPr>
              <w:rPr>
                <w:rFonts w:ascii="Arial" w:hAnsi="Arial" w:cs="Arial"/>
              </w:rPr>
            </w:pPr>
            <w:r w:rsidRPr="00766D0C">
              <w:rPr>
                <w:rFonts w:ascii="Arial" w:hAnsi="Arial" w:cs="Arial"/>
              </w:rPr>
              <w:t>DO NOT USE</w:t>
            </w:r>
          </w:p>
        </w:tc>
      </w:tr>
      <w:tr w:rsidR="00057CFC" w:rsidRPr="006A5AC9" w14:paraId="55B5EBCA" w14:textId="77777777" w:rsidTr="00587A42">
        <w:tc>
          <w:tcPr>
            <w:tcW w:w="1126" w:type="dxa"/>
          </w:tcPr>
          <w:p w14:paraId="55B5EBC7" w14:textId="77777777" w:rsidR="00057CFC" w:rsidRPr="00D515AE" w:rsidRDefault="00057CFC" w:rsidP="00587A42">
            <w:pPr>
              <w:rPr>
                <w:rFonts w:ascii="Arial" w:hAnsi="Arial" w:cs="Arial"/>
              </w:rPr>
            </w:pPr>
            <w:r>
              <w:rPr>
                <w:rFonts w:ascii="Arial" w:hAnsi="Arial" w:cs="Arial"/>
              </w:rPr>
              <w:t>eba_ZZ:</w:t>
            </w:r>
            <w:r w:rsidRPr="00D515AE">
              <w:rPr>
                <w:rFonts w:ascii="Arial" w:hAnsi="Arial" w:cs="Arial"/>
              </w:rPr>
              <w:t>x32</w:t>
            </w:r>
          </w:p>
        </w:tc>
        <w:tc>
          <w:tcPr>
            <w:tcW w:w="3984" w:type="dxa"/>
          </w:tcPr>
          <w:p w14:paraId="55B5EBC8" w14:textId="77777777" w:rsidR="00057CFC" w:rsidRPr="00D515AE" w:rsidRDefault="00057CFC" w:rsidP="00587A42">
            <w:pPr>
              <w:rPr>
                <w:rFonts w:ascii="Arial" w:hAnsi="Arial" w:cs="Arial"/>
              </w:rPr>
            </w:pPr>
            <w:r w:rsidRPr="00D515AE">
              <w:rPr>
                <w:rFonts w:ascii="Arial" w:hAnsi="Arial" w:cs="Arial"/>
              </w:rPr>
              <w:t>Other than Full consolidation, Proportional consolidation, Equity method</w:t>
            </w:r>
          </w:p>
        </w:tc>
        <w:tc>
          <w:tcPr>
            <w:tcW w:w="4070" w:type="dxa"/>
          </w:tcPr>
          <w:p w14:paraId="55B5EBC9" w14:textId="77777777" w:rsidR="00057CFC" w:rsidRPr="00D515AE" w:rsidRDefault="00057CFC" w:rsidP="00587A42">
            <w:pPr>
              <w:rPr>
                <w:rFonts w:ascii="Arial" w:hAnsi="Arial" w:cs="Arial"/>
              </w:rPr>
            </w:pPr>
            <w:r w:rsidRPr="00D515AE">
              <w:rPr>
                <w:rFonts w:ascii="Arial" w:hAnsi="Arial" w:cs="Arial"/>
              </w:rPr>
              <w:t>Usable to report value “partially consolidated” ("SP")</w:t>
            </w:r>
          </w:p>
        </w:tc>
      </w:tr>
    </w:tbl>
    <w:p w14:paraId="55B5EBCB" w14:textId="77777777" w:rsidR="00057CFC" w:rsidRDefault="00057CFC" w:rsidP="00057CFC"/>
    <w:p w14:paraId="55B5EBCC" w14:textId="77777777" w:rsidR="004A28AD" w:rsidRPr="00AC2556" w:rsidRDefault="004A28AD" w:rsidP="004A28AD">
      <w:pPr>
        <w:pStyle w:val="Heading1"/>
      </w:pPr>
      <w:r w:rsidRPr="00AC2556">
        <w:t>2.</w:t>
      </w:r>
      <w:r>
        <w:t>3</w:t>
      </w:r>
      <w:r w:rsidRPr="00AC2556">
        <w:t>.0 (“201</w:t>
      </w:r>
      <w:r>
        <w:t>5-A</w:t>
      </w:r>
      <w:r w:rsidRPr="00AC2556">
        <w:t xml:space="preserve">” Package) </w:t>
      </w:r>
    </w:p>
    <w:p w14:paraId="55B5EBCD" w14:textId="77777777" w:rsidR="00766D0C" w:rsidRDefault="00766D0C">
      <w:pPr>
        <w:rPr>
          <w:rFonts w:asciiTheme="majorHAnsi" w:eastAsiaTheme="majorEastAsia" w:hAnsiTheme="majorHAnsi" w:cstheme="majorBidi"/>
          <w:color w:val="2F5773" w:themeColor="text2"/>
          <w:spacing w:val="5"/>
          <w:kern w:val="28"/>
          <w:sz w:val="52"/>
          <w:szCs w:val="52"/>
        </w:rPr>
      </w:pPr>
      <w:r>
        <w:br w:type="page"/>
      </w:r>
    </w:p>
    <w:p w14:paraId="55B5EBCE" w14:textId="77777777" w:rsidR="004A28AD" w:rsidRDefault="00D515AE" w:rsidP="00D515AE">
      <w:pPr>
        <w:pStyle w:val="Heading2"/>
      </w:pPr>
      <w:r w:rsidRPr="00D515AE">
        <w:lastRenderedPageBreak/>
        <w:t>v2.3.0 (“2015-A” Package)</w:t>
      </w:r>
      <w:r w:rsidR="001A4CAA" w:rsidRPr="001A4CAA">
        <w:rPr>
          <w:rFonts w:ascii="Arial" w:hAnsi="Arial" w:cs="Arial"/>
          <w:color w:val="696969"/>
          <w:sz w:val="18"/>
          <w:szCs w:val="18"/>
          <w:shd w:val="clear" w:color="auto" w:fill="FFFFFF"/>
        </w:rPr>
        <w:t xml:space="preserve"> </w:t>
      </w:r>
      <w:r w:rsidR="001A4CAA">
        <w:rPr>
          <w:rFonts w:ascii="Arial" w:hAnsi="Arial" w:cs="Arial"/>
          <w:color w:val="696969"/>
          <w:sz w:val="18"/>
          <w:szCs w:val="18"/>
          <w:shd w:val="clear" w:color="auto" w:fill="FFFFFF"/>
        </w:rPr>
        <w:t>(02/03/2015)</w:t>
      </w:r>
    </w:p>
    <w:p w14:paraId="55B5EBCF" w14:textId="77777777" w:rsidR="004A28AD" w:rsidRDefault="00D515AE" w:rsidP="00D515AE">
      <w:pPr>
        <w:pStyle w:val="Titlelevel2"/>
      </w:pPr>
      <w:r>
        <w:t>DPM changes</w:t>
      </w:r>
    </w:p>
    <w:p w14:paraId="55B5EBD0" w14:textId="77777777" w:rsidR="006A3920" w:rsidRDefault="006A3920" w:rsidP="00183058">
      <w:pPr>
        <w:pStyle w:val="ListParagraph"/>
        <w:numPr>
          <w:ilvl w:val="0"/>
          <w:numId w:val="5"/>
        </w:numPr>
      </w:pPr>
      <w:r>
        <w:t>New version of Funding Plans taxonomy – replacing previous version which will not be used.</w:t>
      </w:r>
    </w:p>
    <w:p w14:paraId="55B5EBD1" w14:textId="77777777" w:rsidR="0049741E" w:rsidRDefault="0049741E" w:rsidP="00183058">
      <w:pPr>
        <w:pStyle w:val="ListParagraph"/>
        <w:numPr>
          <w:ilvl w:val="1"/>
          <w:numId w:val="5"/>
        </w:numPr>
      </w:pPr>
      <w:r>
        <w:t>Correction of erroneous modelling of tables P 02.07 and P02.08 (column 010 marked identical to P 01.02</w:t>
      </w:r>
      <w:r w:rsidR="0089263A">
        <w:t>)</w:t>
      </w:r>
      <w:r w:rsidR="007D6736">
        <w:t xml:space="preserve"> </w:t>
      </w:r>
      <w:r>
        <w:t xml:space="preserve"> </w:t>
      </w:r>
    </w:p>
    <w:p w14:paraId="55B5EBD2" w14:textId="77777777" w:rsidR="006A3920" w:rsidRDefault="006A3920" w:rsidP="00183058">
      <w:pPr>
        <w:pStyle w:val="ListParagraph"/>
        <w:numPr>
          <w:ilvl w:val="0"/>
          <w:numId w:val="5"/>
        </w:numPr>
      </w:pPr>
      <w:r>
        <w:t xml:space="preserve">Preliminary version of </w:t>
      </w:r>
      <w:r w:rsidR="00291461">
        <w:t xml:space="preserve">new </w:t>
      </w:r>
      <w:r>
        <w:t xml:space="preserve">Benchmarking </w:t>
      </w:r>
      <w:r w:rsidR="00291461">
        <w:t xml:space="preserve">framework </w:t>
      </w:r>
      <w:r w:rsidR="00273419">
        <w:t>/</w:t>
      </w:r>
      <w:r w:rsidR="00291461">
        <w:t xml:space="preserve"> </w:t>
      </w:r>
      <w:r>
        <w:t>taxonomy included.</w:t>
      </w:r>
    </w:p>
    <w:p w14:paraId="55B5EBD3" w14:textId="77777777" w:rsidR="00BA6A8E" w:rsidRDefault="00BA6A8E" w:rsidP="00183058">
      <w:pPr>
        <w:pStyle w:val="ListParagraph"/>
        <w:numPr>
          <w:ilvl w:val="1"/>
          <w:numId w:val="5"/>
        </w:numPr>
      </w:pPr>
      <w:r>
        <w:t xml:space="preserve">Several tables in Benchmarking </w:t>
      </w:r>
      <w:r w:rsidR="00F441B8">
        <w:t xml:space="preserve">(C 106 – 110) </w:t>
      </w:r>
      <w:r>
        <w:t>require figures to be reported in the intrinsic currency of the value (i.e. the value of a portfolio of USD bonds should be reported in USD, whereas a portfolio of EUR assets should be reported in EUR), rather than converted to equivalents in a single reporting currency (as is the approach in the rest of the EBA reporting). The data to which this reporting approach is applicable is indicated by the application of</w:t>
      </w:r>
      <w:r w:rsidR="004D40E3">
        <w:t xml:space="preserve"> values from</w:t>
      </w:r>
      <w:r>
        <w:t xml:space="preserve"> a new dimension CCA (“</w:t>
      </w:r>
      <w:r w:rsidRPr="00BA6A8E">
        <w:t>Currency conversion approach</w:t>
      </w:r>
      <w:r>
        <w:t>”).</w:t>
      </w:r>
    </w:p>
    <w:p w14:paraId="55B5EBD4" w14:textId="77777777" w:rsidR="00291461" w:rsidRDefault="00291461" w:rsidP="00183058">
      <w:pPr>
        <w:pStyle w:val="ListParagraph"/>
        <w:numPr>
          <w:ilvl w:val="1"/>
          <w:numId w:val="5"/>
        </w:numPr>
      </w:pPr>
      <w:r>
        <w:t>Addition of (decimal) members to be used to report values in market value section of benchmarking that are in different currencies per</w:t>
      </w:r>
      <w:r w:rsidR="004D40E3">
        <w:t xml:space="preserve"> row (by portfolio) as currency-</w:t>
      </w:r>
      <w:r>
        <w:t xml:space="preserve">less numbers to avoid the need for tools to support </w:t>
      </w:r>
      <w:r w:rsidR="004D40E3">
        <w:t xml:space="preserve">full </w:t>
      </w:r>
      <w:r>
        <w:t>multicurrency reporting (</w:t>
      </w:r>
      <w:r w:rsidR="004D40E3">
        <w:t xml:space="preserve">which was </w:t>
      </w:r>
      <w:r>
        <w:t xml:space="preserve">expected to be </w:t>
      </w:r>
      <w:r w:rsidR="00BA6A8E">
        <w:t>problematic in the short term).</w:t>
      </w:r>
    </w:p>
    <w:p w14:paraId="55B5EBD5" w14:textId="77777777" w:rsidR="00291461" w:rsidRDefault="006A3920" w:rsidP="00183058">
      <w:pPr>
        <w:pStyle w:val="ListParagraph"/>
        <w:numPr>
          <w:ilvl w:val="0"/>
          <w:numId w:val="5"/>
        </w:numPr>
      </w:pPr>
      <w:r>
        <w:t>Mi</w:t>
      </w:r>
      <w:r w:rsidR="00273419">
        <w:t>nor changes to COREP and FINREP, including</w:t>
      </w:r>
    </w:p>
    <w:p w14:paraId="55B5EBD6" w14:textId="77777777" w:rsidR="00291461" w:rsidRDefault="00291461" w:rsidP="00183058">
      <w:pPr>
        <w:pStyle w:val="ListParagraph"/>
        <w:numPr>
          <w:ilvl w:val="1"/>
          <w:numId w:val="5"/>
        </w:numPr>
      </w:pPr>
      <w:r w:rsidRPr="00B000E3">
        <w:rPr>
          <w:b/>
        </w:rPr>
        <w:t xml:space="preserve">Tables F 19.00.e and .f removed, </w:t>
      </w:r>
      <w:r>
        <w:t>C 18 sheets 010 and 011 removed, F 19.00.b and .c row 340 added.</w:t>
      </w:r>
    </w:p>
    <w:p w14:paraId="55B5EBD7" w14:textId="77777777" w:rsidR="00237B31" w:rsidRDefault="006A3920" w:rsidP="00183058">
      <w:pPr>
        <w:pStyle w:val="ListParagraph"/>
        <w:numPr>
          <w:ilvl w:val="0"/>
          <w:numId w:val="5"/>
        </w:numPr>
      </w:pPr>
      <w:r>
        <w:t>Asset Encumbrance is unchanged.</w:t>
      </w:r>
    </w:p>
    <w:p w14:paraId="55B5EBD8" w14:textId="77777777" w:rsidR="004A28AD" w:rsidRDefault="007D6736" w:rsidP="00183058">
      <w:pPr>
        <w:pStyle w:val="ListParagraph"/>
        <w:numPr>
          <w:ilvl w:val="0"/>
          <w:numId w:val="5"/>
        </w:numPr>
      </w:pPr>
      <w:r>
        <w:t xml:space="preserve">Changed or Corrected many validation rules, </w:t>
      </w:r>
      <w:r w:rsidR="004A28AD">
        <w:t>"Reacti</w:t>
      </w:r>
      <w:r w:rsidR="00237B31">
        <w:t>vated" several validation rules</w:t>
      </w:r>
    </w:p>
    <w:p w14:paraId="55B5EBD9" w14:textId="77777777" w:rsidR="00237B31" w:rsidRDefault="00237B31" w:rsidP="00237B31">
      <w:pPr>
        <w:pStyle w:val="ListParagraph"/>
      </w:pPr>
    </w:p>
    <w:p w14:paraId="55B5EBDA" w14:textId="77777777" w:rsidR="007D6736" w:rsidRDefault="007D6736" w:rsidP="004A28AD">
      <w:r>
        <w:t>See accompanying documentation for more detail of changes.</w:t>
      </w:r>
    </w:p>
    <w:p w14:paraId="55B5EBDB" w14:textId="77777777" w:rsidR="004A28AD" w:rsidRDefault="004A28AD" w:rsidP="004A28AD"/>
    <w:p w14:paraId="55B5EBDC" w14:textId="77777777" w:rsidR="004A28AD" w:rsidRPr="00D515AE" w:rsidRDefault="00237B31" w:rsidP="00D515AE">
      <w:pPr>
        <w:pStyle w:val="Titlelevel2"/>
      </w:pPr>
      <w:r>
        <w:t>XBRL changes</w:t>
      </w:r>
    </w:p>
    <w:p w14:paraId="55B5EBDD" w14:textId="77777777" w:rsidR="004A28AD" w:rsidRDefault="004A28AD" w:rsidP="00183058">
      <w:pPr>
        <w:pStyle w:val="ListParagraph"/>
        <w:numPr>
          <w:ilvl w:val="0"/>
          <w:numId w:val="9"/>
        </w:numPr>
      </w:pPr>
      <w:r>
        <w:t xml:space="preserve">Decimal metrics are mapped to primary items starting </w:t>
      </w:r>
      <w:r w:rsidR="00BA6A8E">
        <w:t>r</w:t>
      </w:r>
      <w:r>
        <w:t xml:space="preserve"> (i.e. </w:t>
      </w:r>
      <w:r w:rsidR="00BA6A8E">
        <w:t>r</w:t>
      </w:r>
      <w:r>
        <w:t xml:space="preserve">i128). </w:t>
      </w:r>
    </w:p>
    <w:p w14:paraId="55B5EBDE" w14:textId="77777777" w:rsidR="004A28AD" w:rsidRDefault="004A28AD" w:rsidP="00183058">
      <w:pPr>
        <w:pStyle w:val="ListParagraph"/>
        <w:numPr>
          <w:ilvl w:val="0"/>
          <w:numId w:val="9"/>
        </w:numPr>
      </w:pPr>
      <w:r>
        <w:t>Addition o</w:t>
      </w:r>
      <w:r w:rsidR="00237B31">
        <w:t>f role refs to various linkbaseR</w:t>
      </w:r>
      <w:r>
        <w:t>ef elements, which eliminates warnings generated when validating the taxonomy using several XBRL tools.</w:t>
      </w:r>
    </w:p>
    <w:p w14:paraId="55B5EBDF" w14:textId="77777777" w:rsidR="00F441B8" w:rsidRDefault="00F441B8" w:rsidP="00183058">
      <w:pPr>
        <w:pStyle w:val="ListParagraph"/>
        <w:numPr>
          <w:ilvl w:val="0"/>
          <w:numId w:val="9"/>
        </w:numPr>
      </w:pPr>
      <w:r>
        <w:t xml:space="preserve">Addition of existence rules ("e****_e") requiring the reporting of cells on tables 00.01 . </w:t>
      </w:r>
    </w:p>
    <w:p w14:paraId="55B5EBE0" w14:textId="77777777" w:rsidR="00F441B8" w:rsidRDefault="004A28AD" w:rsidP="00183058">
      <w:pPr>
        <w:pStyle w:val="ListParagraph"/>
        <w:numPr>
          <w:ilvl w:val="1"/>
          <w:numId w:val="9"/>
        </w:numPr>
      </w:pPr>
      <w:r>
        <w:t xml:space="preserve">Note that </w:t>
      </w:r>
      <w:r w:rsidR="00DD121A">
        <w:t>the</w:t>
      </w:r>
      <w:r w:rsidR="00F441B8">
        <w:t>se</w:t>
      </w:r>
      <w:r w:rsidR="00DD121A">
        <w:t xml:space="preserve"> </w:t>
      </w:r>
      <w:r>
        <w:t>do not depend on any filing indicators and run whatever.</w:t>
      </w:r>
    </w:p>
    <w:p w14:paraId="55B5EBE1" w14:textId="77777777" w:rsidR="004A28AD" w:rsidRPr="00D515AE" w:rsidRDefault="00237B31" w:rsidP="00D515AE">
      <w:pPr>
        <w:pStyle w:val="Titlelevel2"/>
      </w:pPr>
      <w:r>
        <w:t>Documentation changes</w:t>
      </w:r>
    </w:p>
    <w:p w14:paraId="55B5EBE2" w14:textId="77777777" w:rsidR="004A28AD" w:rsidRDefault="004A28AD" w:rsidP="00183058">
      <w:pPr>
        <w:pStyle w:val="ListParagraph"/>
        <w:numPr>
          <w:ilvl w:val="0"/>
          <w:numId w:val="10"/>
        </w:numPr>
      </w:pPr>
      <w:r>
        <w:t>Changed Taxonomy Architecture</w:t>
      </w:r>
      <w:r w:rsidR="00DD121A">
        <w:t xml:space="preserve"> document</w:t>
      </w:r>
      <w:r>
        <w:t xml:space="preserve"> to list the prefix for decimal types as "</w:t>
      </w:r>
      <w:r w:rsidR="00BA6A8E">
        <w:t>r</w:t>
      </w:r>
      <w:r>
        <w:t>".</w:t>
      </w:r>
    </w:p>
    <w:p w14:paraId="55B5EBE3" w14:textId="77777777" w:rsidR="004A28AD" w:rsidRDefault="004A28AD" w:rsidP="00183058">
      <w:pPr>
        <w:pStyle w:val="ListParagraph"/>
        <w:numPr>
          <w:ilvl w:val="0"/>
          <w:numId w:val="10"/>
        </w:numPr>
      </w:pPr>
      <w:r>
        <w:t>Filing rules updated to cover the reporting of currencyless money values using decimal data type, and the use of negative filing indicators</w:t>
      </w:r>
      <w:r w:rsidR="00476AA2">
        <w:t xml:space="preserve"> for indicating intentional non-reporting of templates</w:t>
      </w:r>
      <w:r>
        <w:t>.</w:t>
      </w:r>
    </w:p>
    <w:p w14:paraId="55B5EBE4" w14:textId="77777777" w:rsidR="00F441B8" w:rsidRDefault="00F441B8" w:rsidP="00F441B8">
      <w:pPr>
        <w:pStyle w:val="ListParagraph"/>
      </w:pPr>
    </w:p>
    <w:p w14:paraId="55B5EBE5" w14:textId="77777777" w:rsidR="00E56F2E" w:rsidRDefault="00E56F2E" w:rsidP="00D515AE">
      <w:pPr>
        <w:pStyle w:val="Titlelevel2"/>
      </w:pPr>
      <w:bookmarkStart w:id="16" w:name="OLE_LINK3"/>
      <w:bookmarkStart w:id="17" w:name="OLE_LINK4"/>
      <w:r w:rsidRPr="00D515AE">
        <w:t>Tables C  06.01 and C 06.02</w:t>
      </w:r>
    </w:p>
    <w:p w14:paraId="55B5EBE6" w14:textId="77777777" w:rsidR="00E56F2E" w:rsidRDefault="00E56F2E">
      <w:r>
        <w:lastRenderedPageBreak/>
        <w:t>As noted below, in v2.2 table C 06.00 was renamed C 06.02, and C 06.0</w:t>
      </w:r>
      <w:r>
        <w:rPr>
          <w:color w:val="1F497D"/>
        </w:rPr>
        <w:t>1</w:t>
      </w:r>
      <w:r>
        <w:t xml:space="preserve"> was added. In 2.2 they both formed part of the same </w:t>
      </w:r>
      <w:r w:rsidR="00273419">
        <w:t xml:space="preserve">“group solvency” template </w:t>
      </w:r>
      <w:r>
        <w:t xml:space="preserve">filing unit, as indicated in the </w:t>
      </w:r>
      <w:r w:rsidR="00273419">
        <w:t xml:space="preserve">appropriate fields of the </w:t>
      </w:r>
      <w:r>
        <w:t>DPM database and the XBRL taxonomy</w:t>
      </w:r>
      <w:r w:rsidR="00273419">
        <w:t xml:space="preserve">, as per the taxonomy architecture </w:t>
      </w:r>
      <w:r>
        <w:t>– i.e. one filing indicator with the code “C_06.00” was to be used, which would indicate that both were notionally filed (or both were not filed).</w:t>
      </w:r>
    </w:p>
    <w:p w14:paraId="55B5EBE7" w14:textId="77777777" w:rsidR="00E56F2E" w:rsidRDefault="00E56F2E"/>
    <w:p w14:paraId="55B5EBE8" w14:textId="77777777" w:rsidR="00E56F2E" w:rsidRDefault="00E56F2E">
      <w:r>
        <w:t>This did</w:t>
      </w:r>
      <w:r w:rsidR="00273419">
        <w:t xml:space="preserve"> not fit with the implied </w:t>
      </w:r>
      <w:r>
        <w:t xml:space="preserve">naming approach </w:t>
      </w:r>
      <w:r w:rsidR="00273419">
        <w:t>seen</w:t>
      </w:r>
      <w:r>
        <w:t xml:space="preserve"> elsewhere in the EBA </w:t>
      </w:r>
      <w:r w:rsidR="00273419">
        <w:t xml:space="preserve">reporting, </w:t>
      </w:r>
      <w:r>
        <w:t xml:space="preserve">where “.01”, “.02” etc. </w:t>
      </w:r>
      <w:r w:rsidR="00273419">
        <w:t xml:space="preserve">are generally given to </w:t>
      </w:r>
      <w:r>
        <w:t>independently file</w:t>
      </w:r>
      <w:r w:rsidR="00273419">
        <w:t>d</w:t>
      </w:r>
      <w:r>
        <w:t xml:space="preserve"> tables, whereas </w:t>
      </w:r>
      <w:r w:rsidR="00273419">
        <w:t>“.a” or “.x” etc. are given to tables that are sub parts of a template and form part of a single reporting unit.</w:t>
      </w:r>
    </w:p>
    <w:p w14:paraId="55B5EBE9" w14:textId="77777777" w:rsidR="00E56F2E" w:rsidRDefault="00E56F2E"/>
    <w:p w14:paraId="55B5EBEA" w14:textId="77777777" w:rsidR="004A28AD" w:rsidRDefault="00273419">
      <w:pPr>
        <w:rPr>
          <w:rFonts w:ascii="Cambria" w:hAnsi="Cambria" w:cs="Cambria"/>
          <w:b/>
          <w:bCs/>
          <w:sz w:val="28"/>
          <w:szCs w:val="28"/>
        </w:rPr>
      </w:pPr>
      <w:r>
        <w:t>In the 2015-A version of the COREP taxonomy</w:t>
      </w:r>
      <w:r w:rsidR="00E56F2E">
        <w:t xml:space="preserve"> version these tables now form </w:t>
      </w:r>
      <w:r>
        <w:t xml:space="preserve">fully </w:t>
      </w:r>
      <w:r w:rsidR="00E56F2E">
        <w:t xml:space="preserve">independent templates – i.e. they can be </w:t>
      </w:r>
      <w:r>
        <w:t>reported</w:t>
      </w:r>
      <w:r w:rsidR="00E56F2E">
        <w:t xml:space="preserve"> independently</w:t>
      </w:r>
      <w:r>
        <w:t xml:space="preserve"> if necessary (i.e. none, one or the other, or both)</w:t>
      </w:r>
      <w:r w:rsidR="00E56F2E">
        <w:t>, and the filing indicators codes “</w:t>
      </w:r>
      <w:r>
        <w:t>C_06.01” and “C_06.02” should be used – “C_06.00” no longer being used</w:t>
      </w:r>
      <w:r w:rsidR="00E56F2E">
        <w:t>.</w:t>
      </w:r>
    </w:p>
    <w:bookmarkEnd w:id="16"/>
    <w:bookmarkEnd w:id="17"/>
    <w:p w14:paraId="55B5EBEB" w14:textId="77777777" w:rsidR="00237B31" w:rsidRDefault="00237B31" w:rsidP="00237B31">
      <w:pPr>
        <w:pStyle w:val="Heading2"/>
        <w:rPr>
          <w:b/>
        </w:rPr>
      </w:pPr>
      <w:r w:rsidRPr="00AC2556">
        <w:t>v2.2.0 (“2014/07” Package)</w:t>
      </w:r>
      <w:r w:rsidRPr="00237B31">
        <w:rPr>
          <w:rFonts w:ascii="Arial" w:hAnsi="Arial" w:cs="Arial"/>
          <w:color w:val="696969"/>
          <w:sz w:val="18"/>
          <w:szCs w:val="18"/>
          <w:shd w:val="clear" w:color="auto" w:fill="FFFFFF"/>
        </w:rPr>
        <w:t xml:space="preserve"> </w:t>
      </w:r>
      <w:r w:rsidR="001A4CAA">
        <w:rPr>
          <w:rFonts w:ascii="Arial" w:hAnsi="Arial" w:cs="Arial"/>
          <w:color w:val="696969"/>
          <w:sz w:val="18"/>
          <w:szCs w:val="18"/>
          <w:shd w:val="clear" w:color="auto" w:fill="FFFFFF"/>
        </w:rPr>
        <w:t>(1</w:t>
      </w:r>
      <w:r>
        <w:rPr>
          <w:rFonts w:ascii="Arial" w:hAnsi="Arial" w:cs="Arial"/>
          <w:color w:val="696969"/>
          <w:sz w:val="18"/>
          <w:szCs w:val="18"/>
          <w:shd w:val="clear" w:color="auto" w:fill="FFFFFF"/>
        </w:rPr>
        <w:t>8/0</w:t>
      </w:r>
      <w:r w:rsidR="001A4CAA">
        <w:rPr>
          <w:rFonts w:ascii="Arial" w:hAnsi="Arial" w:cs="Arial"/>
          <w:color w:val="696969"/>
          <w:sz w:val="18"/>
          <w:szCs w:val="18"/>
          <w:shd w:val="clear" w:color="auto" w:fill="FFFFFF"/>
        </w:rPr>
        <w:t>8</w:t>
      </w:r>
      <w:r>
        <w:rPr>
          <w:rFonts w:ascii="Arial" w:hAnsi="Arial" w:cs="Arial"/>
          <w:color w:val="696969"/>
          <w:sz w:val="18"/>
          <w:szCs w:val="18"/>
          <w:shd w:val="clear" w:color="auto" w:fill="FFFFFF"/>
        </w:rPr>
        <w:t>/2014)</w:t>
      </w:r>
    </w:p>
    <w:p w14:paraId="55B5EBEC" w14:textId="77777777" w:rsidR="002C36C9" w:rsidRDefault="002C36C9" w:rsidP="002C36C9">
      <w:pPr>
        <w:jc w:val="center"/>
        <w:rPr>
          <w:b/>
        </w:rPr>
      </w:pPr>
      <w:r w:rsidRPr="002C36C9">
        <w:rPr>
          <w:b/>
        </w:rPr>
        <w:t xml:space="preserve">N.B. Applicable for reporting </w:t>
      </w:r>
      <w:r w:rsidR="00A55E27">
        <w:rPr>
          <w:b/>
        </w:rPr>
        <w:t xml:space="preserve">for </w:t>
      </w:r>
      <w:r w:rsidRPr="002C36C9">
        <w:rPr>
          <w:b/>
        </w:rPr>
        <w:t>reference date</w:t>
      </w:r>
      <w:r w:rsidR="00A55E27">
        <w:rPr>
          <w:b/>
        </w:rPr>
        <w:t>s from</w:t>
      </w:r>
      <w:r w:rsidRPr="002C36C9">
        <w:rPr>
          <w:b/>
        </w:rPr>
        <w:t xml:space="preserve"> 31/12/2014</w:t>
      </w:r>
      <w:r w:rsidR="00A55E27">
        <w:rPr>
          <w:b/>
        </w:rPr>
        <w:t xml:space="preserve"> onwards</w:t>
      </w:r>
    </w:p>
    <w:p w14:paraId="55B5EBED" w14:textId="77777777" w:rsidR="00237B31" w:rsidRPr="002C36C9" w:rsidRDefault="00237B31" w:rsidP="002C36C9">
      <w:pPr>
        <w:jc w:val="center"/>
        <w:rPr>
          <w:b/>
        </w:rPr>
      </w:pPr>
    </w:p>
    <w:p w14:paraId="55B5EBEE" w14:textId="77777777" w:rsidR="00B677D6" w:rsidRPr="00AC2556" w:rsidRDefault="00B677D6" w:rsidP="00B677D6">
      <w:bookmarkStart w:id="18" w:name="OLE_LINK5"/>
      <w:bookmarkStart w:id="19" w:name="OLE_LINK6"/>
      <w:bookmarkStart w:id="20" w:name="OLE_LINK7"/>
      <w:r w:rsidRPr="00AC2556">
        <w:t xml:space="preserve">Includes first release </w:t>
      </w:r>
      <w:bookmarkEnd w:id="18"/>
      <w:bookmarkEnd w:id="19"/>
      <w:bookmarkEnd w:id="20"/>
      <w:r w:rsidRPr="00AC2556">
        <w:t>(and first use) version of Funding Plans, and first use</w:t>
      </w:r>
      <w:r w:rsidR="00AC2556" w:rsidRPr="00AC2556">
        <w:t xml:space="preserve"> version of Asset Encumbrance (n.b</w:t>
      </w:r>
      <w:r w:rsidRPr="00AC2556">
        <w:t>. very minor change</w:t>
      </w:r>
      <w:r w:rsidR="00AC2556">
        <w:t>s</w:t>
      </w:r>
      <w:r w:rsidRPr="00AC2556">
        <w:t xml:space="preserve"> compared to previous first release version – just grey cells on F32.04.b).</w:t>
      </w:r>
    </w:p>
    <w:p w14:paraId="55B5EBEF" w14:textId="77777777" w:rsidR="00B677D6" w:rsidRPr="00AC2556" w:rsidRDefault="00B677D6" w:rsidP="00D515AE">
      <w:pPr>
        <w:pStyle w:val="Titlelevel2"/>
      </w:pPr>
      <w:r w:rsidRPr="00AC2556">
        <w:t>DPM Changes</w:t>
      </w:r>
    </w:p>
    <w:p w14:paraId="55B5EBF0" w14:textId="77777777" w:rsidR="00B677D6" w:rsidRPr="00AC2556" w:rsidRDefault="00B677D6" w:rsidP="00183058">
      <w:pPr>
        <w:pStyle w:val="ListParagraph"/>
        <w:numPr>
          <w:ilvl w:val="0"/>
          <w:numId w:val="5"/>
        </w:numPr>
      </w:pPr>
      <w:r w:rsidRPr="00AC2556">
        <w:t>Addition of set of Funding Plans templates (P 00.01 to P 03.00)</w:t>
      </w:r>
    </w:p>
    <w:p w14:paraId="55B5EBF1" w14:textId="77777777" w:rsidR="00B677D6" w:rsidRPr="00AC2556" w:rsidRDefault="00B677D6" w:rsidP="00183058">
      <w:pPr>
        <w:pStyle w:val="ListParagraph"/>
        <w:numPr>
          <w:ilvl w:val="1"/>
          <w:numId w:val="5"/>
        </w:numPr>
      </w:pPr>
      <w:r w:rsidRPr="00AC2556">
        <w:t>includes additional DPM/XBRL only table P00.01 (report wide info - Similar to C/F/A 00.01)</w:t>
      </w:r>
    </w:p>
    <w:p w14:paraId="55B5EBF2" w14:textId="77777777" w:rsidR="00B677D6" w:rsidRPr="00AC2556" w:rsidRDefault="00B677D6" w:rsidP="00183058">
      <w:pPr>
        <w:pStyle w:val="ListParagraph"/>
        <w:numPr>
          <w:ilvl w:val="1"/>
          <w:numId w:val="5"/>
        </w:numPr>
      </w:pPr>
      <w:r w:rsidRPr="00AC2556">
        <w:t>Note that this P 00.01 has only details on accounting standard, detailed reporting / consolidation scope of Funding Templates is specified on template P 03.00</w:t>
      </w:r>
    </w:p>
    <w:p w14:paraId="55B5EBF3" w14:textId="77777777" w:rsidR="00B677D6" w:rsidRPr="00AC2556" w:rsidRDefault="00B677D6" w:rsidP="00183058">
      <w:pPr>
        <w:pStyle w:val="ListParagraph"/>
        <w:numPr>
          <w:ilvl w:val="1"/>
          <w:numId w:val="5"/>
        </w:numPr>
      </w:pPr>
      <w:r w:rsidRPr="00AC2556">
        <w:t>N.B header row 009 from P03.00 *not* included in DPM/XBRL (technical constraint).</w:t>
      </w:r>
    </w:p>
    <w:p w14:paraId="55B5EBF4" w14:textId="77777777" w:rsidR="00B677D6" w:rsidRPr="00AC2556" w:rsidRDefault="00B677D6" w:rsidP="00183058">
      <w:pPr>
        <w:pStyle w:val="ListParagraph"/>
        <w:numPr>
          <w:ilvl w:val="0"/>
          <w:numId w:val="5"/>
        </w:numPr>
      </w:pPr>
      <w:r w:rsidRPr="00AC2556">
        <w:t>Add C 06.01 (total summary for some columns of group solvency)</w:t>
      </w:r>
    </w:p>
    <w:p w14:paraId="55B5EBF5" w14:textId="77777777" w:rsidR="00B677D6" w:rsidRPr="00AC2556" w:rsidRDefault="00B677D6" w:rsidP="00183058">
      <w:pPr>
        <w:pStyle w:val="ListParagraph"/>
        <w:numPr>
          <w:ilvl w:val="0"/>
          <w:numId w:val="5"/>
        </w:numPr>
      </w:pPr>
      <w:r w:rsidRPr="00AC2556">
        <w:t>Change table number of C06.00 to C 06.02, label of open row to Entity Code for consistency</w:t>
      </w:r>
    </w:p>
    <w:p w14:paraId="55B5EBF6" w14:textId="77777777" w:rsidR="00B677D6" w:rsidRPr="00AC2556" w:rsidRDefault="00B677D6" w:rsidP="00183058">
      <w:pPr>
        <w:pStyle w:val="ListParagraph"/>
        <w:numPr>
          <w:ilvl w:val="0"/>
          <w:numId w:val="5"/>
        </w:numPr>
      </w:pPr>
      <w:r w:rsidRPr="00AC2556">
        <w:t>Add "Total" member to BT - used in C 06.01</w:t>
      </w:r>
    </w:p>
    <w:p w14:paraId="55B5EBF7" w14:textId="77777777" w:rsidR="00B677D6" w:rsidRPr="00AC2556" w:rsidRDefault="00B677D6" w:rsidP="00183058">
      <w:pPr>
        <w:pStyle w:val="ListParagraph"/>
        <w:numPr>
          <w:ilvl w:val="0"/>
          <w:numId w:val="5"/>
        </w:numPr>
      </w:pPr>
      <w:r w:rsidRPr="00AC2556">
        <w:t>C 22.00 row 260 ("Latvian Lats") removed (old change)</w:t>
      </w:r>
    </w:p>
    <w:p w14:paraId="55B5EBF8" w14:textId="77777777" w:rsidR="00B677D6" w:rsidRPr="00AC2556" w:rsidRDefault="00B677D6" w:rsidP="00183058">
      <w:pPr>
        <w:pStyle w:val="ListParagraph"/>
        <w:numPr>
          <w:ilvl w:val="0"/>
          <w:numId w:val="5"/>
        </w:numPr>
      </w:pPr>
      <w:r w:rsidRPr="00AC2556">
        <w:t>F 16.07.a and F16.07.b row 145 ("Other" (impairments)) added</w:t>
      </w:r>
    </w:p>
    <w:p w14:paraId="55B5EBF9" w14:textId="77777777" w:rsidR="00B677D6" w:rsidRPr="00AC2556" w:rsidRDefault="00B677D6" w:rsidP="00183058">
      <w:pPr>
        <w:pStyle w:val="ListParagraph"/>
        <w:numPr>
          <w:ilvl w:val="0"/>
          <w:numId w:val="5"/>
        </w:numPr>
      </w:pPr>
      <w:r w:rsidRPr="00AC2556">
        <w:t>Delete restrictions in C 08.01a (c260, rows 040 - 060)</w:t>
      </w:r>
    </w:p>
    <w:p w14:paraId="55B5EBFA" w14:textId="77777777" w:rsidR="00B677D6" w:rsidRPr="00AC2556" w:rsidRDefault="00B677D6" w:rsidP="00183058">
      <w:pPr>
        <w:pStyle w:val="ListParagraph"/>
        <w:numPr>
          <w:ilvl w:val="0"/>
          <w:numId w:val="5"/>
        </w:numPr>
      </w:pPr>
      <w:r w:rsidRPr="00AC2556">
        <w:t>Shaded C12 column 360, rows 110 to 240</w:t>
      </w:r>
    </w:p>
    <w:p w14:paraId="55B5EBFB" w14:textId="77777777" w:rsidR="00B677D6" w:rsidRPr="00AC2556" w:rsidRDefault="00B677D6" w:rsidP="00183058">
      <w:pPr>
        <w:pStyle w:val="ListParagraph"/>
        <w:numPr>
          <w:ilvl w:val="0"/>
          <w:numId w:val="5"/>
        </w:numPr>
      </w:pPr>
      <w:r w:rsidRPr="00AC2556">
        <w:t>Shaded F07 col 110, rows 010-050</w:t>
      </w:r>
    </w:p>
    <w:p w14:paraId="55B5EBFC" w14:textId="77777777" w:rsidR="00B677D6" w:rsidRPr="00AC2556" w:rsidRDefault="00B677D6" w:rsidP="00183058">
      <w:pPr>
        <w:pStyle w:val="ListParagraph"/>
        <w:numPr>
          <w:ilvl w:val="0"/>
          <w:numId w:val="5"/>
        </w:numPr>
      </w:pPr>
      <w:r w:rsidRPr="00AC2556">
        <w:t>F 32.04.b, r060, c040-c050  greyed-out and  F 32.04.b, r070, c040-c050 whitened (unrestricted)</w:t>
      </w:r>
    </w:p>
    <w:p w14:paraId="55B5EBFD" w14:textId="77777777" w:rsidR="00B677D6" w:rsidRPr="00AC2556" w:rsidRDefault="00B677D6" w:rsidP="00183058">
      <w:pPr>
        <w:pStyle w:val="ListParagraph"/>
        <w:numPr>
          <w:ilvl w:val="0"/>
          <w:numId w:val="5"/>
        </w:numPr>
      </w:pPr>
      <w:r w:rsidRPr="00AC2556">
        <w:t>Change labels on C01.00 rows 350 &amp; 400 , C 06.02 Columns 140,170,200</w:t>
      </w:r>
    </w:p>
    <w:p w14:paraId="55B5EBFE" w14:textId="77777777" w:rsidR="00B677D6" w:rsidRPr="00AC2556" w:rsidRDefault="00B677D6" w:rsidP="00183058">
      <w:pPr>
        <w:pStyle w:val="ListParagraph"/>
        <w:numPr>
          <w:ilvl w:val="0"/>
          <w:numId w:val="5"/>
        </w:numPr>
      </w:pPr>
      <w:r w:rsidRPr="00AC2556">
        <w:t>Change labels on F01.01 r010, F04.04 c030 c040 , F07.00 c080 c090,F12.00 r020 r160, F20.04 r210</w:t>
      </w:r>
    </w:p>
    <w:p w14:paraId="55B5EBFF" w14:textId="77777777" w:rsidR="00AC2556" w:rsidRPr="00AC2556" w:rsidRDefault="00B677D6" w:rsidP="00183058">
      <w:pPr>
        <w:pStyle w:val="ListParagraph"/>
        <w:numPr>
          <w:ilvl w:val="0"/>
          <w:numId w:val="5"/>
        </w:numPr>
      </w:pPr>
      <w:r w:rsidRPr="00AC2556">
        <w:t>Change label on F 18.00.b c170</w:t>
      </w:r>
    </w:p>
    <w:p w14:paraId="55B5EC00" w14:textId="77777777" w:rsidR="00B677D6" w:rsidRPr="00AC2556" w:rsidRDefault="00AC2556" w:rsidP="00183058">
      <w:pPr>
        <w:pStyle w:val="ListParagraph"/>
        <w:numPr>
          <w:ilvl w:val="0"/>
          <w:numId w:val="5"/>
        </w:numPr>
      </w:pPr>
      <w:r w:rsidRPr="00AC2556">
        <w:lastRenderedPageBreak/>
        <w:t>Various v</w:t>
      </w:r>
      <w:r w:rsidR="00B677D6" w:rsidRPr="00AC2556">
        <w:t>alidation rule changes</w:t>
      </w:r>
      <w:r w:rsidRPr="00AC2556">
        <w:t>.</w:t>
      </w:r>
    </w:p>
    <w:p w14:paraId="55B5EC01" w14:textId="77777777" w:rsidR="00B677D6" w:rsidRPr="00AC2556" w:rsidRDefault="00B677D6" w:rsidP="00B677D6">
      <w:r w:rsidRPr="00AC2556">
        <w:t>N.B. Deactivations not necessarily perfectly up to date with published lists, additional deactivation list for 2.2 (and 2.1) to bring in line to be published shortly.</w:t>
      </w:r>
    </w:p>
    <w:p w14:paraId="55B5EC02" w14:textId="77777777" w:rsidR="00B677D6" w:rsidRPr="00AC2556" w:rsidRDefault="00B677D6" w:rsidP="00D515AE">
      <w:pPr>
        <w:pStyle w:val="Titlelevel2"/>
      </w:pPr>
      <w:r w:rsidRPr="00AC2556">
        <w:t>Taxonomy Changes</w:t>
      </w:r>
    </w:p>
    <w:p w14:paraId="55B5EC03" w14:textId="77777777" w:rsidR="00B677D6" w:rsidRPr="00AC2556" w:rsidRDefault="00B677D6" w:rsidP="00183058">
      <w:pPr>
        <w:pStyle w:val="ListParagraph"/>
        <w:numPr>
          <w:ilvl w:val="0"/>
          <w:numId w:val="5"/>
        </w:numPr>
      </w:pPr>
      <w:r w:rsidRPr="00AC2556">
        <w:t>Addition of FP reporting taxonomy.</w:t>
      </w:r>
    </w:p>
    <w:p w14:paraId="55B5EC04" w14:textId="77777777" w:rsidR="00B677D6" w:rsidRPr="00AC2556" w:rsidRDefault="00B677D6" w:rsidP="00183058">
      <w:pPr>
        <w:pStyle w:val="ListParagraph"/>
        <w:numPr>
          <w:ilvl w:val="0"/>
          <w:numId w:val="5"/>
        </w:numPr>
      </w:pPr>
      <w:r w:rsidRPr="00AC2556">
        <w:t>Creation of x.x.x.1 version of old taxonomies to include suitable non-breaking changes (i.e. could be used interchangeably with x.x.x.0 versions)</w:t>
      </w:r>
    </w:p>
    <w:p w14:paraId="55B5EC05" w14:textId="77777777" w:rsidR="00B677D6" w:rsidRPr="00AC2556" w:rsidRDefault="00B677D6" w:rsidP="00183058">
      <w:pPr>
        <w:pStyle w:val="ListParagraph"/>
        <w:numPr>
          <w:ilvl w:val="1"/>
          <w:numId w:val="5"/>
        </w:numPr>
      </w:pPr>
      <w:r w:rsidRPr="00AC2556">
        <w:t>Simple label corrections</w:t>
      </w:r>
    </w:p>
    <w:p w14:paraId="55B5EC06" w14:textId="77777777" w:rsidR="00B677D6" w:rsidRPr="00AC2556" w:rsidRDefault="00B677D6" w:rsidP="00183058">
      <w:pPr>
        <w:pStyle w:val="ListParagraph"/>
        <w:numPr>
          <w:ilvl w:val="1"/>
          <w:numId w:val="5"/>
        </w:numPr>
      </w:pPr>
      <w:r w:rsidRPr="00AC2556">
        <w:t>Addition of taxonomy end dates (and change of notional date for AE 1.0.0)</w:t>
      </w:r>
    </w:p>
    <w:p w14:paraId="55B5EC07" w14:textId="77777777" w:rsidR="00B677D6" w:rsidRPr="00AC2556" w:rsidRDefault="00B677D6" w:rsidP="00183058">
      <w:pPr>
        <w:pStyle w:val="ListParagraph"/>
        <w:numPr>
          <w:ilvl w:val="1"/>
          <w:numId w:val="5"/>
        </w:numPr>
      </w:pPr>
      <w:r w:rsidRPr="00AC2556">
        <w:t>N.B. these x.x.x.1 versions have the same dictionary package requirements as the originally released x.x.x.0 versions.</w:t>
      </w:r>
    </w:p>
    <w:p w14:paraId="55B5EC08" w14:textId="77777777" w:rsidR="00B677D6" w:rsidRPr="00AC2556" w:rsidRDefault="00B677D6" w:rsidP="00183058">
      <w:pPr>
        <w:pStyle w:val="ListParagraph"/>
        <w:numPr>
          <w:ilvl w:val="1"/>
          <w:numId w:val="5"/>
        </w:numPr>
      </w:pPr>
      <w:r w:rsidRPr="00AC2556">
        <w:t>There is no requirement to adapt system to utilise these versions rather than the x.x.x.0 versions.</w:t>
      </w:r>
    </w:p>
    <w:p w14:paraId="55B5EC09" w14:textId="77777777" w:rsidR="00A55E27" w:rsidRDefault="00A55E27" w:rsidP="00D515AE">
      <w:pPr>
        <w:pStyle w:val="Titlelevel3"/>
      </w:pPr>
      <w:r>
        <w:t xml:space="preserve">Change of XBRL Taxonomy Package labelling pattern </w:t>
      </w:r>
    </w:p>
    <w:p w14:paraId="55B5EC0A" w14:textId="77777777" w:rsidR="00A55E27" w:rsidRPr="00A55E27" w:rsidRDefault="00A55E27" w:rsidP="00A55E27">
      <w:r>
        <w:t xml:space="preserve">To simplify the association of taxonomy versions with the related ITS/DPM/reporting requirements package the taxonomy packages in this release are named according </w:t>
      </w:r>
      <w:r w:rsidR="005909B9">
        <w:t>to the pattern</w:t>
      </w:r>
    </w:p>
    <w:p w14:paraId="55B5EC0B" w14:textId="77777777" w:rsidR="00A55E27" w:rsidRPr="005909B9" w:rsidRDefault="00A55E27" w:rsidP="00A55E27">
      <w:pPr>
        <w:rPr>
          <w:b/>
          <w:color w:val="3F8BD0" w:themeColor="accent6" w:themeTint="99"/>
        </w:rPr>
      </w:pPr>
      <w:r w:rsidRPr="005909B9">
        <w:rPr>
          <w:b/>
          <w:color w:val="3F8BD0" w:themeColor="accent6" w:themeTint="99"/>
        </w:rPr>
        <w:t>eba</w:t>
      </w:r>
      <w:r w:rsidRPr="005909B9">
        <w:rPr>
          <w:b/>
          <w:color w:val="D44D2A" w:themeColor="accent3"/>
          <w:u w:val="single"/>
        </w:rPr>
        <w:t>_VERSIONOFDPM/BUSINESSPACKAGE_</w:t>
      </w:r>
      <w:r w:rsidRPr="005909B9">
        <w:rPr>
          <w:b/>
          <w:color w:val="3F8BD0" w:themeColor="accent6" w:themeTint="99"/>
        </w:rPr>
        <w:t xml:space="preserve">reportingtaxonomycode_VERSIONOFTAXONOMY </w:t>
      </w:r>
    </w:p>
    <w:p w14:paraId="55B5EC0C" w14:textId="77777777" w:rsidR="00A55E27" w:rsidRDefault="00A55E27" w:rsidP="00A55E27">
      <w:r>
        <w:t xml:space="preserve">e.g. </w:t>
      </w:r>
      <w:r w:rsidRPr="00924C0E">
        <w:t>eba_corep_2.0.</w:t>
      </w:r>
      <w:r w:rsidR="005909B9">
        <w:t>2.1</w:t>
      </w:r>
      <w:r>
        <w:t xml:space="preserve">.zip </w:t>
      </w:r>
      <w:r>
        <w:sym w:font="Wingdings" w:char="F0E0"/>
      </w:r>
      <w:r w:rsidR="005909B9">
        <w:t xml:space="preserve"> eba</w:t>
      </w:r>
      <w:r w:rsidR="005909B9" w:rsidRPr="005909B9">
        <w:rPr>
          <w:color w:val="D44D2A" w:themeColor="accent3"/>
        </w:rPr>
        <w:t>_2.2_</w:t>
      </w:r>
      <w:r w:rsidR="005909B9">
        <w:t>corep_2.0.2.1.zip</w:t>
      </w:r>
    </w:p>
    <w:p w14:paraId="55B5EC0D" w14:textId="77777777" w:rsidR="00A55E27" w:rsidRDefault="00A55E27" w:rsidP="00A55E27">
      <w:pPr>
        <w:rPr>
          <w:rFonts w:ascii="Courier New" w:hAnsi="Courier New" w:cs="Courier New"/>
          <w:i/>
          <w:color w:val="808080" w:themeColor="background1" w:themeShade="80"/>
        </w:rPr>
      </w:pPr>
    </w:p>
    <w:tbl>
      <w:tblPr>
        <w:tblStyle w:val="EBAtable"/>
        <w:tblW w:w="9242" w:type="dxa"/>
        <w:tblLook w:val="04A0" w:firstRow="1" w:lastRow="0" w:firstColumn="1" w:lastColumn="0" w:noHBand="0" w:noVBand="1"/>
      </w:tblPr>
      <w:tblGrid>
        <w:gridCol w:w="3975"/>
        <w:gridCol w:w="5267"/>
      </w:tblGrid>
      <w:tr w:rsidR="00A55E27" w:rsidRPr="005B4BEF" w14:paraId="55B5EC10" w14:textId="77777777" w:rsidTr="00AA0EE8">
        <w:trPr>
          <w:cnfStyle w:val="100000000000" w:firstRow="1" w:lastRow="0" w:firstColumn="0" w:lastColumn="0" w:oddVBand="0" w:evenVBand="0" w:oddHBand="0" w:evenHBand="0" w:firstRowFirstColumn="0" w:firstRowLastColumn="0" w:lastRowFirstColumn="0" w:lastRowLastColumn="0"/>
        </w:trPr>
        <w:tc>
          <w:tcPr>
            <w:tcW w:w="3975" w:type="dxa"/>
          </w:tcPr>
          <w:p w14:paraId="55B5EC0E" w14:textId="77777777" w:rsidR="00A55E27" w:rsidRPr="005B4BEF" w:rsidRDefault="00A55E27" w:rsidP="00AA0EE8">
            <w:pPr>
              <w:pStyle w:val="Tableheader"/>
            </w:pPr>
            <w:r>
              <w:t>Old</w:t>
            </w:r>
          </w:p>
        </w:tc>
        <w:tc>
          <w:tcPr>
            <w:tcW w:w="5267" w:type="dxa"/>
          </w:tcPr>
          <w:p w14:paraId="55B5EC0F" w14:textId="77777777" w:rsidR="00A55E27" w:rsidRPr="005B4BEF" w:rsidRDefault="00A55E27" w:rsidP="00AA0EE8">
            <w:pPr>
              <w:pStyle w:val="Tableheader"/>
            </w:pPr>
            <w:r w:rsidRPr="005B4BEF">
              <w:t>Becomes</w:t>
            </w:r>
            <w:r w:rsidR="005909B9">
              <w:t>/New in 2.2</w:t>
            </w:r>
          </w:p>
        </w:tc>
      </w:tr>
      <w:tr w:rsidR="00A55E27" w:rsidRPr="005B4BEF" w14:paraId="55B5EC13" w14:textId="77777777" w:rsidTr="00AA0EE8">
        <w:trPr>
          <w:trHeight w:val="170"/>
        </w:trPr>
        <w:tc>
          <w:tcPr>
            <w:tcW w:w="3975" w:type="dxa"/>
          </w:tcPr>
          <w:p w14:paraId="55B5EC11" w14:textId="77777777" w:rsidR="00A55E27" w:rsidRPr="005B4BEF" w:rsidRDefault="00A55E27" w:rsidP="00AA0EE8">
            <w:pPr>
              <w:pStyle w:val="Tabledata"/>
            </w:pPr>
            <w:r w:rsidRPr="005B4BEF">
              <w:t>eba_finrep_2.0.1.1.zip</w:t>
            </w:r>
          </w:p>
        </w:tc>
        <w:tc>
          <w:tcPr>
            <w:tcW w:w="5267" w:type="dxa"/>
          </w:tcPr>
          <w:p w14:paraId="55B5EC12" w14:textId="77777777" w:rsidR="00A55E27" w:rsidRPr="005B4BEF" w:rsidRDefault="00A55E27" w:rsidP="00AA0EE8">
            <w:pPr>
              <w:pStyle w:val="Tabledata"/>
            </w:pPr>
            <w:r w:rsidRPr="005B4BEF">
              <w:t>eba_</w:t>
            </w:r>
            <w:r>
              <w:t>2.0_</w:t>
            </w:r>
            <w:r w:rsidRPr="005B4BEF">
              <w:t>finrep_2.0.1.1.zip</w:t>
            </w:r>
          </w:p>
        </w:tc>
      </w:tr>
      <w:tr w:rsidR="00A55E27" w:rsidRPr="005B4BEF" w14:paraId="55B5EC16" w14:textId="77777777" w:rsidTr="00AA0EE8">
        <w:trPr>
          <w:trHeight w:val="170"/>
        </w:trPr>
        <w:tc>
          <w:tcPr>
            <w:tcW w:w="3975" w:type="dxa"/>
          </w:tcPr>
          <w:p w14:paraId="55B5EC14" w14:textId="77777777" w:rsidR="00A55E27" w:rsidRPr="005B4BEF" w:rsidRDefault="00A55E27" w:rsidP="00AA0EE8">
            <w:pPr>
              <w:pStyle w:val="Tabledata"/>
            </w:pPr>
            <w:r w:rsidRPr="005B4BEF">
              <w:t xml:space="preserve">eba_corep_2.0.1.1.zip </w:t>
            </w:r>
          </w:p>
        </w:tc>
        <w:tc>
          <w:tcPr>
            <w:tcW w:w="5267" w:type="dxa"/>
          </w:tcPr>
          <w:p w14:paraId="55B5EC15" w14:textId="77777777" w:rsidR="00A55E27" w:rsidRPr="005B4BEF" w:rsidRDefault="00A55E27" w:rsidP="00AA0EE8">
            <w:pPr>
              <w:pStyle w:val="Tabledata"/>
            </w:pPr>
            <w:r w:rsidRPr="005B4BEF">
              <w:t>eba_</w:t>
            </w:r>
            <w:r>
              <w:t>2.0_</w:t>
            </w:r>
            <w:r w:rsidRPr="005B4BEF">
              <w:t xml:space="preserve">corep_2.0.1.1.zip </w:t>
            </w:r>
          </w:p>
        </w:tc>
      </w:tr>
      <w:tr w:rsidR="00A55E27" w:rsidRPr="005B4BEF" w14:paraId="55B5EC19" w14:textId="77777777" w:rsidTr="00A55E27">
        <w:trPr>
          <w:trHeight w:val="170"/>
        </w:trPr>
        <w:tc>
          <w:tcPr>
            <w:tcW w:w="3975" w:type="dxa"/>
          </w:tcPr>
          <w:p w14:paraId="55B5EC17" w14:textId="77777777" w:rsidR="00A55E27" w:rsidRPr="005B4BEF" w:rsidRDefault="00A55E27" w:rsidP="00AA0EE8">
            <w:pPr>
              <w:pStyle w:val="Tabledata"/>
            </w:pPr>
            <w:r w:rsidRPr="005B4BEF">
              <w:t>eba_ae_1.0.0.1.zip</w:t>
            </w:r>
          </w:p>
        </w:tc>
        <w:tc>
          <w:tcPr>
            <w:tcW w:w="5267" w:type="dxa"/>
          </w:tcPr>
          <w:p w14:paraId="55B5EC18" w14:textId="77777777" w:rsidR="00A55E27" w:rsidRPr="005B4BEF" w:rsidRDefault="00A55E27" w:rsidP="00AA0EE8">
            <w:pPr>
              <w:pStyle w:val="Tabledata"/>
            </w:pPr>
            <w:r w:rsidRPr="005B4BEF">
              <w:t>eba_</w:t>
            </w:r>
            <w:r>
              <w:t>2.1_</w:t>
            </w:r>
            <w:r w:rsidRPr="005B4BEF">
              <w:t>ae_1.0.0.1.zip</w:t>
            </w:r>
          </w:p>
        </w:tc>
      </w:tr>
      <w:tr w:rsidR="00A55E27" w:rsidRPr="005B4BEF" w14:paraId="55B5EC1C" w14:textId="77777777" w:rsidTr="00A55E27">
        <w:trPr>
          <w:trHeight w:val="170"/>
        </w:trPr>
        <w:tc>
          <w:tcPr>
            <w:tcW w:w="3975" w:type="dxa"/>
          </w:tcPr>
          <w:p w14:paraId="55B5EC1A" w14:textId="77777777" w:rsidR="00A55E27" w:rsidRPr="005B4BEF" w:rsidRDefault="00A55E27" w:rsidP="00AA0EE8">
            <w:pPr>
              <w:pStyle w:val="Tabledata"/>
            </w:pPr>
            <w:r w:rsidRPr="005B4BEF">
              <w:t>eba_corep_2.0.2.1.zip</w:t>
            </w:r>
          </w:p>
        </w:tc>
        <w:tc>
          <w:tcPr>
            <w:tcW w:w="5267" w:type="dxa"/>
          </w:tcPr>
          <w:p w14:paraId="55B5EC1B" w14:textId="77777777" w:rsidR="00A55E27" w:rsidRPr="005B4BEF" w:rsidRDefault="00A55E27" w:rsidP="00AA0EE8">
            <w:pPr>
              <w:pStyle w:val="Tabledata"/>
            </w:pPr>
            <w:r w:rsidRPr="005B4BEF">
              <w:t>eba_</w:t>
            </w:r>
            <w:r>
              <w:t>2.1_</w:t>
            </w:r>
            <w:r w:rsidRPr="005B4BEF">
              <w:t>corep_2.0.2.1.zip</w:t>
            </w:r>
          </w:p>
        </w:tc>
      </w:tr>
      <w:tr w:rsidR="00A55E27" w:rsidRPr="005B4BEF" w14:paraId="55B5EC1F" w14:textId="77777777" w:rsidTr="00A55E27">
        <w:trPr>
          <w:trHeight w:val="170"/>
        </w:trPr>
        <w:tc>
          <w:tcPr>
            <w:tcW w:w="3975" w:type="dxa"/>
          </w:tcPr>
          <w:p w14:paraId="55B5EC1D" w14:textId="77777777" w:rsidR="00A55E27" w:rsidRPr="005B4BEF" w:rsidRDefault="00A55E27" w:rsidP="00AA0EE8">
            <w:pPr>
              <w:pStyle w:val="Tabledata"/>
            </w:pPr>
            <w:r w:rsidRPr="005B4BEF">
              <w:t>eba_finrep_2.1.0.1.zip</w:t>
            </w:r>
          </w:p>
        </w:tc>
        <w:tc>
          <w:tcPr>
            <w:tcW w:w="5267" w:type="dxa"/>
          </w:tcPr>
          <w:p w14:paraId="55B5EC1E" w14:textId="77777777" w:rsidR="00A55E27" w:rsidRPr="005B4BEF" w:rsidRDefault="00A55E27" w:rsidP="00AA0EE8">
            <w:pPr>
              <w:pStyle w:val="Tabledata"/>
            </w:pPr>
            <w:r w:rsidRPr="005B4BEF">
              <w:t>eba_</w:t>
            </w:r>
            <w:r>
              <w:t>2.1_</w:t>
            </w:r>
            <w:r w:rsidRPr="005B4BEF">
              <w:t>finrep_2.1.0.1.zip</w:t>
            </w:r>
          </w:p>
        </w:tc>
      </w:tr>
      <w:tr w:rsidR="00A55E27" w:rsidRPr="005B4BEF" w14:paraId="55B5EC22" w14:textId="77777777" w:rsidTr="00AA0EE8">
        <w:trPr>
          <w:trHeight w:val="170"/>
        </w:trPr>
        <w:tc>
          <w:tcPr>
            <w:tcW w:w="3975" w:type="dxa"/>
          </w:tcPr>
          <w:p w14:paraId="55B5EC20" w14:textId="77777777" w:rsidR="00A55E27" w:rsidRPr="005909B9" w:rsidRDefault="00A55E27" w:rsidP="00AA0EE8">
            <w:pPr>
              <w:pStyle w:val="Tabledata"/>
              <w:rPr>
                <w:i/>
              </w:rPr>
            </w:pPr>
          </w:p>
        </w:tc>
        <w:tc>
          <w:tcPr>
            <w:tcW w:w="5267" w:type="dxa"/>
          </w:tcPr>
          <w:p w14:paraId="55B5EC21" w14:textId="77777777" w:rsidR="00A55E27" w:rsidRPr="005B4BEF" w:rsidRDefault="00A55E27" w:rsidP="00AA0EE8">
            <w:pPr>
              <w:pStyle w:val="Tabledata"/>
            </w:pPr>
            <w:r w:rsidRPr="005B4BEF">
              <w:t>eba_</w:t>
            </w:r>
            <w:r>
              <w:t>2.2_</w:t>
            </w:r>
            <w:r w:rsidRPr="005B4BEF">
              <w:t>ae_1.0.1.0.zip</w:t>
            </w:r>
          </w:p>
        </w:tc>
      </w:tr>
      <w:tr w:rsidR="00A55E27" w:rsidRPr="005B4BEF" w14:paraId="55B5EC25" w14:textId="77777777" w:rsidTr="00AA0EE8">
        <w:trPr>
          <w:trHeight w:val="170"/>
        </w:trPr>
        <w:tc>
          <w:tcPr>
            <w:tcW w:w="3975" w:type="dxa"/>
          </w:tcPr>
          <w:p w14:paraId="55B5EC23" w14:textId="77777777" w:rsidR="00A55E27" w:rsidRPr="005909B9" w:rsidRDefault="00A55E27" w:rsidP="00AA0EE8">
            <w:pPr>
              <w:pStyle w:val="Tabledata"/>
              <w:rPr>
                <w:i/>
              </w:rPr>
            </w:pPr>
          </w:p>
        </w:tc>
        <w:tc>
          <w:tcPr>
            <w:tcW w:w="5267" w:type="dxa"/>
          </w:tcPr>
          <w:p w14:paraId="55B5EC24" w14:textId="77777777" w:rsidR="00A55E27" w:rsidRPr="005B4BEF" w:rsidRDefault="00A55E27" w:rsidP="00AA0EE8">
            <w:pPr>
              <w:pStyle w:val="Tabledata"/>
            </w:pPr>
            <w:r w:rsidRPr="005B4BEF">
              <w:t>eba_</w:t>
            </w:r>
            <w:r>
              <w:t>2.2_</w:t>
            </w:r>
            <w:r w:rsidRPr="005B4BEF">
              <w:t>corep_2.0.3.0.zip</w:t>
            </w:r>
          </w:p>
        </w:tc>
      </w:tr>
      <w:tr w:rsidR="00A55E27" w:rsidRPr="005B4BEF" w14:paraId="55B5EC28" w14:textId="77777777" w:rsidTr="00AA0EE8">
        <w:trPr>
          <w:trHeight w:val="170"/>
        </w:trPr>
        <w:tc>
          <w:tcPr>
            <w:tcW w:w="3975" w:type="dxa"/>
          </w:tcPr>
          <w:p w14:paraId="55B5EC26" w14:textId="77777777" w:rsidR="00A55E27" w:rsidRPr="005909B9" w:rsidRDefault="00A55E27" w:rsidP="00AA0EE8">
            <w:pPr>
              <w:pStyle w:val="Tabledata"/>
              <w:rPr>
                <w:i/>
              </w:rPr>
            </w:pPr>
          </w:p>
        </w:tc>
        <w:tc>
          <w:tcPr>
            <w:tcW w:w="5267" w:type="dxa"/>
          </w:tcPr>
          <w:p w14:paraId="55B5EC27" w14:textId="77777777" w:rsidR="00A55E27" w:rsidRPr="005B4BEF" w:rsidRDefault="00A55E27" w:rsidP="00AA0EE8">
            <w:pPr>
              <w:pStyle w:val="Tabledata"/>
            </w:pPr>
            <w:r w:rsidRPr="005B4BEF">
              <w:t>eba_</w:t>
            </w:r>
            <w:r>
              <w:t>2.2_</w:t>
            </w:r>
            <w:r w:rsidRPr="005B4BEF">
              <w:t>finrep_2.1.1.0.zip</w:t>
            </w:r>
          </w:p>
        </w:tc>
      </w:tr>
      <w:tr w:rsidR="00A55E27" w:rsidRPr="005B4BEF" w14:paraId="55B5EC2B" w14:textId="77777777" w:rsidTr="00AA0EE8">
        <w:trPr>
          <w:trHeight w:val="170"/>
        </w:trPr>
        <w:tc>
          <w:tcPr>
            <w:tcW w:w="3975" w:type="dxa"/>
          </w:tcPr>
          <w:p w14:paraId="55B5EC29" w14:textId="77777777" w:rsidR="00A55E27" w:rsidRPr="005909B9" w:rsidRDefault="00A55E27" w:rsidP="00AA0EE8">
            <w:pPr>
              <w:pStyle w:val="Tabledata"/>
              <w:rPr>
                <w:i/>
              </w:rPr>
            </w:pPr>
          </w:p>
        </w:tc>
        <w:tc>
          <w:tcPr>
            <w:tcW w:w="5267" w:type="dxa"/>
          </w:tcPr>
          <w:p w14:paraId="55B5EC2A" w14:textId="77777777" w:rsidR="00A55E27" w:rsidRPr="005B4BEF" w:rsidRDefault="00A55E27" w:rsidP="00AA0EE8">
            <w:pPr>
              <w:pStyle w:val="Tabledata"/>
            </w:pPr>
            <w:r w:rsidRPr="005B4BEF">
              <w:t>eba_</w:t>
            </w:r>
            <w:r>
              <w:t>2.2_</w:t>
            </w:r>
            <w:r w:rsidRPr="005B4BEF">
              <w:t>fp_1.0.0.0.zip</w:t>
            </w:r>
          </w:p>
        </w:tc>
      </w:tr>
      <w:tr w:rsidR="00A55E27" w:rsidRPr="005B4BEF" w14:paraId="55B5EC2E" w14:textId="77777777" w:rsidTr="00AA0EE8">
        <w:trPr>
          <w:trHeight w:val="170"/>
        </w:trPr>
        <w:tc>
          <w:tcPr>
            <w:tcW w:w="3975" w:type="dxa"/>
          </w:tcPr>
          <w:p w14:paraId="55B5EC2C" w14:textId="77777777" w:rsidR="00A55E27" w:rsidRPr="005909B9" w:rsidRDefault="00A55E27" w:rsidP="00AA0EE8">
            <w:pPr>
              <w:pStyle w:val="Tabledata"/>
              <w:rPr>
                <w:i/>
              </w:rPr>
            </w:pPr>
          </w:p>
        </w:tc>
        <w:tc>
          <w:tcPr>
            <w:tcW w:w="5267" w:type="dxa"/>
          </w:tcPr>
          <w:p w14:paraId="55B5EC2D" w14:textId="77777777" w:rsidR="00A55E27" w:rsidRPr="005B4BEF" w:rsidRDefault="00A55E27" w:rsidP="00AA0EE8">
            <w:pPr>
              <w:pStyle w:val="Tabledata"/>
            </w:pPr>
            <w:r w:rsidRPr="005B4BEF">
              <w:t>eba_</w:t>
            </w:r>
            <w:r>
              <w:t>2.2_</w:t>
            </w:r>
            <w:r w:rsidRPr="005B4BEF">
              <w:t>dict_2.2.0.0.zip</w:t>
            </w:r>
          </w:p>
        </w:tc>
      </w:tr>
    </w:tbl>
    <w:p w14:paraId="55B5EC2F" w14:textId="77777777" w:rsidR="00AC2556" w:rsidRDefault="00AC2556" w:rsidP="00AC2556"/>
    <w:p w14:paraId="55B5EC30" w14:textId="77777777" w:rsidR="005909B9" w:rsidRDefault="005909B9" w:rsidP="00D515AE">
      <w:pPr>
        <w:pStyle w:val="Titlelevel3"/>
      </w:pPr>
      <w:r w:rsidRPr="00593C0F">
        <w:t>Blocking of use of non-explicitly mentioned metrics</w:t>
      </w:r>
      <w:r>
        <w:t xml:space="preserve"> at XBRL level</w:t>
      </w:r>
      <w:r w:rsidRPr="00593C0F">
        <w:t>.</w:t>
      </w:r>
      <w:r>
        <w:t xml:space="preserve"> </w:t>
      </w:r>
    </w:p>
    <w:p w14:paraId="55B5EC31" w14:textId="77777777" w:rsidR="005909B9" w:rsidRDefault="005909B9" w:rsidP="005909B9">
      <w:r>
        <w:t xml:space="preserve">Every metric is now linked to a “null” hypercube by default that contains a link to a dimension with no members (i.e. the hypercube actually has no possible elements). The result of this is that any </w:t>
      </w:r>
      <w:r>
        <w:lastRenderedPageBreak/>
        <w:t>metrics included in an instance that are not explicitly given allowed usage in a module (i.e. are supposed to be reported in that report) will now fail XBRL dimensional validation.</w:t>
      </w:r>
    </w:p>
    <w:p w14:paraId="55B5EC32" w14:textId="77777777" w:rsidR="005909B9" w:rsidRDefault="005909B9" w:rsidP="005909B9">
      <w:r>
        <w:t>Previously the mechanics of the XBRL specification meant that metrics mentioned without *any* hypercube(s) attached could be used legitimately (at the XBRL level) with any dimensional contexts (they were excluded from dimensional validation).  Since each EBA module imported all the EBA metrics en masse, this meant that any metric *not* actually intended to be used in a particular module, and hence without an explicit hypercube associated in that module, could be used in any dimensional combination without triggering an XBRL validation failure (These instances would breach filing rule 1.8.1 however.</w:t>
      </w:r>
    </w:p>
    <w:p w14:paraId="55B5EC33" w14:textId="77777777" w:rsidR="005909B9" w:rsidRDefault="005909B9" w:rsidP="005909B9">
      <w:r>
        <w:t xml:space="preserve">This will now trigger an XBRL dimensional validation failure, achieved by: </w:t>
      </w:r>
    </w:p>
    <w:p w14:paraId="55B5EC34" w14:textId="77777777" w:rsidR="005909B9" w:rsidRDefault="005909B9" w:rsidP="00183058">
      <w:pPr>
        <w:pStyle w:val="ListParagraph"/>
        <w:numPr>
          <w:ilvl w:val="0"/>
          <w:numId w:val="5"/>
        </w:numPr>
      </w:pPr>
      <w:r>
        <w:t xml:space="preserve">Addition of a specific roleType and dummy “NullDimension” dimension into the EBA model.xsd file. </w:t>
      </w:r>
    </w:p>
    <w:p w14:paraId="55B5EC35" w14:textId="77777777" w:rsidR="005909B9" w:rsidRDefault="005909B9" w:rsidP="00183058">
      <w:pPr>
        <w:pStyle w:val="ListParagraph"/>
        <w:numPr>
          <w:ilvl w:val="0"/>
          <w:numId w:val="5"/>
        </w:numPr>
      </w:pPr>
      <w:r>
        <w:t>Creation of a met-def.xml file that links all metrics to a hypercube linked to this null dimension (but not to any members).</w:t>
      </w:r>
    </w:p>
    <w:p w14:paraId="55B5EC36" w14:textId="77777777" w:rsidR="00237B31" w:rsidRDefault="005909B9" w:rsidP="00183058">
      <w:pPr>
        <w:pStyle w:val="ListParagraph"/>
        <w:numPr>
          <w:ilvl w:val="0"/>
          <w:numId w:val="5"/>
        </w:numPr>
      </w:pPr>
      <w:r>
        <w:t>Linking from each of the new entry points to this met-def.xml file.</w:t>
      </w:r>
    </w:p>
    <w:p w14:paraId="55B5EC37" w14:textId="77777777" w:rsidR="00237B31" w:rsidRDefault="00237B31" w:rsidP="00237B31"/>
    <w:p w14:paraId="55B5EC38" w14:textId="77777777" w:rsidR="00237B31" w:rsidRDefault="005909B9" w:rsidP="00237B31">
      <w:r>
        <w:t xml:space="preserve">Since the hypercubes used are additive, any metric intended to be used in a module will also be associated with additional hypercubes, that will allow it to be used as intended. All others will only have the null hypercube, making them unusable. As they will however have </w:t>
      </w:r>
      <w:r w:rsidRPr="00237B31">
        <w:rPr>
          <w:b/>
        </w:rPr>
        <w:t>a</w:t>
      </w:r>
      <w:r>
        <w:t xml:space="preserve"> hypercube (i.e. the null hypercube) associated they will be eligible for XBRL dimensional validation to enforce their non-use.</w:t>
      </w:r>
    </w:p>
    <w:p w14:paraId="55B5EC39" w14:textId="77777777" w:rsidR="00237B31" w:rsidRDefault="00237B31" w:rsidP="00237B31"/>
    <w:p w14:paraId="55B5EC3A" w14:textId="77777777" w:rsidR="00237B31" w:rsidRDefault="00237B31" w:rsidP="00237B31">
      <w:pPr>
        <w:pStyle w:val="Heading2"/>
      </w:pPr>
      <w:r>
        <w:t>v2.1.0.1 DPM Errata</w:t>
      </w:r>
      <w:r>
        <w:rPr>
          <w:rFonts w:ascii="Arial" w:hAnsi="Arial" w:cs="Arial"/>
          <w:color w:val="696969"/>
          <w:sz w:val="18"/>
          <w:szCs w:val="18"/>
          <w:shd w:val="clear" w:color="auto" w:fill="FFFFFF"/>
        </w:rPr>
        <w:t>(28/07/2014)</w:t>
      </w:r>
    </w:p>
    <w:p w14:paraId="55B5EC3B" w14:textId="77777777" w:rsidR="00AC2556" w:rsidRPr="003D5718" w:rsidRDefault="00237B31" w:rsidP="00237B31">
      <w:pPr>
        <w:pStyle w:val="Subtitle"/>
      </w:pPr>
      <w:r w:rsidRPr="00237B31">
        <w:t>Correction of minor errors in DPM Database</w:t>
      </w:r>
      <w:r w:rsidR="003D5718">
        <w:t xml:space="preserve"> </w:t>
      </w:r>
    </w:p>
    <w:p w14:paraId="55B5EC3C" w14:textId="77777777" w:rsidR="00AC2556" w:rsidRPr="003D5718" w:rsidRDefault="00AC2556" w:rsidP="00AC2556"/>
    <w:p w14:paraId="55B5EC3D" w14:textId="77777777" w:rsidR="00AC2556" w:rsidRPr="003D5718" w:rsidRDefault="00AC2556" w:rsidP="00AC2556">
      <w:r w:rsidRPr="003D5718">
        <w:t>N.B. no related taxonomy update, corrections do not affect XBRL taxonomy representation.</w:t>
      </w:r>
    </w:p>
    <w:p w14:paraId="55B5EC3E" w14:textId="77777777" w:rsidR="00AC2556" w:rsidRPr="000F3810" w:rsidRDefault="000F3810" w:rsidP="00D515AE">
      <w:pPr>
        <w:pStyle w:val="Titlelevel2"/>
        <w:rPr>
          <w:b/>
        </w:rPr>
      </w:pPr>
      <w:r w:rsidRPr="000F3810">
        <w:t>Table</w:t>
      </w:r>
      <w:r w:rsidRPr="000F3810">
        <w:rPr>
          <w:b/>
        </w:rPr>
        <w:t xml:space="preserve"> </w:t>
      </w:r>
      <w:r w:rsidRPr="000F3810">
        <w:t>Layouts</w:t>
      </w:r>
    </w:p>
    <w:p w14:paraId="55B5EC3F" w14:textId="77777777" w:rsidR="00AC2556" w:rsidRPr="003D5718" w:rsidRDefault="00AC2556" w:rsidP="00AC2556">
      <w:r w:rsidRPr="003D5718">
        <w:t>Annotations of cells in row 100 of Table F31.01 corrected.</w:t>
      </w:r>
    </w:p>
    <w:p w14:paraId="55B5EC40" w14:textId="77777777" w:rsidR="00AC2556" w:rsidRPr="003D5718" w:rsidRDefault="00AC2556" w:rsidP="00AC2556">
      <w:r w:rsidRPr="003D5718">
        <w:t>Were missing dimensions implied by row and column headings due to error in data related to the contexts of associated data points in the DPM Database.</w:t>
      </w:r>
    </w:p>
    <w:p w14:paraId="55B5EC41" w14:textId="77777777" w:rsidR="00AC2556" w:rsidRPr="003D5718" w:rsidRDefault="00AC2556" w:rsidP="00AC2556">
      <w:r w:rsidRPr="003D5718">
        <w:t>See correction to database for more details</w:t>
      </w:r>
    </w:p>
    <w:p w14:paraId="55B5EC42" w14:textId="77777777" w:rsidR="00AC2556" w:rsidRPr="000F3810" w:rsidRDefault="00AC2556" w:rsidP="00D515AE">
      <w:pPr>
        <w:pStyle w:val="Titlelevel2"/>
      </w:pPr>
      <w:r w:rsidRPr="000F3810">
        <w:t>DPM Database</w:t>
      </w:r>
    </w:p>
    <w:p w14:paraId="55B5EC43" w14:textId="77777777" w:rsidR="000F3810" w:rsidRDefault="000F3810" w:rsidP="000F3810">
      <w:r w:rsidRPr="003D5718">
        <w:t>Set incorrect AllowsDefaultMember flag for OpenMemberRestrictions 1 and 5.</w:t>
      </w:r>
    </w:p>
    <w:p w14:paraId="55B5EC44" w14:textId="77777777" w:rsidR="00AC2556" w:rsidRPr="003D5718" w:rsidRDefault="00AC2556" w:rsidP="00AC2556">
      <w:r w:rsidRPr="003D5718">
        <w:t>Correction of errors in Contexts for 6 data points on F31.01</w:t>
      </w:r>
    </w:p>
    <w:p w14:paraId="55B5EC45" w14:textId="77777777" w:rsidR="003D5718" w:rsidRPr="003D5718" w:rsidRDefault="003D5718" w:rsidP="003D5718">
      <w:pPr>
        <w:rPr>
          <w:b/>
        </w:rPr>
      </w:pPr>
      <w:r w:rsidRPr="003D5718">
        <w:rPr>
          <w:b/>
        </w:rPr>
        <w:t>Missing Contexts:</w:t>
      </w:r>
    </w:p>
    <w:tbl>
      <w:tblPr>
        <w:tblStyle w:val="EBAtable"/>
        <w:tblW w:w="0" w:type="auto"/>
        <w:tblLayout w:type="fixed"/>
        <w:tblLook w:val="04A0" w:firstRow="1" w:lastRow="0" w:firstColumn="1" w:lastColumn="0" w:noHBand="0" w:noVBand="1"/>
      </w:tblPr>
      <w:tblGrid>
        <w:gridCol w:w="1242"/>
        <w:gridCol w:w="2764"/>
        <w:gridCol w:w="5285"/>
      </w:tblGrid>
      <w:tr w:rsidR="003D5718" w:rsidRPr="003D5718" w14:paraId="55B5EC49" w14:textId="77777777" w:rsidTr="00AA0EE8">
        <w:trPr>
          <w:cnfStyle w:val="100000000000" w:firstRow="1" w:lastRow="0" w:firstColumn="0" w:lastColumn="0" w:oddVBand="0" w:evenVBand="0" w:oddHBand="0" w:evenHBand="0" w:firstRowFirstColumn="0" w:firstRowLastColumn="0" w:lastRowFirstColumn="0" w:lastRowLastColumn="0"/>
        </w:trPr>
        <w:tc>
          <w:tcPr>
            <w:tcW w:w="1242" w:type="dxa"/>
          </w:tcPr>
          <w:p w14:paraId="55B5EC46" w14:textId="77777777" w:rsidR="003D5718" w:rsidRPr="003D5718" w:rsidRDefault="003D5718" w:rsidP="00AA0EE8">
            <w:pPr>
              <w:pStyle w:val="Tableheader"/>
            </w:pPr>
            <w:r w:rsidRPr="003D5718">
              <w:t>ContextID</w:t>
            </w:r>
          </w:p>
        </w:tc>
        <w:tc>
          <w:tcPr>
            <w:tcW w:w="2764" w:type="dxa"/>
          </w:tcPr>
          <w:p w14:paraId="55B5EC47" w14:textId="77777777" w:rsidR="003D5718" w:rsidRPr="003D5718" w:rsidRDefault="003D5718" w:rsidP="00AA0EE8">
            <w:pPr>
              <w:pStyle w:val="Tableheader"/>
            </w:pPr>
            <w:r w:rsidRPr="003D5718">
              <w:tab/>
              <w:t>ContextKey</w:t>
            </w:r>
          </w:p>
        </w:tc>
        <w:tc>
          <w:tcPr>
            <w:tcW w:w="5285" w:type="dxa"/>
          </w:tcPr>
          <w:p w14:paraId="55B5EC48" w14:textId="77777777" w:rsidR="003D5718" w:rsidRPr="003D5718" w:rsidRDefault="003D5718" w:rsidP="00AA0EE8">
            <w:pPr>
              <w:pStyle w:val="Tableheader"/>
            </w:pPr>
            <w:r w:rsidRPr="003D5718">
              <w:tab/>
              <w:t>XbrlContextKey</w:t>
            </w:r>
          </w:p>
        </w:tc>
      </w:tr>
      <w:tr w:rsidR="003D5718" w:rsidRPr="003D5718" w14:paraId="55B5EC4D" w14:textId="77777777" w:rsidTr="00AA0EE8">
        <w:tc>
          <w:tcPr>
            <w:tcW w:w="1242" w:type="dxa"/>
          </w:tcPr>
          <w:p w14:paraId="55B5EC4A" w14:textId="77777777" w:rsidR="003D5718" w:rsidRPr="003D5718" w:rsidRDefault="003D5718" w:rsidP="00AA0EE8">
            <w:pPr>
              <w:pStyle w:val="Tabledata"/>
              <w:rPr>
                <w:b/>
              </w:rPr>
            </w:pPr>
            <w:r w:rsidRPr="003D5718">
              <w:rPr>
                <w:b/>
              </w:rPr>
              <w:t>63000</w:t>
            </w:r>
          </w:p>
        </w:tc>
        <w:tc>
          <w:tcPr>
            <w:tcW w:w="2764" w:type="dxa"/>
          </w:tcPr>
          <w:p w14:paraId="55B5EC4B" w14:textId="77777777" w:rsidR="003D5718" w:rsidRPr="003D5718" w:rsidRDefault="003D5718" w:rsidP="00AA0EE8">
            <w:pPr>
              <w:pStyle w:val="Tabledata"/>
              <w:rPr>
                <w:b/>
              </w:rPr>
            </w:pPr>
            <w:r w:rsidRPr="003D5718">
              <w:rPr>
                <w:b/>
              </w:rPr>
              <w:t>BAS1516IMS1801MCY2255RPR2672</w:t>
            </w:r>
          </w:p>
        </w:tc>
        <w:tc>
          <w:tcPr>
            <w:tcW w:w="5285" w:type="dxa"/>
          </w:tcPr>
          <w:p w14:paraId="55B5EC4C" w14:textId="77777777" w:rsidR="003D5718" w:rsidRPr="003D5718" w:rsidRDefault="003D5718" w:rsidP="00AA0EE8">
            <w:pPr>
              <w:pStyle w:val="Tabledata"/>
              <w:rPr>
                <w:b/>
              </w:rPr>
            </w:pPr>
            <w:r w:rsidRPr="003D5718">
              <w:rPr>
                <w:b/>
              </w:rPr>
              <w:t>BAS=eba_BA:x10,IMS=eba_IM:x3,MCY=eba_MC:x251,RPR=eba_RP:x4</w:t>
            </w:r>
          </w:p>
        </w:tc>
      </w:tr>
      <w:tr w:rsidR="003D5718" w:rsidRPr="003D5718" w14:paraId="55B5EC51" w14:textId="77777777" w:rsidTr="00AA0EE8">
        <w:tc>
          <w:tcPr>
            <w:tcW w:w="1242" w:type="dxa"/>
          </w:tcPr>
          <w:p w14:paraId="55B5EC4E" w14:textId="77777777" w:rsidR="003D5718" w:rsidRPr="003D5718" w:rsidRDefault="003D5718" w:rsidP="00AA0EE8">
            <w:pPr>
              <w:pStyle w:val="Tabledata"/>
              <w:rPr>
                <w:b/>
              </w:rPr>
            </w:pPr>
            <w:r w:rsidRPr="003D5718">
              <w:rPr>
                <w:b/>
              </w:rPr>
              <w:lastRenderedPageBreak/>
              <w:t>63001</w:t>
            </w:r>
          </w:p>
        </w:tc>
        <w:tc>
          <w:tcPr>
            <w:tcW w:w="2764" w:type="dxa"/>
          </w:tcPr>
          <w:p w14:paraId="55B5EC4F" w14:textId="77777777" w:rsidR="003D5718" w:rsidRPr="003D5718" w:rsidRDefault="003D5718" w:rsidP="00AA0EE8">
            <w:pPr>
              <w:pStyle w:val="Tabledata"/>
              <w:rPr>
                <w:b/>
              </w:rPr>
            </w:pPr>
            <w:r w:rsidRPr="003D5718">
              <w:rPr>
                <w:b/>
              </w:rPr>
              <w:t>BAS1516IMS1801MCY2255RPR2673</w:t>
            </w:r>
          </w:p>
        </w:tc>
        <w:tc>
          <w:tcPr>
            <w:tcW w:w="5285" w:type="dxa"/>
          </w:tcPr>
          <w:p w14:paraId="55B5EC50" w14:textId="77777777" w:rsidR="003D5718" w:rsidRPr="003D5718" w:rsidRDefault="003D5718" w:rsidP="00AA0EE8">
            <w:pPr>
              <w:pStyle w:val="Tabledata"/>
              <w:rPr>
                <w:b/>
              </w:rPr>
            </w:pPr>
            <w:r w:rsidRPr="003D5718">
              <w:rPr>
                <w:b/>
              </w:rPr>
              <w:t>BAS=eba_BA:x10,IMS=eba_IM:x3,MCY=eba_MC:x251,RPR=eba_RP:x5</w:t>
            </w:r>
          </w:p>
        </w:tc>
      </w:tr>
      <w:tr w:rsidR="003D5718" w:rsidRPr="003D5718" w14:paraId="55B5EC55" w14:textId="77777777" w:rsidTr="00AA0EE8">
        <w:tc>
          <w:tcPr>
            <w:tcW w:w="1242" w:type="dxa"/>
          </w:tcPr>
          <w:p w14:paraId="55B5EC52" w14:textId="77777777" w:rsidR="003D5718" w:rsidRPr="003D5718" w:rsidRDefault="003D5718" w:rsidP="00AA0EE8">
            <w:pPr>
              <w:pStyle w:val="Tabledata"/>
              <w:rPr>
                <w:b/>
              </w:rPr>
            </w:pPr>
            <w:r w:rsidRPr="003D5718">
              <w:rPr>
                <w:b/>
              </w:rPr>
              <w:t>63002</w:t>
            </w:r>
          </w:p>
        </w:tc>
        <w:tc>
          <w:tcPr>
            <w:tcW w:w="2764" w:type="dxa"/>
          </w:tcPr>
          <w:p w14:paraId="55B5EC53" w14:textId="77777777" w:rsidR="003D5718" w:rsidRPr="003D5718" w:rsidRDefault="003D5718" w:rsidP="00AA0EE8">
            <w:pPr>
              <w:pStyle w:val="Tabledata"/>
              <w:rPr>
                <w:b/>
              </w:rPr>
            </w:pPr>
            <w:r w:rsidRPr="003D5718">
              <w:rPr>
                <w:b/>
              </w:rPr>
              <w:t>BAS1516IMS1801MCY2255RPR2676</w:t>
            </w:r>
          </w:p>
        </w:tc>
        <w:tc>
          <w:tcPr>
            <w:tcW w:w="5285" w:type="dxa"/>
          </w:tcPr>
          <w:p w14:paraId="55B5EC54" w14:textId="77777777" w:rsidR="003D5718" w:rsidRPr="003D5718" w:rsidRDefault="003D5718" w:rsidP="00AA0EE8">
            <w:pPr>
              <w:pStyle w:val="Tabledata"/>
              <w:rPr>
                <w:b/>
              </w:rPr>
            </w:pPr>
            <w:r w:rsidRPr="003D5718">
              <w:rPr>
                <w:b/>
              </w:rPr>
              <w:t>BAS=eba_BA:x10,IMS=eba_IM:x3,MCY=eba_MC:x251,RPR=eba_RP:x8</w:t>
            </w:r>
          </w:p>
        </w:tc>
      </w:tr>
      <w:tr w:rsidR="003D5718" w:rsidRPr="003D5718" w14:paraId="55B5EC59" w14:textId="77777777" w:rsidTr="00AA0EE8">
        <w:tc>
          <w:tcPr>
            <w:tcW w:w="1242" w:type="dxa"/>
          </w:tcPr>
          <w:p w14:paraId="55B5EC56" w14:textId="77777777" w:rsidR="003D5718" w:rsidRPr="003D5718" w:rsidRDefault="003D5718" w:rsidP="00AA0EE8">
            <w:pPr>
              <w:pStyle w:val="Tabledata"/>
              <w:rPr>
                <w:b/>
              </w:rPr>
            </w:pPr>
            <w:r w:rsidRPr="003D5718">
              <w:rPr>
                <w:b/>
              </w:rPr>
              <w:t>63003</w:t>
            </w:r>
          </w:p>
        </w:tc>
        <w:tc>
          <w:tcPr>
            <w:tcW w:w="2764" w:type="dxa"/>
          </w:tcPr>
          <w:p w14:paraId="55B5EC57" w14:textId="77777777" w:rsidR="003D5718" w:rsidRPr="003D5718" w:rsidRDefault="003D5718" w:rsidP="00AA0EE8">
            <w:pPr>
              <w:pStyle w:val="Tabledata"/>
              <w:rPr>
                <w:b/>
              </w:rPr>
            </w:pPr>
            <w:r w:rsidRPr="003D5718">
              <w:rPr>
                <w:b/>
              </w:rPr>
              <w:t>BAS1516IMS1801MCY2255RPR2679</w:t>
            </w:r>
          </w:p>
        </w:tc>
        <w:tc>
          <w:tcPr>
            <w:tcW w:w="5285" w:type="dxa"/>
          </w:tcPr>
          <w:p w14:paraId="55B5EC58" w14:textId="77777777" w:rsidR="003D5718" w:rsidRPr="003D5718" w:rsidRDefault="003D5718" w:rsidP="00AA0EE8">
            <w:pPr>
              <w:pStyle w:val="Tabledata"/>
              <w:rPr>
                <w:b/>
              </w:rPr>
            </w:pPr>
            <w:r w:rsidRPr="003D5718">
              <w:rPr>
                <w:b/>
              </w:rPr>
              <w:t>BAS=eba_BA:x10,IMS=eba_IM:x3,MCY=eba_MC:x251,RPR=eba_RP:x10</w:t>
            </w:r>
          </w:p>
        </w:tc>
      </w:tr>
      <w:tr w:rsidR="003D5718" w:rsidRPr="003D5718" w14:paraId="55B5EC5D" w14:textId="77777777" w:rsidTr="00AA0EE8">
        <w:tc>
          <w:tcPr>
            <w:tcW w:w="1242" w:type="dxa"/>
          </w:tcPr>
          <w:p w14:paraId="55B5EC5A" w14:textId="77777777" w:rsidR="003D5718" w:rsidRPr="003D5718" w:rsidRDefault="003D5718" w:rsidP="00AA0EE8">
            <w:pPr>
              <w:pStyle w:val="Tabledata"/>
              <w:rPr>
                <w:b/>
              </w:rPr>
            </w:pPr>
            <w:r w:rsidRPr="003D5718">
              <w:rPr>
                <w:b/>
              </w:rPr>
              <w:t>63004</w:t>
            </w:r>
          </w:p>
        </w:tc>
        <w:tc>
          <w:tcPr>
            <w:tcW w:w="2764" w:type="dxa"/>
          </w:tcPr>
          <w:p w14:paraId="55B5EC5B" w14:textId="77777777" w:rsidR="003D5718" w:rsidRPr="003D5718" w:rsidRDefault="003D5718" w:rsidP="00AA0EE8">
            <w:pPr>
              <w:pStyle w:val="Tabledata"/>
              <w:rPr>
                <w:b/>
              </w:rPr>
            </w:pPr>
            <w:r w:rsidRPr="003D5718">
              <w:rPr>
                <w:b/>
              </w:rPr>
              <w:t>BAS1516IMS1801MCY2255RPR2680</w:t>
            </w:r>
          </w:p>
        </w:tc>
        <w:tc>
          <w:tcPr>
            <w:tcW w:w="5285" w:type="dxa"/>
          </w:tcPr>
          <w:p w14:paraId="55B5EC5C" w14:textId="77777777" w:rsidR="003D5718" w:rsidRPr="003D5718" w:rsidRDefault="003D5718" w:rsidP="00AA0EE8">
            <w:pPr>
              <w:pStyle w:val="Tabledata"/>
              <w:rPr>
                <w:b/>
              </w:rPr>
            </w:pPr>
            <w:r w:rsidRPr="003D5718">
              <w:rPr>
                <w:b/>
              </w:rPr>
              <w:t>BAS=eba_BA:x10,IMS=eba_IM:x3,MCY=eba_MC:x251,RPR=eba_RP:x1</w:t>
            </w:r>
          </w:p>
        </w:tc>
      </w:tr>
    </w:tbl>
    <w:p w14:paraId="55B5EC5E" w14:textId="77777777" w:rsidR="00AC2556" w:rsidRPr="003D5718" w:rsidRDefault="00AC2556" w:rsidP="00AC2556"/>
    <w:p w14:paraId="55B5EC5F" w14:textId="77777777" w:rsidR="003D5718" w:rsidRDefault="003D5718" w:rsidP="003D5718">
      <w:r>
        <w:t>Missing Context Definition Entries:</w:t>
      </w:r>
    </w:p>
    <w:tbl>
      <w:tblPr>
        <w:tblStyle w:val="EBAtable"/>
        <w:tblW w:w="0" w:type="auto"/>
        <w:tblLook w:val="04A0" w:firstRow="1" w:lastRow="0" w:firstColumn="1" w:lastColumn="0" w:noHBand="0" w:noVBand="1"/>
      </w:tblPr>
      <w:tblGrid>
        <w:gridCol w:w="3097"/>
        <w:gridCol w:w="3097"/>
        <w:gridCol w:w="3097"/>
      </w:tblGrid>
      <w:tr w:rsidR="003D5718" w:rsidRPr="005A77ED" w14:paraId="55B5EC63" w14:textId="77777777" w:rsidTr="00AA0EE8">
        <w:trPr>
          <w:cnfStyle w:val="100000000000" w:firstRow="1" w:lastRow="0" w:firstColumn="0" w:lastColumn="0" w:oddVBand="0" w:evenVBand="0" w:oddHBand="0" w:evenHBand="0" w:firstRowFirstColumn="0" w:firstRowLastColumn="0" w:lastRowFirstColumn="0" w:lastRowLastColumn="0"/>
        </w:trPr>
        <w:tc>
          <w:tcPr>
            <w:tcW w:w="3097" w:type="dxa"/>
          </w:tcPr>
          <w:p w14:paraId="55B5EC60" w14:textId="77777777" w:rsidR="003D5718" w:rsidRPr="005A77ED" w:rsidRDefault="003D5718" w:rsidP="00AA0EE8">
            <w:pPr>
              <w:pStyle w:val="Tableheader"/>
            </w:pPr>
            <w:r w:rsidRPr="005A77ED">
              <w:t>ContextID</w:t>
            </w:r>
          </w:p>
        </w:tc>
        <w:tc>
          <w:tcPr>
            <w:tcW w:w="3097" w:type="dxa"/>
          </w:tcPr>
          <w:p w14:paraId="55B5EC61" w14:textId="77777777" w:rsidR="003D5718" w:rsidRPr="005A77ED" w:rsidRDefault="003D5718" w:rsidP="00AA0EE8">
            <w:pPr>
              <w:pStyle w:val="Tableheader"/>
            </w:pPr>
            <w:r w:rsidRPr="005A77ED">
              <w:t>DimensionID</w:t>
            </w:r>
          </w:p>
        </w:tc>
        <w:tc>
          <w:tcPr>
            <w:tcW w:w="3097" w:type="dxa"/>
          </w:tcPr>
          <w:p w14:paraId="55B5EC62" w14:textId="77777777" w:rsidR="003D5718" w:rsidRPr="005A77ED" w:rsidRDefault="003D5718" w:rsidP="00AA0EE8">
            <w:pPr>
              <w:pStyle w:val="Tableheader"/>
            </w:pPr>
            <w:r w:rsidRPr="005A77ED">
              <w:t>MemberID</w:t>
            </w:r>
          </w:p>
        </w:tc>
      </w:tr>
      <w:tr w:rsidR="003D5718" w:rsidRPr="005A77ED" w14:paraId="55B5EC67" w14:textId="77777777" w:rsidTr="00AA0EE8">
        <w:tc>
          <w:tcPr>
            <w:tcW w:w="3097" w:type="dxa"/>
          </w:tcPr>
          <w:p w14:paraId="55B5EC64" w14:textId="77777777" w:rsidR="003D5718" w:rsidRPr="005A77ED" w:rsidRDefault="003D5718" w:rsidP="00AA0EE8">
            <w:pPr>
              <w:pStyle w:val="Tabledata"/>
            </w:pPr>
            <w:r w:rsidRPr="005A77ED">
              <w:t>63000</w:t>
            </w:r>
          </w:p>
        </w:tc>
        <w:tc>
          <w:tcPr>
            <w:tcW w:w="3097" w:type="dxa"/>
          </w:tcPr>
          <w:p w14:paraId="55B5EC65" w14:textId="77777777" w:rsidR="003D5718" w:rsidRPr="005A77ED" w:rsidRDefault="003D5718" w:rsidP="00AA0EE8">
            <w:pPr>
              <w:pStyle w:val="Tabledata"/>
            </w:pPr>
            <w:r w:rsidRPr="005A77ED">
              <w:t>110</w:t>
            </w:r>
          </w:p>
        </w:tc>
        <w:tc>
          <w:tcPr>
            <w:tcW w:w="3097" w:type="dxa"/>
          </w:tcPr>
          <w:p w14:paraId="55B5EC66" w14:textId="77777777" w:rsidR="003D5718" w:rsidRPr="005A77ED" w:rsidRDefault="003D5718" w:rsidP="00AA0EE8">
            <w:pPr>
              <w:pStyle w:val="Tabledata"/>
            </w:pPr>
            <w:r w:rsidRPr="005A77ED">
              <w:t>1516</w:t>
            </w:r>
          </w:p>
        </w:tc>
      </w:tr>
      <w:tr w:rsidR="003D5718" w:rsidRPr="005A77ED" w14:paraId="55B5EC6B" w14:textId="77777777" w:rsidTr="00AA0EE8">
        <w:tc>
          <w:tcPr>
            <w:tcW w:w="3097" w:type="dxa"/>
          </w:tcPr>
          <w:p w14:paraId="55B5EC68" w14:textId="77777777" w:rsidR="003D5718" w:rsidRPr="005A77ED" w:rsidRDefault="003D5718" w:rsidP="00AA0EE8">
            <w:pPr>
              <w:pStyle w:val="Tabledata"/>
            </w:pPr>
            <w:r w:rsidRPr="005A77ED">
              <w:t>63000</w:t>
            </w:r>
          </w:p>
        </w:tc>
        <w:tc>
          <w:tcPr>
            <w:tcW w:w="3097" w:type="dxa"/>
          </w:tcPr>
          <w:p w14:paraId="55B5EC69" w14:textId="77777777" w:rsidR="003D5718" w:rsidRPr="005A77ED" w:rsidRDefault="003D5718" w:rsidP="00AA0EE8">
            <w:pPr>
              <w:pStyle w:val="Tabledata"/>
            </w:pPr>
            <w:r w:rsidRPr="005A77ED">
              <w:t>120</w:t>
            </w:r>
          </w:p>
        </w:tc>
        <w:tc>
          <w:tcPr>
            <w:tcW w:w="3097" w:type="dxa"/>
          </w:tcPr>
          <w:p w14:paraId="55B5EC6A" w14:textId="77777777" w:rsidR="003D5718" w:rsidRPr="005A77ED" w:rsidRDefault="003D5718" w:rsidP="00AA0EE8">
            <w:pPr>
              <w:pStyle w:val="Tabledata"/>
            </w:pPr>
            <w:r w:rsidRPr="005A77ED">
              <w:t>2255</w:t>
            </w:r>
          </w:p>
        </w:tc>
      </w:tr>
      <w:tr w:rsidR="003D5718" w:rsidRPr="005A77ED" w14:paraId="55B5EC6F" w14:textId="77777777" w:rsidTr="00AA0EE8">
        <w:tc>
          <w:tcPr>
            <w:tcW w:w="3097" w:type="dxa"/>
          </w:tcPr>
          <w:p w14:paraId="55B5EC6C" w14:textId="77777777" w:rsidR="003D5718" w:rsidRPr="005A77ED" w:rsidRDefault="003D5718" w:rsidP="00AA0EE8">
            <w:pPr>
              <w:pStyle w:val="Tabledata"/>
            </w:pPr>
            <w:r w:rsidRPr="005A77ED">
              <w:t>63000</w:t>
            </w:r>
          </w:p>
        </w:tc>
        <w:tc>
          <w:tcPr>
            <w:tcW w:w="3097" w:type="dxa"/>
          </w:tcPr>
          <w:p w14:paraId="55B5EC6D" w14:textId="77777777" w:rsidR="003D5718" w:rsidRPr="005A77ED" w:rsidRDefault="003D5718" w:rsidP="00AA0EE8">
            <w:pPr>
              <w:pStyle w:val="Tabledata"/>
            </w:pPr>
            <w:r w:rsidRPr="005A77ED">
              <w:t>390</w:t>
            </w:r>
          </w:p>
        </w:tc>
        <w:tc>
          <w:tcPr>
            <w:tcW w:w="3097" w:type="dxa"/>
          </w:tcPr>
          <w:p w14:paraId="55B5EC6E" w14:textId="77777777" w:rsidR="003D5718" w:rsidRPr="005A77ED" w:rsidRDefault="003D5718" w:rsidP="00AA0EE8">
            <w:pPr>
              <w:pStyle w:val="Tabledata"/>
            </w:pPr>
            <w:r w:rsidRPr="005A77ED">
              <w:t>1801</w:t>
            </w:r>
          </w:p>
        </w:tc>
      </w:tr>
      <w:tr w:rsidR="003D5718" w:rsidRPr="005A77ED" w14:paraId="55B5EC73" w14:textId="77777777" w:rsidTr="00AA0EE8">
        <w:tc>
          <w:tcPr>
            <w:tcW w:w="3097" w:type="dxa"/>
          </w:tcPr>
          <w:p w14:paraId="55B5EC70" w14:textId="77777777" w:rsidR="003D5718" w:rsidRPr="005A77ED" w:rsidRDefault="003D5718" w:rsidP="00AA0EE8">
            <w:pPr>
              <w:pStyle w:val="Tabledata"/>
            </w:pPr>
            <w:r w:rsidRPr="005A77ED">
              <w:t>63000</w:t>
            </w:r>
          </w:p>
        </w:tc>
        <w:tc>
          <w:tcPr>
            <w:tcW w:w="3097" w:type="dxa"/>
          </w:tcPr>
          <w:p w14:paraId="55B5EC71" w14:textId="77777777" w:rsidR="003D5718" w:rsidRPr="005A77ED" w:rsidRDefault="003D5718" w:rsidP="00AA0EE8">
            <w:pPr>
              <w:pStyle w:val="Tabledata"/>
            </w:pPr>
            <w:r w:rsidRPr="005A77ED">
              <w:t>525</w:t>
            </w:r>
          </w:p>
        </w:tc>
        <w:tc>
          <w:tcPr>
            <w:tcW w:w="3097" w:type="dxa"/>
          </w:tcPr>
          <w:p w14:paraId="55B5EC72" w14:textId="77777777" w:rsidR="003D5718" w:rsidRPr="005A77ED" w:rsidRDefault="003D5718" w:rsidP="00AA0EE8">
            <w:pPr>
              <w:pStyle w:val="Tabledata"/>
            </w:pPr>
            <w:r w:rsidRPr="005A77ED">
              <w:t>2672</w:t>
            </w:r>
          </w:p>
        </w:tc>
      </w:tr>
      <w:tr w:rsidR="003D5718" w:rsidRPr="005A77ED" w14:paraId="55B5EC77" w14:textId="77777777" w:rsidTr="00AA0EE8">
        <w:tc>
          <w:tcPr>
            <w:tcW w:w="3097" w:type="dxa"/>
          </w:tcPr>
          <w:p w14:paraId="55B5EC74" w14:textId="77777777" w:rsidR="003D5718" w:rsidRPr="005A77ED" w:rsidRDefault="003D5718" w:rsidP="00AA0EE8">
            <w:pPr>
              <w:pStyle w:val="Tabledata"/>
            </w:pPr>
            <w:r w:rsidRPr="005A77ED">
              <w:t>63001</w:t>
            </w:r>
          </w:p>
        </w:tc>
        <w:tc>
          <w:tcPr>
            <w:tcW w:w="3097" w:type="dxa"/>
          </w:tcPr>
          <w:p w14:paraId="55B5EC75" w14:textId="77777777" w:rsidR="003D5718" w:rsidRPr="005A77ED" w:rsidRDefault="003D5718" w:rsidP="00AA0EE8">
            <w:pPr>
              <w:pStyle w:val="Tabledata"/>
            </w:pPr>
            <w:r w:rsidRPr="005A77ED">
              <w:t>110</w:t>
            </w:r>
          </w:p>
        </w:tc>
        <w:tc>
          <w:tcPr>
            <w:tcW w:w="3097" w:type="dxa"/>
          </w:tcPr>
          <w:p w14:paraId="55B5EC76" w14:textId="77777777" w:rsidR="003D5718" w:rsidRPr="005A77ED" w:rsidRDefault="003D5718" w:rsidP="00AA0EE8">
            <w:pPr>
              <w:pStyle w:val="Tabledata"/>
            </w:pPr>
            <w:r w:rsidRPr="005A77ED">
              <w:t>1516</w:t>
            </w:r>
          </w:p>
        </w:tc>
      </w:tr>
      <w:tr w:rsidR="003D5718" w:rsidRPr="005A77ED" w14:paraId="55B5EC7B" w14:textId="77777777" w:rsidTr="00AA0EE8">
        <w:tc>
          <w:tcPr>
            <w:tcW w:w="3097" w:type="dxa"/>
          </w:tcPr>
          <w:p w14:paraId="55B5EC78" w14:textId="77777777" w:rsidR="003D5718" w:rsidRPr="005A77ED" w:rsidRDefault="003D5718" w:rsidP="00AA0EE8">
            <w:pPr>
              <w:pStyle w:val="Tabledata"/>
            </w:pPr>
            <w:r w:rsidRPr="005A77ED">
              <w:t>63001</w:t>
            </w:r>
          </w:p>
        </w:tc>
        <w:tc>
          <w:tcPr>
            <w:tcW w:w="3097" w:type="dxa"/>
          </w:tcPr>
          <w:p w14:paraId="55B5EC79" w14:textId="77777777" w:rsidR="003D5718" w:rsidRPr="005A77ED" w:rsidRDefault="003D5718" w:rsidP="00AA0EE8">
            <w:pPr>
              <w:pStyle w:val="Tabledata"/>
            </w:pPr>
            <w:r w:rsidRPr="005A77ED">
              <w:t>120</w:t>
            </w:r>
          </w:p>
        </w:tc>
        <w:tc>
          <w:tcPr>
            <w:tcW w:w="3097" w:type="dxa"/>
          </w:tcPr>
          <w:p w14:paraId="55B5EC7A" w14:textId="77777777" w:rsidR="003D5718" w:rsidRPr="005A77ED" w:rsidRDefault="003D5718" w:rsidP="00AA0EE8">
            <w:pPr>
              <w:pStyle w:val="Tabledata"/>
            </w:pPr>
            <w:r w:rsidRPr="005A77ED">
              <w:t>2255</w:t>
            </w:r>
          </w:p>
        </w:tc>
      </w:tr>
      <w:tr w:rsidR="003D5718" w:rsidRPr="005A77ED" w14:paraId="55B5EC7F" w14:textId="77777777" w:rsidTr="00AA0EE8">
        <w:tc>
          <w:tcPr>
            <w:tcW w:w="3097" w:type="dxa"/>
          </w:tcPr>
          <w:p w14:paraId="55B5EC7C" w14:textId="77777777" w:rsidR="003D5718" w:rsidRPr="005A77ED" w:rsidRDefault="003D5718" w:rsidP="00AA0EE8">
            <w:pPr>
              <w:pStyle w:val="Tabledata"/>
            </w:pPr>
            <w:r w:rsidRPr="005A77ED">
              <w:t>63001</w:t>
            </w:r>
          </w:p>
        </w:tc>
        <w:tc>
          <w:tcPr>
            <w:tcW w:w="3097" w:type="dxa"/>
          </w:tcPr>
          <w:p w14:paraId="55B5EC7D" w14:textId="77777777" w:rsidR="003D5718" w:rsidRPr="005A77ED" w:rsidRDefault="003D5718" w:rsidP="00AA0EE8">
            <w:pPr>
              <w:pStyle w:val="Tabledata"/>
            </w:pPr>
            <w:r w:rsidRPr="005A77ED">
              <w:t>390</w:t>
            </w:r>
          </w:p>
        </w:tc>
        <w:tc>
          <w:tcPr>
            <w:tcW w:w="3097" w:type="dxa"/>
          </w:tcPr>
          <w:p w14:paraId="55B5EC7E" w14:textId="77777777" w:rsidR="003D5718" w:rsidRPr="005A77ED" w:rsidRDefault="003D5718" w:rsidP="00AA0EE8">
            <w:pPr>
              <w:pStyle w:val="Tabledata"/>
            </w:pPr>
            <w:r w:rsidRPr="005A77ED">
              <w:t>1801</w:t>
            </w:r>
          </w:p>
        </w:tc>
      </w:tr>
      <w:tr w:rsidR="003D5718" w:rsidRPr="005A77ED" w14:paraId="55B5EC83" w14:textId="77777777" w:rsidTr="00AA0EE8">
        <w:tc>
          <w:tcPr>
            <w:tcW w:w="3097" w:type="dxa"/>
          </w:tcPr>
          <w:p w14:paraId="55B5EC80" w14:textId="77777777" w:rsidR="003D5718" w:rsidRPr="005A77ED" w:rsidRDefault="003D5718" w:rsidP="00AA0EE8">
            <w:pPr>
              <w:pStyle w:val="Tabledata"/>
            </w:pPr>
            <w:r w:rsidRPr="005A77ED">
              <w:t>63001</w:t>
            </w:r>
          </w:p>
        </w:tc>
        <w:tc>
          <w:tcPr>
            <w:tcW w:w="3097" w:type="dxa"/>
          </w:tcPr>
          <w:p w14:paraId="55B5EC81" w14:textId="77777777" w:rsidR="003D5718" w:rsidRPr="005A77ED" w:rsidRDefault="003D5718" w:rsidP="00AA0EE8">
            <w:pPr>
              <w:pStyle w:val="Tabledata"/>
            </w:pPr>
            <w:r w:rsidRPr="005A77ED">
              <w:t>525</w:t>
            </w:r>
          </w:p>
        </w:tc>
        <w:tc>
          <w:tcPr>
            <w:tcW w:w="3097" w:type="dxa"/>
          </w:tcPr>
          <w:p w14:paraId="55B5EC82" w14:textId="77777777" w:rsidR="003D5718" w:rsidRPr="005A77ED" w:rsidRDefault="003D5718" w:rsidP="00AA0EE8">
            <w:pPr>
              <w:pStyle w:val="Tabledata"/>
            </w:pPr>
            <w:r w:rsidRPr="005A77ED">
              <w:t>2673</w:t>
            </w:r>
          </w:p>
        </w:tc>
      </w:tr>
      <w:tr w:rsidR="003D5718" w:rsidRPr="005A77ED" w14:paraId="55B5EC87" w14:textId="77777777" w:rsidTr="00AA0EE8">
        <w:tc>
          <w:tcPr>
            <w:tcW w:w="3097" w:type="dxa"/>
          </w:tcPr>
          <w:p w14:paraId="55B5EC84" w14:textId="77777777" w:rsidR="003D5718" w:rsidRPr="005A77ED" w:rsidRDefault="003D5718" w:rsidP="00AA0EE8">
            <w:pPr>
              <w:pStyle w:val="Tabledata"/>
            </w:pPr>
            <w:r w:rsidRPr="005A77ED">
              <w:t>63002</w:t>
            </w:r>
          </w:p>
        </w:tc>
        <w:tc>
          <w:tcPr>
            <w:tcW w:w="3097" w:type="dxa"/>
          </w:tcPr>
          <w:p w14:paraId="55B5EC85" w14:textId="77777777" w:rsidR="003D5718" w:rsidRPr="005A77ED" w:rsidRDefault="003D5718" w:rsidP="00AA0EE8">
            <w:pPr>
              <w:pStyle w:val="Tabledata"/>
            </w:pPr>
            <w:r w:rsidRPr="005A77ED">
              <w:t>110</w:t>
            </w:r>
          </w:p>
        </w:tc>
        <w:tc>
          <w:tcPr>
            <w:tcW w:w="3097" w:type="dxa"/>
          </w:tcPr>
          <w:p w14:paraId="55B5EC86" w14:textId="77777777" w:rsidR="003D5718" w:rsidRPr="005A77ED" w:rsidRDefault="003D5718" w:rsidP="00AA0EE8">
            <w:pPr>
              <w:pStyle w:val="Tabledata"/>
            </w:pPr>
            <w:r w:rsidRPr="005A77ED">
              <w:t>1516</w:t>
            </w:r>
          </w:p>
        </w:tc>
      </w:tr>
      <w:tr w:rsidR="003D5718" w:rsidRPr="005A77ED" w14:paraId="55B5EC8B" w14:textId="77777777" w:rsidTr="00AA0EE8">
        <w:tc>
          <w:tcPr>
            <w:tcW w:w="3097" w:type="dxa"/>
          </w:tcPr>
          <w:p w14:paraId="55B5EC88" w14:textId="77777777" w:rsidR="003D5718" w:rsidRPr="005A77ED" w:rsidRDefault="003D5718" w:rsidP="00AA0EE8">
            <w:pPr>
              <w:pStyle w:val="Tabledata"/>
            </w:pPr>
            <w:r w:rsidRPr="005A77ED">
              <w:t>63002</w:t>
            </w:r>
          </w:p>
        </w:tc>
        <w:tc>
          <w:tcPr>
            <w:tcW w:w="3097" w:type="dxa"/>
          </w:tcPr>
          <w:p w14:paraId="55B5EC89" w14:textId="77777777" w:rsidR="003D5718" w:rsidRPr="005A77ED" w:rsidRDefault="003D5718" w:rsidP="00AA0EE8">
            <w:pPr>
              <w:pStyle w:val="Tabledata"/>
            </w:pPr>
            <w:r w:rsidRPr="005A77ED">
              <w:t>120</w:t>
            </w:r>
          </w:p>
        </w:tc>
        <w:tc>
          <w:tcPr>
            <w:tcW w:w="3097" w:type="dxa"/>
          </w:tcPr>
          <w:p w14:paraId="55B5EC8A" w14:textId="77777777" w:rsidR="003D5718" w:rsidRPr="005A77ED" w:rsidRDefault="003D5718" w:rsidP="00AA0EE8">
            <w:pPr>
              <w:pStyle w:val="Tabledata"/>
            </w:pPr>
            <w:r w:rsidRPr="005A77ED">
              <w:t>2255</w:t>
            </w:r>
          </w:p>
        </w:tc>
      </w:tr>
      <w:tr w:rsidR="003D5718" w:rsidRPr="005A77ED" w14:paraId="55B5EC8F" w14:textId="77777777" w:rsidTr="00AA0EE8">
        <w:tc>
          <w:tcPr>
            <w:tcW w:w="3097" w:type="dxa"/>
          </w:tcPr>
          <w:p w14:paraId="55B5EC8C" w14:textId="77777777" w:rsidR="003D5718" w:rsidRPr="005A77ED" w:rsidRDefault="003D5718" w:rsidP="00AA0EE8">
            <w:pPr>
              <w:pStyle w:val="Tabledata"/>
            </w:pPr>
            <w:r w:rsidRPr="005A77ED">
              <w:t>63002</w:t>
            </w:r>
          </w:p>
        </w:tc>
        <w:tc>
          <w:tcPr>
            <w:tcW w:w="3097" w:type="dxa"/>
          </w:tcPr>
          <w:p w14:paraId="55B5EC8D" w14:textId="77777777" w:rsidR="003D5718" w:rsidRPr="005A77ED" w:rsidRDefault="003D5718" w:rsidP="00AA0EE8">
            <w:pPr>
              <w:pStyle w:val="Tabledata"/>
            </w:pPr>
            <w:r w:rsidRPr="005A77ED">
              <w:t>390</w:t>
            </w:r>
          </w:p>
        </w:tc>
        <w:tc>
          <w:tcPr>
            <w:tcW w:w="3097" w:type="dxa"/>
          </w:tcPr>
          <w:p w14:paraId="55B5EC8E" w14:textId="77777777" w:rsidR="003D5718" w:rsidRPr="005A77ED" w:rsidRDefault="003D5718" w:rsidP="00AA0EE8">
            <w:pPr>
              <w:pStyle w:val="Tabledata"/>
            </w:pPr>
            <w:r w:rsidRPr="005A77ED">
              <w:t>1801</w:t>
            </w:r>
          </w:p>
        </w:tc>
      </w:tr>
      <w:tr w:rsidR="003D5718" w:rsidRPr="005A77ED" w14:paraId="55B5EC93" w14:textId="77777777" w:rsidTr="00AA0EE8">
        <w:tc>
          <w:tcPr>
            <w:tcW w:w="3097" w:type="dxa"/>
          </w:tcPr>
          <w:p w14:paraId="55B5EC90" w14:textId="77777777" w:rsidR="003D5718" w:rsidRPr="005A77ED" w:rsidRDefault="003D5718" w:rsidP="00AA0EE8">
            <w:pPr>
              <w:pStyle w:val="Tabledata"/>
            </w:pPr>
            <w:r w:rsidRPr="005A77ED">
              <w:t>63002</w:t>
            </w:r>
          </w:p>
        </w:tc>
        <w:tc>
          <w:tcPr>
            <w:tcW w:w="3097" w:type="dxa"/>
          </w:tcPr>
          <w:p w14:paraId="55B5EC91" w14:textId="77777777" w:rsidR="003D5718" w:rsidRPr="005A77ED" w:rsidRDefault="003D5718" w:rsidP="00AA0EE8">
            <w:pPr>
              <w:pStyle w:val="Tabledata"/>
            </w:pPr>
            <w:r w:rsidRPr="005A77ED">
              <w:t>525</w:t>
            </w:r>
          </w:p>
        </w:tc>
        <w:tc>
          <w:tcPr>
            <w:tcW w:w="3097" w:type="dxa"/>
          </w:tcPr>
          <w:p w14:paraId="55B5EC92" w14:textId="77777777" w:rsidR="003D5718" w:rsidRPr="005A77ED" w:rsidRDefault="003D5718" w:rsidP="00AA0EE8">
            <w:pPr>
              <w:pStyle w:val="Tabledata"/>
            </w:pPr>
            <w:r w:rsidRPr="005A77ED">
              <w:t>2676</w:t>
            </w:r>
          </w:p>
        </w:tc>
      </w:tr>
      <w:tr w:rsidR="003D5718" w:rsidRPr="005A77ED" w14:paraId="55B5EC97" w14:textId="77777777" w:rsidTr="00AA0EE8">
        <w:tc>
          <w:tcPr>
            <w:tcW w:w="3097" w:type="dxa"/>
          </w:tcPr>
          <w:p w14:paraId="55B5EC94" w14:textId="77777777" w:rsidR="003D5718" w:rsidRPr="005A77ED" w:rsidRDefault="003D5718" w:rsidP="00AA0EE8">
            <w:pPr>
              <w:pStyle w:val="Tabledata"/>
            </w:pPr>
            <w:r w:rsidRPr="005A77ED">
              <w:t>63003</w:t>
            </w:r>
          </w:p>
        </w:tc>
        <w:tc>
          <w:tcPr>
            <w:tcW w:w="3097" w:type="dxa"/>
          </w:tcPr>
          <w:p w14:paraId="55B5EC95" w14:textId="77777777" w:rsidR="003D5718" w:rsidRPr="005A77ED" w:rsidRDefault="003D5718" w:rsidP="00AA0EE8">
            <w:pPr>
              <w:pStyle w:val="Tabledata"/>
            </w:pPr>
            <w:r w:rsidRPr="005A77ED">
              <w:t>110</w:t>
            </w:r>
          </w:p>
        </w:tc>
        <w:tc>
          <w:tcPr>
            <w:tcW w:w="3097" w:type="dxa"/>
          </w:tcPr>
          <w:p w14:paraId="55B5EC96" w14:textId="77777777" w:rsidR="003D5718" w:rsidRPr="005A77ED" w:rsidRDefault="003D5718" w:rsidP="00AA0EE8">
            <w:pPr>
              <w:pStyle w:val="Tabledata"/>
            </w:pPr>
            <w:r w:rsidRPr="005A77ED">
              <w:t>1516</w:t>
            </w:r>
          </w:p>
        </w:tc>
      </w:tr>
      <w:tr w:rsidR="003D5718" w:rsidRPr="005A77ED" w14:paraId="55B5EC9B" w14:textId="77777777" w:rsidTr="00AA0EE8">
        <w:tc>
          <w:tcPr>
            <w:tcW w:w="3097" w:type="dxa"/>
          </w:tcPr>
          <w:p w14:paraId="55B5EC98" w14:textId="77777777" w:rsidR="003D5718" w:rsidRPr="005A77ED" w:rsidRDefault="003D5718" w:rsidP="00AA0EE8">
            <w:pPr>
              <w:pStyle w:val="Tabledata"/>
            </w:pPr>
            <w:r w:rsidRPr="005A77ED">
              <w:t>63003</w:t>
            </w:r>
          </w:p>
        </w:tc>
        <w:tc>
          <w:tcPr>
            <w:tcW w:w="3097" w:type="dxa"/>
          </w:tcPr>
          <w:p w14:paraId="55B5EC99" w14:textId="77777777" w:rsidR="003D5718" w:rsidRPr="005A77ED" w:rsidRDefault="003D5718" w:rsidP="00AA0EE8">
            <w:pPr>
              <w:pStyle w:val="Tabledata"/>
            </w:pPr>
            <w:r w:rsidRPr="005A77ED">
              <w:t>120</w:t>
            </w:r>
          </w:p>
        </w:tc>
        <w:tc>
          <w:tcPr>
            <w:tcW w:w="3097" w:type="dxa"/>
          </w:tcPr>
          <w:p w14:paraId="55B5EC9A" w14:textId="77777777" w:rsidR="003D5718" w:rsidRPr="005A77ED" w:rsidRDefault="003D5718" w:rsidP="00AA0EE8">
            <w:pPr>
              <w:pStyle w:val="Tabledata"/>
            </w:pPr>
            <w:r w:rsidRPr="005A77ED">
              <w:t>2255</w:t>
            </w:r>
          </w:p>
        </w:tc>
      </w:tr>
      <w:tr w:rsidR="003D5718" w:rsidRPr="005A77ED" w14:paraId="55B5EC9F" w14:textId="77777777" w:rsidTr="00AA0EE8">
        <w:tc>
          <w:tcPr>
            <w:tcW w:w="3097" w:type="dxa"/>
          </w:tcPr>
          <w:p w14:paraId="55B5EC9C" w14:textId="77777777" w:rsidR="003D5718" w:rsidRPr="005A77ED" w:rsidRDefault="003D5718" w:rsidP="00AA0EE8">
            <w:pPr>
              <w:pStyle w:val="Tabledata"/>
            </w:pPr>
            <w:r w:rsidRPr="005A77ED">
              <w:t>63003</w:t>
            </w:r>
          </w:p>
        </w:tc>
        <w:tc>
          <w:tcPr>
            <w:tcW w:w="3097" w:type="dxa"/>
          </w:tcPr>
          <w:p w14:paraId="55B5EC9D" w14:textId="77777777" w:rsidR="003D5718" w:rsidRPr="005A77ED" w:rsidRDefault="003D5718" w:rsidP="00AA0EE8">
            <w:pPr>
              <w:pStyle w:val="Tabledata"/>
            </w:pPr>
            <w:r w:rsidRPr="005A77ED">
              <w:t>390</w:t>
            </w:r>
          </w:p>
        </w:tc>
        <w:tc>
          <w:tcPr>
            <w:tcW w:w="3097" w:type="dxa"/>
          </w:tcPr>
          <w:p w14:paraId="55B5EC9E" w14:textId="77777777" w:rsidR="003D5718" w:rsidRPr="005A77ED" w:rsidRDefault="003D5718" w:rsidP="00AA0EE8">
            <w:pPr>
              <w:pStyle w:val="Tabledata"/>
            </w:pPr>
            <w:r w:rsidRPr="005A77ED">
              <w:t>1801</w:t>
            </w:r>
          </w:p>
        </w:tc>
      </w:tr>
      <w:tr w:rsidR="003D5718" w:rsidRPr="005A77ED" w14:paraId="55B5ECA3" w14:textId="77777777" w:rsidTr="00AA0EE8">
        <w:tc>
          <w:tcPr>
            <w:tcW w:w="3097" w:type="dxa"/>
          </w:tcPr>
          <w:p w14:paraId="55B5ECA0" w14:textId="77777777" w:rsidR="003D5718" w:rsidRPr="005A77ED" w:rsidRDefault="003D5718" w:rsidP="00AA0EE8">
            <w:pPr>
              <w:pStyle w:val="Tabledata"/>
            </w:pPr>
            <w:r w:rsidRPr="005A77ED">
              <w:t>63003</w:t>
            </w:r>
          </w:p>
        </w:tc>
        <w:tc>
          <w:tcPr>
            <w:tcW w:w="3097" w:type="dxa"/>
          </w:tcPr>
          <w:p w14:paraId="55B5ECA1" w14:textId="77777777" w:rsidR="003D5718" w:rsidRPr="005A77ED" w:rsidRDefault="003D5718" w:rsidP="00AA0EE8">
            <w:pPr>
              <w:pStyle w:val="Tabledata"/>
            </w:pPr>
            <w:r w:rsidRPr="005A77ED">
              <w:t>525</w:t>
            </w:r>
          </w:p>
        </w:tc>
        <w:tc>
          <w:tcPr>
            <w:tcW w:w="3097" w:type="dxa"/>
          </w:tcPr>
          <w:p w14:paraId="55B5ECA2" w14:textId="77777777" w:rsidR="003D5718" w:rsidRPr="005A77ED" w:rsidRDefault="003D5718" w:rsidP="00AA0EE8">
            <w:pPr>
              <w:pStyle w:val="Tabledata"/>
            </w:pPr>
            <w:r w:rsidRPr="005A77ED">
              <w:t>2679</w:t>
            </w:r>
          </w:p>
        </w:tc>
      </w:tr>
      <w:tr w:rsidR="003D5718" w:rsidRPr="005A77ED" w14:paraId="55B5ECA7" w14:textId="77777777" w:rsidTr="00AA0EE8">
        <w:tc>
          <w:tcPr>
            <w:tcW w:w="3097" w:type="dxa"/>
          </w:tcPr>
          <w:p w14:paraId="55B5ECA4" w14:textId="77777777" w:rsidR="003D5718" w:rsidRPr="005A77ED" w:rsidRDefault="003D5718" w:rsidP="00AA0EE8">
            <w:pPr>
              <w:pStyle w:val="Tabledata"/>
            </w:pPr>
            <w:r w:rsidRPr="005A77ED">
              <w:t>63004</w:t>
            </w:r>
          </w:p>
        </w:tc>
        <w:tc>
          <w:tcPr>
            <w:tcW w:w="3097" w:type="dxa"/>
          </w:tcPr>
          <w:p w14:paraId="55B5ECA5" w14:textId="77777777" w:rsidR="003D5718" w:rsidRPr="005A77ED" w:rsidRDefault="003D5718" w:rsidP="00AA0EE8">
            <w:pPr>
              <w:pStyle w:val="Tabledata"/>
            </w:pPr>
            <w:r w:rsidRPr="005A77ED">
              <w:t>110</w:t>
            </w:r>
          </w:p>
        </w:tc>
        <w:tc>
          <w:tcPr>
            <w:tcW w:w="3097" w:type="dxa"/>
          </w:tcPr>
          <w:p w14:paraId="55B5ECA6" w14:textId="77777777" w:rsidR="003D5718" w:rsidRPr="005A77ED" w:rsidRDefault="003D5718" w:rsidP="00AA0EE8">
            <w:pPr>
              <w:pStyle w:val="Tabledata"/>
            </w:pPr>
            <w:r w:rsidRPr="005A77ED">
              <w:t>1516</w:t>
            </w:r>
          </w:p>
        </w:tc>
      </w:tr>
      <w:tr w:rsidR="003D5718" w:rsidRPr="005A77ED" w14:paraId="55B5ECAB" w14:textId="77777777" w:rsidTr="00AA0EE8">
        <w:tc>
          <w:tcPr>
            <w:tcW w:w="3097" w:type="dxa"/>
          </w:tcPr>
          <w:p w14:paraId="55B5ECA8" w14:textId="77777777" w:rsidR="003D5718" w:rsidRPr="005A77ED" w:rsidRDefault="003D5718" w:rsidP="00AA0EE8">
            <w:pPr>
              <w:pStyle w:val="Tabledata"/>
            </w:pPr>
            <w:r w:rsidRPr="005A77ED">
              <w:t>63004</w:t>
            </w:r>
          </w:p>
        </w:tc>
        <w:tc>
          <w:tcPr>
            <w:tcW w:w="3097" w:type="dxa"/>
          </w:tcPr>
          <w:p w14:paraId="55B5ECA9" w14:textId="77777777" w:rsidR="003D5718" w:rsidRPr="005A77ED" w:rsidRDefault="003D5718" w:rsidP="00AA0EE8">
            <w:pPr>
              <w:pStyle w:val="Tabledata"/>
            </w:pPr>
            <w:r w:rsidRPr="005A77ED">
              <w:t>120</w:t>
            </w:r>
          </w:p>
        </w:tc>
        <w:tc>
          <w:tcPr>
            <w:tcW w:w="3097" w:type="dxa"/>
          </w:tcPr>
          <w:p w14:paraId="55B5ECAA" w14:textId="77777777" w:rsidR="003D5718" w:rsidRPr="005A77ED" w:rsidRDefault="003D5718" w:rsidP="00AA0EE8">
            <w:pPr>
              <w:pStyle w:val="Tabledata"/>
            </w:pPr>
            <w:r w:rsidRPr="005A77ED">
              <w:t>2255</w:t>
            </w:r>
          </w:p>
        </w:tc>
      </w:tr>
      <w:tr w:rsidR="003D5718" w:rsidRPr="005A77ED" w14:paraId="55B5ECAF" w14:textId="77777777" w:rsidTr="00AA0EE8">
        <w:tc>
          <w:tcPr>
            <w:tcW w:w="3097" w:type="dxa"/>
          </w:tcPr>
          <w:p w14:paraId="55B5ECAC" w14:textId="77777777" w:rsidR="003D5718" w:rsidRPr="005A77ED" w:rsidRDefault="003D5718" w:rsidP="00AA0EE8">
            <w:pPr>
              <w:pStyle w:val="Tabledata"/>
            </w:pPr>
            <w:r w:rsidRPr="005A77ED">
              <w:lastRenderedPageBreak/>
              <w:t>63004</w:t>
            </w:r>
          </w:p>
        </w:tc>
        <w:tc>
          <w:tcPr>
            <w:tcW w:w="3097" w:type="dxa"/>
          </w:tcPr>
          <w:p w14:paraId="55B5ECAD" w14:textId="77777777" w:rsidR="003D5718" w:rsidRPr="005A77ED" w:rsidRDefault="003D5718" w:rsidP="00AA0EE8">
            <w:pPr>
              <w:pStyle w:val="Tabledata"/>
            </w:pPr>
            <w:r w:rsidRPr="005A77ED">
              <w:t>390</w:t>
            </w:r>
          </w:p>
        </w:tc>
        <w:tc>
          <w:tcPr>
            <w:tcW w:w="3097" w:type="dxa"/>
          </w:tcPr>
          <w:p w14:paraId="55B5ECAE" w14:textId="77777777" w:rsidR="003D5718" w:rsidRPr="005A77ED" w:rsidRDefault="003D5718" w:rsidP="00AA0EE8">
            <w:pPr>
              <w:pStyle w:val="Tabledata"/>
            </w:pPr>
            <w:r w:rsidRPr="005A77ED">
              <w:t>1801</w:t>
            </w:r>
          </w:p>
        </w:tc>
      </w:tr>
      <w:tr w:rsidR="003D5718" w14:paraId="55B5ECB3" w14:textId="77777777" w:rsidTr="00AA0EE8">
        <w:tc>
          <w:tcPr>
            <w:tcW w:w="3097" w:type="dxa"/>
          </w:tcPr>
          <w:p w14:paraId="55B5ECB0" w14:textId="77777777" w:rsidR="003D5718" w:rsidRPr="005A77ED" w:rsidRDefault="003D5718" w:rsidP="00AA0EE8">
            <w:pPr>
              <w:pStyle w:val="Tabledata"/>
            </w:pPr>
            <w:r w:rsidRPr="005A77ED">
              <w:t>63004</w:t>
            </w:r>
          </w:p>
        </w:tc>
        <w:tc>
          <w:tcPr>
            <w:tcW w:w="3097" w:type="dxa"/>
          </w:tcPr>
          <w:p w14:paraId="55B5ECB1" w14:textId="77777777" w:rsidR="003D5718" w:rsidRPr="005A77ED" w:rsidRDefault="003D5718" w:rsidP="00AA0EE8">
            <w:pPr>
              <w:pStyle w:val="Tabledata"/>
            </w:pPr>
            <w:r w:rsidRPr="005A77ED">
              <w:t>525</w:t>
            </w:r>
          </w:p>
        </w:tc>
        <w:tc>
          <w:tcPr>
            <w:tcW w:w="3097" w:type="dxa"/>
          </w:tcPr>
          <w:p w14:paraId="55B5ECB2" w14:textId="77777777" w:rsidR="003D5718" w:rsidRPr="005A77ED" w:rsidRDefault="003D5718" w:rsidP="00AA0EE8">
            <w:pPr>
              <w:pStyle w:val="Tabledata"/>
            </w:pPr>
            <w:r w:rsidRPr="005A77ED">
              <w:t>2680</w:t>
            </w:r>
          </w:p>
        </w:tc>
      </w:tr>
    </w:tbl>
    <w:p w14:paraId="55B5ECB4" w14:textId="77777777" w:rsidR="003D5718" w:rsidRDefault="003D5718" w:rsidP="003D5718"/>
    <w:p w14:paraId="55B5ECB5" w14:textId="77777777" w:rsidR="003D5718" w:rsidRDefault="003D5718" w:rsidP="003D5718">
      <w:r>
        <w:t>Corrected ContextIDs for Data Point Versions:</w:t>
      </w:r>
    </w:p>
    <w:tbl>
      <w:tblPr>
        <w:tblStyle w:val="EBAtable"/>
        <w:tblW w:w="0" w:type="auto"/>
        <w:tblLook w:val="04A0" w:firstRow="1" w:lastRow="0" w:firstColumn="1" w:lastColumn="0" w:noHBand="0" w:noVBand="1"/>
      </w:tblPr>
      <w:tblGrid>
        <w:gridCol w:w="4645"/>
        <w:gridCol w:w="4646"/>
      </w:tblGrid>
      <w:tr w:rsidR="003D5718" w:rsidRPr="005A77ED" w14:paraId="55B5ECB8" w14:textId="77777777" w:rsidTr="000F3810">
        <w:trPr>
          <w:cnfStyle w:val="100000000000" w:firstRow="1" w:lastRow="0" w:firstColumn="0" w:lastColumn="0" w:oddVBand="0" w:evenVBand="0" w:oddHBand="0" w:evenHBand="0" w:firstRowFirstColumn="0" w:firstRowLastColumn="0" w:lastRowFirstColumn="0" w:lastRowLastColumn="0"/>
        </w:trPr>
        <w:tc>
          <w:tcPr>
            <w:tcW w:w="4645" w:type="dxa"/>
          </w:tcPr>
          <w:p w14:paraId="55B5ECB6" w14:textId="77777777" w:rsidR="003D5718" w:rsidRPr="005A77ED" w:rsidRDefault="003D5718" w:rsidP="00AA0EE8">
            <w:pPr>
              <w:pStyle w:val="Tableheader"/>
            </w:pPr>
            <w:r w:rsidRPr="005A77ED">
              <w:t>DataPointVID</w:t>
            </w:r>
          </w:p>
        </w:tc>
        <w:tc>
          <w:tcPr>
            <w:tcW w:w="4646" w:type="dxa"/>
          </w:tcPr>
          <w:p w14:paraId="55B5ECB7" w14:textId="77777777" w:rsidR="003D5718" w:rsidRPr="005A77ED" w:rsidRDefault="003D5718" w:rsidP="00AA0EE8">
            <w:pPr>
              <w:pStyle w:val="Tableheader"/>
            </w:pPr>
            <w:r w:rsidRPr="005A77ED">
              <w:t>ContextID</w:t>
            </w:r>
          </w:p>
        </w:tc>
      </w:tr>
      <w:tr w:rsidR="003D5718" w:rsidRPr="005A77ED" w14:paraId="55B5ECBB" w14:textId="77777777" w:rsidTr="000F3810">
        <w:tc>
          <w:tcPr>
            <w:tcW w:w="4645" w:type="dxa"/>
          </w:tcPr>
          <w:p w14:paraId="55B5ECB9" w14:textId="77777777" w:rsidR="003D5718" w:rsidRPr="005A77ED" w:rsidRDefault="003D5718" w:rsidP="00AA0EE8">
            <w:pPr>
              <w:pStyle w:val="Tabledata"/>
            </w:pPr>
            <w:r w:rsidRPr="005A77ED">
              <w:t>110964</w:t>
            </w:r>
          </w:p>
        </w:tc>
        <w:tc>
          <w:tcPr>
            <w:tcW w:w="4646" w:type="dxa"/>
          </w:tcPr>
          <w:p w14:paraId="55B5ECBA" w14:textId="77777777" w:rsidR="003D5718" w:rsidRPr="005A77ED" w:rsidRDefault="003D5718" w:rsidP="00AA0EE8">
            <w:pPr>
              <w:pStyle w:val="Tabledata"/>
            </w:pPr>
            <w:r w:rsidRPr="005A77ED">
              <w:t>63000</w:t>
            </w:r>
          </w:p>
        </w:tc>
      </w:tr>
      <w:tr w:rsidR="003D5718" w:rsidRPr="005A77ED" w14:paraId="55B5ECBE" w14:textId="77777777" w:rsidTr="000F3810">
        <w:tc>
          <w:tcPr>
            <w:tcW w:w="4645" w:type="dxa"/>
          </w:tcPr>
          <w:p w14:paraId="55B5ECBC" w14:textId="77777777" w:rsidR="003D5718" w:rsidRPr="005A77ED" w:rsidRDefault="003D5718" w:rsidP="00AA0EE8">
            <w:pPr>
              <w:pStyle w:val="Tabledata"/>
            </w:pPr>
            <w:r w:rsidRPr="005A77ED">
              <w:t>110965</w:t>
            </w:r>
          </w:p>
        </w:tc>
        <w:tc>
          <w:tcPr>
            <w:tcW w:w="4646" w:type="dxa"/>
          </w:tcPr>
          <w:p w14:paraId="55B5ECBD" w14:textId="77777777" w:rsidR="003D5718" w:rsidRPr="005A77ED" w:rsidRDefault="003D5718" w:rsidP="00AA0EE8">
            <w:pPr>
              <w:pStyle w:val="Tabledata"/>
            </w:pPr>
            <w:r w:rsidRPr="005A77ED">
              <w:t>63001</w:t>
            </w:r>
          </w:p>
        </w:tc>
      </w:tr>
      <w:tr w:rsidR="003D5718" w:rsidRPr="005A77ED" w14:paraId="55B5ECC1" w14:textId="77777777" w:rsidTr="000F3810">
        <w:tc>
          <w:tcPr>
            <w:tcW w:w="4645" w:type="dxa"/>
          </w:tcPr>
          <w:p w14:paraId="55B5ECBF" w14:textId="77777777" w:rsidR="003D5718" w:rsidRPr="005A77ED" w:rsidRDefault="003D5718" w:rsidP="00AA0EE8">
            <w:pPr>
              <w:pStyle w:val="Tabledata"/>
            </w:pPr>
            <w:r w:rsidRPr="005A77ED">
              <w:t>110966</w:t>
            </w:r>
          </w:p>
        </w:tc>
        <w:tc>
          <w:tcPr>
            <w:tcW w:w="4646" w:type="dxa"/>
          </w:tcPr>
          <w:p w14:paraId="55B5ECC0" w14:textId="77777777" w:rsidR="003D5718" w:rsidRPr="005A77ED" w:rsidRDefault="003D5718" w:rsidP="00AA0EE8">
            <w:pPr>
              <w:pStyle w:val="Tabledata"/>
            </w:pPr>
            <w:r w:rsidRPr="005A77ED">
              <w:t>63002</w:t>
            </w:r>
          </w:p>
        </w:tc>
      </w:tr>
      <w:tr w:rsidR="003D5718" w:rsidRPr="005A77ED" w14:paraId="55B5ECC4" w14:textId="77777777" w:rsidTr="000F3810">
        <w:tc>
          <w:tcPr>
            <w:tcW w:w="4645" w:type="dxa"/>
          </w:tcPr>
          <w:p w14:paraId="55B5ECC2" w14:textId="77777777" w:rsidR="003D5718" w:rsidRPr="005A77ED" w:rsidRDefault="003D5718" w:rsidP="00AA0EE8">
            <w:pPr>
              <w:pStyle w:val="Tabledata"/>
            </w:pPr>
            <w:r w:rsidRPr="005A77ED">
              <w:t>110967</w:t>
            </w:r>
          </w:p>
        </w:tc>
        <w:tc>
          <w:tcPr>
            <w:tcW w:w="4646" w:type="dxa"/>
          </w:tcPr>
          <w:p w14:paraId="55B5ECC3" w14:textId="77777777" w:rsidR="003D5718" w:rsidRPr="005A77ED" w:rsidRDefault="003D5718" w:rsidP="00AA0EE8">
            <w:pPr>
              <w:pStyle w:val="Tabledata"/>
            </w:pPr>
            <w:r w:rsidRPr="005A77ED">
              <w:t>63003</w:t>
            </w:r>
          </w:p>
        </w:tc>
      </w:tr>
      <w:tr w:rsidR="003D5718" w:rsidRPr="005A77ED" w14:paraId="55B5ECC7" w14:textId="77777777" w:rsidTr="000F3810">
        <w:tc>
          <w:tcPr>
            <w:tcW w:w="4645" w:type="dxa"/>
          </w:tcPr>
          <w:p w14:paraId="55B5ECC5" w14:textId="77777777" w:rsidR="003D5718" w:rsidRPr="005A77ED" w:rsidRDefault="003D5718" w:rsidP="00AA0EE8">
            <w:pPr>
              <w:pStyle w:val="Tabledata"/>
            </w:pPr>
            <w:r w:rsidRPr="005A77ED">
              <w:t>110968</w:t>
            </w:r>
          </w:p>
        </w:tc>
        <w:tc>
          <w:tcPr>
            <w:tcW w:w="4646" w:type="dxa"/>
          </w:tcPr>
          <w:p w14:paraId="55B5ECC6" w14:textId="77777777" w:rsidR="003D5718" w:rsidRPr="005A77ED" w:rsidRDefault="003D5718" w:rsidP="00AA0EE8">
            <w:pPr>
              <w:pStyle w:val="Tabledata"/>
            </w:pPr>
            <w:r w:rsidRPr="005A77ED">
              <w:t>63004</w:t>
            </w:r>
          </w:p>
        </w:tc>
      </w:tr>
    </w:tbl>
    <w:p w14:paraId="55B5ECC8" w14:textId="77777777" w:rsidR="00237B31" w:rsidRDefault="00237B31" w:rsidP="003D5718">
      <w:pPr>
        <w:pStyle w:val="Heading1"/>
        <w:rPr>
          <w:rFonts w:asciiTheme="minorHAnsi" w:eastAsiaTheme="minorEastAsia" w:hAnsiTheme="minorHAnsi" w:cstheme="minorBidi"/>
          <w:b w:val="0"/>
          <w:bCs w:val="0"/>
          <w:caps w:val="0"/>
          <w:color w:val="auto"/>
          <w:sz w:val="22"/>
          <w:szCs w:val="24"/>
        </w:rPr>
      </w:pPr>
    </w:p>
    <w:p w14:paraId="55B5ECC9" w14:textId="77777777" w:rsidR="003D5718" w:rsidRDefault="00237B31" w:rsidP="00237B31">
      <w:pPr>
        <w:pStyle w:val="Heading2"/>
      </w:pPr>
      <w:r w:rsidRPr="00237B31">
        <w:t>v2.1.0.1 (Taxonomy Bug fix)</w:t>
      </w:r>
      <w:r>
        <w:t xml:space="preserve"> </w:t>
      </w:r>
      <w:r w:rsidR="003D5718">
        <w:rPr>
          <w:rFonts w:ascii="Arial" w:hAnsi="Arial" w:cs="Arial"/>
          <w:color w:val="696969"/>
          <w:sz w:val="18"/>
          <w:szCs w:val="18"/>
          <w:shd w:val="clear" w:color="auto" w:fill="FFFFFF"/>
        </w:rPr>
        <w:t>(15/07/2014)</w:t>
      </w:r>
    </w:p>
    <w:p w14:paraId="55B5ECCA" w14:textId="77777777" w:rsidR="003D5718" w:rsidRDefault="003D5718" w:rsidP="003D5718"/>
    <w:p w14:paraId="55B5ECCB" w14:textId="77777777" w:rsidR="003D5718" w:rsidRDefault="003D5718" w:rsidP="003D5718">
      <w:r>
        <w:t>Sadly the previously published version included a technical error in the label files for the GA and CU hierarchies</w:t>
      </w:r>
      <w:r>
        <w:rPr>
          <w:rStyle w:val="FootnoteReference"/>
        </w:rPr>
        <w:footnoteReference w:id="26"/>
      </w:r>
      <w:r>
        <w:t>. As a result the taxonomy was not in fact valid XBRL.</w:t>
      </w:r>
    </w:p>
    <w:p w14:paraId="55B5ECCC" w14:textId="77777777" w:rsidR="003D5718" w:rsidRDefault="003D5718" w:rsidP="003D5718">
      <w:r>
        <w:t>This release replaces the dictionary package (eba_dict_2.1.0.1.zip) with one containing the corrected files (eba_dict_2.1.0.1.zip). The previous dictionary files should no longer be used, and eba_dict_2.1.0.1.zip (the files contained in it if not using the taxonomy package feature) must be used instead.</w:t>
      </w:r>
    </w:p>
    <w:p w14:paraId="55B5ECCD" w14:textId="77777777" w:rsidR="000378E5" w:rsidRDefault="00237B31" w:rsidP="00237B31">
      <w:pPr>
        <w:pStyle w:val="Heading2"/>
      </w:pPr>
      <w:r>
        <w:t>v2.1.0 (“2014/03” Package)</w:t>
      </w:r>
      <w:r w:rsidR="000378E5">
        <w:t xml:space="preserve"> </w:t>
      </w:r>
      <w:r w:rsidR="000F3810">
        <w:rPr>
          <w:rFonts w:ascii="Arial" w:hAnsi="Arial" w:cs="Arial"/>
          <w:color w:val="696969"/>
          <w:sz w:val="18"/>
          <w:szCs w:val="18"/>
          <w:shd w:val="clear" w:color="auto" w:fill="FFFFFF"/>
        </w:rPr>
        <w:t>(08/07/2014)</w:t>
      </w:r>
    </w:p>
    <w:p w14:paraId="55B5ECCE" w14:textId="77777777" w:rsidR="000378E5" w:rsidRDefault="000378E5" w:rsidP="00D515AE">
      <w:pPr>
        <w:pStyle w:val="Titlelevel2"/>
      </w:pPr>
      <w:r>
        <w:t>Arrangement into discrete “components” for distribution:</w:t>
      </w:r>
    </w:p>
    <w:p w14:paraId="55B5ECCF" w14:textId="77777777" w:rsidR="000378E5" w:rsidRPr="00953BEF" w:rsidRDefault="000378E5" w:rsidP="000378E5">
      <w:r>
        <w:t>The taxonomy has been packaged into discrete chunks to aid distribution, usage, and clarity of purpose and changes</w:t>
      </w:r>
      <w:r w:rsidR="00105BA1">
        <w:rPr>
          <w:rStyle w:val="FootnoteReference"/>
        </w:rPr>
        <w:footnoteReference w:id="27"/>
      </w:r>
      <w:r>
        <w:t xml:space="preserve">. The different chunks are </w:t>
      </w:r>
    </w:p>
    <w:p w14:paraId="55B5ECD0" w14:textId="77777777" w:rsidR="000378E5" w:rsidRDefault="000378E5" w:rsidP="00183058">
      <w:pPr>
        <w:pStyle w:val="ListParagraph"/>
        <w:numPr>
          <w:ilvl w:val="0"/>
          <w:numId w:val="8"/>
        </w:numPr>
      </w:pPr>
      <w:r>
        <w:t>(5 archives) Reporting Taxonomy versions (e.g. eba_corep_2.1.0.0.zip)</w:t>
      </w:r>
    </w:p>
    <w:p w14:paraId="55B5ECD1" w14:textId="77777777" w:rsidR="000378E5" w:rsidRDefault="000378E5" w:rsidP="00183058">
      <w:pPr>
        <w:pStyle w:val="ListParagraph"/>
        <w:numPr>
          <w:ilvl w:val="0"/>
          <w:numId w:val="8"/>
        </w:numPr>
      </w:pPr>
      <w:r>
        <w:t xml:space="preserve">(1 archive) Dictionary and EBA support files (files from the dict folder, ext/model.xsd, and fws.xsd, </w:t>
      </w:r>
      <w:r w:rsidRPr="00953BEF">
        <w:t>fws-lab-codes.xml</w:t>
      </w:r>
      <w:r>
        <w:t xml:space="preserve"> and fws-lab-en.xml from the fws folder in a single versioned eba_dict_2.1.0.0.zip)</w:t>
      </w:r>
    </w:p>
    <w:p w14:paraId="55B5ECD2" w14:textId="77777777" w:rsidR="000378E5" w:rsidRDefault="000378E5" w:rsidP="00183058">
      <w:pPr>
        <w:pStyle w:val="ListParagraph"/>
        <w:numPr>
          <w:ilvl w:val="0"/>
          <w:numId w:val="8"/>
        </w:numPr>
      </w:pPr>
      <w:r>
        <w:lastRenderedPageBreak/>
        <w:t>(2 archives) Non-EBA files supplied for purely convenience (file sets from eurofiling.info and xbrl.org)</w:t>
      </w:r>
      <w:r>
        <w:rPr>
          <w:rStyle w:val="FootnoteReference"/>
        </w:rPr>
        <w:footnoteReference w:id="28"/>
      </w:r>
      <w:r>
        <w:t>.</w:t>
      </w:r>
    </w:p>
    <w:p w14:paraId="55B5ECD3" w14:textId="77777777" w:rsidR="000378E5" w:rsidRDefault="000378E5" w:rsidP="000378E5"/>
    <w:p w14:paraId="55B5ECD4" w14:textId="77777777" w:rsidR="000378E5" w:rsidRDefault="007F2F4F" w:rsidP="000378E5">
      <w:r>
        <w:t xml:space="preserve">Each of the </w:t>
      </w:r>
      <w:r w:rsidR="000378E5">
        <w:t xml:space="preserve">Reporting taxonomy </w:t>
      </w:r>
      <w:r>
        <w:t xml:space="preserve">components, and the </w:t>
      </w:r>
      <w:r w:rsidR="000378E5">
        <w:t>dictionary component</w:t>
      </w:r>
      <w:r>
        <w:t>,</w:t>
      </w:r>
      <w:r w:rsidR="000378E5">
        <w:t xml:space="preserve"> are supplied as potential “taxonomy packages”, utilising the “Taxonomy Package 1.0 - Public Working Draft 15 January 2014” specification.</w:t>
      </w:r>
    </w:p>
    <w:p w14:paraId="55B5ECD5" w14:textId="77777777" w:rsidR="000378E5" w:rsidRDefault="000378E5" w:rsidP="000378E5">
      <w:r>
        <w:t>Dictionary components are intended to be incremental, such that later versions may be safely used in place of earlier versions (and are released on the website as “in place” updates/overwrites and additions).</w:t>
      </w:r>
    </w:p>
    <w:p w14:paraId="55B5ECD6" w14:textId="77777777" w:rsidR="000378E5" w:rsidRDefault="000378E5" w:rsidP="000378E5">
      <w:r>
        <w:t>Reporting taxonomy components reference, and so require (files from) the appropriate version (or later) of the dictionary component to also be available, so may not be usable offline as-is in all software. As always, taxonomy consumers are responsible for suitably configuring their particular XBRL software.</w:t>
      </w:r>
    </w:p>
    <w:p w14:paraId="55B5ECD7" w14:textId="77777777" w:rsidR="000378E5" w:rsidRDefault="000378E5" w:rsidP="000378E5">
      <w:r>
        <w:t>To recover the complete set of taxonomy files, simply extract/unzip all the components into the same location.</w:t>
      </w:r>
    </w:p>
    <w:p w14:paraId="55B5ECD8" w14:textId="77777777" w:rsidR="000378E5" w:rsidRDefault="000378E5" w:rsidP="00D515AE">
      <w:pPr>
        <w:pStyle w:val="Titlelevel2"/>
      </w:pPr>
      <w:r>
        <w:t>Change of semantics for versioning numbers:</w:t>
      </w:r>
    </w:p>
    <w:p w14:paraId="55B5ECD9" w14:textId="77777777" w:rsidR="000378E5" w:rsidRDefault="000378E5" w:rsidP="000378E5">
      <w:r>
        <w:t xml:space="preserve">Old System – a.b.c where: </w:t>
      </w:r>
    </w:p>
    <w:p w14:paraId="55B5ECDA" w14:textId="77777777" w:rsidR="000378E5" w:rsidRDefault="000378E5" w:rsidP="00183058">
      <w:pPr>
        <w:pStyle w:val="ListParagraph"/>
        <w:numPr>
          <w:ilvl w:val="0"/>
          <w:numId w:val="6"/>
        </w:numPr>
      </w:pPr>
      <w:r>
        <w:t>major breaking version (i.e. regulatory framework renewal or complete dictionary change)</w:t>
      </w:r>
    </w:p>
    <w:p w14:paraId="55B5ECDB" w14:textId="77777777" w:rsidR="000378E5" w:rsidRDefault="000378E5" w:rsidP="00183058">
      <w:pPr>
        <w:pStyle w:val="ListParagraph"/>
        <w:numPr>
          <w:ilvl w:val="0"/>
          <w:numId w:val="6"/>
        </w:numPr>
      </w:pPr>
      <w:r>
        <w:t>minor breaking version (i.e. new business content or corrections),</w:t>
      </w:r>
    </w:p>
    <w:p w14:paraId="55B5ECDC" w14:textId="77777777" w:rsidR="000378E5" w:rsidRDefault="000378E5" w:rsidP="00183058">
      <w:pPr>
        <w:pStyle w:val="ListParagraph"/>
        <w:numPr>
          <w:ilvl w:val="0"/>
          <w:numId w:val="6"/>
        </w:numPr>
      </w:pPr>
      <w:r>
        <w:t xml:space="preserve">non-breaking revision (primarily validation rule and label changes and technical level fixes) </w:t>
      </w:r>
    </w:p>
    <w:p w14:paraId="55B5ECDD" w14:textId="77777777" w:rsidR="000378E5" w:rsidRDefault="000378E5" w:rsidP="000378E5">
      <w:r>
        <w:t>New system a.b.c.d.e where:</w:t>
      </w:r>
    </w:p>
    <w:p w14:paraId="55B5ECDE" w14:textId="77777777" w:rsidR="000378E5" w:rsidRDefault="000378E5" w:rsidP="00183058">
      <w:pPr>
        <w:pStyle w:val="ListParagraph"/>
        <w:numPr>
          <w:ilvl w:val="0"/>
          <w:numId w:val="7"/>
        </w:numPr>
      </w:pPr>
      <w:r>
        <w:t>major breaking version (i.e. regulatory framework renewal or complete dictionary change)</w:t>
      </w:r>
    </w:p>
    <w:p w14:paraId="55B5ECDF" w14:textId="77777777" w:rsidR="000378E5" w:rsidRDefault="000378E5" w:rsidP="00183058">
      <w:pPr>
        <w:pStyle w:val="ListParagraph"/>
        <w:numPr>
          <w:ilvl w:val="0"/>
          <w:numId w:val="7"/>
        </w:numPr>
      </w:pPr>
      <w:r>
        <w:t>significant business content change (e.g. new templates) – breaking change</w:t>
      </w:r>
    </w:p>
    <w:p w14:paraId="55B5ECE0" w14:textId="77777777" w:rsidR="000378E5" w:rsidRDefault="000378E5" w:rsidP="00183058">
      <w:pPr>
        <w:pStyle w:val="ListParagraph"/>
        <w:numPr>
          <w:ilvl w:val="0"/>
          <w:numId w:val="7"/>
        </w:numPr>
      </w:pPr>
      <w:r>
        <w:t xml:space="preserve">minor breaking changes - business content corrections and technical corrections/changes </w:t>
      </w:r>
    </w:p>
    <w:p w14:paraId="55B5ECE1" w14:textId="77777777" w:rsidR="000378E5" w:rsidRDefault="000378E5" w:rsidP="00183058">
      <w:pPr>
        <w:pStyle w:val="ListParagraph"/>
        <w:numPr>
          <w:ilvl w:val="0"/>
          <w:numId w:val="7"/>
        </w:numPr>
      </w:pPr>
      <w:r>
        <w:t>non-breaking revisions (primarily validation rule and label changes and technical level fixes)</w:t>
      </w:r>
      <w:r>
        <w:rPr>
          <w:rStyle w:val="FootnoteReference"/>
        </w:rPr>
        <w:footnoteReference w:id="29"/>
      </w:r>
    </w:p>
    <w:p w14:paraId="55B5ECE2" w14:textId="77777777" w:rsidR="000378E5" w:rsidRDefault="000378E5" w:rsidP="00183058">
      <w:pPr>
        <w:pStyle w:val="ListParagraph"/>
        <w:numPr>
          <w:ilvl w:val="0"/>
          <w:numId w:val="7"/>
        </w:numPr>
      </w:pPr>
      <w:r>
        <w:t>possible modifier for internal and public working versions</w:t>
      </w:r>
      <w:r>
        <w:rPr>
          <w:rStyle w:val="FootnoteReference"/>
        </w:rPr>
        <w:footnoteReference w:id="30"/>
      </w:r>
      <w:r>
        <w:t xml:space="preserve"> </w:t>
      </w:r>
    </w:p>
    <w:p w14:paraId="55B5ECE3" w14:textId="77777777" w:rsidR="000378E5" w:rsidRDefault="000378E5" w:rsidP="000378E5">
      <w:r>
        <w:t xml:space="preserve">Where “breaking” is primarily defined as the capacity of XBRL systems to successfully </w:t>
      </w:r>
      <w:r w:rsidRPr="005E598F">
        <w:rPr>
          <w:u w:val="single"/>
        </w:rPr>
        <w:t>structurally</w:t>
      </w:r>
      <w:r>
        <w:t xml:space="preserve"> validate instance files based on either revision using either interchangeable.</w:t>
      </w:r>
    </w:p>
    <w:p w14:paraId="55B5ECE4" w14:textId="77777777" w:rsidR="000378E5" w:rsidRDefault="000378E5" w:rsidP="000378E5">
      <w:r>
        <w:t>The components of the composite taxonomy (dictionary and individual reporting taxonomy versions) are numbered individually based on this system.</w:t>
      </w:r>
    </w:p>
    <w:p w14:paraId="55B5ECE5" w14:textId="77777777" w:rsidR="00B107EE" w:rsidRDefault="00B107EE" w:rsidP="000378E5"/>
    <w:p w14:paraId="55B5ECE6" w14:textId="77777777" w:rsidR="00B107EE" w:rsidRDefault="00B107EE" w:rsidP="00D515AE">
      <w:pPr>
        <w:pStyle w:val="Titlelevel2"/>
      </w:pPr>
      <w:r>
        <w:t>DPM Changes</w:t>
      </w:r>
    </w:p>
    <w:p w14:paraId="55B5ECE7" w14:textId="77777777" w:rsidR="00B107EE" w:rsidRDefault="00B107EE" w:rsidP="00183058">
      <w:pPr>
        <w:pStyle w:val="ListParagraph"/>
        <w:numPr>
          <w:ilvl w:val="0"/>
          <w:numId w:val="5"/>
        </w:numPr>
      </w:pPr>
      <w:r>
        <w:t>Open axis of F34.00.c changed from column to sheet as per Consultation feedback</w:t>
      </w:r>
    </w:p>
    <w:p w14:paraId="55B5ECE8" w14:textId="77777777" w:rsidR="00B107EE" w:rsidRDefault="00B107EE" w:rsidP="00183058">
      <w:pPr>
        <w:pStyle w:val="ListParagraph"/>
        <w:numPr>
          <w:ilvl w:val="0"/>
          <w:numId w:val="5"/>
        </w:numPr>
      </w:pPr>
      <w:r>
        <w:t>Hierarchies CU3 and GA5 replaced by CU3_1 and GA5_1 respectively. GA5_1 contains "Other Countries", CU3_1 contains "Other Currencies" (not currently to be used).</w:t>
      </w:r>
    </w:p>
    <w:p w14:paraId="55B5ECE9" w14:textId="77777777" w:rsidR="00B107EE" w:rsidRDefault="00B107EE" w:rsidP="00183058">
      <w:pPr>
        <w:pStyle w:val="ListParagraph"/>
        <w:numPr>
          <w:ilvl w:val="0"/>
          <w:numId w:val="5"/>
        </w:numPr>
      </w:pPr>
      <w:r>
        <w:t>Adjusted hierarchy in GA4 to indicate that non-geographic entities fall under/form part of "Other Countries"</w:t>
      </w:r>
    </w:p>
    <w:p w14:paraId="55B5ECEA" w14:textId="77777777" w:rsidR="00B107EE" w:rsidRDefault="00B107EE" w:rsidP="00183058">
      <w:pPr>
        <w:pStyle w:val="ListParagraph"/>
        <w:numPr>
          <w:ilvl w:val="0"/>
          <w:numId w:val="5"/>
        </w:numPr>
      </w:pPr>
      <w:r>
        <w:t>Removed erroneous restrictions on rows 320-340, col 110 on F 19.00.a (as reported in Public Consultation)</w:t>
      </w:r>
    </w:p>
    <w:p w14:paraId="55B5ECEB" w14:textId="77777777" w:rsidR="00B107EE" w:rsidRDefault="00B107EE" w:rsidP="00183058">
      <w:pPr>
        <w:pStyle w:val="ListParagraph"/>
        <w:numPr>
          <w:ilvl w:val="0"/>
          <w:numId w:val="5"/>
        </w:numPr>
      </w:pPr>
      <w:r>
        <w:lastRenderedPageBreak/>
        <w:t>Added missing restrictions on rows 020-440, col 037 on F 08.01.a (as reported in Public Consultation)</w:t>
      </w:r>
    </w:p>
    <w:p w14:paraId="55B5ECEC" w14:textId="77777777" w:rsidR="00B107EE" w:rsidRDefault="00B107EE" w:rsidP="00183058">
      <w:pPr>
        <w:pStyle w:val="ListParagraph"/>
        <w:numPr>
          <w:ilvl w:val="0"/>
          <w:numId w:val="5"/>
        </w:numPr>
      </w:pPr>
      <w:r>
        <w:t>Added missing restrictions on rows 020 and 030, column 022 in F 20.5</w:t>
      </w:r>
    </w:p>
    <w:p w14:paraId="55B5ECED" w14:textId="77777777" w:rsidR="00B107EE" w:rsidRDefault="00B107EE" w:rsidP="00183058">
      <w:pPr>
        <w:pStyle w:val="ListParagraph"/>
        <w:numPr>
          <w:ilvl w:val="0"/>
          <w:numId w:val="5"/>
        </w:numPr>
      </w:pPr>
      <w:r>
        <w:t>Label for F 18 column 070 changed from "…past-due &lt; 90" to "…past-due &lt;= 90"</w:t>
      </w:r>
    </w:p>
    <w:p w14:paraId="55B5ECEE" w14:textId="77777777" w:rsidR="00B107EE" w:rsidRDefault="00B107EE" w:rsidP="00183058">
      <w:pPr>
        <w:pStyle w:val="ListParagraph"/>
        <w:numPr>
          <w:ilvl w:val="0"/>
          <w:numId w:val="5"/>
        </w:numPr>
      </w:pPr>
      <w:r>
        <w:t>Additional attributes applied to column 170 in tables F 19 and F 18 to distinguish the data in these columns (as reported in Public Consultation)</w:t>
      </w:r>
    </w:p>
    <w:p w14:paraId="55B5ECEF" w14:textId="77777777" w:rsidR="00B107EE" w:rsidRDefault="00B107EE" w:rsidP="00183058">
      <w:pPr>
        <w:pStyle w:val="ListParagraph"/>
        <w:numPr>
          <w:ilvl w:val="0"/>
          <w:numId w:val="5"/>
        </w:numPr>
      </w:pPr>
      <w:r>
        <w:t>DB - Addition of (3rd) CellPosition records (for ordinate with code "999") for cells (on tables with) with open z axes. Inclusion of DPM table layout queries, removal of erroneous out-of-date queries.</w:t>
      </w:r>
    </w:p>
    <w:p w14:paraId="55B5ECF0" w14:textId="77777777" w:rsidR="00B107EE" w:rsidRDefault="00B107EE" w:rsidP="00183058">
      <w:pPr>
        <w:pStyle w:val="ListParagraph"/>
        <w:numPr>
          <w:ilvl w:val="0"/>
          <w:numId w:val="5"/>
        </w:numPr>
      </w:pPr>
      <w:r>
        <w:t>ContextOfDataPoints table now indicates whether the “default member”  is allowed for open dimensions (a default member does not appear in the XBRL context, so can cause complexity when mapping these datapoints if not expected) – Contextkey field includes “???” instead of “999” where the default member is allowed, XBRL context key includes “?” instead of “*”.</w:t>
      </w:r>
    </w:p>
    <w:p w14:paraId="55B5ECF1" w14:textId="77777777" w:rsidR="00B107EE" w:rsidRDefault="00B107EE" w:rsidP="00183058">
      <w:pPr>
        <w:pStyle w:val="ListParagraph"/>
        <w:numPr>
          <w:ilvl w:val="0"/>
          <w:numId w:val="5"/>
        </w:numPr>
      </w:pPr>
      <w:r>
        <w:t>More explicitly indicate which open axis tables the “All” member is allowed (only C 15).</w:t>
      </w:r>
    </w:p>
    <w:p w14:paraId="55B5ECF2" w14:textId="77777777" w:rsidR="00B107EE" w:rsidRDefault="00B107EE" w:rsidP="00183058">
      <w:pPr>
        <w:pStyle w:val="ListParagraph"/>
        <w:numPr>
          <w:ilvl w:val="0"/>
          <w:numId w:val="5"/>
        </w:numPr>
      </w:pPr>
      <w:r>
        <w:t>Concepts added for hierarchyNodes so as to indicate currency period (i.e. “from” and “to” dates for changes)</w:t>
      </w:r>
    </w:p>
    <w:p w14:paraId="55B5ECF3" w14:textId="77777777" w:rsidR="00B107EE" w:rsidRDefault="00B107EE" w:rsidP="00237B31">
      <w:pPr>
        <w:pStyle w:val="Titlelevel3"/>
      </w:pPr>
      <w:r>
        <w:t>Known Issues:</w:t>
      </w:r>
    </w:p>
    <w:p w14:paraId="55B5ECF4" w14:textId="77777777" w:rsidR="00B107EE" w:rsidRDefault="00B107EE" w:rsidP="00183058">
      <w:pPr>
        <w:pStyle w:val="ListParagraph"/>
        <w:numPr>
          <w:ilvl w:val="0"/>
          <w:numId w:val="5"/>
        </w:numPr>
      </w:pPr>
      <w:r>
        <w:t xml:space="preserve">C 06.00 Group Solvency - the Excel "template" includes a first line total section which is not represented in the DPM or XBRL reporting. Data for this line is not to be reported. </w:t>
      </w:r>
    </w:p>
    <w:p w14:paraId="55B5ECF5" w14:textId="77777777" w:rsidR="00B107EE" w:rsidRDefault="00B107EE" w:rsidP="00183058">
      <w:pPr>
        <w:pStyle w:val="ListParagraph"/>
        <w:numPr>
          <w:ilvl w:val="0"/>
          <w:numId w:val="5"/>
        </w:numPr>
      </w:pPr>
      <w:r>
        <w:t>Data type of C 14.00 column 180 ("Number of Exposures" is integer, not text or enumeration as implied by instructions ("institution shall report the letter code according to the relevant interval: (a) N&lt;6; (b) 6=N&lt;34 (c) 34=N&lt;=100; (d) 100&lt;N&lt;=1000; (e) N&gt;1000."). Institutions should report exact numbers of exposures rather than letter codes. The instructions will be changed in the near future.</w:t>
      </w:r>
    </w:p>
    <w:p w14:paraId="55B5ECF6" w14:textId="77777777" w:rsidR="00B107EE" w:rsidRDefault="00B107EE" w:rsidP="00183058">
      <w:pPr>
        <w:pStyle w:val="ListParagraph"/>
        <w:numPr>
          <w:ilvl w:val="0"/>
          <w:numId w:val="5"/>
        </w:numPr>
      </w:pPr>
      <w:r>
        <w:t>Hierarchies GA1, GA2 and GA3 are not currently used anywhere</w:t>
      </w:r>
    </w:p>
    <w:p w14:paraId="55B5ECF7" w14:textId="77777777" w:rsidR="00B107EE" w:rsidRDefault="00B107EE" w:rsidP="00D515AE">
      <w:pPr>
        <w:pStyle w:val="Titlelevel2"/>
      </w:pPr>
      <w:r>
        <w:t>Other Taxonomy Changes</w:t>
      </w:r>
    </w:p>
    <w:p w14:paraId="55B5ECF8" w14:textId="77777777" w:rsidR="00B107EE" w:rsidRDefault="00B107EE" w:rsidP="00D515AE">
      <w:pPr>
        <w:pStyle w:val="Titlelevel3"/>
      </w:pPr>
      <w:r>
        <w:t>Bug Fixes:</w:t>
      </w:r>
    </w:p>
    <w:p w14:paraId="55B5ECF9" w14:textId="77777777" w:rsidR="00B107EE" w:rsidRDefault="00B107EE" w:rsidP="00183058">
      <w:pPr>
        <w:pStyle w:val="ListParagraph"/>
        <w:numPr>
          <w:ilvl w:val="0"/>
          <w:numId w:val="5"/>
        </w:numPr>
      </w:pPr>
      <w:r>
        <w:t xml:space="preserve">New Eurofiling interval arithmetic file included, corrects </w:t>
      </w:r>
      <w:r w:rsidRPr="00BC2D1D">
        <w:t>calculation of threshold for product and division where operands are of different sign</w:t>
      </w:r>
    </w:p>
    <w:p w14:paraId="55B5ECFA" w14:textId="77777777" w:rsidR="00B107EE" w:rsidRDefault="00B107EE" w:rsidP="00183058">
      <w:pPr>
        <w:pStyle w:val="ListParagraph"/>
        <w:numPr>
          <w:ilvl w:val="0"/>
          <w:numId w:val="5"/>
        </w:numPr>
      </w:pPr>
      <w:r>
        <w:t>Systematic mapping error for sums over an open axis in validation rules corrected (several rules reactivated as a result)</w:t>
      </w:r>
    </w:p>
    <w:p w14:paraId="55B5ECFB" w14:textId="77777777" w:rsidR="00B107EE" w:rsidRDefault="00B107EE" w:rsidP="00183058">
      <w:pPr>
        <w:pStyle w:val="ListParagraph"/>
        <w:numPr>
          <w:ilvl w:val="0"/>
          <w:numId w:val="5"/>
        </w:numPr>
      </w:pPr>
      <w:r>
        <w:t>Incorrect inclusion of some tables in modules via incorrectly defined assertion sets corrected.</w:t>
      </w:r>
    </w:p>
    <w:p w14:paraId="55B5ECFC" w14:textId="77777777" w:rsidR="00B107EE" w:rsidRDefault="00B107EE" w:rsidP="00183058">
      <w:pPr>
        <w:pStyle w:val="ListParagraph"/>
        <w:numPr>
          <w:ilvl w:val="0"/>
          <w:numId w:val="5"/>
        </w:numPr>
      </w:pPr>
      <w:r>
        <w:t>Corrected exclusion of default member from open axis hypercubes (where required)</w:t>
      </w:r>
    </w:p>
    <w:p w14:paraId="55B5ECFD" w14:textId="77777777" w:rsidR="00B107EE" w:rsidRDefault="00B107EE" w:rsidP="00D515AE">
      <w:pPr>
        <w:pStyle w:val="Titlelevel3"/>
      </w:pPr>
      <w:r>
        <w:t>Changes</w:t>
      </w:r>
    </w:p>
    <w:p w14:paraId="55B5ECFE" w14:textId="77777777" w:rsidR="00B107EE" w:rsidRDefault="00B107EE" w:rsidP="00B107EE">
      <w:r>
        <w:t xml:space="preserve"> Triggering of validation rules (via preconditions) limited to only the exact set of tables as specified in the validation rule documentation, rather than previous approach of taking into account where identical data points enabled the same rule to be applied on other (sets of) tables. Validation messages should now more closely align with the identified problem.</w:t>
      </w:r>
    </w:p>
    <w:p w14:paraId="55B5ECFF" w14:textId="77777777" w:rsidR="00237B31" w:rsidRDefault="00237B31" w:rsidP="00237B31">
      <w:pPr>
        <w:pStyle w:val="Heading2"/>
      </w:pPr>
      <w:r w:rsidRPr="00237B31">
        <w:lastRenderedPageBreak/>
        <w:t xml:space="preserve">v2.1.0 (“2014/03” Package) </w:t>
      </w:r>
    </w:p>
    <w:p w14:paraId="55B5ED00" w14:textId="77777777" w:rsidR="00237B31" w:rsidRDefault="00237B31" w:rsidP="00237B31">
      <w:pPr>
        <w:pStyle w:val="Subtitle"/>
      </w:pPr>
      <w:r w:rsidRPr="00237B31">
        <w:t>Public Consultation</w:t>
      </w:r>
    </w:p>
    <w:p w14:paraId="55B5ED01" w14:textId="77777777" w:rsidR="000378E5" w:rsidRDefault="000378E5" w:rsidP="000378E5">
      <w:pPr>
        <w:pStyle w:val="Heading1"/>
      </w:pPr>
      <w:r>
        <w:t>v2.1.0 (“2014/03” Package) Public Consultation</w:t>
      </w:r>
    </w:p>
    <w:p w14:paraId="55B5ED02" w14:textId="77777777" w:rsidR="000378E5" w:rsidRDefault="000378E5" w:rsidP="00D515AE">
      <w:pPr>
        <w:pStyle w:val="Titlelevel3"/>
      </w:pPr>
      <w:r>
        <w:t xml:space="preserve">Differences c.f. DPMs </w:t>
      </w:r>
      <w:r w:rsidRPr="00F37007">
        <w:t>published</w:t>
      </w:r>
      <w:r>
        <w:t xml:space="preserve"> accompanying ITS.</w:t>
      </w:r>
    </w:p>
    <w:p w14:paraId="55B5ED03" w14:textId="77777777" w:rsidR="000378E5" w:rsidRDefault="000378E5" w:rsidP="00183058">
      <w:pPr>
        <w:pStyle w:val="ListParagraph"/>
        <w:numPr>
          <w:ilvl w:val="0"/>
          <w:numId w:val="5"/>
        </w:numPr>
      </w:pPr>
      <w:r>
        <w:t>Addition of general information table A00.01 (equivalent to C00.01 and F00.01, to be reported with all Asset encumbrance instances).</w:t>
      </w:r>
    </w:p>
    <w:p w14:paraId="55B5ED04" w14:textId="77777777" w:rsidR="000378E5" w:rsidRDefault="000378E5" w:rsidP="00D515AE">
      <w:pPr>
        <w:pStyle w:val="Titlelevel3"/>
      </w:pPr>
      <w:r>
        <w:t xml:space="preserve">Corrections to align with ITS, that are not “backwards compatible at the instance level”: </w:t>
      </w:r>
    </w:p>
    <w:p w14:paraId="55B5ED05" w14:textId="77777777" w:rsidR="000378E5" w:rsidRDefault="000378E5" w:rsidP="00183058">
      <w:pPr>
        <w:pStyle w:val="ListParagraph"/>
        <w:numPr>
          <w:ilvl w:val="0"/>
          <w:numId w:val="4"/>
        </w:numPr>
      </w:pPr>
      <w:r>
        <w:t>C02.00 r210 (“Equity”) changed MC member used in order to align with C07.00a</w:t>
      </w:r>
      <w:r>
        <w:tab/>
      </w:r>
    </w:p>
    <w:p w14:paraId="55B5ED06" w14:textId="77777777" w:rsidR="000378E5" w:rsidRPr="005A5FF7" w:rsidRDefault="000378E5" w:rsidP="00183058">
      <w:pPr>
        <w:pStyle w:val="ListParagraph"/>
        <w:numPr>
          <w:ilvl w:val="0"/>
          <w:numId w:val="4"/>
        </w:numPr>
        <w:rPr>
          <w:i/>
        </w:rPr>
      </w:pPr>
      <w:r w:rsidRPr="005A5FF7">
        <w:rPr>
          <w:i/>
        </w:rPr>
        <w:t>C07.00 (all subtables) delete c020 (“Of which: arising from default fund contributions”)</w:t>
      </w:r>
    </w:p>
    <w:p w14:paraId="55B5ED07" w14:textId="77777777" w:rsidR="000378E5" w:rsidRDefault="000378E5" w:rsidP="00183058">
      <w:pPr>
        <w:pStyle w:val="ListParagraph"/>
        <w:numPr>
          <w:ilvl w:val="0"/>
          <w:numId w:val="4"/>
        </w:numPr>
      </w:pPr>
      <w:r>
        <w:t>C09.01 restriction (grey shading) removed for c050 to c060 of r100</w:t>
      </w:r>
    </w:p>
    <w:p w14:paraId="55B5ED08" w14:textId="77777777" w:rsidR="000378E5" w:rsidRDefault="000378E5" w:rsidP="00183058">
      <w:pPr>
        <w:pStyle w:val="ListParagraph"/>
        <w:numPr>
          <w:ilvl w:val="0"/>
          <w:numId w:val="4"/>
        </w:numPr>
      </w:pPr>
      <w:r>
        <w:t>C25.00 added restriction (grey shading) to {r030, c110} and {r040, c110}</w:t>
      </w:r>
      <w:r>
        <w:tab/>
      </w:r>
    </w:p>
    <w:p w14:paraId="55B5ED09" w14:textId="77777777" w:rsidR="000378E5" w:rsidRDefault="000378E5" w:rsidP="00183058">
      <w:pPr>
        <w:pStyle w:val="ListParagraph"/>
        <w:numPr>
          <w:ilvl w:val="0"/>
          <w:numId w:val="4"/>
        </w:numPr>
      </w:pPr>
      <w:r>
        <w:t>F08.01 (a+b) missing column 037 (“Hedge Accounting”) added (identical to F1.2 row 150)</w:t>
      </w:r>
    </w:p>
    <w:p w14:paraId="55B5ED0A" w14:textId="77777777" w:rsidR="000378E5" w:rsidRPr="005A5FF7" w:rsidRDefault="000378E5" w:rsidP="00183058">
      <w:pPr>
        <w:pStyle w:val="ListParagraph"/>
        <w:numPr>
          <w:ilvl w:val="0"/>
          <w:numId w:val="4"/>
        </w:numPr>
        <w:rPr>
          <w:i/>
        </w:rPr>
      </w:pPr>
      <w:r>
        <w:t>F40.01 missing column 095 added (modelled similarly to C27.00 counterparty sector)</w:t>
      </w:r>
    </w:p>
    <w:p w14:paraId="55B5ED0B" w14:textId="77777777" w:rsidR="000378E5" w:rsidRDefault="000378E5" w:rsidP="00183058">
      <w:pPr>
        <w:pStyle w:val="ListParagraph"/>
        <w:numPr>
          <w:ilvl w:val="0"/>
          <w:numId w:val="4"/>
        </w:numPr>
      </w:pPr>
      <w:r>
        <w:t>F41.02 deleted restriction of {r020, c030}</w:t>
      </w:r>
      <w:r>
        <w:tab/>
      </w:r>
    </w:p>
    <w:p w14:paraId="55B5ED0C" w14:textId="77777777" w:rsidR="000378E5" w:rsidRDefault="000378E5" w:rsidP="00183058">
      <w:pPr>
        <w:pStyle w:val="ListParagraph"/>
        <w:numPr>
          <w:ilvl w:val="0"/>
          <w:numId w:val="4"/>
        </w:numPr>
      </w:pPr>
      <w:r>
        <w:t>PL members' names corrected. The term “designated” deleted in the following cases:</w:t>
      </w:r>
      <w:r>
        <w:tab/>
      </w:r>
    </w:p>
    <w:p w14:paraId="55B5ED0D" w14:textId="77777777" w:rsidR="000378E5" w:rsidRPr="00E05D74" w:rsidRDefault="000378E5" w:rsidP="00183058">
      <w:pPr>
        <w:pStyle w:val="ListParagraph"/>
        <w:numPr>
          <w:ilvl w:val="1"/>
          <w:numId w:val="4"/>
        </w:numPr>
        <w:rPr>
          <w:sz w:val="20"/>
        </w:rPr>
      </w:pPr>
      <w:r w:rsidRPr="00E05D74">
        <w:rPr>
          <w:sz w:val="20"/>
        </w:rPr>
        <w:t>2591</w:t>
      </w:r>
      <w:r w:rsidRPr="00E05D74">
        <w:rPr>
          <w:sz w:val="20"/>
        </w:rPr>
        <w:tab/>
        <w:t>PL:x19</w:t>
      </w:r>
      <w:r w:rsidRPr="00E05D74">
        <w:rPr>
          <w:sz w:val="20"/>
        </w:rPr>
        <w:tab/>
        <w:t xml:space="preserve">Financial assets designated at fair value through profit or loss. Hybrid contracts </w:t>
      </w:r>
      <w:r w:rsidRPr="00E05D74">
        <w:rPr>
          <w:strike/>
          <w:sz w:val="20"/>
        </w:rPr>
        <w:t>designated</w:t>
      </w:r>
      <w:r w:rsidRPr="00E05D74">
        <w:rPr>
          <w:sz w:val="20"/>
        </w:rPr>
        <w:t xml:space="preserve">, Financial liabilities designated at fair value through profit or loss. Hybrid contracts </w:t>
      </w:r>
      <w:r w:rsidRPr="00E05D74">
        <w:rPr>
          <w:strike/>
          <w:sz w:val="20"/>
        </w:rPr>
        <w:t>designated</w:t>
      </w:r>
    </w:p>
    <w:p w14:paraId="55B5ED0E" w14:textId="77777777" w:rsidR="000378E5" w:rsidRPr="00E05D74" w:rsidRDefault="000378E5" w:rsidP="00183058">
      <w:pPr>
        <w:pStyle w:val="ListParagraph"/>
        <w:numPr>
          <w:ilvl w:val="1"/>
          <w:numId w:val="4"/>
        </w:numPr>
        <w:rPr>
          <w:sz w:val="20"/>
        </w:rPr>
      </w:pPr>
      <w:r w:rsidRPr="00E05D74">
        <w:rPr>
          <w:sz w:val="20"/>
        </w:rPr>
        <w:t>3205</w:t>
      </w:r>
      <w:r w:rsidRPr="00E05D74">
        <w:rPr>
          <w:sz w:val="20"/>
        </w:rPr>
        <w:tab/>
        <w:t>PL:x55</w:t>
      </w:r>
      <w:r w:rsidRPr="00E05D74">
        <w:rPr>
          <w:sz w:val="20"/>
        </w:rPr>
        <w:tab/>
        <w:t xml:space="preserve">Financial liabilities designated at fair value through profit or loss. Hybrid contracts </w:t>
      </w:r>
      <w:r w:rsidRPr="00E05D74">
        <w:rPr>
          <w:strike/>
          <w:sz w:val="20"/>
        </w:rPr>
        <w:t>designated</w:t>
      </w:r>
    </w:p>
    <w:p w14:paraId="55B5ED0F" w14:textId="77777777" w:rsidR="000378E5" w:rsidRDefault="000378E5" w:rsidP="00183058">
      <w:pPr>
        <w:pStyle w:val="ListParagraph"/>
        <w:numPr>
          <w:ilvl w:val="1"/>
          <w:numId w:val="4"/>
        </w:numPr>
      </w:pPr>
      <w:r w:rsidRPr="00E05D74">
        <w:rPr>
          <w:sz w:val="20"/>
        </w:rPr>
        <w:t>3208</w:t>
      </w:r>
      <w:r w:rsidRPr="00E05D74">
        <w:rPr>
          <w:sz w:val="20"/>
        </w:rPr>
        <w:tab/>
        <w:t>PL:x58</w:t>
      </w:r>
      <w:r w:rsidRPr="00E05D74">
        <w:rPr>
          <w:sz w:val="20"/>
        </w:rPr>
        <w:tab/>
        <w:t xml:space="preserve">Financial assets designated at fair value through profit or loss. Hybrid contracts </w:t>
      </w:r>
      <w:r w:rsidRPr="00E05D74">
        <w:rPr>
          <w:strike/>
          <w:sz w:val="20"/>
        </w:rPr>
        <w:t>designated</w:t>
      </w:r>
      <w:r>
        <w:tab/>
      </w:r>
    </w:p>
    <w:p w14:paraId="55B5ED10" w14:textId="77777777" w:rsidR="000378E5" w:rsidRDefault="000378E5" w:rsidP="00D515AE">
      <w:pPr>
        <w:pStyle w:val="Titlelevel3"/>
      </w:pPr>
      <w:r>
        <w:t>Incremental addition of Asset Encumbrance reporting requirements:</w:t>
      </w:r>
    </w:p>
    <w:p w14:paraId="55B5ED11" w14:textId="77777777" w:rsidR="000378E5" w:rsidRDefault="000378E5" w:rsidP="00183058">
      <w:pPr>
        <w:pStyle w:val="ListParagraph"/>
        <w:numPr>
          <w:ilvl w:val="0"/>
          <w:numId w:val="4"/>
        </w:numPr>
      </w:pPr>
      <w:r>
        <w:t>New framework and taxonomy</w:t>
      </w:r>
    </w:p>
    <w:p w14:paraId="55B5ED12" w14:textId="77777777" w:rsidR="000378E5" w:rsidRDefault="000378E5" w:rsidP="00183058">
      <w:pPr>
        <w:pStyle w:val="ListParagraph"/>
        <w:numPr>
          <w:ilvl w:val="0"/>
          <w:numId w:val="4"/>
        </w:numPr>
      </w:pPr>
      <w:r>
        <w:t>New tables F32.xx-F36.xx</w:t>
      </w:r>
    </w:p>
    <w:p w14:paraId="55B5ED13" w14:textId="77777777" w:rsidR="000378E5" w:rsidRDefault="000378E5" w:rsidP="00183058">
      <w:pPr>
        <w:pStyle w:val="ListParagraph"/>
        <w:numPr>
          <w:ilvl w:val="0"/>
          <w:numId w:val="4"/>
        </w:numPr>
      </w:pPr>
      <w:r>
        <w:t>Additional members in TI, MC and AT</w:t>
      </w:r>
    </w:p>
    <w:p w14:paraId="55B5ED14" w14:textId="77777777" w:rsidR="00237B31" w:rsidRDefault="00237B31" w:rsidP="00237B31">
      <w:pPr>
        <w:pStyle w:val="ListParagraph"/>
      </w:pPr>
    </w:p>
    <w:p w14:paraId="55B5ED15" w14:textId="77777777" w:rsidR="000378E5" w:rsidRDefault="000378E5" w:rsidP="00237B31">
      <w:pPr>
        <w:pStyle w:val="Titlelevel3"/>
      </w:pPr>
      <w:r>
        <w:t>Addition of Forbearance and Non-performing Exposures, and consequent adjustments to existing FINREP tables:</w:t>
      </w:r>
    </w:p>
    <w:p w14:paraId="55B5ED16" w14:textId="77777777" w:rsidR="000378E5" w:rsidRDefault="000378E5" w:rsidP="00183058">
      <w:pPr>
        <w:pStyle w:val="ListParagraph"/>
        <w:numPr>
          <w:ilvl w:val="0"/>
          <w:numId w:val="4"/>
        </w:numPr>
      </w:pPr>
      <w:r>
        <w:t>New tables in FINREP part 1, F18.xx and F19.xx</w:t>
      </w:r>
    </w:p>
    <w:p w14:paraId="55B5ED17" w14:textId="77777777" w:rsidR="000378E5" w:rsidRDefault="000378E5" w:rsidP="00183058">
      <w:pPr>
        <w:pStyle w:val="ListParagraph"/>
        <w:numPr>
          <w:ilvl w:val="0"/>
          <w:numId w:val="4"/>
        </w:numPr>
      </w:pPr>
      <w:r>
        <w:t>F06.00 added c012(“Of which: non-performing”)</w:t>
      </w:r>
    </w:p>
    <w:p w14:paraId="55B5ED18" w14:textId="77777777" w:rsidR="000378E5" w:rsidRDefault="000378E5" w:rsidP="00183058">
      <w:pPr>
        <w:pStyle w:val="ListParagraph"/>
        <w:numPr>
          <w:ilvl w:val="0"/>
          <w:numId w:val="4"/>
        </w:numPr>
      </w:pPr>
      <w:r>
        <w:t>F09.01 added r021,r101,r181 (“Of which: non-performing”), removed r020,r100,r180</w:t>
      </w:r>
      <w:r>
        <w:tab/>
        <w:t>(“Of which: Defaulted”)</w:t>
      </w:r>
    </w:p>
    <w:p w14:paraId="55B5ED19" w14:textId="77777777" w:rsidR="000378E5" w:rsidRDefault="000378E5" w:rsidP="00183058">
      <w:pPr>
        <w:pStyle w:val="ListParagraph"/>
        <w:numPr>
          <w:ilvl w:val="0"/>
          <w:numId w:val="4"/>
        </w:numPr>
      </w:pPr>
      <w:r>
        <w:lastRenderedPageBreak/>
        <w:t>F20.04 removed c020 (“Of which: defaulted”), added c022 (“Of which: debt forbearance”), c025 (“Of which: non performing”)</w:t>
      </w:r>
    </w:p>
    <w:p w14:paraId="55B5ED1A" w14:textId="77777777" w:rsidR="000378E5" w:rsidRDefault="000378E5" w:rsidP="00183058">
      <w:pPr>
        <w:pStyle w:val="ListParagraph"/>
        <w:numPr>
          <w:ilvl w:val="0"/>
          <w:numId w:val="4"/>
        </w:numPr>
      </w:pPr>
      <w:r>
        <w:t>F20.05a removed c020</w:t>
      </w:r>
      <w:r w:rsidRPr="0055681B">
        <w:t xml:space="preserve"> </w:t>
      </w:r>
      <w:r>
        <w:t>c020 (“Of which: defaulted”), added c022 (“Of which: debt forbearance”), c025 (“Of which: non performing”)</w:t>
      </w:r>
    </w:p>
    <w:p w14:paraId="55B5ED1B" w14:textId="77777777" w:rsidR="000378E5" w:rsidRDefault="000378E5" w:rsidP="00183058">
      <w:pPr>
        <w:pStyle w:val="ListParagraph"/>
        <w:numPr>
          <w:ilvl w:val="0"/>
          <w:numId w:val="4"/>
        </w:numPr>
      </w:pPr>
      <w:r>
        <w:t>F20.07 add r012 (“Of which: non performing”)</w:t>
      </w:r>
      <w:r>
        <w:tab/>
      </w:r>
    </w:p>
    <w:p w14:paraId="55B5ED1C" w14:textId="77777777" w:rsidR="000378E5" w:rsidRDefault="000378E5" w:rsidP="00183058">
      <w:pPr>
        <w:pStyle w:val="ListParagraph"/>
        <w:numPr>
          <w:ilvl w:val="0"/>
          <w:numId w:val="4"/>
        </w:numPr>
      </w:pPr>
      <w:r>
        <w:t>F30.02 removed r020 (“of which: non performing”),r130 (“of which: defaulted”),  added r021, r131 (both “of which: non performing”)</w:t>
      </w:r>
    </w:p>
    <w:p w14:paraId="55B5ED1D" w14:textId="77777777" w:rsidR="000378E5" w:rsidRDefault="000378E5" w:rsidP="00183058">
      <w:pPr>
        <w:pStyle w:val="ListParagraph"/>
        <w:numPr>
          <w:ilvl w:val="0"/>
          <w:numId w:val="4"/>
        </w:numPr>
      </w:pPr>
      <w:r>
        <w:t>F31.01 changed categorisation of r100 (“of which: defaulted”)</w:t>
      </w:r>
    </w:p>
    <w:p w14:paraId="55B5ED1E" w14:textId="77777777" w:rsidR="000378E5" w:rsidRDefault="000378E5" w:rsidP="00183058">
      <w:pPr>
        <w:pStyle w:val="ListParagraph"/>
        <w:numPr>
          <w:ilvl w:val="0"/>
          <w:numId w:val="4"/>
        </w:numPr>
      </w:pPr>
      <w:r>
        <w:t>New Dimensions PFS (performing status) and FBS (Forbearance status)</w:t>
      </w:r>
    </w:p>
    <w:p w14:paraId="55B5ED1F" w14:textId="77777777" w:rsidR="000378E5" w:rsidRDefault="000378E5" w:rsidP="00183058">
      <w:pPr>
        <w:pStyle w:val="ListParagraph"/>
        <w:numPr>
          <w:ilvl w:val="0"/>
          <w:numId w:val="4"/>
        </w:numPr>
      </w:pPr>
      <w:r>
        <w:t>Additional members in IM and PL</w:t>
      </w:r>
    </w:p>
    <w:p w14:paraId="55B5ED20" w14:textId="77777777" w:rsidR="00237B31" w:rsidRDefault="00237B31" w:rsidP="00237B31">
      <w:pPr>
        <w:pStyle w:val="ListParagraph"/>
      </w:pPr>
    </w:p>
    <w:p w14:paraId="55B5ED21" w14:textId="77777777" w:rsidR="000378E5" w:rsidRDefault="000378E5" w:rsidP="00237B31">
      <w:pPr>
        <w:pStyle w:val="Titlelevel3"/>
      </w:pPr>
      <w:r>
        <w:t>Minor corrections to labelling to align with EC publication of ITS:</w:t>
      </w:r>
    </w:p>
    <w:p w14:paraId="55B5ED22" w14:textId="77777777" w:rsidR="000378E5" w:rsidRPr="00867180" w:rsidRDefault="000378E5" w:rsidP="00183058">
      <w:pPr>
        <w:pStyle w:val="ListParagraph"/>
        <w:numPr>
          <w:ilvl w:val="0"/>
          <w:numId w:val="4"/>
        </w:numPr>
      </w:pPr>
      <w:r w:rsidRPr="00867180">
        <w:t>C05.02 corrected label of r090 and r120 to r140</w:t>
      </w:r>
    </w:p>
    <w:p w14:paraId="55B5ED23" w14:textId="77777777" w:rsidR="00237B31" w:rsidRDefault="000378E5" w:rsidP="00183058">
      <w:pPr>
        <w:pStyle w:val="ListParagraph"/>
        <w:numPr>
          <w:ilvl w:val="0"/>
          <w:numId w:val="4"/>
        </w:numPr>
      </w:pPr>
      <w:r w:rsidRPr="00867180">
        <w:t>F40.0</w:t>
      </w:r>
      <w:r w:rsidR="00237B31">
        <w:t>1 corrected label of column 090</w:t>
      </w:r>
    </w:p>
    <w:p w14:paraId="55B5ED24" w14:textId="77777777" w:rsidR="00237B31" w:rsidRDefault="00237B31" w:rsidP="00237B31">
      <w:pPr>
        <w:pStyle w:val="Heading2"/>
      </w:pPr>
      <w:r w:rsidRPr="00237B31">
        <w:t>v2.0.1 (Technical correction release)</w:t>
      </w:r>
    </w:p>
    <w:p w14:paraId="55B5ED25" w14:textId="77777777" w:rsidR="000378E5" w:rsidRDefault="000378E5" w:rsidP="00237B31">
      <w:r>
        <w:t xml:space="preserve">Bug Fix – duplicate locator links in some files </w:t>
      </w:r>
    </w:p>
    <w:p w14:paraId="55B5ED26" w14:textId="77777777" w:rsidR="00237B31" w:rsidRPr="001F59D5" w:rsidRDefault="00237B31" w:rsidP="00237B31">
      <w:pPr>
        <w:pStyle w:val="Heading2"/>
      </w:pPr>
      <w:r>
        <w:t>v2.0.0 (Public Release)</w:t>
      </w:r>
    </w:p>
    <w:p w14:paraId="55B5ED27" w14:textId="77777777" w:rsidR="000378E5" w:rsidRDefault="000378E5" w:rsidP="00D515AE">
      <w:pPr>
        <w:pStyle w:val="Titlelevel3"/>
      </w:pPr>
      <w:r>
        <w:t>Bug Fixes:</w:t>
      </w:r>
    </w:p>
    <w:p w14:paraId="55B5ED28" w14:textId="77777777" w:rsidR="000378E5" w:rsidRDefault="000378E5" w:rsidP="00183058">
      <w:pPr>
        <w:pStyle w:val="ListParagraph"/>
        <w:numPr>
          <w:ilvl w:val="0"/>
          <w:numId w:val="4"/>
        </w:numPr>
      </w:pPr>
      <w:r>
        <w:t>Systematic mapping error affecting many Hierarchies (resulting in them being out of order) corrected.</w:t>
      </w:r>
    </w:p>
    <w:p w14:paraId="55B5ED29" w14:textId="77777777" w:rsidR="000378E5" w:rsidRDefault="000378E5" w:rsidP="00183058">
      <w:pPr>
        <w:pStyle w:val="ListParagraph"/>
        <w:numPr>
          <w:ilvl w:val="0"/>
          <w:numId w:val="4"/>
        </w:numPr>
      </w:pPr>
      <w:r>
        <w:t>Inclusion of RewriteUri element in catalog.xml</w:t>
      </w:r>
    </w:p>
    <w:p w14:paraId="55B5ED2A" w14:textId="77777777" w:rsidR="000378E5" w:rsidRDefault="000378E5" w:rsidP="00183058">
      <w:pPr>
        <w:pStyle w:val="ListParagraph"/>
        <w:numPr>
          <w:ilvl w:val="0"/>
          <w:numId w:val="4"/>
        </w:numPr>
      </w:pPr>
      <w:r>
        <w:t>Removal of .taxonomyPackage.xml file</w:t>
      </w:r>
    </w:p>
    <w:p w14:paraId="55B5ED2B" w14:textId="77777777" w:rsidR="000378E5" w:rsidRDefault="000378E5" w:rsidP="00183058">
      <w:pPr>
        <w:pStyle w:val="ListParagraph"/>
        <w:numPr>
          <w:ilvl w:val="0"/>
          <w:numId w:val="4"/>
        </w:numPr>
      </w:pPr>
      <w:r>
        <w:t>Interval Arithmetic libraries updated</w:t>
      </w:r>
    </w:p>
    <w:p w14:paraId="55B5ED2C" w14:textId="77777777" w:rsidR="000378E5" w:rsidRDefault="000378E5" w:rsidP="00183058">
      <w:pPr>
        <w:pStyle w:val="ListParagraph"/>
        <w:numPr>
          <w:ilvl w:val="1"/>
          <w:numId w:val="4"/>
        </w:numPr>
      </w:pPr>
      <w:r>
        <w:t>Handle “INF” for decimal attributes</w:t>
      </w:r>
    </w:p>
    <w:p w14:paraId="55B5ED2D" w14:textId="77777777" w:rsidR="000378E5" w:rsidRDefault="000378E5" w:rsidP="00183058">
      <w:pPr>
        <w:pStyle w:val="ListParagraph"/>
        <w:numPr>
          <w:ilvl w:val="1"/>
          <w:numId w:val="4"/>
        </w:numPr>
      </w:pPr>
      <w:r>
        <w:t xml:space="preserve">Handle empty sequences </w:t>
      </w:r>
    </w:p>
    <w:p w14:paraId="55B5ED2E" w14:textId="77777777" w:rsidR="000378E5" w:rsidRDefault="000378E5" w:rsidP="00D515AE">
      <w:pPr>
        <w:pStyle w:val="Titlelevel3"/>
      </w:pPr>
      <w:r>
        <w:t>DPM Corrections</w:t>
      </w:r>
    </w:p>
    <w:p w14:paraId="55B5ED2F" w14:textId="77777777" w:rsidR="000378E5" w:rsidRDefault="000378E5" w:rsidP="00183058">
      <w:pPr>
        <w:pStyle w:val="ListParagraph"/>
        <w:numPr>
          <w:ilvl w:val="0"/>
          <w:numId w:val="4"/>
        </w:numPr>
      </w:pPr>
      <w:r>
        <w:t xml:space="preserve">Correction of naming of two flow type members, which were missing the “(flow)” required by naming convention used for metrics: </w:t>
      </w:r>
    </w:p>
    <w:p w14:paraId="55B5ED30" w14:textId="77777777" w:rsidR="00237B31" w:rsidRDefault="00237B31" w:rsidP="00237B31">
      <w:pPr>
        <w:pStyle w:val="ListParagraph"/>
      </w:pPr>
    </w:p>
    <w:p w14:paraId="55B5ED31" w14:textId="77777777" w:rsidR="000378E5" w:rsidRDefault="000378E5" w:rsidP="000378E5">
      <w:r>
        <w:t>1187 (md69)</w:t>
      </w:r>
      <w:r>
        <w:tab/>
        <w:t xml:space="preserve">Changes in Defined benefit obligations other than Current service cost, Interest cost, Contributions paid by plan participants, Actuarial gains and losses, Foreign currency exchange, Benefits paid, Past service cost, Business combinations or divestiture </w:t>
      </w:r>
      <w:r w:rsidRPr="00174A17">
        <w:rPr>
          <w:i/>
        </w:rPr>
        <w:t>(flow)</w:t>
      </w:r>
      <w:r>
        <w:tab/>
      </w:r>
    </w:p>
    <w:p w14:paraId="55B5ED32" w14:textId="77777777" w:rsidR="00237B31" w:rsidRDefault="00237B31" w:rsidP="000378E5"/>
    <w:p w14:paraId="55B5ED33" w14:textId="77777777" w:rsidR="00A011A3" w:rsidRDefault="000378E5" w:rsidP="00237B31">
      <w:pPr>
        <w:rPr>
          <w:i/>
        </w:rPr>
      </w:pPr>
      <w:r>
        <w:t>1190 (md72)</w:t>
      </w:r>
      <w:r>
        <w:tab/>
        <w:t xml:space="preserve">Changes in equity other than those explicitly reported </w:t>
      </w:r>
      <w:r w:rsidRPr="00174A17">
        <w:rPr>
          <w:i/>
        </w:rPr>
        <w:t>(flow)</w:t>
      </w:r>
    </w:p>
    <w:p w14:paraId="55B5ED34" w14:textId="77777777" w:rsidR="00237B31" w:rsidRDefault="00237B31" w:rsidP="00237B31">
      <w:pPr>
        <w:rPr>
          <w:i/>
        </w:rPr>
      </w:pPr>
    </w:p>
    <w:p w14:paraId="55B5ED35" w14:textId="77777777" w:rsidR="00237B31" w:rsidRPr="00237B31" w:rsidRDefault="00237B31" w:rsidP="00237B31">
      <w:pPr>
        <w:pStyle w:val="Heading2"/>
      </w:pPr>
      <w:r w:rsidRPr="00237B31">
        <w:t>V2.0.0 (Public Consultation)</w:t>
      </w:r>
    </w:p>
    <w:p w14:paraId="55B5ED36" w14:textId="77777777" w:rsidR="00237B31" w:rsidRPr="00237B31" w:rsidRDefault="00237B31" w:rsidP="00237B31">
      <w:r w:rsidRPr="00237B31">
        <w:t>Baseline</w:t>
      </w:r>
    </w:p>
    <w:sectPr w:rsidR="00237B31" w:rsidRPr="00237B31" w:rsidSect="00D515AE">
      <w:headerReference w:type="even" r:id="rId13"/>
      <w:headerReference w:type="default" r:id="rId14"/>
      <w:footerReference w:type="even" r:id="rId15"/>
      <w:footerReference w:type="default" r:id="rId16"/>
      <w:headerReference w:type="first" r:id="rId17"/>
      <w:footerReference w:type="first" r:id="rId18"/>
      <w:pgSz w:w="11909" w:h="16834" w:code="9"/>
      <w:pgMar w:top="2237" w:right="1417" w:bottom="1417" w:left="1417"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8259AB" w14:textId="77777777" w:rsidR="00BF7FDD" w:rsidRDefault="00BF7FDD">
      <w:r>
        <w:separator/>
      </w:r>
    </w:p>
  </w:endnote>
  <w:endnote w:type="continuationSeparator" w:id="0">
    <w:p w14:paraId="55E9DF29" w14:textId="77777777" w:rsidR="00BF7FDD" w:rsidRDefault="00BF7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66D54" w14:textId="77777777" w:rsidR="002D11E1" w:rsidRDefault="002D11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9D925" w14:textId="77777777" w:rsidR="002D11E1" w:rsidRPr="00433B41" w:rsidRDefault="002D11E1" w:rsidP="00433B41">
    <w:pPr>
      <w:pStyle w:val="Footer"/>
      <w:jc w:val="center"/>
      <w:rPr>
        <w:sz w:val="14"/>
      </w:rPr>
    </w:pPr>
    <w:r>
      <w:rPr>
        <w:sz w:val="14"/>
      </w:rPr>
      <w:t>W</w:t>
    </w:r>
    <w:r w:rsidRPr="00433B41">
      <w:rPr>
        <w:sz w:val="14"/>
      </w:rPr>
      <w:t xml:space="preserve">ebsite: </w:t>
    </w:r>
    <w:hyperlink r:id="rId1" w:history="1">
      <w:r w:rsidRPr="00196D6B">
        <w:rPr>
          <w:rStyle w:val="Hyperlink"/>
          <w:sz w:val="14"/>
        </w:rPr>
        <w:t>http://eba.europa.eu</w:t>
      </w:r>
    </w:hyperlink>
    <w:r w:rsidRPr="00433B41">
      <w:rPr>
        <w:sz w:val="14"/>
      </w:rPr>
      <w:t xml:space="preserve">, Single Rulebook Q&amp;A </w:t>
    </w:r>
    <w:hyperlink r:id="rId2" w:history="1">
      <w:r w:rsidRPr="00433B41">
        <w:rPr>
          <w:rStyle w:val="Hyperlink"/>
          <w:sz w:val="14"/>
        </w:rPr>
        <w:t>http://www.eba.europa.eu/single-rule-book-qa</w:t>
      </w:r>
    </w:hyperlink>
    <w:r w:rsidRPr="00433B41">
      <w:rPr>
        <w:sz w:val="14"/>
      </w:rPr>
      <w:t xml:space="preserve">, XBRL specific queries: </w:t>
    </w:r>
    <w:hyperlink r:id="rId3" w:history="1">
      <w:r w:rsidRPr="00433B41">
        <w:rPr>
          <w:rStyle w:val="Hyperlink"/>
          <w:sz w:val="14"/>
        </w:rPr>
        <w:t>eba-xbrl@eba.europa.eu</w:t>
      </w:r>
    </w:hyperlink>
    <w:r w:rsidRPr="00433B41">
      <w:rPr>
        <w:sz w:val="14"/>
      </w:rPr>
      <w:t xml:space="preserve"> </w:t>
    </w:r>
  </w:p>
  <w:p w14:paraId="55B5ED3D" w14:textId="180B9153" w:rsidR="002D11E1" w:rsidRPr="00F4602F" w:rsidRDefault="002D11E1" w:rsidP="00A77E78">
    <w:pPr>
      <w:pStyle w:val="Footer"/>
      <w:jc w:val="center"/>
      <w:rPr>
        <w:rFonts w:ascii="Times New Roman" w:hAnsi="Times New Roman" w:cs="Times New Roman"/>
        <w:sz w:val="20"/>
        <w:szCs w:val="20"/>
      </w:rPr>
    </w:pPr>
    <w:r w:rsidRPr="00F4602F">
      <w:rPr>
        <w:rFonts w:ascii="Times New Roman" w:hAnsi="Times New Roman" w:cs="Times New Roman"/>
        <w:sz w:val="20"/>
        <w:szCs w:val="20"/>
      </w:rPr>
      <w:fldChar w:fldCharType="begin"/>
    </w:r>
    <w:r w:rsidRPr="00F4602F">
      <w:rPr>
        <w:rFonts w:ascii="Times New Roman" w:hAnsi="Times New Roman" w:cs="Times New Roman"/>
        <w:sz w:val="20"/>
        <w:szCs w:val="20"/>
      </w:rPr>
      <w:instrText xml:space="preserve"> PAGE   \* MERGEFORMAT </w:instrText>
    </w:r>
    <w:r w:rsidRPr="00F4602F">
      <w:rPr>
        <w:rFonts w:ascii="Times New Roman" w:hAnsi="Times New Roman" w:cs="Times New Roman"/>
        <w:sz w:val="20"/>
        <w:szCs w:val="20"/>
      </w:rPr>
      <w:fldChar w:fldCharType="separate"/>
    </w:r>
    <w:r w:rsidR="00F07F5B">
      <w:rPr>
        <w:rFonts w:ascii="Times New Roman" w:hAnsi="Times New Roman" w:cs="Times New Roman"/>
        <w:noProof/>
        <w:sz w:val="20"/>
        <w:szCs w:val="20"/>
      </w:rPr>
      <w:t>2</w:t>
    </w:r>
    <w:r w:rsidRPr="00F4602F">
      <w:rPr>
        <w:rFonts w:ascii="Times New Roman" w:hAnsi="Times New Roman" w:cs="Times New Roman"/>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8553C" w14:textId="26F3BC4F" w:rsidR="002D11E1" w:rsidRPr="00433B41" w:rsidRDefault="002D11E1" w:rsidP="00D9244A">
    <w:pPr>
      <w:pStyle w:val="Footer"/>
      <w:jc w:val="center"/>
      <w:rPr>
        <w:sz w:val="14"/>
      </w:rPr>
    </w:pPr>
    <w:r>
      <w:rPr>
        <w:sz w:val="14"/>
      </w:rPr>
      <w:t>W</w:t>
    </w:r>
    <w:r w:rsidRPr="00433B41">
      <w:rPr>
        <w:sz w:val="14"/>
      </w:rPr>
      <w:t xml:space="preserve">ebsite: </w:t>
    </w:r>
    <w:hyperlink r:id="rId1" w:history="1">
      <w:r w:rsidRPr="00196D6B">
        <w:rPr>
          <w:rStyle w:val="Hyperlink"/>
          <w:sz w:val="14"/>
        </w:rPr>
        <w:t>http://eba.europa.eu</w:t>
      </w:r>
    </w:hyperlink>
    <w:r w:rsidRPr="00433B41">
      <w:rPr>
        <w:sz w:val="14"/>
      </w:rPr>
      <w:t xml:space="preserve">, Single Rulebook Q&amp;A </w:t>
    </w:r>
    <w:hyperlink r:id="rId2" w:history="1">
      <w:r w:rsidRPr="00433B41">
        <w:rPr>
          <w:rStyle w:val="Hyperlink"/>
          <w:sz w:val="14"/>
        </w:rPr>
        <w:t>http://www.eba.europa.eu/single-rule-book-qa</w:t>
      </w:r>
    </w:hyperlink>
    <w:r w:rsidRPr="00433B41">
      <w:rPr>
        <w:sz w:val="14"/>
      </w:rPr>
      <w:t xml:space="preserve">, XBRL specific queries: </w:t>
    </w:r>
    <w:hyperlink r:id="rId3" w:history="1">
      <w:r w:rsidRPr="00433B41">
        <w:rPr>
          <w:rStyle w:val="Hyperlink"/>
          <w:sz w:val="14"/>
        </w:rPr>
        <w:t>eba-xbrl@eba.europa.eu</w:t>
      </w:r>
    </w:hyperlink>
    <w:r w:rsidRPr="00433B41">
      <w:rPr>
        <w:sz w:val="14"/>
      </w:rPr>
      <w:t xml:space="preserve"> </w:t>
    </w:r>
  </w:p>
  <w:p w14:paraId="55B5ED40" w14:textId="65BA1793" w:rsidR="002D11E1" w:rsidRDefault="002D11E1" w:rsidP="00D9244A">
    <w:pPr>
      <w:pStyle w:val="Footer"/>
      <w:jc w:val="center"/>
    </w:pPr>
    <w:r>
      <w:t xml:space="preserve"> </w:t>
    </w:r>
    <w:r>
      <w:rPr>
        <w:rStyle w:val="PageNumber"/>
      </w:rPr>
      <w:fldChar w:fldCharType="begin"/>
    </w:r>
    <w:r>
      <w:rPr>
        <w:rStyle w:val="PageNumber"/>
      </w:rPr>
      <w:instrText xml:space="preserve"> PAGE </w:instrText>
    </w:r>
    <w:r>
      <w:rPr>
        <w:rStyle w:val="PageNumber"/>
      </w:rPr>
      <w:fldChar w:fldCharType="separate"/>
    </w:r>
    <w:r w:rsidR="00F07F5B">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A7F546" w14:textId="77777777" w:rsidR="00BF7FDD" w:rsidRDefault="00BF7FDD">
      <w:r>
        <w:separator/>
      </w:r>
    </w:p>
  </w:footnote>
  <w:footnote w:type="continuationSeparator" w:id="0">
    <w:p w14:paraId="5547F73D" w14:textId="77777777" w:rsidR="00BF7FDD" w:rsidRDefault="00BF7FDD">
      <w:r>
        <w:continuationSeparator/>
      </w:r>
    </w:p>
  </w:footnote>
  <w:footnote w:id="1">
    <w:p w14:paraId="1CC06ADA" w14:textId="5D83AD8D" w:rsidR="002D11E1" w:rsidRDefault="002D11E1" w:rsidP="002D11E1">
      <w:pPr>
        <w:pStyle w:val="FootnoteText"/>
      </w:pPr>
      <w:r>
        <w:rPr>
          <w:rStyle w:val="FootnoteReference"/>
        </w:rPr>
        <w:footnoteRef/>
      </w:r>
      <w:r>
        <w:t xml:space="preserve"> I.e. so that if the archive is unzipped and the resulting www.eba.europa.eu folder copied over the equivalent in an existing 2.6 taxonomy file set the two erroneous files will be replaced and the other files untouched.</w:t>
      </w:r>
    </w:p>
  </w:footnote>
  <w:footnote w:id="2">
    <w:p w14:paraId="0C51D358" w14:textId="489A6CA0" w:rsidR="002D11E1" w:rsidRDefault="002D11E1" w:rsidP="000B6471">
      <w:pPr>
        <w:pStyle w:val="FootnoteText"/>
      </w:pPr>
      <w:r>
        <w:rPr>
          <w:rStyle w:val="FootnoteReference"/>
        </w:rPr>
        <w:footnoteRef/>
      </w:r>
      <w:r>
        <w:t xml:space="preserve"> FullTaxonomy.2.7.0.1.7z</w:t>
      </w:r>
    </w:p>
  </w:footnote>
  <w:footnote w:id="3">
    <w:p w14:paraId="5954A40F" w14:textId="5B2D76FA" w:rsidR="002D11E1" w:rsidRDefault="002D11E1" w:rsidP="000B6471">
      <w:pPr>
        <w:pStyle w:val="FootnoteText"/>
      </w:pPr>
      <w:r w:rsidRPr="000B6471">
        <w:footnoteRef/>
      </w:r>
      <w:r>
        <w:t xml:space="preserve"> </w:t>
      </w:r>
      <w:r w:rsidRPr="000B6471">
        <w:t>EBA_CRD_IV_XBRL_2.7_Reporting_Frameworks_2.7.0.1.zip which replaces EBA_CRD_IV_XBRL_2.7_Reporting_Frameworks_2.7.0.0.zip - may need files from updated www.eurofiling.info.zip file as well if used offline</w:t>
      </w:r>
    </w:p>
  </w:footnote>
  <w:footnote w:id="4">
    <w:p w14:paraId="770755EF" w14:textId="0CAED53C" w:rsidR="002D11E1" w:rsidRDefault="002D11E1">
      <w:pPr>
        <w:pStyle w:val="FootnoteText"/>
      </w:pPr>
      <w:r>
        <w:rPr>
          <w:rStyle w:val="FootnoteReference"/>
        </w:rPr>
        <w:footnoteRef/>
      </w:r>
      <w:r>
        <w:t xml:space="preserve"> FINREP "mod" (".xsd" and "find-prec") and "val" ("aset") files</w:t>
      </w:r>
    </w:p>
  </w:footnote>
  <w:footnote w:id="5">
    <w:p w14:paraId="735BA07A" w14:textId="47B3C58C" w:rsidR="002D11E1" w:rsidRDefault="002D11E1">
      <w:pPr>
        <w:pStyle w:val="FootnoteText"/>
      </w:pPr>
      <w:r>
        <w:rPr>
          <w:rStyle w:val="FootnoteReference"/>
        </w:rPr>
        <w:footnoteRef/>
      </w:r>
      <w:r>
        <w:t xml:space="preserve"> A</w:t>
      </w:r>
      <w:r w:rsidRPr="008768E4">
        <w:t>s a side effect of this, rules v2818_m, v2819_m, v2820_m, and v2853_m are now correctly identified as cross-module rules (linking AE and FINREP), so are not assigned to specific modules via entries</w:t>
      </w:r>
      <w:r>
        <w:t xml:space="preserve"> in the ValidationRuleSet table</w:t>
      </w:r>
    </w:p>
  </w:footnote>
  <w:footnote w:id="6">
    <w:p w14:paraId="7DEAE423" w14:textId="23800193" w:rsidR="002D11E1" w:rsidRPr="00467D56" w:rsidRDefault="002D11E1" w:rsidP="000B6471">
      <w:pPr>
        <w:pStyle w:val="FootnoteText"/>
      </w:pPr>
      <w:r>
        <w:rPr>
          <w:rStyle w:val="FootnoteReference"/>
        </w:rPr>
        <w:footnoteRef/>
      </w:r>
      <w:r>
        <w:t xml:space="preserve"> W</w:t>
      </w:r>
      <w:r w:rsidRPr="00381DB1">
        <w:t xml:space="preserve">here the </w:t>
      </w:r>
      <w:r>
        <w:t xml:space="preserve">default domain </w:t>
      </w:r>
      <w:r w:rsidRPr="00381DB1">
        <w:t xml:space="preserve">member “All Geographical Areas/Not specified” (x0) </w:t>
      </w:r>
      <w:r>
        <w:t xml:space="preserve">conceptually </w:t>
      </w:r>
      <w:r w:rsidRPr="00381DB1">
        <w:t>indicate</w:t>
      </w:r>
      <w:r>
        <w:t>d the</w:t>
      </w:r>
      <w:r w:rsidRPr="00381DB1">
        <w:t xml:space="preserve"> total</w:t>
      </w:r>
      <w:r>
        <w:t xml:space="preserve"> sheet. Notably this dimension value did not then appear in the XBRL representation of the data due to the XBRL specification dictating that such default members should not be included explicitly in fact contexts. This notably means that facts with a value of x0 for a dimension </w:t>
      </w:r>
      <w:r w:rsidRPr="00467D56">
        <w:rPr>
          <w:u w:val="single"/>
        </w:rPr>
        <w:t>are the same</w:t>
      </w:r>
      <w:r>
        <w:rPr>
          <w:u w:val="single"/>
        </w:rPr>
        <w:t>/identical</w:t>
      </w:r>
      <w:r w:rsidRPr="00467D56">
        <w:rPr>
          <w:u w:val="single"/>
        </w:rPr>
        <w:t xml:space="preserve"> fact as</w:t>
      </w:r>
      <w:r>
        <w:rPr>
          <w:b/>
        </w:rPr>
        <w:t xml:space="preserve"> </w:t>
      </w:r>
      <w:r>
        <w:t xml:space="preserve">a notional fact </w:t>
      </w:r>
      <w:r w:rsidRPr="00467D56">
        <w:rPr>
          <w:i/>
        </w:rPr>
        <w:t>without</w:t>
      </w:r>
      <w:r>
        <w:t xml:space="preserve"> a value for this dimension, but with all other dimensional and primary item properties the same.</w:t>
      </w:r>
    </w:p>
  </w:footnote>
  <w:footnote w:id="7">
    <w:p w14:paraId="5999C505" w14:textId="40E6F836" w:rsidR="002D11E1" w:rsidRDefault="002D11E1" w:rsidP="000B6471">
      <w:pPr>
        <w:pStyle w:val="FootnoteText"/>
      </w:pPr>
      <w:r>
        <w:rPr>
          <w:rStyle w:val="FootnoteReference"/>
        </w:rPr>
        <w:footnoteRef/>
      </w:r>
      <w:r>
        <w:t xml:space="preserve"> Note that because x1 is not the default member of this domain, this value will be explicitly reported in the context of these facts at the XBRL level.</w:t>
      </w:r>
    </w:p>
  </w:footnote>
  <w:footnote w:id="8">
    <w:p w14:paraId="763ACC55" w14:textId="37C64D3A" w:rsidR="002D11E1" w:rsidRDefault="002D11E1" w:rsidP="000B6471">
      <w:pPr>
        <w:pStyle w:val="FootnoteText"/>
      </w:pPr>
      <w:r>
        <w:rPr>
          <w:rStyle w:val="FootnoteReference"/>
        </w:rPr>
        <w:footnoteRef/>
      </w:r>
      <w:r>
        <w:t xml:space="preserve"> Labelled as “Equivalence” rules, these are similar to identity rules in that they document where identical data modelling (apart from the allowed open dimension of geographical area) indicates that two data items (one without the open dimension so intrinsically representing a total over the open dimension, and one with a value for that dimension (x1) explicitly indicating it represents a total figure) represent the same item of information so logically must (always) be reported with the same value. However they differ from identity rules in the practical sense that the low level mechanics of reporting (XBRL specifications and EBA filing rules) does not automatically ensure that only a single value can be reported representing this figure. Therefore the equality of multiple reporting of the same business value must be explicitly enforced through data quality checks (i.e. the XBRL formula).</w:t>
      </w:r>
    </w:p>
  </w:footnote>
  <w:footnote w:id="9">
    <w:p w14:paraId="0D3ADC91" w14:textId="71D39776" w:rsidR="002D11E1" w:rsidRDefault="002D11E1" w:rsidP="000B6471">
      <w:pPr>
        <w:pStyle w:val="FootnoteText"/>
      </w:pPr>
      <w:r>
        <w:rPr>
          <w:rStyle w:val="FootnoteReference"/>
        </w:rPr>
        <w:footnoteRef/>
      </w:r>
      <w:r>
        <w:t xml:space="preserve"> The modelling of the cells of which lack the dimension used as the z-axis currency breakdown on the other sub tables of these templates (where in contrast a member representing a total cannot be used).</w:t>
      </w:r>
    </w:p>
  </w:footnote>
  <w:footnote w:id="10">
    <w:p w14:paraId="3B927B8A" w14:textId="77777777" w:rsidR="002D11E1" w:rsidRDefault="002D11E1" w:rsidP="000B6471">
      <w:pPr>
        <w:pStyle w:val="FootnoteText"/>
      </w:pPr>
      <w:r>
        <w:rPr>
          <w:rStyle w:val="FootnoteReference"/>
        </w:rPr>
        <w:footnoteRef/>
      </w:r>
      <w:r>
        <w:t xml:space="preserve"> Conveyed by the @decimal attribute at the XBRL level</w:t>
      </w:r>
    </w:p>
  </w:footnote>
  <w:footnote w:id="11">
    <w:p w14:paraId="7D9A2549" w14:textId="77777777" w:rsidR="002D11E1" w:rsidRDefault="002D11E1" w:rsidP="000B6471">
      <w:pPr>
        <w:pStyle w:val="FootnoteText"/>
      </w:pPr>
      <w:r>
        <w:rPr>
          <w:rStyle w:val="FootnoteReference"/>
        </w:rPr>
        <w:footnoteRef/>
      </w:r>
      <w:r>
        <w:t xml:space="preserve"> Avoiding counter-intuitive results that could otherwise occur in such cases when applying interval arithmetic and the interpretation of the comparison operators used in the EBA approach (which is </w:t>
      </w:r>
      <w:r w:rsidRPr="00B433D2">
        <w:rPr>
          <w:i/>
        </w:rPr>
        <w:t>[a,b] op [c,d] =</w:t>
      </w:r>
      <w:r>
        <w:t xml:space="preserve"> </w:t>
      </w:r>
      <w:r w:rsidRPr="00B433D2">
        <w:rPr>
          <w:i/>
        </w:rPr>
        <w:t>if (</w:t>
      </w:r>
      <w:r w:rsidRPr="00B433D2">
        <w:rPr>
          <w:rFonts w:ascii="Cambria Math" w:hAnsi="Cambria Math" w:cs="Cambria Math"/>
          <w:i/>
        </w:rPr>
        <w:t>∃</w:t>
      </w:r>
      <w:r w:rsidRPr="00B433D2">
        <w:rPr>
          <w:i/>
        </w:rPr>
        <w:t xml:space="preserve"> x</w:t>
      </w:r>
      <w:r>
        <w:rPr>
          <w:i/>
        </w:rPr>
        <w:t xml:space="preserve"> </w:t>
      </w:r>
      <w:r w:rsidRPr="00B433D2">
        <w:rPr>
          <w:rFonts w:ascii="Cambria Math" w:hAnsi="Cambria Math" w:cs="Cambria Math"/>
          <w:i/>
        </w:rPr>
        <w:t>∈</w:t>
      </w:r>
      <w:r w:rsidRPr="00B433D2">
        <w:rPr>
          <w:i/>
        </w:rPr>
        <w:t xml:space="preserve"> [a,b]</w:t>
      </w:r>
      <w:r>
        <w:rPr>
          <w:i/>
        </w:rPr>
        <w:t xml:space="preserve"> &amp;</w:t>
      </w:r>
      <w:r w:rsidRPr="00B433D2">
        <w:rPr>
          <w:i/>
        </w:rPr>
        <w:t xml:space="preserve"> </w:t>
      </w:r>
      <w:r w:rsidRPr="00B433D2">
        <w:rPr>
          <w:rFonts w:ascii="Cambria Math" w:hAnsi="Cambria Math" w:cs="Cambria Math"/>
          <w:i/>
        </w:rPr>
        <w:t>∃</w:t>
      </w:r>
      <w:r w:rsidRPr="00B433D2">
        <w:rPr>
          <w:i/>
        </w:rPr>
        <w:t xml:space="preserve"> y </w:t>
      </w:r>
      <w:r w:rsidRPr="00B433D2">
        <w:rPr>
          <w:rFonts w:ascii="Cambria Math" w:hAnsi="Cambria Math" w:cs="Cambria Math"/>
          <w:i/>
        </w:rPr>
        <w:t>∈</w:t>
      </w:r>
      <w:r w:rsidRPr="00B433D2">
        <w:rPr>
          <w:i/>
        </w:rPr>
        <w:t xml:space="preserve"> [c,d] (x op y) ) then true else false</w:t>
      </w:r>
      <w:r>
        <w:t xml:space="preserve">, i.e. if it is possible that the comparison is true for some values in the intervals, it is considered true. </w:t>
      </w:r>
    </w:p>
    <w:p w14:paraId="1D955EA7" w14:textId="77777777" w:rsidR="002D11E1" w:rsidRDefault="002D11E1" w:rsidP="000B6471">
      <w:pPr>
        <w:pStyle w:val="FootnoteText"/>
      </w:pPr>
      <w:r>
        <w:t>Consider for example the test $a &lt; 0, for three difference cases:</w:t>
      </w:r>
    </w:p>
    <w:p w14:paraId="065CED2F" w14:textId="77777777" w:rsidR="002D11E1" w:rsidRDefault="002D11E1" w:rsidP="000B6471">
      <w:pPr>
        <w:pStyle w:val="FootnoteText"/>
      </w:pPr>
      <w:r>
        <w:t>a) reported “0 @ decimals =-3” =&gt; [-500,500]&lt;0 = true</w:t>
      </w:r>
    </w:p>
    <w:p w14:paraId="3603E69D" w14:textId="77777777" w:rsidR="002D11E1" w:rsidRDefault="002D11E1" w:rsidP="000B6471">
      <w:pPr>
        <w:pStyle w:val="FootnoteText"/>
      </w:pPr>
      <w:r>
        <w:t>b) no value reported =&gt; [0,0] &lt; 0 =  false</w:t>
      </w:r>
    </w:p>
    <w:p w14:paraId="4EB2D3E6" w14:textId="77777777" w:rsidR="002D11E1" w:rsidRDefault="002D11E1" w:rsidP="000B6471">
      <w:pPr>
        <w:pStyle w:val="FootnoteText"/>
      </w:pPr>
      <w:r>
        <w:t>c) reported “5 @ decimals =-3” =&gt; [-495,505]&lt; 0 = true</w:t>
      </w:r>
    </w:p>
    <w:p w14:paraId="3D78079B" w14:textId="77777777" w:rsidR="002D11E1" w:rsidRDefault="002D11E1" w:rsidP="000B6471">
      <w:pPr>
        <w:pStyle w:val="FootnoteText"/>
      </w:pPr>
      <w:r>
        <w:t>and also a test of $a &gt; 0 for</w:t>
      </w:r>
    </w:p>
    <w:p w14:paraId="40C8921C" w14:textId="77777777" w:rsidR="002D11E1" w:rsidRDefault="002D11E1" w:rsidP="000B6471">
      <w:pPr>
        <w:pStyle w:val="FootnoteText"/>
      </w:pPr>
      <w:r>
        <w:t xml:space="preserve"> d) reported “-5 @ decimals =-3” =&gt; [-495,505]&lt; 0 = true</w:t>
      </w:r>
    </w:p>
    <w:p w14:paraId="699A1CFA" w14:textId="77777777" w:rsidR="002D11E1" w:rsidRDefault="002D11E1" w:rsidP="000B6471">
      <w:pPr>
        <w:pStyle w:val="FootnoteText"/>
      </w:pPr>
      <w:r>
        <w:t>Whereas the naïve expectation (and so likely the intention of the rule creator) would of course be that each of these would give the same result of false.</w:t>
      </w:r>
    </w:p>
  </w:footnote>
  <w:footnote w:id="12">
    <w:p w14:paraId="585696BC" w14:textId="77777777" w:rsidR="002D11E1" w:rsidRDefault="002D11E1" w:rsidP="000B6471">
      <w:pPr>
        <w:pStyle w:val="FootnoteText"/>
      </w:pPr>
      <w:r>
        <w:rPr>
          <w:rStyle w:val="FootnoteReference"/>
        </w:rPr>
        <w:footnoteRef/>
      </w:r>
      <w:r>
        <w:t xml:space="preserve"> The XBRL implementation of the validation rules may be consulted to determine exactly how the rules are evaluated.</w:t>
      </w:r>
    </w:p>
  </w:footnote>
  <w:footnote w:id="13">
    <w:p w14:paraId="07969964" w14:textId="77777777" w:rsidR="002D11E1" w:rsidRDefault="002D11E1" w:rsidP="000B6471">
      <w:pPr>
        <w:pStyle w:val="FootnoteText"/>
      </w:pPr>
      <w:r>
        <w:rPr>
          <w:rStyle w:val="FootnoteReference"/>
        </w:rPr>
        <w:footnoteRef/>
      </w:r>
      <w:r>
        <w:t xml:space="preserve"> In fact only one table is unchanged, the general information table F 00.01</w:t>
      </w:r>
    </w:p>
  </w:footnote>
  <w:footnote w:id="14">
    <w:p w14:paraId="458F1318" w14:textId="2B31723A" w:rsidR="002D11E1" w:rsidRDefault="002D11E1" w:rsidP="000B6471">
      <w:pPr>
        <w:pStyle w:val="FootnoteText"/>
      </w:pPr>
      <w:r>
        <w:rPr>
          <w:rStyle w:val="FootnoteReference"/>
        </w:rPr>
        <w:footnoteRef/>
      </w:r>
      <w:r>
        <w:t xml:space="preserve"> Note the different usage/meaning of “non-blocking”</w:t>
      </w:r>
    </w:p>
  </w:footnote>
  <w:footnote w:id="15">
    <w:p w14:paraId="6CA1FAC5" w14:textId="77777777" w:rsidR="002D11E1" w:rsidRDefault="002D11E1" w:rsidP="000B6471">
      <w:pPr>
        <w:pStyle w:val="FootnoteText"/>
      </w:pPr>
      <w:r>
        <w:rPr>
          <w:rStyle w:val="FootnoteReference"/>
        </w:rPr>
        <w:footnoteRef/>
      </w:r>
      <w:r>
        <w:t xml:space="preserve"> Which are retained</w:t>
      </w:r>
    </w:p>
  </w:footnote>
  <w:footnote w:id="16">
    <w:p w14:paraId="1FFE8E54" w14:textId="7EEF4649" w:rsidR="002D11E1" w:rsidRDefault="002D11E1" w:rsidP="000B6471">
      <w:pPr>
        <w:pStyle w:val="FootnoteText"/>
      </w:pPr>
      <w:r>
        <w:rPr>
          <w:rStyle w:val="FootnoteReference"/>
        </w:rPr>
        <w:footnoteRef/>
      </w:r>
      <w:r>
        <w:t xml:space="preserve"> </w:t>
      </w:r>
      <w:r w:rsidRPr="00F66EEB">
        <w:t xml:space="preserve">32 rules, </w:t>
      </w:r>
      <w:bookmarkStart w:id="11" w:name="OLE_LINK8"/>
      <w:bookmarkStart w:id="12" w:name="OLE_LINK9"/>
      <w:r w:rsidRPr="00F66EEB">
        <w:t>v4533-4548 and v4672-4687</w:t>
      </w:r>
      <w:bookmarkEnd w:id="11"/>
      <w:bookmarkEnd w:id="12"/>
      <w:r w:rsidRPr="00F66EEB">
        <w:t xml:space="preserve">, all of the form </w:t>
      </w:r>
      <w:r>
        <w:t>“{rXXX}=sum(rYYY-</w:t>
      </w:r>
      <w:r w:rsidRPr="00F66EEB">
        <w:t>ZZZ)</w:t>
      </w:r>
      <w:r>
        <w:t>”</w:t>
      </w:r>
      <w:r w:rsidRPr="00F66EEB">
        <w:t xml:space="preserve"> with a </w:t>
      </w:r>
      <w:r>
        <w:t xml:space="preserve">row </w:t>
      </w:r>
      <w:r w:rsidRPr="00F66EEB">
        <w:t xml:space="preserve">scope restriction </w:t>
      </w:r>
      <w:r>
        <w:t>of (</w:t>
      </w:r>
      <w:r w:rsidRPr="00F66EEB">
        <w:t>XXX</w:t>
      </w:r>
      <w:r>
        <w:t>)</w:t>
      </w:r>
    </w:p>
  </w:footnote>
  <w:footnote w:id="17">
    <w:p w14:paraId="7BB4D340" w14:textId="59CD9FE4" w:rsidR="002D11E1" w:rsidRDefault="002D11E1" w:rsidP="000B6471">
      <w:pPr>
        <w:pStyle w:val="FootnoteText"/>
      </w:pPr>
      <w:r>
        <w:rPr>
          <w:rStyle w:val="FootnoteReference"/>
        </w:rPr>
        <w:footnoteRef/>
      </w:r>
      <w:r>
        <w:t xml:space="preserve"> 3 rules, v4741_h-v4743_h</w:t>
      </w:r>
    </w:p>
  </w:footnote>
  <w:footnote w:id="18">
    <w:p w14:paraId="6F8B85F2" w14:textId="35A8D7E9" w:rsidR="002D11E1" w:rsidRDefault="002D11E1" w:rsidP="000B6471">
      <w:pPr>
        <w:pStyle w:val="FootnoteText"/>
      </w:pPr>
      <w:r>
        <w:rPr>
          <w:rStyle w:val="FootnoteReference"/>
        </w:rPr>
        <w:footnoteRef/>
      </w:r>
      <w:r>
        <w:t xml:space="preserve"> I.e. 2.4.1.0 / 2.4.1.1, or 2.5.0.0 / 2.5.0.1</w:t>
      </w:r>
    </w:p>
  </w:footnote>
  <w:footnote w:id="19">
    <w:p w14:paraId="4447D222" w14:textId="03D91849" w:rsidR="002D11E1" w:rsidRDefault="002D11E1" w:rsidP="000B6471">
      <w:pPr>
        <w:pStyle w:val="FootnoteText"/>
      </w:pPr>
      <w:r>
        <w:rPr>
          <w:rStyle w:val="FootnoteReference"/>
        </w:rPr>
        <w:footnoteRef/>
      </w:r>
      <w:r>
        <w:t xml:space="preserve"> I.e. appropriately disabling/ignoring the output of these rules and ensuring compliance with them by other means.</w:t>
      </w:r>
    </w:p>
  </w:footnote>
  <w:footnote w:id="20">
    <w:p w14:paraId="5CD8650A" w14:textId="317BADB4" w:rsidR="002D11E1" w:rsidRDefault="002D11E1" w:rsidP="000B6471">
      <w:pPr>
        <w:pStyle w:val="FootnoteText"/>
      </w:pPr>
      <w:r>
        <w:rPr>
          <w:rStyle w:val="FootnoteReference"/>
        </w:rPr>
        <w:footnoteRef/>
      </w:r>
      <w:r>
        <w:t xml:space="preserve"> </w:t>
      </w:r>
      <w:r w:rsidRPr="00455509">
        <w:t>Additionally, parties who utilise the EBA XBRL taxonomy directly in “online” mode - i.e. directly reference the files from the canonical URLs, rather than (the more typical approach of) caching the files locally, will automatically and transparently utilis</w:t>
      </w:r>
      <w:r>
        <w:t>e these corrected versions.</w:t>
      </w:r>
    </w:p>
  </w:footnote>
  <w:footnote w:id="21">
    <w:p w14:paraId="62527207" w14:textId="77777777" w:rsidR="002D11E1" w:rsidRDefault="002D11E1" w:rsidP="000B6471">
      <w:pPr>
        <w:pStyle w:val="FootnoteText"/>
      </w:pPr>
      <w:r>
        <w:rPr>
          <w:rStyle w:val="FootnoteReference"/>
        </w:rPr>
        <w:footnoteRef/>
      </w:r>
      <w:r>
        <w:t xml:space="preserve"> where {C 02.00,r060,c010,s000} previously with DataPointVID 78020 (and DataPointID 78020) has been deliberately remodelled to exactly match the existing modelling of cell {C 07.00.a,r010,c220,s001} with DataPointVID 78917 (and DataPointID 78917) so that in future only one figure will be reported representing both of these cells).</w:t>
      </w:r>
    </w:p>
  </w:footnote>
  <w:footnote w:id="22">
    <w:p w14:paraId="5293590B" w14:textId="1BFB7F68" w:rsidR="002D11E1" w:rsidRDefault="002D11E1" w:rsidP="000B6471">
      <w:pPr>
        <w:pStyle w:val="FootnoteText"/>
      </w:pPr>
      <w:r>
        <w:rPr>
          <w:rStyle w:val="FootnoteReference"/>
        </w:rPr>
        <w:footnoteRef/>
      </w:r>
      <w:r>
        <w:t xml:space="preserve"> Which also independently include this correction to validation rule implementations.</w:t>
      </w:r>
    </w:p>
  </w:footnote>
  <w:footnote w:id="23">
    <w:p w14:paraId="55B5ED43" w14:textId="77777777" w:rsidR="002D11E1" w:rsidRDefault="002D11E1" w:rsidP="000B6471">
      <w:pPr>
        <w:pStyle w:val="FootnoteText"/>
      </w:pPr>
      <w:r>
        <w:rPr>
          <w:rStyle w:val="FootnoteReference"/>
        </w:rPr>
        <w:footnoteRef/>
      </w:r>
      <w:r>
        <w:t xml:space="preserve"> </w:t>
      </w:r>
      <w:hyperlink r:id="rId1" w:history="1">
        <w:r w:rsidRPr="00EE5701">
          <w:rPr>
            <w:rStyle w:val="Hyperlink"/>
          </w:rPr>
          <w:t>https://www.eba.europa.eu/single-rule-book-qa</w:t>
        </w:r>
      </w:hyperlink>
      <w:r>
        <w:t xml:space="preserve"> </w:t>
      </w:r>
    </w:p>
  </w:footnote>
  <w:footnote w:id="24">
    <w:p w14:paraId="55B5ED44" w14:textId="77777777" w:rsidR="002D11E1" w:rsidRDefault="002D11E1" w:rsidP="000B6471">
      <w:pPr>
        <w:pStyle w:val="FootnoteText"/>
      </w:pPr>
      <w:r>
        <w:rPr>
          <w:rStyle w:val="FootnoteReference"/>
        </w:rPr>
        <w:footnoteRef/>
      </w:r>
      <w:r>
        <w:t xml:space="preserve"> “consistent” essentially meaning that the same ISO code should, where possible, be used for the currency unit as is in the member code.</w:t>
      </w:r>
    </w:p>
  </w:footnote>
  <w:footnote w:id="25">
    <w:p w14:paraId="55B5ED45" w14:textId="77777777" w:rsidR="002D11E1" w:rsidRDefault="002D11E1" w:rsidP="000B6471">
      <w:pPr>
        <w:pStyle w:val="FootnoteText"/>
      </w:pPr>
      <w:r>
        <w:rPr>
          <w:rStyle w:val="FootnoteReference"/>
        </w:rPr>
        <w:footnoteRef/>
      </w:r>
      <w:r>
        <w:t xml:space="preserve"> See for example the list appropriate to the 2015 exercise in Annex I at </w:t>
      </w:r>
      <w:hyperlink r:id="rId2" w:history="1">
        <w:r w:rsidRPr="00EE5701">
          <w:rPr>
            <w:rStyle w:val="Hyperlink"/>
          </w:rPr>
          <w:t>http://www.eba.europa.eu/regulation-and-policy/other-topics/regulatory-and-implementing-technical-standards-on-benchmarking-portfolios</w:t>
        </w:r>
      </w:hyperlink>
    </w:p>
  </w:footnote>
  <w:footnote w:id="26">
    <w:p w14:paraId="55B5ED46" w14:textId="77777777" w:rsidR="002D11E1" w:rsidRDefault="002D11E1" w:rsidP="000B6471">
      <w:pPr>
        <w:pStyle w:val="FootnoteText"/>
      </w:pPr>
      <w:r>
        <w:rPr>
          <w:rStyle w:val="FootnoteReference"/>
        </w:rPr>
        <w:footnoteRef/>
      </w:r>
      <w:r>
        <w:t xml:space="preserve"> The xlink labels generated for two elements clashed</w:t>
      </w:r>
    </w:p>
  </w:footnote>
  <w:footnote w:id="27">
    <w:p w14:paraId="55B5ED47" w14:textId="77777777" w:rsidR="002D11E1" w:rsidRDefault="002D11E1" w:rsidP="000B6471">
      <w:pPr>
        <w:pStyle w:val="FootnoteText"/>
      </w:pPr>
      <w:r>
        <w:rPr>
          <w:rStyle w:val="FootnoteReference"/>
        </w:rPr>
        <w:footnoteRef/>
      </w:r>
      <w:r>
        <w:t xml:space="preserve"> </w:t>
      </w:r>
      <w:r w:rsidRPr="006E696D">
        <w:t>The original 2.0.1 taxonomy is supplied similarly packaged for reference</w:t>
      </w:r>
    </w:p>
  </w:footnote>
  <w:footnote w:id="28">
    <w:p w14:paraId="55B5ED48" w14:textId="77777777" w:rsidR="002D11E1" w:rsidRDefault="002D11E1" w:rsidP="000B6471">
      <w:pPr>
        <w:pStyle w:val="FootnoteText"/>
      </w:pPr>
      <w:r>
        <w:rPr>
          <w:rStyle w:val="FootnoteReference"/>
        </w:rPr>
        <w:footnoteRef/>
      </w:r>
      <w:r>
        <w:t xml:space="preserve"> N.B. the respective organisations and their websites remain the authoritative sources for these files.</w:t>
      </w:r>
    </w:p>
  </w:footnote>
  <w:footnote w:id="29">
    <w:p w14:paraId="55B5ED49" w14:textId="77777777" w:rsidR="002D11E1" w:rsidRDefault="002D11E1" w:rsidP="000B6471">
      <w:pPr>
        <w:pStyle w:val="FootnoteText"/>
      </w:pPr>
      <w:r>
        <w:rPr>
          <w:rStyle w:val="FootnoteReference"/>
        </w:rPr>
        <w:footnoteRef/>
      </w:r>
      <w:r>
        <w:t xml:space="preserve"> N.B. previous 2.0.1 release would under the new system  have been labelled 2.0.0.1</w:t>
      </w:r>
    </w:p>
    <w:p w14:paraId="55B5ED4A" w14:textId="77777777" w:rsidR="002D11E1" w:rsidRDefault="002D11E1" w:rsidP="000B6471">
      <w:pPr>
        <w:pStyle w:val="FootnoteText"/>
      </w:pPr>
    </w:p>
  </w:footnote>
  <w:footnote w:id="30">
    <w:p w14:paraId="55B5ED4B" w14:textId="77777777" w:rsidR="002D11E1" w:rsidRDefault="002D11E1" w:rsidP="000B6471">
      <w:pPr>
        <w:pStyle w:val="FootnoteText"/>
      </w:pPr>
      <w:r>
        <w:rPr>
          <w:rStyle w:val="FootnoteReference"/>
        </w:rPr>
        <w:footnoteRef/>
      </w:r>
      <w:r>
        <w:t xml:space="preserve"> I.e. public consultation version on “2.1.0” Package would be referred to as 2.1.0.0.PWD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7C1FE" w14:textId="77777777" w:rsidR="002D11E1" w:rsidRDefault="002D11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5F153" w14:textId="77777777" w:rsidR="002D11E1" w:rsidRDefault="002D11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5ED3E" w14:textId="77777777" w:rsidR="002D11E1" w:rsidRDefault="002D11E1" w:rsidP="00D515AE">
    <w:pPr>
      <w:pStyle w:val="Runningtitle"/>
    </w:pPr>
    <w:r>
      <w:rPr>
        <w:noProof/>
      </w:rPr>
      <w:drawing>
        <wp:anchor distT="0" distB="0" distL="114300" distR="114300" simplePos="0" relativeHeight="251659264" behindDoc="1" locked="1" layoutInCell="1" allowOverlap="0" wp14:anchorId="55B5ED41" wp14:editId="55B5ED42">
          <wp:simplePos x="0" y="0"/>
          <wp:positionH relativeFrom="page">
            <wp:posOffset>4702175</wp:posOffset>
          </wp:positionH>
          <wp:positionV relativeFrom="page">
            <wp:posOffset>450215</wp:posOffset>
          </wp:positionV>
          <wp:extent cx="1941830" cy="719455"/>
          <wp:effectExtent l="0" t="0" r="0" b="0"/>
          <wp:wrapNone/>
          <wp:docPr id="11"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pic:spPr>
              </pic:pic>
            </a:graphicData>
          </a:graphic>
        </wp:anchor>
      </w:drawing>
    </w:r>
    <w:r>
      <w:t>DPM / XBRL Taxonomy Revision NOTES</w:t>
    </w:r>
  </w:p>
  <w:p w14:paraId="55B5ED3F" w14:textId="77777777" w:rsidR="002D11E1" w:rsidRDefault="002D11E1" w:rsidP="00951473">
    <w:pPr>
      <w:pStyle w:val="Heade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0D0A99"/>
    <w:multiLevelType w:val="hybridMultilevel"/>
    <w:tmpl w:val="A6884F46"/>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C337E9"/>
    <w:multiLevelType w:val="hybridMultilevel"/>
    <w:tmpl w:val="0986A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710F59"/>
    <w:multiLevelType w:val="hybridMultilevel"/>
    <w:tmpl w:val="53C04EBC"/>
    <w:lvl w:ilvl="0" w:tplc="548A9044">
      <w:start w:val="1"/>
      <w:numFmt w:val="decimal"/>
      <w:pStyle w:val="Baseparagraphnumbered"/>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pStyle w:val="Heading9"/>
      <w:lvlText w:val="%9."/>
      <w:lvlJc w:val="right"/>
      <w:pPr>
        <w:ind w:left="7047" w:hanging="180"/>
      </w:pPr>
    </w:lvl>
  </w:abstractNum>
  <w:abstractNum w:abstractNumId="6" w15:restartNumberingAfterBreak="0">
    <w:nsid w:val="173B689D"/>
    <w:multiLevelType w:val="hybridMultilevel"/>
    <w:tmpl w:val="FED6E6C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7903210"/>
    <w:multiLevelType w:val="hybridMultilevel"/>
    <w:tmpl w:val="7CE4BEBC"/>
    <w:lvl w:ilvl="0" w:tplc="20D8546C">
      <w:start w:val="1"/>
      <w:numFmt w:val="bullet"/>
      <w:lvlRestart w:val="0"/>
      <w:pStyle w:val="Bulleted1"/>
      <w:lvlText w:val=""/>
      <w:lvlJc w:val="left"/>
      <w:pPr>
        <w:tabs>
          <w:tab w:val="num" w:pos="851"/>
        </w:tabs>
        <w:ind w:left="851" w:hanging="284"/>
      </w:pPr>
      <w:rPr>
        <w:rFonts w:ascii="Symbol" w:hAnsi="Symbol" w:cs="Symbol" w:hint="default"/>
        <w:color w:val="C0C0C0"/>
      </w:rPr>
    </w:lvl>
    <w:lvl w:ilvl="1" w:tplc="040B0003">
      <w:start w:val="1"/>
      <w:numFmt w:val="bullet"/>
      <w:lvlText w:val="o"/>
      <w:lvlJc w:val="left"/>
      <w:pPr>
        <w:tabs>
          <w:tab w:val="num" w:pos="1440"/>
        </w:tabs>
        <w:ind w:left="1440" w:hanging="360"/>
      </w:pPr>
      <w:rPr>
        <w:rFonts w:ascii="Courier New" w:hAnsi="Courier New" w:cs="Courier New" w:hint="default"/>
      </w:rPr>
    </w:lvl>
    <w:lvl w:ilvl="2" w:tplc="040B0005">
      <w:start w:val="1"/>
      <w:numFmt w:val="bullet"/>
      <w:lvlText w:val=""/>
      <w:lvlJc w:val="left"/>
      <w:pPr>
        <w:tabs>
          <w:tab w:val="num" w:pos="2160"/>
        </w:tabs>
        <w:ind w:left="2160" w:hanging="360"/>
      </w:pPr>
      <w:rPr>
        <w:rFonts w:ascii="Wingdings" w:hAnsi="Wingdings" w:cs="Wingdings" w:hint="default"/>
      </w:rPr>
    </w:lvl>
    <w:lvl w:ilvl="3" w:tplc="040B0001">
      <w:start w:val="1"/>
      <w:numFmt w:val="bullet"/>
      <w:lvlText w:val=""/>
      <w:lvlJc w:val="left"/>
      <w:pPr>
        <w:tabs>
          <w:tab w:val="num" w:pos="2880"/>
        </w:tabs>
        <w:ind w:left="2880" w:hanging="360"/>
      </w:pPr>
      <w:rPr>
        <w:rFonts w:ascii="Symbol" w:hAnsi="Symbol" w:cs="Symbol" w:hint="default"/>
      </w:rPr>
    </w:lvl>
    <w:lvl w:ilvl="4" w:tplc="040B0003">
      <w:start w:val="1"/>
      <w:numFmt w:val="bullet"/>
      <w:lvlText w:val="o"/>
      <w:lvlJc w:val="left"/>
      <w:pPr>
        <w:tabs>
          <w:tab w:val="num" w:pos="3600"/>
        </w:tabs>
        <w:ind w:left="3600" w:hanging="360"/>
      </w:pPr>
      <w:rPr>
        <w:rFonts w:ascii="Courier New" w:hAnsi="Courier New" w:cs="Courier New" w:hint="default"/>
      </w:rPr>
    </w:lvl>
    <w:lvl w:ilvl="5" w:tplc="040B0005">
      <w:start w:val="1"/>
      <w:numFmt w:val="bullet"/>
      <w:lvlText w:val=""/>
      <w:lvlJc w:val="left"/>
      <w:pPr>
        <w:tabs>
          <w:tab w:val="num" w:pos="4320"/>
        </w:tabs>
        <w:ind w:left="4320" w:hanging="360"/>
      </w:pPr>
      <w:rPr>
        <w:rFonts w:ascii="Wingdings" w:hAnsi="Wingdings" w:cs="Wingdings" w:hint="default"/>
      </w:rPr>
    </w:lvl>
    <w:lvl w:ilvl="6" w:tplc="040B0001">
      <w:start w:val="1"/>
      <w:numFmt w:val="bullet"/>
      <w:lvlText w:val=""/>
      <w:lvlJc w:val="left"/>
      <w:pPr>
        <w:tabs>
          <w:tab w:val="num" w:pos="5040"/>
        </w:tabs>
        <w:ind w:left="5040" w:hanging="360"/>
      </w:pPr>
      <w:rPr>
        <w:rFonts w:ascii="Symbol" w:hAnsi="Symbol" w:cs="Symbol" w:hint="default"/>
      </w:rPr>
    </w:lvl>
    <w:lvl w:ilvl="7" w:tplc="040B0003">
      <w:start w:val="1"/>
      <w:numFmt w:val="bullet"/>
      <w:lvlText w:val="o"/>
      <w:lvlJc w:val="left"/>
      <w:pPr>
        <w:tabs>
          <w:tab w:val="num" w:pos="5760"/>
        </w:tabs>
        <w:ind w:left="5760" w:hanging="360"/>
      </w:pPr>
      <w:rPr>
        <w:rFonts w:ascii="Courier New" w:hAnsi="Courier New" w:cs="Courier New" w:hint="default"/>
      </w:rPr>
    </w:lvl>
    <w:lvl w:ilvl="8" w:tplc="040B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1BCC2423"/>
    <w:multiLevelType w:val="hybridMultilevel"/>
    <w:tmpl w:val="22A45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E757EE"/>
    <w:multiLevelType w:val="hybridMultilevel"/>
    <w:tmpl w:val="FF1ECF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0B464E"/>
    <w:multiLevelType w:val="multilevel"/>
    <w:tmpl w:val="0AF82F2E"/>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1" w15:restartNumberingAfterBreak="0">
    <w:nsid w:val="2F244746"/>
    <w:multiLevelType w:val="hybridMultilevel"/>
    <w:tmpl w:val="084CA4C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7085C72"/>
    <w:multiLevelType w:val="hybridMultilevel"/>
    <w:tmpl w:val="844CF1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85C6A9A"/>
    <w:multiLevelType w:val="hybridMultilevel"/>
    <w:tmpl w:val="C4E64628"/>
    <w:lvl w:ilvl="0" w:tplc="5CB870D2">
      <w:start w:val="1"/>
      <w:numFmt w:val="bullet"/>
      <w:pStyle w:val="04bList"/>
      <w:lvlText w:val="─"/>
      <w:lvlJc w:val="left"/>
      <w:pPr>
        <w:tabs>
          <w:tab w:val="num" w:pos="568"/>
        </w:tabs>
        <w:ind w:left="568" w:hanging="284"/>
      </w:pPr>
      <w:rPr>
        <w:rFonts w:ascii="Georgia" w:hAnsi="Georgia" w:hint="default"/>
        <w:color w:val="00000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2C31E3"/>
    <w:multiLevelType w:val="hybridMultilevel"/>
    <w:tmpl w:val="D90E91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FBC5573"/>
    <w:multiLevelType w:val="hybridMultilevel"/>
    <w:tmpl w:val="E7263F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400740C"/>
    <w:multiLevelType w:val="hybridMultilevel"/>
    <w:tmpl w:val="B7EA31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73575A8"/>
    <w:multiLevelType w:val="hybridMultilevel"/>
    <w:tmpl w:val="F224DA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CF08B9"/>
    <w:multiLevelType w:val="hybridMultilevel"/>
    <w:tmpl w:val="B802D2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B56383E"/>
    <w:multiLevelType w:val="hybridMultilevel"/>
    <w:tmpl w:val="E2AA1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00B5AFA"/>
    <w:multiLevelType w:val="hybridMultilevel"/>
    <w:tmpl w:val="D5C8F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37D71DC"/>
    <w:multiLevelType w:val="hybridMultilevel"/>
    <w:tmpl w:val="BDDE7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4AE38D2"/>
    <w:multiLevelType w:val="hybridMultilevel"/>
    <w:tmpl w:val="13F4CB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BCD57BB"/>
    <w:multiLevelType w:val="multilevel"/>
    <w:tmpl w:val="275C7198"/>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6D785F45"/>
    <w:multiLevelType w:val="hybridMultilevel"/>
    <w:tmpl w:val="4FF61B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10634B0"/>
    <w:multiLevelType w:val="hybridMultilevel"/>
    <w:tmpl w:val="864C749E"/>
    <w:lvl w:ilvl="0" w:tplc="F8322DF6">
      <w:start w:val="2"/>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7174BA"/>
    <w:multiLevelType w:val="hybridMultilevel"/>
    <w:tmpl w:val="D22EA4D2"/>
    <w:lvl w:ilvl="0" w:tplc="5FD87966">
      <w:numFmt w:val="bullet"/>
      <w:lvlText w:val="•"/>
      <w:lvlJc w:val="left"/>
      <w:pPr>
        <w:ind w:left="1080" w:hanging="720"/>
      </w:pPr>
      <w:rPr>
        <w:rFonts w:ascii="Calibri" w:eastAsiaTheme="minorEastAsia"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5796670"/>
    <w:multiLevelType w:val="hybridMultilevel"/>
    <w:tmpl w:val="2AA42F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AE919E1"/>
    <w:multiLevelType w:val="hybridMultilevel"/>
    <w:tmpl w:val="084CA4C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B4E2A41"/>
    <w:multiLevelType w:val="hybridMultilevel"/>
    <w:tmpl w:val="B4A47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5"/>
  </w:num>
  <w:num w:numId="4">
    <w:abstractNumId w:val="19"/>
  </w:num>
  <w:num w:numId="5">
    <w:abstractNumId w:val="17"/>
  </w:num>
  <w:num w:numId="6">
    <w:abstractNumId w:val="32"/>
  </w:num>
  <w:num w:numId="7">
    <w:abstractNumId w:val="11"/>
  </w:num>
  <w:num w:numId="8">
    <w:abstractNumId w:val="25"/>
  </w:num>
  <w:num w:numId="9">
    <w:abstractNumId w:val="16"/>
  </w:num>
  <w:num w:numId="10">
    <w:abstractNumId w:val="22"/>
  </w:num>
  <w:num w:numId="11">
    <w:abstractNumId w:val="10"/>
  </w:num>
  <w:num w:numId="12">
    <w:abstractNumId w:val="1"/>
  </w:num>
  <w:num w:numId="13">
    <w:abstractNumId w:val="0"/>
  </w:num>
  <w:num w:numId="14">
    <w:abstractNumId w:val="29"/>
  </w:num>
  <w:num w:numId="15">
    <w:abstractNumId w:val="2"/>
  </w:num>
  <w:num w:numId="16">
    <w:abstractNumId w:val="18"/>
  </w:num>
  <w:num w:numId="17">
    <w:abstractNumId w:val="26"/>
  </w:num>
  <w:num w:numId="18">
    <w:abstractNumId w:val="14"/>
  </w:num>
  <w:num w:numId="19">
    <w:abstractNumId w:val="20"/>
  </w:num>
  <w:num w:numId="20">
    <w:abstractNumId w:val="21"/>
  </w:num>
  <w:num w:numId="21">
    <w:abstractNumId w:val="30"/>
  </w:num>
  <w:num w:numId="22">
    <w:abstractNumId w:val="31"/>
  </w:num>
  <w:num w:numId="23">
    <w:abstractNumId w:val="15"/>
  </w:num>
  <w:num w:numId="24">
    <w:abstractNumId w:val="27"/>
  </w:num>
  <w:num w:numId="25">
    <w:abstractNumId w:val="9"/>
  </w:num>
  <w:num w:numId="26">
    <w:abstractNumId w:val="8"/>
  </w:num>
  <w:num w:numId="27">
    <w:abstractNumId w:val="23"/>
  </w:num>
  <w:num w:numId="28">
    <w:abstractNumId w:val="4"/>
  </w:num>
  <w:num w:numId="29">
    <w:abstractNumId w:val="33"/>
  </w:num>
  <w:num w:numId="30">
    <w:abstractNumId w:val="2"/>
  </w:num>
  <w:num w:numId="31">
    <w:abstractNumId w:val="24"/>
  </w:num>
  <w:num w:numId="32">
    <w:abstractNumId w:val="12"/>
  </w:num>
  <w:num w:numId="33">
    <w:abstractNumId w:val="3"/>
  </w:num>
  <w:num w:numId="34">
    <w:abstractNumId w:val="6"/>
  </w:num>
  <w:num w:numId="35">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FC428CEB"/>
  </w:docVars>
  <w:rsids>
    <w:rsidRoot w:val="00997CA0"/>
    <w:rsid w:val="000016D7"/>
    <w:rsid w:val="00001AB3"/>
    <w:rsid w:val="00004107"/>
    <w:rsid w:val="00004348"/>
    <w:rsid w:val="000043AD"/>
    <w:rsid w:val="00004FA0"/>
    <w:rsid w:val="00006001"/>
    <w:rsid w:val="0000662A"/>
    <w:rsid w:val="000069C4"/>
    <w:rsid w:val="000072E1"/>
    <w:rsid w:val="00007E20"/>
    <w:rsid w:val="000101C7"/>
    <w:rsid w:val="00011C13"/>
    <w:rsid w:val="00011F6D"/>
    <w:rsid w:val="00012388"/>
    <w:rsid w:val="0001352D"/>
    <w:rsid w:val="00013A62"/>
    <w:rsid w:val="000156CB"/>
    <w:rsid w:val="000156E6"/>
    <w:rsid w:val="00016865"/>
    <w:rsid w:val="000202C1"/>
    <w:rsid w:val="00020912"/>
    <w:rsid w:val="00020A16"/>
    <w:rsid w:val="00020D39"/>
    <w:rsid w:val="00021564"/>
    <w:rsid w:val="000215BA"/>
    <w:rsid w:val="000219C1"/>
    <w:rsid w:val="00022FC2"/>
    <w:rsid w:val="000231C2"/>
    <w:rsid w:val="00023C56"/>
    <w:rsid w:val="00024782"/>
    <w:rsid w:val="0002787E"/>
    <w:rsid w:val="00027C9A"/>
    <w:rsid w:val="00030435"/>
    <w:rsid w:val="000321C4"/>
    <w:rsid w:val="00032CF2"/>
    <w:rsid w:val="00033F06"/>
    <w:rsid w:val="00033F26"/>
    <w:rsid w:val="0003455C"/>
    <w:rsid w:val="000353B5"/>
    <w:rsid w:val="00035483"/>
    <w:rsid w:val="0003592C"/>
    <w:rsid w:val="00035A91"/>
    <w:rsid w:val="000368D1"/>
    <w:rsid w:val="0003690D"/>
    <w:rsid w:val="00036EFB"/>
    <w:rsid w:val="00037576"/>
    <w:rsid w:val="000378BB"/>
    <w:rsid w:val="000378E5"/>
    <w:rsid w:val="000407A2"/>
    <w:rsid w:val="00041E5D"/>
    <w:rsid w:val="00042587"/>
    <w:rsid w:val="000428BD"/>
    <w:rsid w:val="00043476"/>
    <w:rsid w:val="00046440"/>
    <w:rsid w:val="00047117"/>
    <w:rsid w:val="000475EA"/>
    <w:rsid w:val="00047CC4"/>
    <w:rsid w:val="00050EBA"/>
    <w:rsid w:val="00052E3F"/>
    <w:rsid w:val="00052EBD"/>
    <w:rsid w:val="0005423A"/>
    <w:rsid w:val="00054E71"/>
    <w:rsid w:val="00055164"/>
    <w:rsid w:val="00055C2E"/>
    <w:rsid w:val="00055D0A"/>
    <w:rsid w:val="000568A5"/>
    <w:rsid w:val="00056A93"/>
    <w:rsid w:val="00057AD9"/>
    <w:rsid w:val="00057CFC"/>
    <w:rsid w:val="00060012"/>
    <w:rsid w:val="00060ADA"/>
    <w:rsid w:val="00060D3C"/>
    <w:rsid w:val="00060E49"/>
    <w:rsid w:val="000610D4"/>
    <w:rsid w:val="0006119E"/>
    <w:rsid w:val="00061240"/>
    <w:rsid w:val="000625D7"/>
    <w:rsid w:val="00063AC5"/>
    <w:rsid w:val="00063CDC"/>
    <w:rsid w:val="00064DDB"/>
    <w:rsid w:val="00064E55"/>
    <w:rsid w:val="0006587A"/>
    <w:rsid w:val="000664A2"/>
    <w:rsid w:val="000664CD"/>
    <w:rsid w:val="000669A1"/>
    <w:rsid w:val="0006775E"/>
    <w:rsid w:val="00067E51"/>
    <w:rsid w:val="000700DD"/>
    <w:rsid w:val="00070233"/>
    <w:rsid w:val="000717F0"/>
    <w:rsid w:val="00074165"/>
    <w:rsid w:val="000753EF"/>
    <w:rsid w:val="00076040"/>
    <w:rsid w:val="00076E49"/>
    <w:rsid w:val="0008059B"/>
    <w:rsid w:val="00080A2B"/>
    <w:rsid w:val="00080ACD"/>
    <w:rsid w:val="00080CF2"/>
    <w:rsid w:val="0008136A"/>
    <w:rsid w:val="00081488"/>
    <w:rsid w:val="000817F0"/>
    <w:rsid w:val="000818EE"/>
    <w:rsid w:val="000823E4"/>
    <w:rsid w:val="00082993"/>
    <w:rsid w:val="0008322A"/>
    <w:rsid w:val="00083342"/>
    <w:rsid w:val="00083D0B"/>
    <w:rsid w:val="00085266"/>
    <w:rsid w:val="00085E6C"/>
    <w:rsid w:val="00086636"/>
    <w:rsid w:val="000870D0"/>
    <w:rsid w:val="000877DB"/>
    <w:rsid w:val="00090072"/>
    <w:rsid w:val="00090290"/>
    <w:rsid w:val="0009029D"/>
    <w:rsid w:val="0009151E"/>
    <w:rsid w:val="0009377D"/>
    <w:rsid w:val="000944A6"/>
    <w:rsid w:val="00094839"/>
    <w:rsid w:val="000951E3"/>
    <w:rsid w:val="00095C8F"/>
    <w:rsid w:val="000A0789"/>
    <w:rsid w:val="000A1BBF"/>
    <w:rsid w:val="000A1C83"/>
    <w:rsid w:val="000A4B87"/>
    <w:rsid w:val="000A563C"/>
    <w:rsid w:val="000A5F63"/>
    <w:rsid w:val="000A7467"/>
    <w:rsid w:val="000B0209"/>
    <w:rsid w:val="000B16A6"/>
    <w:rsid w:val="000B1E14"/>
    <w:rsid w:val="000B1FF7"/>
    <w:rsid w:val="000B24A4"/>
    <w:rsid w:val="000B3743"/>
    <w:rsid w:val="000B4206"/>
    <w:rsid w:val="000B459F"/>
    <w:rsid w:val="000B6170"/>
    <w:rsid w:val="000B6471"/>
    <w:rsid w:val="000B68E7"/>
    <w:rsid w:val="000B770B"/>
    <w:rsid w:val="000B7913"/>
    <w:rsid w:val="000C0853"/>
    <w:rsid w:val="000C18BB"/>
    <w:rsid w:val="000C207D"/>
    <w:rsid w:val="000C2D4D"/>
    <w:rsid w:val="000C4003"/>
    <w:rsid w:val="000C4467"/>
    <w:rsid w:val="000C4F17"/>
    <w:rsid w:val="000C5406"/>
    <w:rsid w:val="000C5461"/>
    <w:rsid w:val="000C6060"/>
    <w:rsid w:val="000C6BB3"/>
    <w:rsid w:val="000D0172"/>
    <w:rsid w:val="000D109B"/>
    <w:rsid w:val="000D2FBE"/>
    <w:rsid w:val="000D3181"/>
    <w:rsid w:val="000D4322"/>
    <w:rsid w:val="000D5189"/>
    <w:rsid w:val="000D5799"/>
    <w:rsid w:val="000D7959"/>
    <w:rsid w:val="000D7A32"/>
    <w:rsid w:val="000D7C40"/>
    <w:rsid w:val="000D7E87"/>
    <w:rsid w:val="000E0265"/>
    <w:rsid w:val="000E0326"/>
    <w:rsid w:val="000E118B"/>
    <w:rsid w:val="000E1F1A"/>
    <w:rsid w:val="000E3052"/>
    <w:rsid w:val="000E3461"/>
    <w:rsid w:val="000E47DF"/>
    <w:rsid w:val="000E55D6"/>
    <w:rsid w:val="000E5836"/>
    <w:rsid w:val="000E6F25"/>
    <w:rsid w:val="000E7062"/>
    <w:rsid w:val="000E79C7"/>
    <w:rsid w:val="000E7FE1"/>
    <w:rsid w:val="000F05FC"/>
    <w:rsid w:val="000F29E5"/>
    <w:rsid w:val="000F2FCC"/>
    <w:rsid w:val="000F3477"/>
    <w:rsid w:val="000F3810"/>
    <w:rsid w:val="000F3EE5"/>
    <w:rsid w:val="000F4CA7"/>
    <w:rsid w:val="000F5B02"/>
    <w:rsid w:val="000F6C55"/>
    <w:rsid w:val="000F744C"/>
    <w:rsid w:val="000F7D02"/>
    <w:rsid w:val="000F7DB3"/>
    <w:rsid w:val="00100107"/>
    <w:rsid w:val="00103354"/>
    <w:rsid w:val="0010417E"/>
    <w:rsid w:val="0010463B"/>
    <w:rsid w:val="00104E8B"/>
    <w:rsid w:val="00105BA1"/>
    <w:rsid w:val="00107717"/>
    <w:rsid w:val="00110189"/>
    <w:rsid w:val="001103A6"/>
    <w:rsid w:val="00110A58"/>
    <w:rsid w:val="00110E3E"/>
    <w:rsid w:val="00111E7D"/>
    <w:rsid w:val="00112465"/>
    <w:rsid w:val="00112F62"/>
    <w:rsid w:val="001136C9"/>
    <w:rsid w:val="00113BFD"/>
    <w:rsid w:val="00114042"/>
    <w:rsid w:val="00114B71"/>
    <w:rsid w:val="00114E64"/>
    <w:rsid w:val="0011514C"/>
    <w:rsid w:val="00115996"/>
    <w:rsid w:val="00115D78"/>
    <w:rsid w:val="00116621"/>
    <w:rsid w:val="00120345"/>
    <w:rsid w:val="001212D0"/>
    <w:rsid w:val="001225E5"/>
    <w:rsid w:val="001226FA"/>
    <w:rsid w:val="0012332E"/>
    <w:rsid w:val="001235DB"/>
    <w:rsid w:val="0012470F"/>
    <w:rsid w:val="00124E7E"/>
    <w:rsid w:val="00124FC0"/>
    <w:rsid w:val="00125ED2"/>
    <w:rsid w:val="00126837"/>
    <w:rsid w:val="00126AF1"/>
    <w:rsid w:val="0012744C"/>
    <w:rsid w:val="00127845"/>
    <w:rsid w:val="00130F8B"/>
    <w:rsid w:val="00131856"/>
    <w:rsid w:val="001320D5"/>
    <w:rsid w:val="00132684"/>
    <w:rsid w:val="00133775"/>
    <w:rsid w:val="00133E89"/>
    <w:rsid w:val="00134711"/>
    <w:rsid w:val="00134D10"/>
    <w:rsid w:val="00134F05"/>
    <w:rsid w:val="001354FC"/>
    <w:rsid w:val="00135BCC"/>
    <w:rsid w:val="001363C4"/>
    <w:rsid w:val="00136ED4"/>
    <w:rsid w:val="0014032B"/>
    <w:rsid w:val="0014085F"/>
    <w:rsid w:val="00140A1F"/>
    <w:rsid w:val="001419B7"/>
    <w:rsid w:val="0014278C"/>
    <w:rsid w:val="00142927"/>
    <w:rsid w:val="001429F7"/>
    <w:rsid w:val="0014349E"/>
    <w:rsid w:val="001444B4"/>
    <w:rsid w:val="0014526E"/>
    <w:rsid w:val="00145B79"/>
    <w:rsid w:val="00146507"/>
    <w:rsid w:val="00152FE2"/>
    <w:rsid w:val="001531BB"/>
    <w:rsid w:val="00153F5B"/>
    <w:rsid w:val="00155629"/>
    <w:rsid w:val="00156A70"/>
    <w:rsid w:val="00156E95"/>
    <w:rsid w:val="001572E2"/>
    <w:rsid w:val="00157477"/>
    <w:rsid w:val="0015768C"/>
    <w:rsid w:val="00157867"/>
    <w:rsid w:val="00157B5A"/>
    <w:rsid w:val="00160C4A"/>
    <w:rsid w:val="00162577"/>
    <w:rsid w:val="00163498"/>
    <w:rsid w:val="0016396C"/>
    <w:rsid w:val="0016440D"/>
    <w:rsid w:val="00165568"/>
    <w:rsid w:val="00165A58"/>
    <w:rsid w:val="00167162"/>
    <w:rsid w:val="00167AE3"/>
    <w:rsid w:val="0017214C"/>
    <w:rsid w:val="00172335"/>
    <w:rsid w:val="00172537"/>
    <w:rsid w:val="001729E8"/>
    <w:rsid w:val="00172A38"/>
    <w:rsid w:val="00172AFC"/>
    <w:rsid w:val="00174124"/>
    <w:rsid w:val="00174560"/>
    <w:rsid w:val="00174A17"/>
    <w:rsid w:val="00176011"/>
    <w:rsid w:val="001776D7"/>
    <w:rsid w:val="00180184"/>
    <w:rsid w:val="001805E5"/>
    <w:rsid w:val="001810BC"/>
    <w:rsid w:val="001810F5"/>
    <w:rsid w:val="00181420"/>
    <w:rsid w:val="0018149B"/>
    <w:rsid w:val="0018173E"/>
    <w:rsid w:val="00181D84"/>
    <w:rsid w:val="00182C36"/>
    <w:rsid w:val="00183058"/>
    <w:rsid w:val="00183D35"/>
    <w:rsid w:val="00184180"/>
    <w:rsid w:val="0018447E"/>
    <w:rsid w:val="001859A4"/>
    <w:rsid w:val="00187BD9"/>
    <w:rsid w:val="00190211"/>
    <w:rsid w:val="001913E7"/>
    <w:rsid w:val="00191843"/>
    <w:rsid w:val="0019382E"/>
    <w:rsid w:val="00194235"/>
    <w:rsid w:val="0019507B"/>
    <w:rsid w:val="00196117"/>
    <w:rsid w:val="001967C4"/>
    <w:rsid w:val="00196EF7"/>
    <w:rsid w:val="001974FE"/>
    <w:rsid w:val="001A0CA9"/>
    <w:rsid w:val="001A19AF"/>
    <w:rsid w:val="001A2EC8"/>
    <w:rsid w:val="001A2F3E"/>
    <w:rsid w:val="001A3127"/>
    <w:rsid w:val="001A3361"/>
    <w:rsid w:val="001A348A"/>
    <w:rsid w:val="001A4447"/>
    <w:rsid w:val="001A4CAA"/>
    <w:rsid w:val="001A4D91"/>
    <w:rsid w:val="001A53C6"/>
    <w:rsid w:val="001A53D3"/>
    <w:rsid w:val="001A5978"/>
    <w:rsid w:val="001A60B8"/>
    <w:rsid w:val="001A6B78"/>
    <w:rsid w:val="001A6E2D"/>
    <w:rsid w:val="001A7266"/>
    <w:rsid w:val="001A7890"/>
    <w:rsid w:val="001B034F"/>
    <w:rsid w:val="001B0667"/>
    <w:rsid w:val="001B09F0"/>
    <w:rsid w:val="001B1F73"/>
    <w:rsid w:val="001B1FD0"/>
    <w:rsid w:val="001B31BE"/>
    <w:rsid w:val="001B4836"/>
    <w:rsid w:val="001B6B8A"/>
    <w:rsid w:val="001B6CF3"/>
    <w:rsid w:val="001B7013"/>
    <w:rsid w:val="001B70B0"/>
    <w:rsid w:val="001B765B"/>
    <w:rsid w:val="001B78A3"/>
    <w:rsid w:val="001C0F1D"/>
    <w:rsid w:val="001C0F48"/>
    <w:rsid w:val="001C15FC"/>
    <w:rsid w:val="001C1D43"/>
    <w:rsid w:val="001C280C"/>
    <w:rsid w:val="001C2EC1"/>
    <w:rsid w:val="001C4AA6"/>
    <w:rsid w:val="001C504F"/>
    <w:rsid w:val="001C532F"/>
    <w:rsid w:val="001C6AD9"/>
    <w:rsid w:val="001C7D77"/>
    <w:rsid w:val="001D0B90"/>
    <w:rsid w:val="001D1280"/>
    <w:rsid w:val="001D19C9"/>
    <w:rsid w:val="001D19DF"/>
    <w:rsid w:val="001D2684"/>
    <w:rsid w:val="001D2686"/>
    <w:rsid w:val="001D33F9"/>
    <w:rsid w:val="001D4144"/>
    <w:rsid w:val="001D4313"/>
    <w:rsid w:val="001D62DD"/>
    <w:rsid w:val="001D672C"/>
    <w:rsid w:val="001D7397"/>
    <w:rsid w:val="001D754C"/>
    <w:rsid w:val="001D7A87"/>
    <w:rsid w:val="001E0E59"/>
    <w:rsid w:val="001E115B"/>
    <w:rsid w:val="001E19F9"/>
    <w:rsid w:val="001E284B"/>
    <w:rsid w:val="001E2E37"/>
    <w:rsid w:val="001E388F"/>
    <w:rsid w:val="001E435A"/>
    <w:rsid w:val="001E4433"/>
    <w:rsid w:val="001E46BF"/>
    <w:rsid w:val="001E4E23"/>
    <w:rsid w:val="001E54DA"/>
    <w:rsid w:val="001E5C84"/>
    <w:rsid w:val="001F0DA8"/>
    <w:rsid w:val="001F0E7F"/>
    <w:rsid w:val="001F0F77"/>
    <w:rsid w:val="001F1237"/>
    <w:rsid w:val="001F1EA1"/>
    <w:rsid w:val="001F25B2"/>
    <w:rsid w:val="001F36F2"/>
    <w:rsid w:val="001F3E7C"/>
    <w:rsid w:val="001F4069"/>
    <w:rsid w:val="001F4608"/>
    <w:rsid w:val="001F501D"/>
    <w:rsid w:val="001F5754"/>
    <w:rsid w:val="001F59D5"/>
    <w:rsid w:val="001F5B32"/>
    <w:rsid w:val="001F604A"/>
    <w:rsid w:val="001F6B05"/>
    <w:rsid w:val="001F78EC"/>
    <w:rsid w:val="002021E0"/>
    <w:rsid w:val="0020235F"/>
    <w:rsid w:val="002037A3"/>
    <w:rsid w:val="002046F4"/>
    <w:rsid w:val="002047A5"/>
    <w:rsid w:val="00204AFF"/>
    <w:rsid w:val="00204F23"/>
    <w:rsid w:val="00205CDC"/>
    <w:rsid w:val="00206359"/>
    <w:rsid w:val="002067D6"/>
    <w:rsid w:val="00211E76"/>
    <w:rsid w:val="002123AD"/>
    <w:rsid w:val="00212449"/>
    <w:rsid w:val="00212453"/>
    <w:rsid w:val="00212BD7"/>
    <w:rsid w:val="002132A1"/>
    <w:rsid w:val="00213E6A"/>
    <w:rsid w:val="00214BD3"/>
    <w:rsid w:val="00214F85"/>
    <w:rsid w:val="0021519E"/>
    <w:rsid w:val="002157DB"/>
    <w:rsid w:val="00215BC0"/>
    <w:rsid w:val="00215C4E"/>
    <w:rsid w:val="00215CFD"/>
    <w:rsid w:val="0021663E"/>
    <w:rsid w:val="00216FA6"/>
    <w:rsid w:val="002171AD"/>
    <w:rsid w:val="002171DB"/>
    <w:rsid w:val="00217301"/>
    <w:rsid w:val="00217434"/>
    <w:rsid w:val="00217748"/>
    <w:rsid w:val="00220B75"/>
    <w:rsid w:val="0022111D"/>
    <w:rsid w:val="00222815"/>
    <w:rsid w:val="002230AE"/>
    <w:rsid w:val="002231ED"/>
    <w:rsid w:val="0022391F"/>
    <w:rsid w:val="00224421"/>
    <w:rsid w:val="002258CF"/>
    <w:rsid w:val="002261B6"/>
    <w:rsid w:val="00226A98"/>
    <w:rsid w:val="00226F9B"/>
    <w:rsid w:val="00230716"/>
    <w:rsid w:val="0023080F"/>
    <w:rsid w:val="00230B33"/>
    <w:rsid w:val="0023149E"/>
    <w:rsid w:val="002315CE"/>
    <w:rsid w:val="002317E2"/>
    <w:rsid w:val="0023187E"/>
    <w:rsid w:val="00231CC7"/>
    <w:rsid w:val="00232517"/>
    <w:rsid w:val="002326DA"/>
    <w:rsid w:val="00233381"/>
    <w:rsid w:val="00233A3A"/>
    <w:rsid w:val="00234561"/>
    <w:rsid w:val="00235A5C"/>
    <w:rsid w:val="00235BDC"/>
    <w:rsid w:val="00236179"/>
    <w:rsid w:val="002370F8"/>
    <w:rsid w:val="00237148"/>
    <w:rsid w:val="00237567"/>
    <w:rsid w:val="00237AF6"/>
    <w:rsid w:val="00237B31"/>
    <w:rsid w:val="002400E5"/>
    <w:rsid w:val="0024143C"/>
    <w:rsid w:val="002418F3"/>
    <w:rsid w:val="00243158"/>
    <w:rsid w:val="00243215"/>
    <w:rsid w:val="00243250"/>
    <w:rsid w:val="0024328B"/>
    <w:rsid w:val="00244918"/>
    <w:rsid w:val="00244E2F"/>
    <w:rsid w:val="00245C98"/>
    <w:rsid w:val="002475EE"/>
    <w:rsid w:val="0024791A"/>
    <w:rsid w:val="00250BB3"/>
    <w:rsid w:val="00251368"/>
    <w:rsid w:val="00251488"/>
    <w:rsid w:val="002521C7"/>
    <w:rsid w:val="00252FF5"/>
    <w:rsid w:val="00254C15"/>
    <w:rsid w:val="00255D5F"/>
    <w:rsid w:val="00260DC6"/>
    <w:rsid w:val="0026127D"/>
    <w:rsid w:val="002622C1"/>
    <w:rsid w:val="002624A5"/>
    <w:rsid w:val="002637BE"/>
    <w:rsid w:val="00264747"/>
    <w:rsid w:val="0026480B"/>
    <w:rsid w:val="0026499C"/>
    <w:rsid w:val="00264CBE"/>
    <w:rsid w:val="00266670"/>
    <w:rsid w:val="0026683A"/>
    <w:rsid w:val="0026749E"/>
    <w:rsid w:val="00270AE7"/>
    <w:rsid w:val="00273419"/>
    <w:rsid w:val="00274334"/>
    <w:rsid w:val="00274A23"/>
    <w:rsid w:val="0027548D"/>
    <w:rsid w:val="00275597"/>
    <w:rsid w:val="002769D5"/>
    <w:rsid w:val="002774CB"/>
    <w:rsid w:val="0027756F"/>
    <w:rsid w:val="002779E9"/>
    <w:rsid w:val="0028022D"/>
    <w:rsid w:val="00281936"/>
    <w:rsid w:val="00283EF8"/>
    <w:rsid w:val="002851C8"/>
    <w:rsid w:val="002856FA"/>
    <w:rsid w:val="00290819"/>
    <w:rsid w:val="00291447"/>
    <w:rsid w:val="00291461"/>
    <w:rsid w:val="002914E0"/>
    <w:rsid w:val="002937F6"/>
    <w:rsid w:val="00293BB8"/>
    <w:rsid w:val="00295124"/>
    <w:rsid w:val="002959FD"/>
    <w:rsid w:val="00297975"/>
    <w:rsid w:val="002A0E31"/>
    <w:rsid w:val="002A1B93"/>
    <w:rsid w:val="002A1E50"/>
    <w:rsid w:val="002A2101"/>
    <w:rsid w:val="002A39CE"/>
    <w:rsid w:val="002A4F50"/>
    <w:rsid w:val="002A514E"/>
    <w:rsid w:val="002A5353"/>
    <w:rsid w:val="002A56C9"/>
    <w:rsid w:val="002A65D0"/>
    <w:rsid w:val="002A69B3"/>
    <w:rsid w:val="002A73C6"/>
    <w:rsid w:val="002A7AE4"/>
    <w:rsid w:val="002A7F29"/>
    <w:rsid w:val="002B07E3"/>
    <w:rsid w:val="002B0975"/>
    <w:rsid w:val="002B19BA"/>
    <w:rsid w:val="002B1A04"/>
    <w:rsid w:val="002B321F"/>
    <w:rsid w:val="002B431C"/>
    <w:rsid w:val="002B4E3E"/>
    <w:rsid w:val="002B5008"/>
    <w:rsid w:val="002B59B9"/>
    <w:rsid w:val="002B609F"/>
    <w:rsid w:val="002B7FF0"/>
    <w:rsid w:val="002C0822"/>
    <w:rsid w:val="002C0E22"/>
    <w:rsid w:val="002C0F60"/>
    <w:rsid w:val="002C11A8"/>
    <w:rsid w:val="002C18E4"/>
    <w:rsid w:val="002C21E9"/>
    <w:rsid w:val="002C2687"/>
    <w:rsid w:val="002C2F8D"/>
    <w:rsid w:val="002C2FFF"/>
    <w:rsid w:val="002C36C9"/>
    <w:rsid w:val="002C3DA0"/>
    <w:rsid w:val="002C4FDF"/>
    <w:rsid w:val="002C5803"/>
    <w:rsid w:val="002C61DD"/>
    <w:rsid w:val="002C777A"/>
    <w:rsid w:val="002D0922"/>
    <w:rsid w:val="002D11E1"/>
    <w:rsid w:val="002D1CF7"/>
    <w:rsid w:val="002D2099"/>
    <w:rsid w:val="002D218B"/>
    <w:rsid w:val="002D2351"/>
    <w:rsid w:val="002D2736"/>
    <w:rsid w:val="002D2F3D"/>
    <w:rsid w:val="002D3377"/>
    <w:rsid w:val="002D44E0"/>
    <w:rsid w:val="002D678C"/>
    <w:rsid w:val="002D6C39"/>
    <w:rsid w:val="002E18AF"/>
    <w:rsid w:val="002E1BEB"/>
    <w:rsid w:val="002E3B8B"/>
    <w:rsid w:val="002E3C58"/>
    <w:rsid w:val="002E4614"/>
    <w:rsid w:val="002E5450"/>
    <w:rsid w:val="002E5EC0"/>
    <w:rsid w:val="002E6BE9"/>
    <w:rsid w:val="002E7EC5"/>
    <w:rsid w:val="002F0AA6"/>
    <w:rsid w:val="002F0F2C"/>
    <w:rsid w:val="002F11CC"/>
    <w:rsid w:val="002F1C5D"/>
    <w:rsid w:val="002F1FBD"/>
    <w:rsid w:val="002F2A51"/>
    <w:rsid w:val="002F2F34"/>
    <w:rsid w:val="002F35A0"/>
    <w:rsid w:val="002F3C22"/>
    <w:rsid w:val="002F449D"/>
    <w:rsid w:val="002F5C98"/>
    <w:rsid w:val="002F6832"/>
    <w:rsid w:val="002F7A8C"/>
    <w:rsid w:val="003005B8"/>
    <w:rsid w:val="003006D2"/>
    <w:rsid w:val="00301959"/>
    <w:rsid w:val="00304E01"/>
    <w:rsid w:val="00305888"/>
    <w:rsid w:val="00306912"/>
    <w:rsid w:val="003071E0"/>
    <w:rsid w:val="0030776D"/>
    <w:rsid w:val="00310FA0"/>
    <w:rsid w:val="00312927"/>
    <w:rsid w:val="003129B6"/>
    <w:rsid w:val="00313342"/>
    <w:rsid w:val="003140BE"/>
    <w:rsid w:val="003143A4"/>
    <w:rsid w:val="00314F35"/>
    <w:rsid w:val="003156F0"/>
    <w:rsid w:val="00316840"/>
    <w:rsid w:val="00317173"/>
    <w:rsid w:val="00317C74"/>
    <w:rsid w:val="00320BB6"/>
    <w:rsid w:val="00320C07"/>
    <w:rsid w:val="00324AC7"/>
    <w:rsid w:val="00324D85"/>
    <w:rsid w:val="00325199"/>
    <w:rsid w:val="003261C7"/>
    <w:rsid w:val="00326210"/>
    <w:rsid w:val="00333467"/>
    <w:rsid w:val="00333671"/>
    <w:rsid w:val="0033401A"/>
    <w:rsid w:val="00334351"/>
    <w:rsid w:val="003344D3"/>
    <w:rsid w:val="00334F5B"/>
    <w:rsid w:val="003355DD"/>
    <w:rsid w:val="00335E7C"/>
    <w:rsid w:val="00335EA0"/>
    <w:rsid w:val="003362BF"/>
    <w:rsid w:val="00336B8E"/>
    <w:rsid w:val="003372AB"/>
    <w:rsid w:val="00337B16"/>
    <w:rsid w:val="003401C2"/>
    <w:rsid w:val="00340CC6"/>
    <w:rsid w:val="0034156C"/>
    <w:rsid w:val="0034347A"/>
    <w:rsid w:val="00343837"/>
    <w:rsid w:val="0034575B"/>
    <w:rsid w:val="00346BE1"/>
    <w:rsid w:val="00347344"/>
    <w:rsid w:val="003479BE"/>
    <w:rsid w:val="0035058E"/>
    <w:rsid w:val="00350E21"/>
    <w:rsid w:val="00351662"/>
    <w:rsid w:val="00351868"/>
    <w:rsid w:val="00351971"/>
    <w:rsid w:val="00351B0D"/>
    <w:rsid w:val="00352DD9"/>
    <w:rsid w:val="00354582"/>
    <w:rsid w:val="00354982"/>
    <w:rsid w:val="00354F47"/>
    <w:rsid w:val="00355396"/>
    <w:rsid w:val="003556B2"/>
    <w:rsid w:val="003557C0"/>
    <w:rsid w:val="00356638"/>
    <w:rsid w:val="003576B5"/>
    <w:rsid w:val="00357A61"/>
    <w:rsid w:val="00360446"/>
    <w:rsid w:val="003607D6"/>
    <w:rsid w:val="00363880"/>
    <w:rsid w:val="00363A0E"/>
    <w:rsid w:val="0036468A"/>
    <w:rsid w:val="00365DE2"/>
    <w:rsid w:val="003707C5"/>
    <w:rsid w:val="00371FE1"/>
    <w:rsid w:val="003721B6"/>
    <w:rsid w:val="00373183"/>
    <w:rsid w:val="003732CC"/>
    <w:rsid w:val="00375C6D"/>
    <w:rsid w:val="0037627A"/>
    <w:rsid w:val="00377A52"/>
    <w:rsid w:val="00377B94"/>
    <w:rsid w:val="00381126"/>
    <w:rsid w:val="00381DB1"/>
    <w:rsid w:val="00382DB6"/>
    <w:rsid w:val="00383282"/>
    <w:rsid w:val="00383876"/>
    <w:rsid w:val="00384338"/>
    <w:rsid w:val="0038492C"/>
    <w:rsid w:val="0038537D"/>
    <w:rsid w:val="00385DDC"/>
    <w:rsid w:val="00386F87"/>
    <w:rsid w:val="00387CB9"/>
    <w:rsid w:val="00391C30"/>
    <w:rsid w:val="003923BD"/>
    <w:rsid w:val="00392953"/>
    <w:rsid w:val="00393445"/>
    <w:rsid w:val="00394317"/>
    <w:rsid w:val="00394670"/>
    <w:rsid w:val="00395558"/>
    <w:rsid w:val="0039578D"/>
    <w:rsid w:val="003959B8"/>
    <w:rsid w:val="0039682C"/>
    <w:rsid w:val="0039718A"/>
    <w:rsid w:val="003971C6"/>
    <w:rsid w:val="00397757"/>
    <w:rsid w:val="003A0DE6"/>
    <w:rsid w:val="003A1018"/>
    <w:rsid w:val="003A2259"/>
    <w:rsid w:val="003A2F1B"/>
    <w:rsid w:val="003A308A"/>
    <w:rsid w:val="003A43D8"/>
    <w:rsid w:val="003A4CB7"/>
    <w:rsid w:val="003A52CE"/>
    <w:rsid w:val="003A5892"/>
    <w:rsid w:val="003A6144"/>
    <w:rsid w:val="003A66E6"/>
    <w:rsid w:val="003A6BFE"/>
    <w:rsid w:val="003A773D"/>
    <w:rsid w:val="003A7D7D"/>
    <w:rsid w:val="003A7F5A"/>
    <w:rsid w:val="003B2FEC"/>
    <w:rsid w:val="003B32E3"/>
    <w:rsid w:val="003B3701"/>
    <w:rsid w:val="003B3C84"/>
    <w:rsid w:val="003B4894"/>
    <w:rsid w:val="003B537F"/>
    <w:rsid w:val="003B5442"/>
    <w:rsid w:val="003B587E"/>
    <w:rsid w:val="003B5ED9"/>
    <w:rsid w:val="003B6B34"/>
    <w:rsid w:val="003B7B33"/>
    <w:rsid w:val="003C0C69"/>
    <w:rsid w:val="003C2353"/>
    <w:rsid w:val="003C35B4"/>
    <w:rsid w:val="003C3793"/>
    <w:rsid w:val="003C4316"/>
    <w:rsid w:val="003C4D01"/>
    <w:rsid w:val="003C56B4"/>
    <w:rsid w:val="003C652D"/>
    <w:rsid w:val="003C683C"/>
    <w:rsid w:val="003C6980"/>
    <w:rsid w:val="003C7558"/>
    <w:rsid w:val="003C7592"/>
    <w:rsid w:val="003C7E9A"/>
    <w:rsid w:val="003D0543"/>
    <w:rsid w:val="003D0DA0"/>
    <w:rsid w:val="003D16B4"/>
    <w:rsid w:val="003D1740"/>
    <w:rsid w:val="003D1968"/>
    <w:rsid w:val="003D252B"/>
    <w:rsid w:val="003D2FB2"/>
    <w:rsid w:val="003D3055"/>
    <w:rsid w:val="003D3852"/>
    <w:rsid w:val="003D54A4"/>
    <w:rsid w:val="003D5718"/>
    <w:rsid w:val="003D6173"/>
    <w:rsid w:val="003D67E2"/>
    <w:rsid w:val="003D7E57"/>
    <w:rsid w:val="003E0C65"/>
    <w:rsid w:val="003E109D"/>
    <w:rsid w:val="003E20FA"/>
    <w:rsid w:val="003E28A9"/>
    <w:rsid w:val="003E28C1"/>
    <w:rsid w:val="003E30D4"/>
    <w:rsid w:val="003E463A"/>
    <w:rsid w:val="003E466B"/>
    <w:rsid w:val="003E4A93"/>
    <w:rsid w:val="003E4B96"/>
    <w:rsid w:val="003E4F57"/>
    <w:rsid w:val="003E5163"/>
    <w:rsid w:val="003E5235"/>
    <w:rsid w:val="003E5EFB"/>
    <w:rsid w:val="003E6616"/>
    <w:rsid w:val="003E6735"/>
    <w:rsid w:val="003E6BCF"/>
    <w:rsid w:val="003E71D7"/>
    <w:rsid w:val="003E7A8C"/>
    <w:rsid w:val="003E7BBE"/>
    <w:rsid w:val="003E7E52"/>
    <w:rsid w:val="003E7F01"/>
    <w:rsid w:val="003F1AE6"/>
    <w:rsid w:val="003F1C8A"/>
    <w:rsid w:val="003F1D15"/>
    <w:rsid w:val="003F1E56"/>
    <w:rsid w:val="003F2017"/>
    <w:rsid w:val="003F2D51"/>
    <w:rsid w:val="003F3E3D"/>
    <w:rsid w:val="003F4503"/>
    <w:rsid w:val="003F60D3"/>
    <w:rsid w:val="003F67DD"/>
    <w:rsid w:val="003F7332"/>
    <w:rsid w:val="00403529"/>
    <w:rsid w:val="0040495E"/>
    <w:rsid w:val="00405AC4"/>
    <w:rsid w:val="00406EBB"/>
    <w:rsid w:val="00407B08"/>
    <w:rsid w:val="00410B5B"/>
    <w:rsid w:val="00410E09"/>
    <w:rsid w:val="00412F98"/>
    <w:rsid w:val="00413725"/>
    <w:rsid w:val="004145F3"/>
    <w:rsid w:val="004149AC"/>
    <w:rsid w:val="00414ED5"/>
    <w:rsid w:val="00415310"/>
    <w:rsid w:val="00415598"/>
    <w:rsid w:val="00415A1C"/>
    <w:rsid w:val="00415CF3"/>
    <w:rsid w:val="004161F1"/>
    <w:rsid w:val="004173DC"/>
    <w:rsid w:val="004211D3"/>
    <w:rsid w:val="0042214F"/>
    <w:rsid w:val="00423C87"/>
    <w:rsid w:val="00424450"/>
    <w:rsid w:val="00424AA1"/>
    <w:rsid w:val="00425961"/>
    <w:rsid w:val="0042748B"/>
    <w:rsid w:val="004278BA"/>
    <w:rsid w:val="00427E63"/>
    <w:rsid w:val="00430668"/>
    <w:rsid w:val="0043208D"/>
    <w:rsid w:val="00433204"/>
    <w:rsid w:val="00433B41"/>
    <w:rsid w:val="00433BF4"/>
    <w:rsid w:val="00435B21"/>
    <w:rsid w:val="004369DA"/>
    <w:rsid w:val="00437836"/>
    <w:rsid w:val="00437C12"/>
    <w:rsid w:val="00437F29"/>
    <w:rsid w:val="00440DBC"/>
    <w:rsid w:val="00441845"/>
    <w:rsid w:val="004419F4"/>
    <w:rsid w:val="00442A09"/>
    <w:rsid w:val="00444A3D"/>
    <w:rsid w:val="00444AD4"/>
    <w:rsid w:val="004450DE"/>
    <w:rsid w:val="0044632F"/>
    <w:rsid w:val="00446FEC"/>
    <w:rsid w:val="0045131A"/>
    <w:rsid w:val="0045148F"/>
    <w:rsid w:val="004517C4"/>
    <w:rsid w:val="00452B9F"/>
    <w:rsid w:val="0045413F"/>
    <w:rsid w:val="004547CF"/>
    <w:rsid w:val="00454AD2"/>
    <w:rsid w:val="00454C9F"/>
    <w:rsid w:val="00455509"/>
    <w:rsid w:val="00455822"/>
    <w:rsid w:val="00457090"/>
    <w:rsid w:val="00460093"/>
    <w:rsid w:val="00460E12"/>
    <w:rsid w:val="004617FC"/>
    <w:rsid w:val="00461E55"/>
    <w:rsid w:val="00462DF1"/>
    <w:rsid w:val="00463043"/>
    <w:rsid w:val="00463851"/>
    <w:rsid w:val="00464227"/>
    <w:rsid w:val="004647FE"/>
    <w:rsid w:val="00464A90"/>
    <w:rsid w:val="00464FA6"/>
    <w:rsid w:val="0046503C"/>
    <w:rsid w:val="00465BD0"/>
    <w:rsid w:val="0046612B"/>
    <w:rsid w:val="00467D56"/>
    <w:rsid w:val="00470E23"/>
    <w:rsid w:val="004712BE"/>
    <w:rsid w:val="00471CFB"/>
    <w:rsid w:val="00471DED"/>
    <w:rsid w:val="00473352"/>
    <w:rsid w:val="004734CE"/>
    <w:rsid w:val="004734FF"/>
    <w:rsid w:val="004741A9"/>
    <w:rsid w:val="00475D2E"/>
    <w:rsid w:val="00476202"/>
    <w:rsid w:val="00476AA2"/>
    <w:rsid w:val="00477AF1"/>
    <w:rsid w:val="00477F8A"/>
    <w:rsid w:val="0048039C"/>
    <w:rsid w:val="00481317"/>
    <w:rsid w:val="00481C87"/>
    <w:rsid w:val="00483151"/>
    <w:rsid w:val="004833DC"/>
    <w:rsid w:val="00483D58"/>
    <w:rsid w:val="0048423A"/>
    <w:rsid w:val="00484DA8"/>
    <w:rsid w:val="00485042"/>
    <w:rsid w:val="004853F9"/>
    <w:rsid w:val="004858FA"/>
    <w:rsid w:val="004859F7"/>
    <w:rsid w:val="00486501"/>
    <w:rsid w:val="004871CA"/>
    <w:rsid w:val="00490136"/>
    <w:rsid w:val="00490ADB"/>
    <w:rsid w:val="00491799"/>
    <w:rsid w:val="004917DE"/>
    <w:rsid w:val="004928E6"/>
    <w:rsid w:val="0049360B"/>
    <w:rsid w:val="00493C6C"/>
    <w:rsid w:val="00494244"/>
    <w:rsid w:val="00494669"/>
    <w:rsid w:val="0049741E"/>
    <w:rsid w:val="004976D5"/>
    <w:rsid w:val="004A2498"/>
    <w:rsid w:val="004A2856"/>
    <w:rsid w:val="004A28AD"/>
    <w:rsid w:val="004A2F5E"/>
    <w:rsid w:val="004A3849"/>
    <w:rsid w:val="004A3C74"/>
    <w:rsid w:val="004A3CB8"/>
    <w:rsid w:val="004A3EB4"/>
    <w:rsid w:val="004A45C2"/>
    <w:rsid w:val="004A4849"/>
    <w:rsid w:val="004A4F8C"/>
    <w:rsid w:val="004A5D1A"/>
    <w:rsid w:val="004A6964"/>
    <w:rsid w:val="004A6DF4"/>
    <w:rsid w:val="004A706C"/>
    <w:rsid w:val="004A74CE"/>
    <w:rsid w:val="004B07C3"/>
    <w:rsid w:val="004B1987"/>
    <w:rsid w:val="004B2570"/>
    <w:rsid w:val="004B3930"/>
    <w:rsid w:val="004B5377"/>
    <w:rsid w:val="004B5F13"/>
    <w:rsid w:val="004B6816"/>
    <w:rsid w:val="004B794A"/>
    <w:rsid w:val="004B7DAC"/>
    <w:rsid w:val="004C026E"/>
    <w:rsid w:val="004C1E23"/>
    <w:rsid w:val="004C2BC2"/>
    <w:rsid w:val="004C2D69"/>
    <w:rsid w:val="004C305B"/>
    <w:rsid w:val="004C3CA7"/>
    <w:rsid w:val="004C46BE"/>
    <w:rsid w:val="004C5701"/>
    <w:rsid w:val="004C6B34"/>
    <w:rsid w:val="004C6D37"/>
    <w:rsid w:val="004C7965"/>
    <w:rsid w:val="004D0949"/>
    <w:rsid w:val="004D0ED2"/>
    <w:rsid w:val="004D0FA6"/>
    <w:rsid w:val="004D131C"/>
    <w:rsid w:val="004D292B"/>
    <w:rsid w:val="004D2FB7"/>
    <w:rsid w:val="004D3F6A"/>
    <w:rsid w:val="004D3FF1"/>
    <w:rsid w:val="004D40E3"/>
    <w:rsid w:val="004D4419"/>
    <w:rsid w:val="004D4950"/>
    <w:rsid w:val="004D5107"/>
    <w:rsid w:val="004D5D8A"/>
    <w:rsid w:val="004D66D0"/>
    <w:rsid w:val="004D6A0B"/>
    <w:rsid w:val="004D794B"/>
    <w:rsid w:val="004E0DD7"/>
    <w:rsid w:val="004E1554"/>
    <w:rsid w:val="004E15F8"/>
    <w:rsid w:val="004E18BA"/>
    <w:rsid w:val="004E1F64"/>
    <w:rsid w:val="004E31A6"/>
    <w:rsid w:val="004E371C"/>
    <w:rsid w:val="004E3AA6"/>
    <w:rsid w:val="004E3FB5"/>
    <w:rsid w:val="004E402F"/>
    <w:rsid w:val="004E44C2"/>
    <w:rsid w:val="004E4584"/>
    <w:rsid w:val="004E7631"/>
    <w:rsid w:val="004E7BF8"/>
    <w:rsid w:val="004F06C3"/>
    <w:rsid w:val="004F0BE7"/>
    <w:rsid w:val="004F1019"/>
    <w:rsid w:val="004F17BE"/>
    <w:rsid w:val="004F2EDA"/>
    <w:rsid w:val="004F2FF8"/>
    <w:rsid w:val="004F3B17"/>
    <w:rsid w:val="004F3CF5"/>
    <w:rsid w:val="004F4773"/>
    <w:rsid w:val="004F4841"/>
    <w:rsid w:val="004F4E18"/>
    <w:rsid w:val="004F5112"/>
    <w:rsid w:val="004F5B88"/>
    <w:rsid w:val="004F626D"/>
    <w:rsid w:val="004F66CC"/>
    <w:rsid w:val="004F68B3"/>
    <w:rsid w:val="004F7276"/>
    <w:rsid w:val="005000F6"/>
    <w:rsid w:val="0050032E"/>
    <w:rsid w:val="00502606"/>
    <w:rsid w:val="00502F28"/>
    <w:rsid w:val="005032F1"/>
    <w:rsid w:val="005054C1"/>
    <w:rsid w:val="0050720A"/>
    <w:rsid w:val="00507B25"/>
    <w:rsid w:val="00507C32"/>
    <w:rsid w:val="00510BB5"/>
    <w:rsid w:val="00511F7C"/>
    <w:rsid w:val="0051241C"/>
    <w:rsid w:val="005128EF"/>
    <w:rsid w:val="00513CF0"/>
    <w:rsid w:val="0051417E"/>
    <w:rsid w:val="005149CB"/>
    <w:rsid w:val="00515596"/>
    <w:rsid w:val="005156EF"/>
    <w:rsid w:val="00516044"/>
    <w:rsid w:val="00516924"/>
    <w:rsid w:val="0051695D"/>
    <w:rsid w:val="00517076"/>
    <w:rsid w:val="00517A39"/>
    <w:rsid w:val="00517DFA"/>
    <w:rsid w:val="00521222"/>
    <w:rsid w:val="00521496"/>
    <w:rsid w:val="005232C6"/>
    <w:rsid w:val="00527F8F"/>
    <w:rsid w:val="00530A68"/>
    <w:rsid w:val="00532A21"/>
    <w:rsid w:val="00532C1A"/>
    <w:rsid w:val="005340FD"/>
    <w:rsid w:val="00534F52"/>
    <w:rsid w:val="00535248"/>
    <w:rsid w:val="00536E37"/>
    <w:rsid w:val="005404DB"/>
    <w:rsid w:val="00540697"/>
    <w:rsid w:val="00541905"/>
    <w:rsid w:val="00541C52"/>
    <w:rsid w:val="005436B2"/>
    <w:rsid w:val="005438E6"/>
    <w:rsid w:val="00543C01"/>
    <w:rsid w:val="005442CA"/>
    <w:rsid w:val="005444EE"/>
    <w:rsid w:val="00544F87"/>
    <w:rsid w:val="00545E3A"/>
    <w:rsid w:val="0054690E"/>
    <w:rsid w:val="00547074"/>
    <w:rsid w:val="00547229"/>
    <w:rsid w:val="00552360"/>
    <w:rsid w:val="00552A91"/>
    <w:rsid w:val="00552C86"/>
    <w:rsid w:val="00553695"/>
    <w:rsid w:val="00553926"/>
    <w:rsid w:val="005565D1"/>
    <w:rsid w:val="0055681B"/>
    <w:rsid w:val="005569A3"/>
    <w:rsid w:val="0055755B"/>
    <w:rsid w:val="00561D54"/>
    <w:rsid w:val="005629A0"/>
    <w:rsid w:val="00562B2B"/>
    <w:rsid w:val="0056410E"/>
    <w:rsid w:val="00564D6A"/>
    <w:rsid w:val="00565ED8"/>
    <w:rsid w:val="00565F98"/>
    <w:rsid w:val="005668D5"/>
    <w:rsid w:val="00566E00"/>
    <w:rsid w:val="0057058C"/>
    <w:rsid w:val="005706B2"/>
    <w:rsid w:val="00571082"/>
    <w:rsid w:val="005724C2"/>
    <w:rsid w:val="0057276D"/>
    <w:rsid w:val="00572DBE"/>
    <w:rsid w:val="005732AD"/>
    <w:rsid w:val="00574394"/>
    <w:rsid w:val="00575735"/>
    <w:rsid w:val="00575AA1"/>
    <w:rsid w:val="00577428"/>
    <w:rsid w:val="005803E3"/>
    <w:rsid w:val="00580BD5"/>
    <w:rsid w:val="00581138"/>
    <w:rsid w:val="005816B6"/>
    <w:rsid w:val="00582C90"/>
    <w:rsid w:val="0058330B"/>
    <w:rsid w:val="00583938"/>
    <w:rsid w:val="00584F11"/>
    <w:rsid w:val="00585111"/>
    <w:rsid w:val="00585C4B"/>
    <w:rsid w:val="00585C60"/>
    <w:rsid w:val="00585DAC"/>
    <w:rsid w:val="005861D0"/>
    <w:rsid w:val="00586B50"/>
    <w:rsid w:val="00587A42"/>
    <w:rsid w:val="005909B9"/>
    <w:rsid w:val="00590B1D"/>
    <w:rsid w:val="00590B81"/>
    <w:rsid w:val="005918E7"/>
    <w:rsid w:val="0059204B"/>
    <w:rsid w:val="00592707"/>
    <w:rsid w:val="005928B3"/>
    <w:rsid w:val="00592E6C"/>
    <w:rsid w:val="00593B58"/>
    <w:rsid w:val="005955C1"/>
    <w:rsid w:val="005955FF"/>
    <w:rsid w:val="00595737"/>
    <w:rsid w:val="00595B38"/>
    <w:rsid w:val="00595F51"/>
    <w:rsid w:val="0059637F"/>
    <w:rsid w:val="0059669D"/>
    <w:rsid w:val="005966A1"/>
    <w:rsid w:val="005967DF"/>
    <w:rsid w:val="005974BE"/>
    <w:rsid w:val="00597875"/>
    <w:rsid w:val="005A02B6"/>
    <w:rsid w:val="005A0AF9"/>
    <w:rsid w:val="005A1ABC"/>
    <w:rsid w:val="005A1BF6"/>
    <w:rsid w:val="005A33DA"/>
    <w:rsid w:val="005A483A"/>
    <w:rsid w:val="005A5FF7"/>
    <w:rsid w:val="005A63E4"/>
    <w:rsid w:val="005A683A"/>
    <w:rsid w:val="005A73B8"/>
    <w:rsid w:val="005A74CE"/>
    <w:rsid w:val="005A77E5"/>
    <w:rsid w:val="005A7BC0"/>
    <w:rsid w:val="005B1779"/>
    <w:rsid w:val="005B2E38"/>
    <w:rsid w:val="005B411B"/>
    <w:rsid w:val="005B4E7C"/>
    <w:rsid w:val="005B59DB"/>
    <w:rsid w:val="005B5F45"/>
    <w:rsid w:val="005B6185"/>
    <w:rsid w:val="005B646F"/>
    <w:rsid w:val="005B67D9"/>
    <w:rsid w:val="005B728F"/>
    <w:rsid w:val="005C0918"/>
    <w:rsid w:val="005C0A4F"/>
    <w:rsid w:val="005C18DC"/>
    <w:rsid w:val="005C1E0D"/>
    <w:rsid w:val="005C2674"/>
    <w:rsid w:val="005C3558"/>
    <w:rsid w:val="005C3968"/>
    <w:rsid w:val="005C3A6D"/>
    <w:rsid w:val="005C4DDE"/>
    <w:rsid w:val="005C760D"/>
    <w:rsid w:val="005D0581"/>
    <w:rsid w:val="005D1393"/>
    <w:rsid w:val="005D15B6"/>
    <w:rsid w:val="005D1870"/>
    <w:rsid w:val="005D1F42"/>
    <w:rsid w:val="005D32D5"/>
    <w:rsid w:val="005D3E1A"/>
    <w:rsid w:val="005D631E"/>
    <w:rsid w:val="005D695F"/>
    <w:rsid w:val="005E0FDD"/>
    <w:rsid w:val="005E1899"/>
    <w:rsid w:val="005E1A2D"/>
    <w:rsid w:val="005E1D84"/>
    <w:rsid w:val="005E4166"/>
    <w:rsid w:val="005E42C3"/>
    <w:rsid w:val="005E4371"/>
    <w:rsid w:val="005E4859"/>
    <w:rsid w:val="005E6679"/>
    <w:rsid w:val="005E74FC"/>
    <w:rsid w:val="005E76C3"/>
    <w:rsid w:val="005E77B0"/>
    <w:rsid w:val="005F08FA"/>
    <w:rsid w:val="005F09BE"/>
    <w:rsid w:val="005F1E09"/>
    <w:rsid w:val="005F2BDB"/>
    <w:rsid w:val="005F3E27"/>
    <w:rsid w:val="005F40EC"/>
    <w:rsid w:val="005F49DB"/>
    <w:rsid w:val="005F5131"/>
    <w:rsid w:val="005F5313"/>
    <w:rsid w:val="005F5536"/>
    <w:rsid w:val="005F5FBE"/>
    <w:rsid w:val="005F6B28"/>
    <w:rsid w:val="005F6D8A"/>
    <w:rsid w:val="005F7726"/>
    <w:rsid w:val="005F7CC1"/>
    <w:rsid w:val="005F7E79"/>
    <w:rsid w:val="00600067"/>
    <w:rsid w:val="006000D4"/>
    <w:rsid w:val="00600178"/>
    <w:rsid w:val="006012E4"/>
    <w:rsid w:val="006017B2"/>
    <w:rsid w:val="00601882"/>
    <w:rsid w:val="006018BD"/>
    <w:rsid w:val="00604516"/>
    <w:rsid w:val="0060474C"/>
    <w:rsid w:val="00604A57"/>
    <w:rsid w:val="00604E81"/>
    <w:rsid w:val="006057BB"/>
    <w:rsid w:val="0060581C"/>
    <w:rsid w:val="00606BCA"/>
    <w:rsid w:val="00606E33"/>
    <w:rsid w:val="0060795B"/>
    <w:rsid w:val="00610879"/>
    <w:rsid w:val="00610A57"/>
    <w:rsid w:val="00611DF2"/>
    <w:rsid w:val="0061233C"/>
    <w:rsid w:val="00612D05"/>
    <w:rsid w:val="00614CE9"/>
    <w:rsid w:val="00616272"/>
    <w:rsid w:val="00617050"/>
    <w:rsid w:val="00617EC7"/>
    <w:rsid w:val="00620A9F"/>
    <w:rsid w:val="00620C65"/>
    <w:rsid w:val="00621172"/>
    <w:rsid w:val="00622460"/>
    <w:rsid w:val="006230C6"/>
    <w:rsid w:val="00624ABF"/>
    <w:rsid w:val="00625CE0"/>
    <w:rsid w:val="00625D93"/>
    <w:rsid w:val="00626B8A"/>
    <w:rsid w:val="00627132"/>
    <w:rsid w:val="006301F5"/>
    <w:rsid w:val="00631F9E"/>
    <w:rsid w:val="006321D8"/>
    <w:rsid w:val="00632C80"/>
    <w:rsid w:val="00634364"/>
    <w:rsid w:val="006346AE"/>
    <w:rsid w:val="006354EF"/>
    <w:rsid w:val="00635AE7"/>
    <w:rsid w:val="00637090"/>
    <w:rsid w:val="00641ABF"/>
    <w:rsid w:val="00641D8E"/>
    <w:rsid w:val="00641FC7"/>
    <w:rsid w:val="00645764"/>
    <w:rsid w:val="0064714B"/>
    <w:rsid w:val="00650BBB"/>
    <w:rsid w:val="00651408"/>
    <w:rsid w:val="006516F9"/>
    <w:rsid w:val="00652140"/>
    <w:rsid w:val="00653D50"/>
    <w:rsid w:val="0065425D"/>
    <w:rsid w:val="00655288"/>
    <w:rsid w:val="00656816"/>
    <w:rsid w:val="00657390"/>
    <w:rsid w:val="00657434"/>
    <w:rsid w:val="0066038A"/>
    <w:rsid w:val="00661AAF"/>
    <w:rsid w:val="006621BE"/>
    <w:rsid w:val="00662855"/>
    <w:rsid w:val="0066298A"/>
    <w:rsid w:val="006634C1"/>
    <w:rsid w:val="00664463"/>
    <w:rsid w:val="006653F1"/>
    <w:rsid w:val="006659D5"/>
    <w:rsid w:val="00665D4F"/>
    <w:rsid w:val="00667D1F"/>
    <w:rsid w:val="006713D9"/>
    <w:rsid w:val="00672EFE"/>
    <w:rsid w:val="0067333F"/>
    <w:rsid w:val="0067359B"/>
    <w:rsid w:val="00675C65"/>
    <w:rsid w:val="00676D1B"/>
    <w:rsid w:val="00677E6A"/>
    <w:rsid w:val="006800C7"/>
    <w:rsid w:val="00680338"/>
    <w:rsid w:val="006809D2"/>
    <w:rsid w:val="006811B4"/>
    <w:rsid w:val="00681568"/>
    <w:rsid w:val="006815D1"/>
    <w:rsid w:val="006818ED"/>
    <w:rsid w:val="00682688"/>
    <w:rsid w:val="00683ECF"/>
    <w:rsid w:val="00683F20"/>
    <w:rsid w:val="006841B0"/>
    <w:rsid w:val="00684871"/>
    <w:rsid w:val="006855E3"/>
    <w:rsid w:val="006867ED"/>
    <w:rsid w:val="00687BC1"/>
    <w:rsid w:val="00690A4D"/>
    <w:rsid w:val="006913C0"/>
    <w:rsid w:val="0069165C"/>
    <w:rsid w:val="00695130"/>
    <w:rsid w:val="00695825"/>
    <w:rsid w:val="006960EF"/>
    <w:rsid w:val="006973AA"/>
    <w:rsid w:val="00697681"/>
    <w:rsid w:val="006A0A9B"/>
    <w:rsid w:val="006A1528"/>
    <w:rsid w:val="006A1810"/>
    <w:rsid w:val="006A1A38"/>
    <w:rsid w:val="006A1CC9"/>
    <w:rsid w:val="006A2CFA"/>
    <w:rsid w:val="006A3920"/>
    <w:rsid w:val="006A3F44"/>
    <w:rsid w:val="006A4480"/>
    <w:rsid w:val="006A56F5"/>
    <w:rsid w:val="006A5AC9"/>
    <w:rsid w:val="006A5E0E"/>
    <w:rsid w:val="006A63F5"/>
    <w:rsid w:val="006A6755"/>
    <w:rsid w:val="006A7A49"/>
    <w:rsid w:val="006B01F1"/>
    <w:rsid w:val="006B02D5"/>
    <w:rsid w:val="006B1F1D"/>
    <w:rsid w:val="006B2E59"/>
    <w:rsid w:val="006B3C5D"/>
    <w:rsid w:val="006B3F35"/>
    <w:rsid w:val="006B470C"/>
    <w:rsid w:val="006B5900"/>
    <w:rsid w:val="006B76F6"/>
    <w:rsid w:val="006C154B"/>
    <w:rsid w:val="006C244A"/>
    <w:rsid w:val="006C253E"/>
    <w:rsid w:val="006C41FF"/>
    <w:rsid w:val="006C420C"/>
    <w:rsid w:val="006C5FFF"/>
    <w:rsid w:val="006C6358"/>
    <w:rsid w:val="006C65AD"/>
    <w:rsid w:val="006C70D4"/>
    <w:rsid w:val="006D00C7"/>
    <w:rsid w:val="006D0155"/>
    <w:rsid w:val="006D0676"/>
    <w:rsid w:val="006D0D31"/>
    <w:rsid w:val="006D1916"/>
    <w:rsid w:val="006D1EC8"/>
    <w:rsid w:val="006D203E"/>
    <w:rsid w:val="006D5EE5"/>
    <w:rsid w:val="006D5F6B"/>
    <w:rsid w:val="006D643C"/>
    <w:rsid w:val="006D7A90"/>
    <w:rsid w:val="006D7AE4"/>
    <w:rsid w:val="006E0822"/>
    <w:rsid w:val="006E08A7"/>
    <w:rsid w:val="006E091C"/>
    <w:rsid w:val="006E0CCA"/>
    <w:rsid w:val="006E0D3E"/>
    <w:rsid w:val="006E115C"/>
    <w:rsid w:val="006E1615"/>
    <w:rsid w:val="006E2CEF"/>
    <w:rsid w:val="006E2E67"/>
    <w:rsid w:val="006E41F4"/>
    <w:rsid w:val="006E49B0"/>
    <w:rsid w:val="006E579E"/>
    <w:rsid w:val="006E587D"/>
    <w:rsid w:val="006E669B"/>
    <w:rsid w:val="006E7383"/>
    <w:rsid w:val="006E7F3B"/>
    <w:rsid w:val="006F24F5"/>
    <w:rsid w:val="006F3FB7"/>
    <w:rsid w:val="006F6A56"/>
    <w:rsid w:val="006F75AE"/>
    <w:rsid w:val="00700778"/>
    <w:rsid w:val="00700995"/>
    <w:rsid w:val="007014C3"/>
    <w:rsid w:val="00702038"/>
    <w:rsid w:val="007031F8"/>
    <w:rsid w:val="007039B5"/>
    <w:rsid w:val="0070466E"/>
    <w:rsid w:val="00706DD6"/>
    <w:rsid w:val="00707351"/>
    <w:rsid w:val="007075FB"/>
    <w:rsid w:val="00707F75"/>
    <w:rsid w:val="00710B87"/>
    <w:rsid w:val="007115FF"/>
    <w:rsid w:val="00711DFB"/>
    <w:rsid w:val="007124AA"/>
    <w:rsid w:val="00712B66"/>
    <w:rsid w:val="007130A6"/>
    <w:rsid w:val="00714593"/>
    <w:rsid w:val="007159B3"/>
    <w:rsid w:val="007166DB"/>
    <w:rsid w:val="00717160"/>
    <w:rsid w:val="0072061C"/>
    <w:rsid w:val="00720A80"/>
    <w:rsid w:val="007226EF"/>
    <w:rsid w:val="007238E0"/>
    <w:rsid w:val="00724AE7"/>
    <w:rsid w:val="00724B46"/>
    <w:rsid w:val="00726723"/>
    <w:rsid w:val="0072724B"/>
    <w:rsid w:val="007273C7"/>
    <w:rsid w:val="007275F3"/>
    <w:rsid w:val="007278AE"/>
    <w:rsid w:val="00727979"/>
    <w:rsid w:val="00727CB2"/>
    <w:rsid w:val="00727DFD"/>
    <w:rsid w:val="00730CED"/>
    <w:rsid w:val="00731DA1"/>
    <w:rsid w:val="00731EA2"/>
    <w:rsid w:val="00732600"/>
    <w:rsid w:val="00733842"/>
    <w:rsid w:val="00735604"/>
    <w:rsid w:val="00735C64"/>
    <w:rsid w:val="00737804"/>
    <w:rsid w:val="00737B6B"/>
    <w:rsid w:val="00740511"/>
    <w:rsid w:val="00741238"/>
    <w:rsid w:val="00741643"/>
    <w:rsid w:val="0074165C"/>
    <w:rsid w:val="00741B78"/>
    <w:rsid w:val="00742173"/>
    <w:rsid w:val="007422B1"/>
    <w:rsid w:val="00743076"/>
    <w:rsid w:val="007433D6"/>
    <w:rsid w:val="0074393D"/>
    <w:rsid w:val="0074520C"/>
    <w:rsid w:val="0074596E"/>
    <w:rsid w:val="0074717A"/>
    <w:rsid w:val="007471D2"/>
    <w:rsid w:val="00747624"/>
    <w:rsid w:val="00747CEC"/>
    <w:rsid w:val="00750630"/>
    <w:rsid w:val="00751055"/>
    <w:rsid w:val="00751B50"/>
    <w:rsid w:val="00751CF6"/>
    <w:rsid w:val="00752BC0"/>
    <w:rsid w:val="00752E17"/>
    <w:rsid w:val="00753761"/>
    <w:rsid w:val="00753A87"/>
    <w:rsid w:val="00753F9D"/>
    <w:rsid w:val="00754142"/>
    <w:rsid w:val="00754274"/>
    <w:rsid w:val="0075573B"/>
    <w:rsid w:val="00756441"/>
    <w:rsid w:val="007576E2"/>
    <w:rsid w:val="00757AC7"/>
    <w:rsid w:val="00760EED"/>
    <w:rsid w:val="007614D1"/>
    <w:rsid w:val="007615C9"/>
    <w:rsid w:val="00761A03"/>
    <w:rsid w:val="00761A2A"/>
    <w:rsid w:val="00762426"/>
    <w:rsid w:val="00762830"/>
    <w:rsid w:val="00762BA5"/>
    <w:rsid w:val="007643B0"/>
    <w:rsid w:val="00764ECE"/>
    <w:rsid w:val="00765BA7"/>
    <w:rsid w:val="007667C4"/>
    <w:rsid w:val="00766D0C"/>
    <w:rsid w:val="00767747"/>
    <w:rsid w:val="007678BB"/>
    <w:rsid w:val="00767A7B"/>
    <w:rsid w:val="00767AB8"/>
    <w:rsid w:val="00767B2C"/>
    <w:rsid w:val="007707AA"/>
    <w:rsid w:val="0077118F"/>
    <w:rsid w:val="00771C02"/>
    <w:rsid w:val="00772008"/>
    <w:rsid w:val="007739CF"/>
    <w:rsid w:val="00773E58"/>
    <w:rsid w:val="00774202"/>
    <w:rsid w:val="0077493B"/>
    <w:rsid w:val="00774FEA"/>
    <w:rsid w:val="00776037"/>
    <w:rsid w:val="007765DB"/>
    <w:rsid w:val="00777088"/>
    <w:rsid w:val="0077709C"/>
    <w:rsid w:val="0077744B"/>
    <w:rsid w:val="007775CE"/>
    <w:rsid w:val="00780161"/>
    <w:rsid w:val="007839F9"/>
    <w:rsid w:val="00783AF8"/>
    <w:rsid w:val="00783C75"/>
    <w:rsid w:val="00783D23"/>
    <w:rsid w:val="00784CE7"/>
    <w:rsid w:val="007857CB"/>
    <w:rsid w:val="007875F2"/>
    <w:rsid w:val="00787AAD"/>
    <w:rsid w:val="0079149E"/>
    <w:rsid w:val="00791875"/>
    <w:rsid w:val="007918C9"/>
    <w:rsid w:val="007922E7"/>
    <w:rsid w:val="00792BE8"/>
    <w:rsid w:val="00793CCC"/>
    <w:rsid w:val="00794065"/>
    <w:rsid w:val="00795DD0"/>
    <w:rsid w:val="00796783"/>
    <w:rsid w:val="007A14CF"/>
    <w:rsid w:val="007A1A44"/>
    <w:rsid w:val="007A1FBD"/>
    <w:rsid w:val="007A251B"/>
    <w:rsid w:val="007A2FF8"/>
    <w:rsid w:val="007A3648"/>
    <w:rsid w:val="007A3EE6"/>
    <w:rsid w:val="007A4C0F"/>
    <w:rsid w:val="007A4DD8"/>
    <w:rsid w:val="007A4EDC"/>
    <w:rsid w:val="007A5813"/>
    <w:rsid w:val="007A63F8"/>
    <w:rsid w:val="007A6639"/>
    <w:rsid w:val="007A6ACC"/>
    <w:rsid w:val="007A74B9"/>
    <w:rsid w:val="007B2602"/>
    <w:rsid w:val="007B3D73"/>
    <w:rsid w:val="007B3E93"/>
    <w:rsid w:val="007B54AA"/>
    <w:rsid w:val="007B5784"/>
    <w:rsid w:val="007B6124"/>
    <w:rsid w:val="007C00F8"/>
    <w:rsid w:val="007C0C9E"/>
    <w:rsid w:val="007C2EA7"/>
    <w:rsid w:val="007C3711"/>
    <w:rsid w:val="007C3944"/>
    <w:rsid w:val="007C4AD7"/>
    <w:rsid w:val="007C4D43"/>
    <w:rsid w:val="007C65EA"/>
    <w:rsid w:val="007C6692"/>
    <w:rsid w:val="007C703D"/>
    <w:rsid w:val="007C7E76"/>
    <w:rsid w:val="007D0398"/>
    <w:rsid w:val="007D0DF3"/>
    <w:rsid w:val="007D121B"/>
    <w:rsid w:val="007D17CA"/>
    <w:rsid w:val="007D2917"/>
    <w:rsid w:val="007D3102"/>
    <w:rsid w:val="007D3BD0"/>
    <w:rsid w:val="007D40BD"/>
    <w:rsid w:val="007D4797"/>
    <w:rsid w:val="007D4CD3"/>
    <w:rsid w:val="007D5D64"/>
    <w:rsid w:val="007D6736"/>
    <w:rsid w:val="007D741A"/>
    <w:rsid w:val="007D7468"/>
    <w:rsid w:val="007E0754"/>
    <w:rsid w:val="007E1F32"/>
    <w:rsid w:val="007E28B1"/>
    <w:rsid w:val="007E291A"/>
    <w:rsid w:val="007E48DC"/>
    <w:rsid w:val="007E49E4"/>
    <w:rsid w:val="007E522C"/>
    <w:rsid w:val="007E5AB1"/>
    <w:rsid w:val="007E6B60"/>
    <w:rsid w:val="007E6F2F"/>
    <w:rsid w:val="007E727D"/>
    <w:rsid w:val="007E7308"/>
    <w:rsid w:val="007E765C"/>
    <w:rsid w:val="007E7BBE"/>
    <w:rsid w:val="007F1713"/>
    <w:rsid w:val="007F1D8F"/>
    <w:rsid w:val="007F2F4F"/>
    <w:rsid w:val="007F3472"/>
    <w:rsid w:val="007F4833"/>
    <w:rsid w:val="007F4F68"/>
    <w:rsid w:val="007F52AF"/>
    <w:rsid w:val="007F66F9"/>
    <w:rsid w:val="007F67D9"/>
    <w:rsid w:val="007F6C65"/>
    <w:rsid w:val="007F7452"/>
    <w:rsid w:val="00800898"/>
    <w:rsid w:val="00800D43"/>
    <w:rsid w:val="00801836"/>
    <w:rsid w:val="008021AD"/>
    <w:rsid w:val="00802BE7"/>
    <w:rsid w:val="00803CC0"/>
    <w:rsid w:val="00805164"/>
    <w:rsid w:val="00805880"/>
    <w:rsid w:val="00805D5A"/>
    <w:rsid w:val="00805E0E"/>
    <w:rsid w:val="008105E0"/>
    <w:rsid w:val="00810ACC"/>
    <w:rsid w:val="00810E42"/>
    <w:rsid w:val="00812DC0"/>
    <w:rsid w:val="00813933"/>
    <w:rsid w:val="00813A00"/>
    <w:rsid w:val="00813A52"/>
    <w:rsid w:val="00813BB2"/>
    <w:rsid w:val="00813D5B"/>
    <w:rsid w:val="00814C1A"/>
    <w:rsid w:val="00814C8D"/>
    <w:rsid w:val="0081692C"/>
    <w:rsid w:val="00816A40"/>
    <w:rsid w:val="00820B2B"/>
    <w:rsid w:val="00821B44"/>
    <w:rsid w:val="00821B76"/>
    <w:rsid w:val="0082237F"/>
    <w:rsid w:val="00823E7E"/>
    <w:rsid w:val="0082493A"/>
    <w:rsid w:val="00824996"/>
    <w:rsid w:val="00825949"/>
    <w:rsid w:val="00825EE5"/>
    <w:rsid w:val="00826855"/>
    <w:rsid w:val="00826D27"/>
    <w:rsid w:val="00826E48"/>
    <w:rsid w:val="008270E1"/>
    <w:rsid w:val="00827671"/>
    <w:rsid w:val="00827F56"/>
    <w:rsid w:val="00832C69"/>
    <w:rsid w:val="0083304A"/>
    <w:rsid w:val="008340B1"/>
    <w:rsid w:val="008343FD"/>
    <w:rsid w:val="00834CE3"/>
    <w:rsid w:val="008350C5"/>
    <w:rsid w:val="008353B0"/>
    <w:rsid w:val="008359AC"/>
    <w:rsid w:val="00835AA1"/>
    <w:rsid w:val="00835FDF"/>
    <w:rsid w:val="00837087"/>
    <w:rsid w:val="00837850"/>
    <w:rsid w:val="00837AE8"/>
    <w:rsid w:val="00840228"/>
    <w:rsid w:val="00841BD0"/>
    <w:rsid w:val="00843260"/>
    <w:rsid w:val="0084357B"/>
    <w:rsid w:val="008438DD"/>
    <w:rsid w:val="0084390D"/>
    <w:rsid w:val="008441EA"/>
    <w:rsid w:val="008442AA"/>
    <w:rsid w:val="00846942"/>
    <w:rsid w:val="00846C01"/>
    <w:rsid w:val="0085049F"/>
    <w:rsid w:val="00851475"/>
    <w:rsid w:val="00851B11"/>
    <w:rsid w:val="008529DE"/>
    <w:rsid w:val="00852C51"/>
    <w:rsid w:val="00852E5B"/>
    <w:rsid w:val="00853539"/>
    <w:rsid w:val="00854397"/>
    <w:rsid w:val="00855CED"/>
    <w:rsid w:val="00856C7D"/>
    <w:rsid w:val="008570C1"/>
    <w:rsid w:val="00857BBE"/>
    <w:rsid w:val="00857EF9"/>
    <w:rsid w:val="00860C0D"/>
    <w:rsid w:val="0086180C"/>
    <w:rsid w:val="00861974"/>
    <w:rsid w:val="00862071"/>
    <w:rsid w:val="0086237C"/>
    <w:rsid w:val="00863ACE"/>
    <w:rsid w:val="0086416B"/>
    <w:rsid w:val="0086482D"/>
    <w:rsid w:val="008665E4"/>
    <w:rsid w:val="00867180"/>
    <w:rsid w:val="008676F3"/>
    <w:rsid w:val="00867D4A"/>
    <w:rsid w:val="00870C9F"/>
    <w:rsid w:val="008732EE"/>
    <w:rsid w:val="0087467E"/>
    <w:rsid w:val="008751BE"/>
    <w:rsid w:val="00875ABB"/>
    <w:rsid w:val="008760A4"/>
    <w:rsid w:val="0087661C"/>
    <w:rsid w:val="008768E4"/>
    <w:rsid w:val="0087704E"/>
    <w:rsid w:val="00880409"/>
    <w:rsid w:val="00881917"/>
    <w:rsid w:val="00881FA7"/>
    <w:rsid w:val="00882919"/>
    <w:rsid w:val="008838ED"/>
    <w:rsid w:val="00884FD8"/>
    <w:rsid w:val="0088507A"/>
    <w:rsid w:val="00885F28"/>
    <w:rsid w:val="00886579"/>
    <w:rsid w:val="00886621"/>
    <w:rsid w:val="0088685B"/>
    <w:rsid w:val="0088734A"/>
    <w:rsid w:val="0088759A"/>
    <w:rsid w:val="00887DD7"/>
    <w:rsid w:val="0089263A"/>
    <w:rsid w:val="00892826"/>
    <w:rsid w:val="008928A6"/>
    <w:rsid w:val="00892B43"/>
    <w:rsid w:val="00892BAB"/>
    <w:rsid w:val="008931C7"/>
    <w:rsid w:val="00893726"/>
    <w:rsid w:val="008948E5"/>
    <w:rsid w:val="0089741B"/>
    <w:rsid w:val="008A0692"/>
    <w:rsid w:val="008A092B"/>
    <w:rsid w:val="008A201D"/>
    <w:rsid w:val="008A23C8"/>
    <w:rsid w:val="008A2961"/>
    <w:rsid w:val="008A428A"/>
    <w:rsid w:val="008A4C48"/>
    <w:rsid w:val="008A59A4"/>
    <w:rsid w:val="008A5EBE"/>
    <w:rsid w:val="008A64C4"/>
    <w:rsid w:val="008A74DD"/>
    <w:rsid w:val="008A7812"/>
    <w:rsid w:val="008A7D49"/>
    <w:rsid w:val="008B03D4"/>
    <w:rsid w:val="008B0F56"/>
    <w:rsid w:val="008B137F"/>
    <w:rsid w:val="008B16EE"/>
    <w:rsid w:val="008B1705"/>
    <w:rsid w:val="008B1B02"/>
    <w:rsid w:val="008B3534"/>
    <w:rsid w:val="008B4ADD"/>
    <w:rsid w:val="008B4DC1"/>
    <w:rsid w:val="008B4DEA"/>
    <w:rsid w:val="008B4EC9"/>
    <w:rsid w:val="008B7F0D"/>
    <w:rsid w:val="008C0563"/>
    <w:rsid w:val="008C163F"/>
    <w:rsid w:val="008C1871"/>
    <w:rsid w:val="008C2BF1"/>
    <w:rsid w:val="008C35F6"/>
    <w:rsid w:val="008C53DE"/>
    <w:rsid w:val="008C5A17"/>
    <w:rsid w:val="008C6146"/>
    <w:rsid w:val="008C63ED"/>
    <w:rsid w:val="008C6502"/>
    <w:rsid w:val="008C7816"/>
    <w:rsid w:val="008C7E2E"/>
    <w:rsid w:val="008D05CD"/>
    <w:rsid w:val="008D082E"/>
    <w:rsid w:val="008D1BB7"/>
    <w:rsid w:val="008D1C39"/>
    <w:rsid w:val="008D1D1F"/>
    <w:rsid w:val="008D3723"/>
    <w:rsid w:val="008D3CFB"/>
    <w:rsid w:val="008D3E70"/>
    <w:rsid w:val="008D40CD"/>
    <w:rsid w:val="008D440A"/>
    <w:rsid w:val="008D4F5C"/>
    <w:rsid w:val="008D6881"/>
    <w:rsid w:val="008D76EE"/>
    <w:rsid w:val="008E00EC"/>
    <w:rsid w:val="008E0C27"/>
    <w:rsid w:val="008E1F11"/>
    <w:rsid w:val="008E3E1F"/>
    <w:rsid w:val="008E4689"/>
    <w:rsid w:val="008E475E"/>
    <w:rsid w:val="008E4F99"/>
    <w:rsid w:val="008E60D8"/>
    <w:rsid w:val="008E68A0"/>
    <w:rsid w:val="008F07CE"/>
    <w:rsid w:val="008F0C10"/>
    <w:rsid w:val="008F114C"/>
    <w:rsid w:val="008F2099"/>
    <w:rsid w:val="008F2FD7"/>
    <w:rsid w:val="008F30AB"/>
    <w:rsid w:val="008F469F"/>
    <w:rsid w:val="008F4AA8"/>
    <w:rsid w:val="008F6019"/>
    <w:rsid w:val="009025E5"/>
    <w:rsid w:val="00903271"/>
    <w:rsid w:val="00903C50"/>
    <w:rsid w:val="00904749"/>
    <w:rsid w:val="00904B42"/>
    <w:rsid w:val="0090648A"/>
    <w:rsid w:val="0091003D"/>
    <w:rsid w:val="00910768"/>
    <w:rsid w:val="00910BFE"/>
    <w:rsid w:val="009118E0"/>
    <w:rsid w:val="00913412"/>
    <w:rsid w:val="009140BF"/>
    <w:rsid w:val="00914F3E"/>
    <w:rsid w:val="00915359"/>
    <w:rsid w:val="00915D0F"/>
    <w:rsid w:val="0091685D"/>
    <w:rsid w:val="009169B5"/>
    <w:rsid w:val="0091731A"/>
    <w:rsid w:val="009200BD"/>
    <w:rsid w:val="00920579"/>
    <w:rsid w:val="00920801"/>
    <w:rsid w:val="009216C9"/>
    <w:rsid w:val="00921A48"/>
    <w:rsid w:val="00922C68"/>
    <w:rsid w:val="00922F31"/>
    <w:rsid w:val="00923CC5"/>
    <w:rsid w:val="00925452"/>
    <w:rsid w:val="00925692"/>
    <w:rsid w:val="00926667"/>
    <w:rsid w:val="0092757D"/>
    <w:rsid w:val="009306CA"/>
    <w:rsid w:val="00930FA5"/>
    <w:rsid w:val="009312F5"/>
    <w:rsid w:val="00932F73"/>
    <w:rsid w:val="009347EA"/>
    <w:rsid w:val="00934971"/>
    <w:rsid w:val="00942DA8"/>
    <w:rsid w:val="0094341F"/>
    <w:rsid w:val="009444D7"/>
    <w:rsid w:val="00945480"/>
    <w:rsid w:val="00945499"/>
    <w:rsid w:val="0094647C"/>
    <w:rsid w:val="00947474"/>
    <w:rsid w:val="009475EA"/>
    <w:rsid w:val="00947961"/>
    <w:rsid w:val="00947D15"/>
    <w:rsid w:val="00950098"/>
    <w:rsid w:val="0095121B"/>
    <w:rsid w:val="00951473"/>
    <w:rsid w:val="00955CC1"/>
    <w:rsid w:val="00955E94"/>
    <w:rsid w:val="00957589"/>
    <w:rsid w:val="00957EDE"/>
    <w:rsid w:val="00960AF4"/>
    <w:rsid w:val="009618B5"/>
    <w:rsid w:val="00961AEF"/>
    <w:rsid w:val="00961B80"/>
    <w:rsid w:val="009624AA"/>
    <w:rsid w:val="0096268C"/>
    <w:rsid w:val="009628C8"/>
    <w:rsid w:val="00962941"/>
    <w:rsid w:val="00963E45"/>
    <w:rsid w:val="00964890"/>
    <w:rsid w:val="00964FA2"/>
    <w:rsid w:val="009651B3"/>
    <w:rsid w:val="009655C4"/>
    <w:rsid w:val="00966296"/>
    <w:rsid w:val="0096670E"/>
    <w:rsid w:val="009679C4"/>
    <w:rsid w:val="00967AA7"/>
    <w:rsid w:val="00967CA9"/>
    <w:rsid w:val="00967E73"/>
    <w:rsid w:val="00970BC5"/>
    <w:rsid w:val="009712DF"/>
    <w:rsid w:val="009725AB"/>
    <w:rsid w:val="00972653"/>
    <w:rsid w:val="009737D5"/>
    <w:rsid w:val="0097389E"/>
    <w:rsid w:val="00974ECB"/>
    <w:rsid w:val="009754A0"/>
    <w:rsid w:val="00976073"/>
    <w:rsid w:val="00976DA7"/>
    <w:rsid w:val="00976DB7"/>
    <w:rsid w:val="00977E6F"/>
    <w:rsid w:val="0098333E"/>
    <w:rsid w:val="009844E5"/>
    <w:rsid w:val="00985540"/>
    <w:rsid w:val="009858F2"/>
    <w:rsid w:val="00985CC5"/>
    <w:rsid w:val="00986EF5"/>
    <w:rsid w:val="00987E6D"/>
    <w:rsid w:val="00990C0C"/>
    <w:rsid w:val="009910FE"/>
    <w:rsid w:val="00991591"/>
    <w:rsid w:val="00991A68"/>
    <w:rsid w:val="00991CD4"/>
    <w:rsid w:val="0099216F"/>
    <w:rsid w:val="009921E9"/>
    <w:rsid w:val="00993CD9"/>
    <w:rsid w:val="009943CD"/>
    <w:rsid w:val="009952E4"/>
    <w:rsid w:val="009955B5"/>
    <w:rsid w:val="00995CAC"/>
    <w:rsid w:val="00997CA0"/>
    <w:rsid w:val="00997D2A"/>
    <w:rsid w:val="009A05E3"/>
    <w:rsid w:val="009A3D39"/>
    <w:rsid w:val="009A4C11"/>
    <w:rsid w:val="009A55BB"/>
    <w:rsid w:val="009A62EF"/>
    <w:rsid w:val="009A63B0"/>
    <w:rsid w:val="009A651A"/>
    <w:rsid w:val="009A6759"/>
    <w:rsid w:val="009B038A"/>
    <w:rsid w:val="009B090A"/>
    <w:rsid w:val="009B124B"/>
    <w:rsid w:val="009B1B3F"/>
    <w:rsid w:val="009B22D4"/>
    <w:rsid w:val="009B2863"/>
    <w:rsid w:val="009B3BBF"/>
    <w:rsid w:val="009B3E6D"/>
    <w:rsid w:val="009B456C"/>
    <w:rsid w:val="009B5694"/>
    <w:rsid w:val="009B5D5C"/>
    <w:rsid w:val="009B67B6"/>
    <w:rsid w:val="009B6986"/>
    <w:rsid w:val="009B6BAF"/>
    <w:rsid w:val="009B6D5C"/>
    <w:rsid w:val="009B72FE"/>
    <w:rsid w:val="009B7BCC"/>
    <w:rsid w:val="009C1C4D"/>
    <w:rsid w:val="009C2839"/>
    <w:rsid w:val="009C4B14"/>
    <w:rsid w:val="009C4BFB"/>
    <w:rsid w:val="009C5492"/>
    <w:rsid w:val="009C5588"/>
    <w:rsid w:val="009C55A2"/>
    <w:rsid w:val="009C6DF4"/>
    <w:rsid w:val="009C7AB1"/>
    <w:rsid w:val="009D1FF0"/>
    <w:rsid w:val="009D23D8"/>
    <w:rsid w:val="009D2C44"/>
    <w:rsid w:val="009D3808"/>
    <w:rsid w:val="009D63DF"/>
    <w:rsid w:val="009D6F28"/>
    <w:rsid w:val="009D7971"/>
    <w:rsid w:val="009D7E42"/>
    <w:rsid w:val="009E02C2"/>
    <w:rsid w:val="009E0977"/>
    <w:rsid w:val="009E1A48"/>
    <w:rsid w:val="009E21C0"/>
    <w:rsid w:val="009E31ED"/>
    <w:rsid w:val="009E343B"/>
    <w:rsid w:val="009E3BE8"/>
    <w:rsid w:val="009E5215"/>
    <w:rsid w:val="009E538A"/>
    <w:rsid w:val="009E5B16"/>
    <w:rsid w:val="009E6897"/>
    <w:rsid w:val="009E6B62"/>
    <w:rsid w:val="009E6DE5"/>
    <w:rsid w:val="009E75D2"/>
    <w:rsid w:val="009E7681"/>
    <w:rsid w:val="009F1652"/>
    <w:rsid w:val="009F181D"/>
    <w:rsid w:val="009F242C"/>
    <w:rsid w:val="009F2DFD"/>
    <w:rsid w:val="009F2E9A"/>
    <w:rsid w:val="009F3203"/>
    <w:rsid w:val="009F3668"/>
    <w:rsid w:val="009F47F4"/>
    <w:rsid w:val="009F4F72"/>
    <w:rsid w:val="009F612C"/>
    <w:rsid w:val="009F6AFB"/>
    <w:rsid w:val="009F6D75"/>
    <w:rsid w:val="00A011A3"/>
    <w:rsid w:val="00A01299"/>
    <w:rsid w:val="00A01BFC"/>
    <w:rsid w:val="00A02A70"/>
    <w:rsid w:val="00A02E1D"/>
    <w:rsid w:val="00A0323C"/>
    <w:rsid w:val="00A0416E"/>
    <w:rsid w:val="00A0515E"/>
    <w:rsid w:val="00A06D63"/>
    <w:rsid w:val="00A07B82"/>
    <w:rsid w:val="00A10540"/>
    <w:rsid w:val="00A11D38"/>
    <w:rsid w:val="00A12212"/>
    <w:rsid w:val="00A122D7"/>
    <w:rsid w:val="00A122E1"/>
    <w:rsid w:val="00A135B7"/>
    <w:rsid w:val="00A1369F"/>
    <w:rsid w:val="00A14D23"/>
    <w:rsid w:val="00A15769"/>
    <w:rsid w:val="00A16961"/>
    <w:rsid w:val="00A16D78"/>
    <w:rsid w:val="00A17E2D"/>
    <w:rsid w:val="00A22425"/>
    <w:rsid w:val="00A237F7"/>
    <w:rsid w:val="00A2385B"/>
    <w:rsid w:val="00A25356"/>
    <w:rsid w:val="00A256FF"/>
    <w:rsid w:val="00A26A16"/>
    <w:rsid w:val="00A30054"/>
    <w:rsid w:val="00A307D6"/>
    <w:rsid w:val="00A313DB"/>
    <w:rsid w:val="00A3159F"/>
    <w:rsid w:val="00A31C70"/>
    <w:rsid w:val="00A34F4A"/>
    <w:rsid w:val="00A35461"/>
    <w:rsid w:val="00A35B82"/>
    <w:rsid w:val="00A36A9A"/>
    <w:rsid w:val="00A36BA6"/>
    <w:rsid w:val="00A36F46"/>
    <w:rsid w:val="00A37181"/>
    <w:rsid w:val="00A37338"/>
    <w:rsid w:val="00A41F85"/>
    <w:rsid w:val="00A42563"/>
    <w:rsid w:val="00A42E88"/>
    <w:rsid w:val="00A43575"/>
    <w:rsid w:val="00A43A9D"/>
    <w:rsid w:val="00A44D27"/>
    <w:rsid w:val="00A4604E"/>
    <w:rsid w:val="00A50ACC"/>
    <w:rsid w:val="00A50C52"/>
    <w:rsid w:val="00A50CC9"/>
    <w:rsid w:val="00A526CE"/>
    <w:rsid w:val="00A53462"/>
    <w:rsid w:val="00A540E6"/>
    <w:rsid w:val="00A54A24"/>
    <w:rsid w:val="00A54A88"/>
    <w:rsid w:val="00A54BCA"/>
    <w:rsid w:val="00A55E03"/>
    <w:rsid w:val="00A55E27"/>
    <w:rsid w:val="00A5653D"/>
    <w:rsid w:val="00A56D10"/>
    <w:rsid w:val="00A56E83"/>
    <w:rsid w:val="00A5712D"/>
    <w:rsid w:val="00A575C9"/>
    <w:rsid w:val="00A57884"/>
    <w:rsid w:val="00A57E46"/>
    <w:rsid w:val="00A605BC"/>
    <w:rsid w:val="00A6197B"/>
    <w:rsid w:val="00A62602"/>
    <w:rsid w:val="00A63B65"/>
    <w:rsid w:val="00A64C03"/>
    <w:rsid w:val="00A66385"/>
    <w:rsid w:val="00A67711"/>
    <w:rsid w:val="00A6783A"/>
    <w:rsid w:val="00A67ED8"/>
    <w:rsid w:val="00A704B5"/>
    <w:rsid w:val="00A70B13"/>
    <w:rsid w:val="00A70EAC"/>
    <w:rsid w:val="00A72BEE"/>
    <w:rsid w:val="00A74707"/>
    <w:rsid w:val="00A75391"/>
    <w:rsid w:val="00A76718"/>
    <w:rsid w:val="00A7751C"/>
    <w:rsid w:val="00A77E78"/>
    <w:rsid w:val="00A805C3"/>
    <w:rsid w:val="00A81A6F"/>
    <w:rsid w:val="00A8240F"/>
    <w:rsid w:val="00A83B07"/>
    <w:rsid w:val="00A83C17"/>
    <w:rsid w:val="00A845FA"/>
    <w:rsid w:val="00A85586"/>
    <w:rsid w:val="00A8577D"/>
    <w:rsid w:val="00A871FB"/>
    <w:rsid w:val="00A900F1"/>
    <w:rsid w:val="00A90A2C"/>
    <w:rsid w:val="00A91DB3"/>
    <w:rsid w:val="00A92CB6"/>
    <w:rsid w:val="00A9301D"/>
    <w:rsid w:val="00A93E8D"/>
    <w:rsid w:val="00A946D4"/>
    <w:rsid w:val="00A96197"/>
    <w:rsid w:val="00A96668"/>
    <w:rsid w:val="00A973A9"/>
    <w:rsid w:val="00A9747B"/>
    <w:rsid w:val="00A97A99"/>
    <w:rsid w:val="00AA0601"/>
    <w:rsid w:val="00AA0EE8"/>
    <w:rsid w:val="00AA106A"/>
    <w:rsid w:val="00AA206E"/>
    <w:rsid w:val="00AA2DE2"/>
    <w:rsid w:val="00AA31E6"/>
    <w:rsid w:val="00AA359C"/>
    <w:rsid w:val="00AA3F2C"/>
    <w:rsid w:val="00AA40BB"/>
    <w:rsid w:val="00AA470D"/>
    <w:rsid w:val="00AA47EB"/>
    <w:rsid w:val="00AA4DF9"/>
    <w:rsid w:val="00AA5C93"/>
    <w:rsid w:val="00AA5E7A"/>
    <w:rsid w:val="00AA619F"/>
    <w:rsid w:val="00AA6716"/>
    <w:rsid w:val="00AA6DC5"/>
    <w:rsid w:val="00AA714A"/>
    <w:rsid w:val="00AA7AE4"/>
    <w:rsid w:val="00AB00A9"/>
    <w:rsid w:val="00AB1736"/>
    <w:rsid w:val="00AB25CF"/>
    <w:rsid w:val="00AB3EB0"/>
    <w:rsid w:val="00AB4489"/>
    <w:rsid w:val="00AB68CA"/>
    <w:rsid w:val="00AB6DC8"/>
    <w:rsid w:val="00AB6F8B"/>
    <w:rsid w:val="00AC1CBE"/>
    <w:rsid w:val="00AC23E9"/>
    <w:rsid w:val="00AC2556"/>
    <w:rsid w:val="00AC306E"/>
    <w:rsid w:val="00AC367C"/>
    <w:rsid w:val="00AC3799"/>
    <w:rsid w:val="00AC3841"/>
    <w:rsid w:val="00AC38C1"/>
    <w:rsid w:val="00AC4720"/>
    <w:rsid w:val="00AC4C4E"/>
    <w:rsid w:val="00AC5982"/>
    <w:rsid w:val="00AC5A25"/>
    <w:rsid w:val="00AC7374"/>
    <w:rsid w:val="00AC769F"/>
    <w:rsid w:val="00AC7ACA"/>
    <w:rsid w:val="00AD0395"/>
    <w:rsid w:val="00AD1609"/>
    <w:rsid w:val="00AD209D"/>
    <w:rsid w:val="00AD231B"/>
    <w:rsid w:val="00AD317A"/>
    <w:rsid w:val="00AD3656"/>
    <w:rsid w:val="00AD4742"/>
    <w:rsid w:val="00AD4DA6"/>
    <w:rsid w:val="00AD5E5C"/>
    <w:rsid w:val="00AD6531"/>
    <w:rsid w:val="00AD6579"/>
    <w:rsid w:val="00AD6815"/>
    <w:rsid w:val="00AD7A73"/>
    <w:rsid w:val="00AD7B70"/>
    <w:rsid w:val="00AE0A3B"/>
    <w:rsid w:val="00AE157B"/>
    <w:rsid w:val="00AE21ED"/>
    <w:rsid w:val="00AE2612"/>
    <w:rsid w:val="00AE26D9"/>
    <w:rsid w:val="00AE29D7"/>
    <w:rsid w:val="00AE3352"/>
    <w:rsid w:val="00AE345F"/>
    <w:rsid w:val="00AE3588"/>
    <w:rsid w:val="00AE4BDE"/>
    <w:rsid w:val="00AE5175"/>
    <w:rsid w:val="00AE5947"/>
    <w:rsid w:val="00AE5F7A"/>
    <w:rsid w:val="00AE7465"/>
    <w:rsid w:val="00AF0239"/>
    <w:rsid w:val="00AF09F4"/>
    <w:rsid w:val="00AF1D59"/>
    <w:rsid w:val="00AF1DDD"/>
    <w:rsid w:val="00AF358B"/>
    <w:rsid w:val="00AF3864"/>
    <w:rsid w:val="00AF39A0"/>
    <w:rsid w:val="00AF5AA3"/>
    <w:rsid w:val="00AF73D5"/>
    <w:rsid w:val="00AF7DE1"/>
    <w:rsid w:val="00B000E3"/>
    <w:rsid w:val="00B0041B"/>
    <w:rsid w:val="00B0060C"/>
    <w:rsid w:val="00B015D1"/>
    <w:rsid w:val="00B01D20"/>
    <w:rsid w:val="00B01F2F"/>
    <w:rsid w:val="00B029EB"/>
    <w:rsid w:val="00B03229"/>
    <w:rsid w:val="00B03DEA"/>
    <w:rsid w:val="00B04646"/>
    <w:rsid w:val="00B049ED"/>
    <w:rsid w:val="00B05414"/>
    <w:rsid w:val="00B05BD1"/>
    <w:rsid w:val="00B1007B"/>
    <w:rsid w:val="00B107EE"/>
    <w:rsid w:val="00B1092B"/>
    <w:rsid w:val="00B112D7"/>
    <w:rsid w:val="00B1268D"/>
    <w:rsid w:val="00B12CEE"/>
    <w:rsid w:val="00B150DA"/>
    <w:rsid w:val="00B178C3"/>
    <w:rsid w:val="00B205A1"/>
    <w:rsid w:val="00B207EC"/>
    <w:rsid w:val="00B20825"/>
    <w:rsid w:val="00B20A88"/>
    <w:rsid w:val="00B21C72"/>
    <w:rsid w:val="00B21CAD"/>
    <w:rsid w:val="00B22E84"/>
    <w:rsid w:val="00B23223"/>
    <w:rsid w:val="00B23BF4"/>
    <w:rsid w:val="00B2521A"/>
    <w:rsid w:val="00B256E9"/>
    <w:rsid w:val="00B25C15"/>
    <w:rsid w:val="00B25C29"/>
    <w:rsid w:val="00B2759E"/>
    <w:rsid w:val="00B275BE"/>
    <w:rsid w:val="00B30BD0"/>
    <w:rsid w:val="00B369C0"/>
    <w:rsid w:val="00B37199"/>
    <w:rsid w:val="00B371B7"/>
    <w:rsid w:val="00B3753C"/>
    <w:rsid w:val="00B3784A"/>
    <w:rsid w:val="00B37B93"/>
    <w:rsid w:val="00B41080"/>
    <w:rsid w:val="00B41398"/>
    <w:rsid w:val="00B41CD1"/>
    <w:rsid w:val="00B4262B"/>
    <w:rsid w:val="00B433AF"/>
    <w:rsid w:val="00B433D2"/>
    <w:rsid w:val="00B43518"/>
    <w:rsid w:val="00B451C6"/>
    <w:rsid w:val="00B5017F"/>
    <w:rsid w:val="00B50BF2"/>
    <w:rsid w:val="00B51316"/>
    <w:rsid w:val="00B514AB"/>
    <w:rsid w:val="00B5153D"/>
    <w:rsid w:val="00B51626"/>
    <w:rsid w:val="00B529D9"/>
    <w:rsid w:val="00B52F04"/>
    <w:rsid w:val="00B531B3"/>
    <w:rsid w:val="00B546C2"/>
    <w:rsid w:val="00B54B4A"/>
    <w:rsid w:val="00B54C68"/>
    <w:rsid w:val="00B54D52"/>
    <w:rsid w:val="00B5517D"/>
    <w:rsid w:val="00B551B2"/>
    <w:rsid w:val="00B55B4A"/>
    <w:rsid w:val="00B56317"/>
    <w:rsid w:val="00B565C3"/>
    <w:rsid w:val="00B56A72"/>
    <w:rsid w:val="00B578FD"/>
    <w:rsid w:val="00B606E1"/>
    <w:rsid w:val="00B60EFB"/>
    <w:rsid w:val="00B61D1E"/>
    <w:rsid w:val="00B6265D"/>
    <w:rsid w:val="00B62B94"/>
    <w:rsid w:val="00B64306"/>
    <w:rsid w:val="00B64BE5"/>
    <w:rsid w:val="00B651C5"/>
    <w:rsid w:val="00B65C50"/>
    <w:rsid w:val="00B6669F"/>
    <w:rsid w:val="00B677D6"/>
    <w:rsid w:val="00B70369"/>
    <w:rsid w:val="00B70E27"/>
    <w:rsid w:val="00B715AF"/>
    <w:rsid w:val="00B715CF"/>
    <w:rsid w:val="00B726C8"/>
    <w:rsid w:val="00B727CB"/>
    <w:rsid w:val="00B729AF"/>
    <w:rsid w:val="00B73335"/>
    <w:rsid w:val="00B738E0"/>
    <w:rsid w:val="00B74D9F"/>
    <w:rsid w:val="00B74E7E"/>
    <w:rsid w:val="00B75A30"/>
    <w:rsid w:val="00B7668C"/>
    <w:rsid w:val="00B76803"/>
    <w:rsid w:val="00B769B3"/>
    <w:rsid w:val="00B77588"/>
    <w:rsid w:val="00B7797B"/>
    <w:rsid w:val="00B808EF"/>
    <w:rsid w:val="00B8092B"/>
    <w:rsid w:val="00B80EE7"/>
    <w:rsid w:val="00B810B6"/>
    <w:rsid w:val="00B812EE"/>
    <w:rsid w:val="00B82878"/>
    <w:rsid w:val="00B85E82"/>
    <w:rsid w:val="00B8654F"/>
    <w:rsid w:val="00B8681D"/>
    <w:rsid w:val="00B86855"/>
    <w:rsid w:val="00B8714A"/>
    <w:rsid w:val="00B87A85"/>
    <w:rsid w:val="00B87C1A"/>
    <w:rsid w:val="00B87F86"/>
    <w:rsid w:val="00B903D8"/>
    <w:rsid w:val="00B90A09"/>
    <w:rsid w:val="00B910B8"/>
    <w:rsid w:val="00B91AC5"/>
    <w:rsid w:val="00B91D09"/>
    <w:rsid w:val="00B939D1"/>
    <w:rsid w:val="00B940E9"/>
    <w:rsid w:val="00B941FA"/>
    <w:rsid w:val="00B9428D"/>
    <w:rsid w:val="00B9494E"/>
    <w:rsid w:val="00B94AA0"/>
    <w:rsid w:val="00B96A25"/>
    <w:rsid w:val="00B97720"/>
    <w:rsid w:val="00BA0590"/>
    <w:rsid w:val="00BA1420"/>
    <w:rsid w:val="00BA35D1"/>
    <w:rsid w:val="00BA3F06"/>
    <w:rsid w:val="00BA60F7"/>
    <w:rsid w:val="00BA6A8E"/>
    <w:rsid w:val="00BA6D2B"/>
    <w:rsid w:val="00BA6DCB"/>
    <w:rsid w:val="00BA6F2C"/>
    <w:rsid w:val="00BA72C8"/>
    <w:rsid w:val="00BA753D"/>
    <w:rsid w:val="00BB0473"/>
    <w:rsid w:val="00BB0E55"/>
    <w:rsid w:val="00BB1524"/>
    <w:rsid w:val="00BB1C97"/>
    <w:rsid w:val="00BB2479"/>
    <w:rsid w:val="00BB2636"/>
    <w:rsid w:val="00BB2A66"/>
    <w:rsid w:val="00BB2FE2"/>
    <w:rsid w:val="00BB4753"/>
    <w:rsid w:val="00BB5105"/>
    <w:rsid w:val="00BB59AC"/>
    <w:rsid w:val="00BB5D74"/>
    <w:rsid w:val="00BB6897"/>
    <w:rsid w:val="00BB7D7C"/>
    <w:rsid w:val="00BB7E86"/>
    <w:rsid w:val="00BB7F7F"/>
    <w:rsid w:val="00BC04D9"/>
    <w:rsid w:val="00BC0549"/>
    <w:rsid w:val="00BC0A15"/>
    <w:rsid w:val="00BC10D4"/>
    <w:rsid w:val="00BC1FD0"/>
    <w:rsid w:val="00BC2F9D"/>
    <w:rsid w:val="00BC4AF5"/>
    <w:rsid w:val="00BC567D"/>
    <w:rsid w:val="00BC5AF2"/>
    <w:rsid w:val="00BC6849"/>
    <w:rsid w:val="00BC6D48"/>
    <w:rsid w:val="00BC7A7F"/>
    <w:rsid w:val="00BD05E4"/>
    <w:rsid w:val="00BD0A6A"/>
    <w:rsid w:val="00BD0FE5"/>
    <w:rsid w:val="00BD1055"/>
    <w:rsid w:val="00BD1D79"/>
    <w:rsid w:val="00BD2FED"/>
    <w:rsid w:val="00BD304A"/>
    <w:rsid w:val="00BD3CC9"/>
    <w:rsid w:val="00BD56AC"/>
    <w:rsid w:val="00BD5C56"/>
    <w:rsid w:val="00BD65F2"/>
    <w:rsid w:val="00BD66D2"/>
    <w:rsid w:val="00BD7269"/>
    <w:rsid w:val="00BD7DFB"/>
    <w:rsid w:val="00BD7E3E"/>
    <w:rsid w:val="00BE1137"/>
    <w:rsid w:val="00BE2D62"/>
    <w:rsid w:val="00BE3A9A"/>
    <w:rsid w:val="00BE489B"/>
    <w:rsid w:val="00BE4D2E"/>
    <w:rsid w:val="00BE696B"/>
    <w:rsid w:val="00BE769D"/>
    <w:rsid w:val="00BE7E7D"/>
    <w:rsid w:val="00BF088D"/>
    <w:rsid w:val="00BF11D2"/>
    <w:rsid w:val="00BF14C6"/>
    <w:rsid w:val="00BF1B24"/>
    <w:rsid w:val="00BF2C20"/>
    <w:rsid w:val="00BF3381"/>
    <w:rsid w:val="00BF3979"/>
    <w:rsid w:val="00BF44C3"/>
    <w:rsid w:val="00BF44EB"/>
    <w:rsid w:val="00BF4938"/>
    <w:rsid w:val="00BF5D16"/>
    <w:rsid w:val="00BF663C"/>
    <w:rsid w:val="00BF7453"/>
    <w:rsid w:val="00BF7945"/>
    <w:rsid w:val="00BF7FDD"/>
    <w:rsid w:val="00C00C64"/>
    <w:rsid w:val="00C0169E"/>
    <w:rsid w:val="00C01E28"/>
    <w:rsid w:val="00C040C4"/>
    <w:rsid w:val="00C044A9"/>
    <w:rsid w:val="00C05123"/>
    <w:rsid w:val="00C05DEB"/>
    <w:rsid w:val="00C05E7B"/>
    <w:rsid w:val="00C06597"/>
    <w:rsid w:val="00C0729A"/>
    <w:rsid w:val="00C0758B"/>
    <w:rsid w:val="00C07CDB"/>
    <w:rsid w:val="00C10E7F"/>
    <w:rsid w:val="00C10F31"/>
    <w:rsid w:val="00C11158"/>
    <w:rsid w:val="00C111AA"/>
    <w:rsid w:val="00C1126A"/>
    <w:rsid w:val="00C11825"/>
    <w:rsid w:val="00C1211F"/>
    <w:rsid w:val="00C12125"/>
    <w:rsid w:val="00C1254F"/>
    <w:rsid w:val="00C12E08"/>
    <w:rsid w:val="00C132AD"/>
    <w:rsid w:val="00C14F97"/>
    <w:rsid w:val="00C15301"/>
    <w:rsid w:val="00C156BC"/>
    <w:rsid w:val="00C170BF"/>
    <w:rsid w:val="00C17727"/>
    <w:rsid w:val="00C203EA"/>
    <w:rsid w:val="00C219D4"/>
    <w:rsid w:val="00C22AD2"/>
    <w:rsid w:val="00C23240"/>
    <w:rsid w:val="00C23F64"/>
    <w:rsid w:val="00C243A9"/>
    <w:rsid w:val="00C25419"/>
    <w:rsid w:val="00C2629A"/>
    <w:rsid w:val="00C26AB3"/>
    <w:rsid w:val="00C26C35"/>
    <w:rsid w:val="00C273BD"/>
    <w:rsid w:val="00C278E6"/>
    <w:rsid w:val="00C27FA7"/>
    <w:rsid w:val="00C30A6A"/>
    <w:rsid w:val="00C320E8"/>
    <w:rsid w:val="00C33283"/>
    <w:rsid w:val="00C33C8F"/>
    <w:rsid w:val="00C33CCF"/>
    <w:rsid w:val="00C34114"/>
    <w:rsid w:val="00C347B3"/>
    <w:rsid w:val="00C3489C"/>
    <w:rsid w:val="00C34CBD"/>
    <w:rsid w:val="00C35132"/>
    <w:rsid w:val="00C368F6"/>
    <w:rsid w:val="00C36BBC"/>
    <w:rsid w:val="00C41536"/>
    <w:rsid w:val="00C4245E"/>
    <w:rsid w:val="00C43C93"/>
    <w:rsid w:val="00C44FAC"/>
    <w:rsid w:val="00C454FC"/>
    <w:rsid w:val="00C462F3"/>
    <w:rsid w:val="00C473FB"/>
    <w:rsid w:val="00C47A3C"/>
    <w:rsid w:val="00C506D8"/>
    <w:rsid w:val="00C5122A"/>
    <w:rsid w:val="00C51916"/>
    <w:rsid w:val="00C51DDD"/>
    <w:rsid w:val="00C530B7"/>
    <w:rsid w:val="00C53A7A"/>
    <w:rsid w:val="00C542E6"/>
    <w:rsid w:val="00C5586F"/>
    <w:rsid w:val="00C56AB0"/>
    <w:rsid w:val="00C57554"/>
    <w:rsid w:val="00C57D9A"/>
    <w:rsid w:val="00C607FC"/>
    <w:rsid w:val="00C6146E"/>
    <w:rsid w:val="00C62379"/>
    <w:rsid w:val="00C6247E"/>
    <w:rsid w:val="00C62817"/>
    <w:rsid w:val="00C633B1"/>
    <w:rsid w:val="00C63A56"/>
    <w:rsid w:val="00C63C46"/>
    <w:rsid w:val="00C640A3"/>
    <w:rsid w:val="00C644EB"/>
    <w:rsid w:val="00C650B7"/>
    <w:rsid w:val="00C656E4"/>
    <w:rsid w:val="00C65B4C"/>
    <w:rsid w:val="00C70A5F"/>
    <w:rsid w:val="00C720B0"/>
    <w:rsid w:val="00C72D29"/>
    <w:rsid w:val="00C73353"/>
    <w:rsid w:val="00C759E5"/>
    <w:rsid w:val="00C764CF"/>
    <w:rsid w:val="00C76999"/>
    <w:rsid w:val="00C76BBD"/>
    <w:rsid w:val="00C76EA9"/>
    <w:rsid w:val="00C77C05"/>
    <w:rsid w:val="00C8110D"/>
    <w:rsid w:val="00C8283C"/>
    <w:rsid w:val="00C83A2A"/>
    <w:rsid w:val="00C849AC"/>
    <w:rsid w:val="00C84C47"/>
    <w:rsid w:val="00C858BD"/>
    <w:rsid w:val="00C8620C"/>
    <w:rsid w:val="00C868A0"/>
    <w:rsid w:val="00C8765E"/>
    <w:rsid w:val="00C8766F"/>
    <w:rsid w:val="00C9039A"/>
    <w:rsid w:val="00C91150"/>
    <w:rsid w:val="00C912E0"/>
    <w:rsid w:val="00C91890"/>
    <w:rsid w:val="00C92C09"/>
    <w:rsid w:val="00C949D2"/>
    <w:rsid w:val="00C9536A"/>
    <w:rsid w:val="00C960A1"/>
    <w:rsid w:val="00C97348"/>
    <w:rsid w:val="00C97AA3"/>
    <w:rsid w:val="00CA06B9"/>
    <w:rsid w:val="00CA122D"/>
    <w:rsid w:val="00CA1F9B"/>
    <w:rsid w:val="00CA22AF"/>
    <w:rsid w:val="00CA284E"/>
    <w:rsid w:val="00CA58DC"/>
    <w:rsid w:val="00CA6232"/>
    <w:rsid w:val="00CA730E"/>
    <w:rsid w:val="00CA7410"/>
    <w:rsid w:val="00CA7B1F"/>
    <w:rsid w:val="00CB06E5"/>
    <w:rsid w:val="00CB0F89"/>
    <w:rsid w:val="00CB12FA"/>
    <w:rsid w:val="00CB1E6B"/>
    <w:rsid w:val="00CB3549"/>
    <w:rsid w:val="00CB4267"/>
    <w:rsid w:val="00CB5433"/>
    <w:rsid w:val="00CB5BA0"/>
    <w:rsid w:val="00CB6578"/>
    <w:rsid w:val="00CB7A93"/>
    <w:rsid w:val="00CC0079"/>
    <w:rsid w:val="00CC0321"/>
    <w:rsid w:val="00CC20F3"/>
    <w:rsid w:val="00CC23C6"/>
    <w:rsid w:val="00CC2DDB"/>
    <w:rsid w:val="00CC3039"/>
    <w:rsid w:val="00CC3552"/>
    <w:rsid w:val="00CC38B9"/>
    <w:rsid w:val="00CC3EFE"/>
    <w:rsid w:val="00CC40E9"/>
    <w:rsid w:val="00CC50D6"/>
    <w:rsid w:val="00CC57CB"/>
    <w:rsid w:val="00CC6113"/>
    <w:rsid w:val="00CC6863"/>
    <w:rsid w:val="00CC6B3E"/>
    <w:rsid w:val="00CC6B5D"/>
    <w:rsid w:val="00CC73AE"/>
    <w:rsid w:val="00CC7F01"/>
    <w:rsid w:val="00CC7F08"/>
    <w:rsid w:val="00CD0311"/>
    <w:rsid w:val="00CD0A60"/>
    <w:rsid w:val="00CD0B5F"/>
    <w:rsid w:val="00CD10F8"/>
    <w:rsid w:val="00CD15D8"/>
    <w:rsid w:val="00CD1A55"/>
    <w:rsid w:val="00CD1B02"/>
    <w:rsid w:val="00CD2110"/>
    <w:rsid w:val="00CD24D3"/>
    <w:rsid w:val="00CD3C8D"/>
    <w:rsid w:val="00CD4B4B"/>
    <w:rsid w:val="00CD4C32"/>
    <w:rsid w:val="00CD5D1A"/>
    <w:rsid w:val="00CD5F4F"/>
    <w:rsid w:val="00CD7D6D"/>
    <w:rsid w:val="00CE0618"/>
    <w:rsid w:val="00CE0B48"/>
    <w:rsid w:val="00CE0B60"/>
    <w:rsid w:val="00CE101C"/>
    <w:rsid w:val="00CE16EA"/>
    <w:rsid w:val="00CE48F0"/>
    <w:rsid w:val="00CE4D09"/>
    <w:rsid w:val="00CE5063"/>
    <w:rsid w:val="00CE54E5"/>
    <w:rsid w:val="00CE5613"/>
    <w:rsid w:val="00CE5734"/>
    <w:rsid w:val="00CE5A6F"/>
    <w:rsid w:val="00CE604C"/>
    <w:rsid w:val="00CF043A"/>
    <w:rsid w:val="00CF2D1E"/>
    <w:rsid w:val="00CF34E9"/>
    <w:rsid w:val="00CF38A4"/>
    <w:rsid w:val="00CF403F"/>
    <w:rsid w:val="00CF41C0"/>
    <w:rsid w:val="00CF64C1"/>
    <w:rsid w:val="00CF65AF"/>
    <w:rsid w:val="00CF6C33"/>
    <w:rsid w:val="00D01935"/>
    <w:rsid w:val="00D0194A"/>
    <w:rsid w:val="00D03B06"/>
    <w:rsid w:val="00D03B28"/>
    <w:rsid w:val="00D03E1A"/>
    <w:rsid w:val="00D04A15"/>
    <w:rsid w:val="00D1104F"/>
    <w:rsid w:val="00D11DF8"/>
    <w:rsid w:val="00D1254F"/>
    <w:rsid w:val="00D13227"/>
    <w:rsid w:val="00D136B1"/>
    <w:rsid w:val="00D145D8"/>
    <w:rsid w:val="00D14B1C"/>
    <w:rsid w:val="00D14B59"/>
    <w:rsid w:val="00D1521C"/>
    <w:rsid w:val="00D17F72"/>
    <w:rsid w:val="00D20717"/>
    <w:rsid w:val="00D209FE"/>
    <w:rsid w:val="00D21B45"/>
    <w:rsid w:val="00D22274"/>
    <w:rsid w:val="00D229D2"/>
    <w:rsid w:val="00D2311D"/>
    <w:rsid w:val="00D24917"/>
    <w:rsid w:val="00D24DAB"/>
    <w:rsid w:val="00D24EC5"/>
    <w:rsid w:val="00D24FBD"/>
    <w:rsid w:val="00D25361"/>
    <w:rsid w:val="00D25E54"/>
    <w:rsid w:val="00D26841"/>
    <w:rsid w:val="00D26B58"/>
    <w:rsid w:val="00D27640"/>
    <w:rsid w:val="00D27726"/>
    <w:rsid w:val="00D3012C"/>
    <w:rsid w:val="00D304FA"/>
    <w:rsid w:val="00D3075A"/>
    <w:rsid w:val="00D30AA7"/>
    <w:rsid w:val="00D30AED"/>
    <w:rsid w:val="00D30C1B"/>
    <w:rsid w:val="00D3133C"/>
    <w:rsid w:val="00D31C24"/>
    <w:rsid w:val="00D31D46"/>
    <w:rsid w:val="00D320BB"/>
    <w:rsid w:val="00D328CB"/>
    <w:rsid w:val="00D342A8"/>
    <w:rsid w:val="00D34A25"/>
    <w:rsid w:val="00D351CD"/>
    <w:rsid w:val="00D368A6"/>
    <w:rsid w:val="00D3718B"/>
    <w:rsid w:val="00D378BD"/>
    <w:rsid w:val="00D37D22"/>
    <w:rsid w:val="00D40EA3"/>
    <w:rsid w:val="00D41DD7"/>
    <w:rsid w:val="00D41E11"/>
    <w:rsid w:val="00D43570"/>
    <w:rsid w:val="00D4494A"/>
    <w:rsid w:val="00D4496F"/>
    <w:rsid w:val="00D451B7"/>
    <w:rsid w:val="00D45651"/>
    <w:rsid w:val="00D46A4E"/>
    <w:rsid w:val="00D4751A"/>
    <w:rsid w:val="00D50003"/>
    <w:rsid w:val="00D503FF"/>
    <w:rsid w:val="00D50D39"/>
    <w:rsid w:val="00D513BA"/>
    <w:rsid w:val="00D515AE"/>
    <w:rsid w:val="00D51971"/>
    <w:rsid w:val="00D51C9F"/>
    <w:rsid w:val="00D52457"/>
    <w:rsid w:val="00D53290"/>
    <w:rsid w:val="00D533E5"/>
    <w:rsid w:val="00D53BD7"/>
    <w:rsid w:val="00D544E0"/>
    <w:rsid w:val="00D545E1"/>
    <w:rsid w:val="00D546CF"/>
    <w:rsid w:val="00D548FA"/>
    <w:rsid w:val="00D54DC8"/>
    <w:rsid w:val="00D55737"/>
    <w:rsid w:val="00D55A3D"/>
    <w:rsid w:val="00D55B46"/>
    <w:rsid w:val="00D55C16"/>
    <w:rsid w:val="00D56307"/>
    <w:rsid w:val="00D5651F"/>
    <w:rsid w:val="00D568D4"/>
    <w:rsid w:val="00D57013"/>
    <w:rsid w:val="00D60369"/>
    <w:rsid w:val="00D60B70"/>
    <w:rsid w:val="00D60FE5"/>
    <w:rsid w:val="00D61161"/>
    <w:rsid w:val="00D61399"/>
    <w:rsid w:val="00D615B7"/>
    <w:rsid w:val="00D6185A"/>
    <w:rsid w:val="00D61978"/>
    <w:rsid w:val="00D61D4B"/>
    <w:rsid w:val="00D61E69"/>
    <w:rsid w:val="00D627CB"/>
    <w:rsid w:val="00D62FD8"/>
    <w:rsid w:val="00D637B7"/>
    <w:rsid w:val="00D63896"/>
    <w:rsid w:val="00D642AF"/>
    <w:rsid w:val="00D6433B"/>
    <w:rsid w:val="00D64535"/>
    <w:rsid w:val="00D65089"/>
    <w:rsid w:val="00D67489"/>
    <w:rsid w:val="00D674A5"/>
    <w:rsid w:val="00D703A5"/>
    <w:rsid w:val="00D7078F"/>
    <w:rsid w:val="00D71123"/>
    <w:rsid w:val="00D713E2"/>
    <w:rsid w:val="00D728FD"/>
    <w:rsid w:val="00D73425"/>
    <w:rsid w:val="00D741D9"/>
    <w:rsid w:val="00D74D7F"/>
    <w:rsid w:val="00D7504F"/>
    <w:rsid w:val="00D76E25"/>
    <w:rsid w:val="00D7700C"/>
    <w:rsid w:val="00D77280"/>
    <w:rsid w:val="00D7772C"/>
    <w:rsid w:val="00D778D2"/>
    <w:rsid w:val="00D80AAA"/>
    <w:rsid w:val="00D81545"/>
    <w:rsid w:val="00D81717"/>
    <w:rsid w:val="00D82533"/>
    <w:rsid w:val="00D84682"/>
    <w:rsid w:val="00D90BDD"/>
    <w:rsid w:val="00D910FF"/>
    <w:rsid w:val="00D9244A"/>
    <w:rsid w:val="00D94180"/>
    <w:rsid w:val="00D94526"/>
    <w:rsid w:val="00D96051"/>
    <w:rsid w:val="00D96E79"/>
    <w:rsid w:val="00D974CD"/>
    <w:rsid w:val="00D9793D"/>
    <w:rsid w:val="00DA19C1"/>
    <w:rsid w:val="00DA1B6F"/>
    <w:rsid w:val="00DA2BD2"/>
    <w:rsid w:val="00DA376B"/>
    <w:rsid w:val="00DA38A1"/>
    <w:rsid w:val="00DA5925"/>
    <w:rsid w:val="00DA6D87"/>
    <w:rsid w:val="00DA6E91"/>
    <w:rsid w:val="00DA7567"/>
    <w:rsid w:val="00DB0237"/>
    <w:rsid w:val="00DB0C61"/>
    <w:rsid w:val="00DB1E1B"/>
    <w:rsid w:val="00DB3820"/>
    <w:rsid w:val="00DB3AB4"/>
    <w:rsid w:val="00DB3F2D"/>
    <w:rsid w:val="00DB4349"/>
    <w:rsid w:val="00DB515D"/>
    <w:rsid w:val="00DB527A"/>
    <w:rsid w:val="00DB5BBE"/>
    <w:rsid w:val="00DB66F5"/>
    <w:rsid w:val="00DB66F7"/>
    <w:rsid w:val="00DB6C65"/>
    <w:rsid w:val="00DB6D5C"/>
    <w:rsid w:val="00DB7A9F"/>
    <w:rsid w:val="00DC02A8"/>
    <w:rsid w:val="00DC070B"/>
    <w:rsid w:val="00DC113D"/>
    <w:rsid w:val="00DC13F5"/>
    <w:rsid w:val="00DC200B"/>
    <w:rsid w:val="00DC2350"/>
    <w:rsid w:val="00DC2612"/>
    <w:rsid w:val="00DC2F31"/>
    <w:rsid w:val="00DC3417"/>
    <w:rsid w:val="00DC343F"/>
    <w:rsid w:val="00DC44D7"/>
    <w:rsid w:val="00DC4705"/>
    <w:rsid w:val="00DC49C4"/>
    <w:rsid w:val="00DC4D19"/>
    <w:rsid w:val="00DC4E85"/>
    <w:rsid w:val="00DC74A1"/>
    <w:rsid w:val="00DC778A"/>
    <w:rsid w:val="00DD0653"/>
    <w:rsid w:val="00DD121A"/>
    <w:rsid w:val="00DD1240"/>
    <w:rsid w:val="00DD1BBE"/>
    <w:rsid w:val="00DD1DE1"/>
    <w:rsid w:val="00DD23C9"/>
    <w:rsid w:val="00DD342D"/>
    <w:rsid w:val="00DD3F5E"/>
    <w:rsid w:val="00DD4A43"/>
    <w:rsid w:val="00DD4BC9"/>
    <w:rsid w:val="00DD57E3"/>
    <w:rsid w:val="00DD5D77"/>
    <w:rsid w:val="00DD5EF9"/>
    <w:rsid w:val="00DD74C7"/>
    <w:rsid w:val="00DD7AF5"/>
    <w:rsid w:val="00DE10B1"/>
    <w:rsid w:val="00DE16CB"/>
    <w:rsid w:val="00DE20F7"/>
    <w:rsid w:val="00DE318D"/>
    <w:rsid w:val="00DE3D43"/>
    <w:rsid w:val="00DE3F13"/>
    <w:rsid w:val="00DE454E"/>
    <w:rsid w:val="00DE4ADE"/>
    <w:rsid w:val="00DE5B3A"/>
    <w:rsid w:val="00DE5D9B"/>
    <w:rsid w:val="00DE61B2"/>
    <w:rsid w:val="00DE74ED"/>
    <w:rsid w:val="00DF01DF"/>
    <w:rsid w:val="00DF144D"/>
    <w:rsid w:val="00DF1E50"/>
    <w:rsid w:val="00DF2734"/>
    <w:rsid w:val="00DF335B"/>
    <w:rsid w:val="00DF356E"/>
    <w:rsid w:val="00DF3F68"/>
    <w:rsid w:val="00DF5F2F"/>
    <w:rsid w:val="00DF71B0"/>
    <w:rsid w:val="00E01328"/>
    <w:rsid w:val="00E01A0A"/>
    <w:rsid w:val="00E03261"/>
    <w:rsid w:val="00E03AAE"/>
    <w:rsid w:val="00E03F94"/>
    <w:rsid w:val="00E04005"/>
    <w:rsid w:val="00E05D74"/>
    <w:rsid w:val="00E05F3E"/>
    <w:rsid w:val="00E0711A"/>
    <w:rsid w:val="00E07626"/>
    <w:rsid w:val="00E10C54"/>
    <w:rsid w:val="00E11069"/>
    <w:rsid w:val="00E11194"/>
    <w:rsid w:val="00E11612"/>
    <w:rsid w:val="00E13142"/>
    <w:rsid w:val="00E134D8"/>
    <w:rsid w:val="00E13B90"/>
    <w:rsid w:val="00E13E5C"/>
    <w:rsid w:val="00E14273"/>
    <w:rsid w:val="00E146D1"/>
    <w:rsid w:val="00E148C8"/>
    <w:rsid w:val="00E14D09"/>
    <w:rsid w:val="00E15A29"/>
    <w:rsid w:val="00E16D7B"/>
    <w:rsid w:val="00E17EA4"/>
    <w:rsid w:val="00E224E4"/>
    <w:rsid w:val="00E2281C"/>
    <w:rsid w:val="00E235D5"/>
    <w:rsid w:val="00E235E9"/>
    <w:rsid w:val="00E2464B"/>
    <w:rsid w:val="00E25BB4"/>
    <w:rsid w:val="00E26B1A"/>
    <w:rsid w:val="00E26E36"/>
    <w:rsid w:val="00E271EF"/>
    <w:rsid w:val="00E27CE7"/>
    <w:rsid w:val="00E27F62"/>
    <w:rsid w:val="00E30C3D"/>
    <w:rsid w:val="00E3194A"/>
    <w:rsid w:val="00E32F50"/>
    <w:rsid w:val="00E343E3"/>
    <w:rsid w:val="00E34566"/>
    <w:rsid w:val="00E34FF9"/>
    <w:rsid w:val="00E36339"/>
    <w:rsid w:val="00E36971"/>
    <w:rsid w:val="00E36DC8"/>
    <w:rsid w:val="00E3766A"/>
    <w:rsid w:val="00E37A18"/>
    <w:rsid w:val="00E37EBD"/>
    <w:rsid w:val="00E40A9D"/>
    <w:rsid w:val="00E42545"/>
    <w:rsid w:val="00E42CC0"/>
    <w:rsid w:val="00E43201"/>
    <w:rsid w:val="00E43575"/>
    <w:rsid w:val="00E44487"/>
    <w:rsid w:val="00E44B25"/>
    <w:rsid w:val="00E46132"/>
    <w:rsid w:val="00E46388"/>
    <w:rsid w:val="00E46A82"/>
    <w:rsid w:val="00E47786"/>
    <w:rsid w:val="00E47BD0"/>
    <w:rsid w:val="00E5062B"/>
    <w:rsid w:val="00E507BA"/>
    <w:rsid w:val="00E50A85"/>
    <w:rsid w:val="00E51426"/>
    <w:rsid w:val="00E51F9A"/>
    <w:rsid w:val="00E527F1"/>
    <w:rsid w:val="00E5336D"/>
    <w:rsid w:val="00E53F32"/>
    <w:rsid w:val="00E54A6D"/>
    <w:rsid w:val="00E550BF"/>
    <w:rsid w:val="00E558EA"/>
    <w:rsid w:val="00E55AD6"/>
    <w:rsid w:val="00E56156"/>
    <w:rsid w:val="00E56F2E"/>
    <w:rsid w:val="00E57538"/>
    <w:rsid w:val="00E5793F"/>
    <w:rsid w:val="00E6036C"/>
    <w:rsid w:val="00E606C2"/>
    <w:rsid w:val="00E61D1A"/>
    <w:rsid w:val="00E61D9A"/>
    <w:rsid w:val="00E6310A"/>
    <w:rsid w:val="00E632DB"/>
    <w:rsid w:val="00E63E5C"/>
    <w:rsid w:val="00E6523D"/>
    <w:rsid w:val="00E65DA1"/>
    <w:rsid w:val="00E6673F"/>
    <w:rsid w:val="00E67436"/>
    <w:rsid w:val="00E7080E"/>
    <w:rsid w:val="00E70CA0"/>
    <w:rsid w:val="00E71D9F"/>
    <w:rsid w:val="00E733A7"/>
    <w:rsid w:val="00E73AD0"/>
    <w:rsid w:val="00E73CE0"/>
    <w:rsid w:val="00E744B7"/>
    <w:rsid w:val="00E7536C"/>
    <w:rsid w:val="00E75446"/>
    <w:rsid w:val="00E75CA4"/>
    <w:rsid w:val="00E75E9B"/>
    <w:rsid w:val="00E76010"/>
    <w:rsid w:val="00E76021"/>
    <w:rsid w:val="00E762F6"/>
    <w:rsid w:val="00E76D21"/>
    <w:rsid w:val="00E76DB2"/>
    <w:rsid w:val="00E773D0"/>
    <w:rsid w:val="00E7765A"/>
    <w:rsid w:val="00E80784"/>
    <w:rsid w:val="00E80B07"/>
    <w:rsid w:val="00E8113B"/>
    <w:rsid w:val="00E8173F"/>
    <w:rsid w:val="00E81E1C"/>
    <w:rsid w:val="00E8261C"/>
    <w:rsid w:val="00E82CC7"/>
    <w:rsid w:val="00E83355"/>
    <w:rsid w:val="00E83678"/>
    <w:rsid w:val="00E84D7A"/>
    <w:rsid w:val="00E852D7"/>
    <w:rsid w:val="00E85B79"/>
    <w:rsid w:val="00E866C4"/>
    <w:rsid w:val="00E8741E"/>
    <w:rsid w:val="00E903B7"/>
    <w:rsid w:val="00E90775"/>
    <w:rsid w:val="00E90EFB"/>
    <w:rsid w:val="00E91B46"/>
    <w:rsid w:val="00E91DB3"/>
    <w:rsid w:val="00E91DD7"/>
    <w:rsid w:val="00E9237C"/>
    <w:rsid w:val="00E92949"/>
    <w:rsid w:val="00E92D16"/>
    <w:rsid w:val="00E92E12"/>
    <w:rsid w:val="00E93316"/>
    <w:rsid w:val="00E93823"/>
    <w:rsid w:val="00E939F6"/>
    <w:rsid w:val="00E93AB4"/>
    <w:rsid w:val="00E94014"/>
    <w:rsid w:val="00E94B86"/>
    <w:rsid w:val="00E953E2"/>
    <w:rsid w:val="00E958B0"/>
    <w:rsid w:val="00E96030"/>
    <w:rsid w:val="00E97C99"/>
    <w:rsid w:val="00E97EF8"/>
    <w:rsid w:val="00EA0747"/>
    <w:rsid w:val="00EA0879"/>
    <w:rsid w:val="00EA1792"/>
    <w:rsid w:val="00EA17A4"/>
    <w:rsid w:val="00EA235F"/>
    <w:rsid w:val="00EA2A0B"/>
    <w:rsid w:val="00EA30BA"/>
    <w:rsid w:val="00EA3533"/>
    <w:rsid w:val="00EA370A"/>
    <w:rsid w:val="00EA3A70"/>
    <w:rsid w:val="00EA4AC7"/>
    <w:rsid w:val="00EA5FAC"/>
    <w:rsid w:val="00EA6764"/>
    <w:rsid w:val="00EA7855"/>
    <w:rsid w:val="00EA7D77"/>
    <w:rsid w:val="00EB0024"/>
    <w:rsid w:val="00EB07E5"/>
    <w:rsid w:val="00EB0960"/>
    <w:rsid w:val="00EB4467"/>
    <w:rsid w:val="00EB463C"/>
    <w:rsid w:val="00EB46AD"/>
    <w:rsid w:val="00EB4731"/>
    <w:rsid w:val="00EB47C3"/>
    <w:rsid w:val="00EB4B32"/>
    <w:rsid w:val="00EB55D3"/>
    <w:rsid w:val="00EB5876"/>
    <w:rsid w:val="00EB5A3E"/>
    <w:rsid w:val="00EB6006"/>
    <w:rsid w:val="00EB6C07"/>
    <w:rsid w:val="00EB6E18"/>
    <w:rsid w:val="00EC0009"/>
    <w:rsid w:val="00EC0C5D"/>
    <w:rsid w:val="00EC10B7"/>
    <w:rsid w:val="00EC136E"/>
    <w:rsid w:val="00EC1BF7"/>
    <w:rsid w:val="00EC36C2"/>
    <w:rsid w:val="00EC3A79"/>
    <w:rsid w:val="00EC3EDF"/>
    <w:rsid w:val="00EC4A81"/>
    <w:rsid w:val="00EC569B"/>
    <w:rsid w:val="00EC5DFE"/>
    <w:rsid w:val="00EC70BA"/>
    <w:rsid w:val="00EC7A90"/>
    <w:rsid w:val="00ED0144"/>
    <w:rsid w:val="00ED03DF"/>
    <w:rsid w:val="00ED17B8"/>
    <w:rsid w:val="00ED17C9"/>
    <w:rsid w:val="00ED19C0"/>
    <w:rsid w:val="00ED22CC"/>
    <w:rsid w:val="00ED2C42"/>
    <w:rsid w:val="00ED4535"/>
    <w:rsid w:val="00ED4BF8"/>
    <w:rsid w:val="00ED4DD6"/>
    <w:rsid w:val="00ED5DB6"/>
    <w:rsid w:val="00ED7251"/>
    <w:rsid w:val="00EE24D1"/>
    <w:rsid w:val="00EE28C9"/>
    <w:rsid w:val="00EE2FE2"/>
    <w:rsid w:val="00EE36E7"/>
    <w:rsid w:val="00EE38D6"/>
    <w:rsid w:val="00EE4D41"/>
    <w:rsid w:val="00EE56FA"/>
    <w:rsid w:val="00EE575F"/>
    <w:rsid w:val="00EE75A5"/>
    <w:rsid w:val="00EE7D79"/>
    <w:rsid w:val="00EF0656"/>
    <w:rsid w:val="00EF0E4E"/>
    <w:rsid w:val="00EF0F3A"/>
    <w:rsid w:val="00EF129E"/>
    <w:rsid w:val="00EF1A7B"/>
    <w:rsid w:val="00EF1BBA"/>
    <w:rsid w:val="00EF2540"/>
    <w:rsid w:val="00EF4B8E"/>
    <w:rsid w:val="00EF5014"/>
    <w:rsid w:val="00EF63E9"/>
    <w:rsid w:val="00F00382"/>
    <w:rsid w:val="00F00500"/>
    <w:rsid w:val="00F013AC"/>
    <w:rsid w:val="00F016B1"/>
    <w:rsid w:val="00F01C10"/>
    <w:rsid w:val="00F04190"/>
    <w:rsid w:val="00F0629E"/>
    <w:rsid w:val="00F06DED"/>
    <w:rsid w:val="00F07268"/>
    <w:rsid w:val="00F07F5B"/>
    <w:rsid w:val="00F1018D"/>
    <w:rsid w:val="00F102F8"/>
    <w:rsid w:val="00F110D3"/>
    <w:rsid w:val="00F112F2"/>
    <w:rsid w:val="00F113A5"/>
    <w:rsid w:val="00F11467"/>
    <w:rsid w:val="00F117D9"/>
    <w:rsid w:val="00F12494"/>
    <w:rsid w:val="00F124D0"/>
    <w:rsid w:val="00F12B9D"/>
    <w:rsid w:val="00F13C53"/>
    <w:rsid w:val="00F14A87"/>
    <w:rsid w:val="00F14DB1"/>
    <w:rsid w:val="00F14EAF"/>
    <w:rsid w:val="00F14EEA"/>
    <w:rsid w:val="00F16F6B"/>
    <w:rsid w:val="00F17099"/>
    <w:rsid w:val="00F17447"/>
    <w:rsid w:val="00F201C1"/>
    <w:rsid w:val="00F24B2B"/>
    <w:rsid w:val="00F24B49"/>
    <w:rsid w:val="00F2660F"/>
    <w:rsid w:val="00F26E96"/>
    <w:rsid w:val="00F272A5"/>
    <w:rsid w:val="00F27376"/>
    <w:rsid w:val="00F27C7A"/>
    <w:rsid w:val="00F27D9F"/>
    <w:rsid w:val="00F31447"/>
    <w:rsid w:val="00F31A03"/>
    <w:rsid w:val="00F323C2"/>
    <w:rsid w:val="00F33249"/>
    <w:rsid w:val="00F33885"/>
    <w:rsid w:val="00F34772"/>
    <w:rsid w:val="00F34C7D"/>
    <w:rsid w:val="00F35083"/>
    <w:rsid w:val="00F35D24"/>
    <w:rsid w:val="00F35F23"/>
    <w:rsid w:val="00F3641A"/>
    <w:rsid w:val="00F36A63"/>
    <w:rsid w:val="00F37007"/>
    <w:rsid w:val="00F409A0"/>
    <w:rsid w:val="00F41498"/>
    <w:rsid w:val="00F41658"/>
    <w:rsid w:val="00F41A07"/>
    <w:rsid w:val="00F431B6"/>
    <w:rsid w:val="00F4334C"/>
    <w:rsid w:val="00F43753"/>
    <w:rsid w:val="00F4382E"/>
    <w:rsid w:val="00F441B8"/>
    <w:rsid w:val="00F456CC"/>
    <w:rsid w:val="00F45CC1"/>
    <w:rsid w:val="00F4602F"/>
    <w:rsid w:val="00F46836"/>
    <w:rsid w:val="00F46E5D"/>
    <w:rsid w:val="00F479E8"/>
    <w:rsid w:val="00F5041B"/>
    <w:rsid w:val="00F51504"/>
    <w:rsid w:val="00F51544"/>
    <w:rsid w:val="00F517E7"/>
    <w:rsid w:val="00F5252E"/>
    <w:rsid w:val="00F5299B"/>
    <w:rsid w:val="00F53362"/>
    <w:rsid w:val="00F5381A"/>
    <w:rsid w:val="00F54707"/>
    <w:rsid w:val="00F5496B"/>
    <w:rsid w:val="00F5554A"/>
    <w:rsid w:val="00F55DDF"/>
    <w:rsid w:val="00F5607E"/>
    <w:rsid w:val="00F560E0"/>
    <w:rsid w:val="00F60746"/>
    <w:rsid w:val="00F615A4"/>
    <w:rsid w:val="00F61718"/>
    <w:rsid w:val="00F625A3"/>
    <w:rsid w:val="00F625D6"/>
    <w:rsid w:val="00F62809"/>
    <w:rsid w:val="00F62C18"/>
    <w:rsid w:val="00F63CB1"/>
    <w:rsid w:val="00F651EE"/>
    <w:rsid w:val="00F65919"/>
    <w:rsid w:val="00F66264"/>
    <w:rsid w:val="00F66A04"/>
    <w:rsid w:val="00F66EEB"/>
    <w:rsid w:val="00F677CA"/>
    <w:rsid w:val="00F732B2"/>
    <w:rsid w:val="00F732CD"/>
    <w:rsid w:val="00F73F45"/>
    <w:rsid w:val="00F740E9"/>
    <w:rsid w:val="00F74336"/>
    <w:rsid w:val="00F745AD"/>
    <w:rsid w:val="00F745F7"/>
    <w:rsid w:val="00F749F3"/>
    <w:rsid w:val="00F776BD"/>
    <w:rsid w:val="00F80FDE"/>
    <w:rsid w:val="00F810AB"/>
    <w:rsid w:val="00F812CF"/>
    <w:rsid w:val="00F8178A"/>
    <w:rsid w:val="00F823CC"/>
    <w:rsid w:val="00F833E6"/>
    <w:rsid w:val="00F8355B"/>
    <w:rsid w:val="00F84819"/>
    <w:rsid w:val="00F84CA3"/>
    <w:rsid w:val="00F85239"/>
    <w:rsid w:val="00F85337"/>
    <w:rsid w:val="00F85B3C"/>
    <w:rsid w:val="00F86CBE"/>
    <w:rsid w:val="00F90261"/>
    <w:rsid w:val="00F91A7B"/>
    <w:rsid w:val="00F93543"/>
    <w:rsid w:val="00F94314"/>
    <w:rsid w:val="00F946A3"/>
    <w:rsid w:val="00F946E9"/>
    <w:rsid w:val="00F948A7"/>
    <w:rsid w:val="00F95740"/>
    <w:rsid w:val="00F9619B"/>
    <w:rsid w:val="00F9633E"/>
    <w:rsid w:val="00F96768"/>
    <w:rsid w:val="00F96A0A"/>
    <w:rsid w:val="00F97094"/>
    <w:rsid w:val="00FA1016"/>
    <w:rsid w:val="00FA27D7"/>
    <w:rsid w:val="00FA453A"/>
    <w:rsid w:val="00FA6D7C"/>
    <w:rsid w:val="00FA796E"/>
    <w:rsid w:val="00FB01EE"/>
    <w:rsid w:val="00FB0226"/>
    <w:rsid w:val="00FB0FCE"/>
    <w:rsid w:val="00FB1314"/>
    <w:rsid w:val="00FB13A5"/>
    <w:rsid w:val="00FB1646"/>
    <w:rsid w:val="00FB1AAA"/>
    <w:rsid w:val="00FB1D23"/>
    <w:rsid w:val="00FB413F"/>
    <w:rsid w:val="00FB44FF"/>
    <w:rsid w:val="00FB4530"/>
    <w:rsid w:val="00FB49F5"/>
    <w:rsid w:val="00FB4D05"/>
    <w:rsid w:val="00FB6172"/>
    <w:rsid w:val="00FB6D81"/>
    <w:rsid w:val="00FB7384"/>
    <w:rsid w:val="00FB7D1A"/>
    <w:rsid w:val="00FC133E"/>
    <w:rsid w:val="00FC16FE"/>
    <w:rsid w:val="00FC1963"/>
    <w:rsid w:val="00FC1C71"/>
    <w:rsid w:val="00FC2662"/>
    <w:rsid w:val="00FC336A"/>
    <w:rsid w:val="00FC37A9"/>
    <w:rsid w:val="00FC4660"/>
    <w:rsid w:val="00FC49B9"/>
    <w:rsid w:val="00FC4C62"/>
    <w:rsid w:val="00FC4E95"/>
    <w:rsid w:val="00FC582E"/>
    <w:rsid w:val="00FC5F7C"/>
    <w:rsid w:val="00FC6506"/>
    <w:rsid w:val="00FC6DDB"/>
    <w:rsid w:val="00FC7360"/>
    <w:rsid w:val="00FC7DEA"/>
    <w:rsid w:val="00FD0018"/>
    <w:rsid w:val="00FD0575"/>
    <w:rsid w:val="00FD068B"/>
    <w:rsid w:val="00FD07A6"/>
    <w:rsid w:val="00FD2218"/>
    <w:rsid w:val="00FD24D0"/>
    <w:rsid w:val="00FD2551"/>
    <w:rsid w:val="00FD2C2D"/>
    <w:rsid w:val="00FD2F9A"/>
    <w:rsid w:val="00FD47B9"/>
    <w:rsid w:val="00FD5590"/>
    <w:rsid w:val="00FD5F54"/>
    <w:rsid w:val="00FD6268"/>
    <w:rsid w:val="00FD6B86"/>
    <w:rsid w:val="00FD6C53"/>
    <w:rsid w:val="00FD6E32"/>
    <w:rsid w:val="00FD7261"/>
    <w:rsid w:val="00FD7532"/>
    <w:rsid w:val="00FE01CB"/>
    <w:rsid w:val="00FE0DFA"/>
    <w:rsid w:val="00FE10B9"/>
    <w:rsid w:val="00FE1552"/>
    <w:rsid w:val="00FE1A3A"/>
    <w:rsid w:val="00FE1BC8"/>
    <w:rsid w:val="00FE1C76"/>
    <w:rsid w:val="00FE2473"/>
    <w:rsid w:val="00FE26D2"/>
    <w:rsid w:val="00FE29EF"/>
    <w:rsid w:val="00FE2B23"/>
    <w:rsid w:val="00FE2BDA"/>
    <w:rsid w:val="00FE3C7C"/>
    <w:rsid w:val="00FE5C39"/>
    <w:rsid w:val="00FE5DFE"/>
    <w:rsid w:val="00FE66B8"/>
    <w:rsid w:val="00FE6ABB"/>
    <w:rsid w:val="00FE76C7"/>
    <w:rsid w:val="00FE7E7F"/>
    <w:rsid w:val="00FF19DA"/>
    <w:rsid w:val="00FF442C"/>
    <w:rsid w:val="00FF4644"/>
    <w:rsid w:val="00FF598D"/>
    <w:rsid w:val="00FF5F06"/>
    <w:rsid w:val="00FF6844"/>
    <w:rsid w:val="00FF68C2"/>
    <w:rsid w:val="00FF6F55"/>
    <w:rsid w:val="00FF734F"/>
    <w:rsid w:val="00FF76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B5EA59"/>
  <w15:docId w15:val="{ED36ACD5-4ADD-4EB1-88DC-17248469F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lsdException w:name="heading 4" w:locked="1" w:uiPriority="9" w:qFormat="1"/>
    <w:lsdException w:name="heading 5" w:locked="1" w:uiPriority="0"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qFormat="1"/>
    <w:lsdException w:name="table of figures" w:locked="1" w:semiHidden="1" w:unhideWhenUsed="1" w:qFormat="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33C"/>
    <w:rPr>
      <w:sz w:val="22"/>
    </w:rPr>
  </w:style>
  <w:style w:type="paragraph" w:styleId="Heading1">
    <w:name w:val="heading 1"/>
    <w:aliases w:val="Cover title white"/>
    <w:next w:val="Normal"/>
    <w:link w:val="Heading1Char"/>
    <w:qFormat/>
    <w:rsid w:val="00D515AE"/>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qFormat/>
    <w:rsid w:val="00237B31"/>
    <w:pPr>
      <w:keepNext/>
      <w:numPr>
        <w:numId w:val="0"/>
      </w:numPr>
      <w:outlineLvl w:val="1"/>
    </w:pPr>
  </w:style>
  <w:style w:type="paragraph" w:styleId="Heading3">
    <w:name w:val="heading 3"/>
    <w:basedOn w:val="Normal"/>
    <w:next w:val="Normal"/>
    <w:link w:val="Heading3Char"/>
    <w:uiPriority w:val="99"/>
    <w:rsid w:val="005909B9"/>
    <w:pPr>
      <w:spacing w:before="200" w:after="120" w:line="271" w:lineRule="auto"/>
      <w:outlineLvl w:val="2"/>
    </w:pPr>
    <w:rPr>
      <w:rFonts w:ascii="Cambria" w:hAnsi="Cambria" w:cs="Cambria"/>
      <w:b/>
      <w:bCs/>
    </w:rPr>
  </w:style>
  <w:style w:type="paragraph" w:styleId="Heading4">
    <w:name w:val="heading 4"/>
    <w:basedOn w:val="Normal"/>
    <w:next w:val="Normal"/>
    <w:link w:val="Heading4Char"/>
    <w:uiPriority w:val="9"/>
    <w:qFormat/>
    <w:rsid w:val="00D515AE"/>
    <w:pPr>
      <w:keepNext/>
      <w:keepLines/>
      <w:numPr>
        <w:ilvl w:val="3"/>
        <w:numId w:val="11"/>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qFormat/>
    <w:locked/>
    <w:rsid w:val="00D515AE"/>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qFormat/>
    <w:locked/>
    <w:rsid w:val="00D515AE"/>
    <w:pPr>
      <w:keepNext/>
      <w:keepLines/>
      <w:numPr>
        <w:ilvl w:val="5"/>
        <w:numId w:val="11"/>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qFormat/>
    <w:locked/>
    <w:rsid w:val="00D515AE"/>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locked/>
    <w:rsid w:val="00D515AE"/>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qFormat/>
    <w:locked/>
    <w:rsid w:val="00D515AE"/>
    <w:pPr>
      <w:keepNext/>
      <w:keepLines/>
      <w:numPr>
        <w:ilvl w:val="8"/>
        <w:numId w:val="3"/>
      </w:numPr>
      <w:spacing w:before="200"/>
      <w:ind w:left="1584" w:hanging="14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locked/>
    <w:rsid w:val="00D515AE"/>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locked/>
    <w:rsid w:val="00237B31"/>
    <w:rPr>
      <w:rFonts w:asciiTheme="majorHAnsi" w:eastAsiaTheme="majorEastAsia" w:hAnsiTheme="majorHAnsi" w:cstheme="majorBidi"/>
      <w:color w:val="2F5773" w:themeColor="text2"/>
      <w:spacing w:val="5"/>
      <w:kern w:val="28"/>
      <w:sz w:val="52"/>
      <w:szCs w:val="52"/>
    </w:rPr>
  </w:style>
  <w:style w:type="character" w:customStyle="1" w:styleId="Heading3Char">
    <w:name w:val="Heading 3 Char"/>
    <w:basedOn w:val="DefaultParagraphFont"/>
    <w:link w:val="Heading3"/>
    <w:uiPriority w:val="99"/>
    <w:locked/>
    <w:rsid w:val="005909B9"/>
    <w:rPr>
      <w:rFonts w:ascii="Cambria" w:hAnsi="Cambria" w:cs="Cambria"/>
      <w:b/>
      <w:bCs/>
      <w:sz w:val="22"/>
      <w:szCs w:val="22"/>
      <w:lang w:eastAsia="en-US"/>
    </w:rPr>
  </w:style>
  <w:style w:type="character" w:customStyle="1" w:styleId="Heading4Char">
    <w:name w:val="Heading 4 Char"/>
    <w:basedOn w:val="DefaultParagraphFont"/>
    <w:link w:val="Heading4"/>
    <w:uiPriority w:val="9"/>
    <w:locked/>
    <w:rsid w:val="00D515AE"/>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locked/>
    <w:rsid w:val="00D515AE"/>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locked/>
    <w:rsid w:val="00D515AE"/>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locked/>
    <w:rsid w:val="00D515AE"/>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locked/>
    <w:rsid w:val="00D515A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locked/>
    <w:rsid w:val="00D515AE"/>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1D739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64CBE"/>
    <w:rPr>
      <w:sz w:val="2"/>
      <w:szCs w:val="2"/>
    </w:rPr>
  </w:style>
  <w:style w:type="paragraph" w:styleId="Header">
    <w:name w:val="header"/>
    <w:basedOn w:val="Normal"/>
    <w:link w:val="HeaderChar"/>
    <w:uiPriority w:val="99"/>
    <w:rsid w:val="007273C7"/>
    <w:pPr>
      <w:tabs>
        <w:tab w:val="center" w:pos="4153"/>
        <w:tab w:val="right" w:pos="8306"/>
      </w:tabs>
    </w:pPr>
  </w:style>
  <w:style w:type="character" w:customStyle="1" w:styleId="HeaderChar">
    <w:name w:val="Header Char"/>
    <w:basedOn w:val="DefaultParagraphFont"/>
    <w:link w:val="Header"/>
    <w:uiPriority w:val="99"/>
    <w:semiHidden/>
    <w:locked/>
    <w:rsid w:val="00264CBE"/>
    <w:rPr>
      <w:rFonts w:ascii="Arial" w:hAnsi="Arial" w:cs="Arial"/>
    </w:rPr>
  </w:style>
  <w:style w:type="paragraph" w:styleId="Footer">
    <w:name w:val="footer"/>
    <w:basedOn w:val="Normal"/>
    <w:link w:val="FooterChar"/>
    <w:uiPriority w:val="99"/>
    <w:rsid w:val="007273C7"/>
    <w:pPr>
      <w:tabs>
        <w:tab w:val="center" w:pos="4153"/>
        <w:tab w:val="right" w:pos="8306"/>
      </w:tabs>
    </w:pPr>
  </w:style>
  <w:style w:type="character" w:customStyle="1" w:styleId="FooterChar">
    <w:name w:val="Footer Char"/>
    <w:basedOn w:val="DefaultParagraphFont"/>
    <w:link w:val="Footer"/>
    <w:uiPriority w:val="99"/>
    <w:locked/>
    <w:rsid w:val="00AA5E7A"/>
    <w:rPr>
      <w:rFonts w:ascii="Arial" w:hAnsi="Arial" w:cs="Arial"/>
      <w:sz w:val="22"/>
      <w:szCs w:val="22"/>
      <w:lang w:val="en-GB" w:eastAsia="en-GB"/>
    </w:rPr>
  </w:style>
  <w:style w:type="table" w:styleId="TableGrid">
    <w:name w:val="Table Grid"/>
    <w:basedOn w:val="TableNormal"/>
    <w:uiPriority w:val="59"/>
    <w:rsid w:val="007273C7"/>
    <w:pPr>
      <w:spacing w:after="240"/>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body"/>
    <w:link w:val="FootnoteTextChar"/>
    <w:autoRedefine/>
    <w:uiPriority w:val="99"/>
    <w:qFormat/>
    <w:rsid w:val="000B6471"/>
    <w:pPr>
      <w:spacing w:before="80" w:after="0" w:line="200" w:lineRule="exact"/>
      <w:jc w:val="left"/>
    </w:pPr>
    <w:rPr>
      <w:sz w:val="18"/>
      <w:szCs w:val="18"/>
    </w:rPr>
  </w:style>
  <w:style w:type="character" w:customStyle="1" w:styleId="FootnoteTextChar">
    <w:name w:val="Footnote Text Char"/>
    <w:basedOn w:val="DefaultParagraphFont"/>
    <w:link w:val="FootnoteText"/>
    <w:uiPriority w:val="99"/>
    <w:locked/>
    <w:rsid w:val="000B6471"/>
    <w:rPr>
      <w:sz w:val="18"/>
      <w:szCs w:val="18"/>
    </w:rPr>
  </w:style>
  <w:style w:type="character" w:styleId="FootnoteReference">
    <w:name w:val="footnote reference"/>
    <w:basedOn w:val="DefaultParagraphFont"/>
    <w:uiPriority w:val="99"/>
    <w:qFormat/>
    <w:rsid w:val="00D515AE"/>
    <w:rPr>
      <w:rFonts w:asciiTheme="minorHAnsi" w:hAnsiTheme="minorHAnsi"/>
      <w:sz w:val="22"/>
      <w:szCs w:val="18"/>
      <w:vertAlign w:val="superscript"/>
    </w:rPr>
  </w:style>
  <w:style w:type="paragraph" w:styleId="TOC1">
    <w:name w:val="toc 1"/>
    <w:autoRedefine/>
    <w:uiPriority w:val="39"/>
    <w:qFormat/>
    <w:rsid w:val="00D515AE"/>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D515AE"/>
    <w:pPr>
      <w:tabs>
        <w:tab w:val="left" w:pos="529"/>
        <w:tab w:val="right" w:pos="8771"/>
      </w:tabs>
      <w:spacing w:before="80" w:after="80"/>
    </w:pPr>
    <w:rPr>
      <w:noProof/>
      <w:sz w:val="22"/>
      <w:szCs w:val="22"/>
    </w:rPr>
  </w:style>
  <w:style w:type="character" w:styleId="Hyperlink">
    <w:name w:val="Hyperlink"/>
    <w:basedOn w:val="DefaultParagraphFont"/>
    <w:uiPriority w:val="99"/>
    <w:rsid w:val="007839F9"/>
    <w:rPr>
      <w:color w:val="0000FF"/>
      <w:u w:val="single"/>
    </w:rPr>
  </w:style>
  <w:style w:type="paragraph" w:styleId="CommentText">
    <w:name w:val="annotation text"/>
    <w:basedOn w:val="Normal"/>
    <w:link w:val="CommentTextChar2"/>
    <w:uiPriority w:val="99"/>
    <w:semiHidden/>
    <w:rsid w:val="003D16B4"/>
    <w:rPr>
      <w:sz w:val="20"/>
      <w:szCs w:val="20"/>
    </w:rPr>
  </w:style>
  <w:style w:type="character" w:customStyle="1" w:styleId="CommentTextChar">
    <w:name w:val="Comment Text Char"/>
    <w:basedOn w:val="DefaultParagraphFont"/>
    <w:uiPriority w:val="99"/>
    <w:semiHidden/>
    <w:locked/>
    <w:rsid w:val="00E90EFB"/>
    <w:rPr>
      <w:rFonts w:ascii="Arial" w:hAnsi="Arial" w:cs="Arial"/>
      <w:lang w:val="en-GB" w:eastAsia="en-GB"/>
    </w:rPr>
  </w:style>
  <w:style w:type="character" w:styleId="CommentReference">
    <w:name w:val="annotation reference"/>
    <w:basedOn w:val="DefaultParagraphFont"/>
    <w:uiPriority w:val="99"/>
    <w:semiHidden/>
    <w:rsid w:val="003D16B4"/>
    <w:rPr>
      <w:sz w:val="16"/>
      <w:szCs w:val="16"/>
    </w:rPr>
  </w:style>
  <w:style w:type="paragraph" w:customStyle="1" w:styleId="Default">
    <w:name w:val="Default"/>
    <w:rsid w:val="008D40CD"/>
    <w:pPr>
      <w:autoSpaceDE w:val="0"/>
      <w:autoSpaceDN w:val="0"/>
      <w:adjustRightInd w:val="0"/>
      <w:spacing w:after="200" w:line="276" w:lineRule="auto"/>
    </w:pPr>
    <w:rPr>
      <w:rFonts w:ascii="Verdana" w:hAnsi="Verdana" w:cs="Verdana"/>
      <w:color w:val="000000"/>
    </w:rPr>
  </w:style>
  <w:style w:type="paragraph" w:styleId="TOC3">
    <w:name w:val="toc 3"/>
    <w:basedOn w:val="Normal"/>
    <w:next w:val="Normal"/>
    <w:autoRedefine/>
    <w:uiPriority w:val="39"/>
    <w:qFormat/>
    <w:rsid w:val="00D515AE"/>
    <w:pPr>
      <w:tabs>
        <w:tab w:val="right" w:pos="8771"/>
      </w:tabs>
      <w:ind w:left="567"/>
    </w:pPr>
    <w:rPr>
      <w:szCs w:val="22"/>
    </w:rPr>
  </w:style>
  <w:style w:type="paragraph" w:styleId="TOC4">
    <w:name w:val="toc 4"/>
    <w:basedOn w:val="Normal"/>
    <w:next w:val="Normal"/>
    <w:autoRedefine/>
    <w:uiPriority w:val="39"/>
    <w:rsid w:val="00741643"/>
    <w:pPr>
      <w:ind w:left="660"/>
    </w:pPr>
    <w:rPr>
      <w:sz w:val="20"/>
      <w:szCs w:val="20"/>
    </w:rPr>
  </w:style>
  <w:style w:type="paragraph" w:styleId="TOC5">
    <w:name w:val="toc 5"/>
    <w:basedOn w:val="Normal"/>
    <w:next w:val="Normal"/>
    <w:autoRedefine/>
    <w:uiPriority w:val="99"/>
    <w:semiHidden/>
    <w:rsid w:val="00741643"/>
    <w:pPr>
      <w:ind w:left="880"/>
    </w:pPr>
    <w:rPr>
      <w:sz w:val="20"/>
      <w:szCs w:val="20"/>
    </w:rPr>
  </w:style>
  <w:style w:type="paragraph" w:styleId="TOC6">
    <w:name w:val="toc 6"/>
    <w:basedOn w:val="Normal"/>
    <w:next w:val="Normal"/>
    <w:autoRedefine/>
    <w:uiPriority w:val="99"/>
    <w:semiHidden/>
    <w:rsid w:val="00741643"/>
    <w:pPr>
      <w:ind w:left="1100"/>
    </w:pPr>
    <w:rPr>
      <w:sz w:val="20"/>
      <w:szCs w:val="20"/>
    </w:rPr>
  </w:style>
  <w:style w:type="paragraph" w:styleId="TOC7">
    <w:name w:val="toc 7"/>
    <w:basedOn w:val="Normal"/>
    <w:next w:val="Normal"/>
    <w:autoRedefine/>
    <w:uiPriority w:val="99"/>
    <w:semiHidden/>
    <w:rsid w:val="00741643"/>
    <w:pPr>
      <w:ind w:left="1320"/>
    </w:pPr>
    <w:rPr>
      <w:sz w:val="20"/>
      <w:szCs w:val="20"/>
    </w:rPr>
  </w:style>
  <w:style w:type="paragraph" w:styleId="TOC8">
    <w:name w:val="toc 8"/>
    <w:basedOn w:val="Normal"/>
    <w:next w:val="Normal"/>
    <w:autoRedefine/>
    <w:uiPriority w:val="99"/>
    <w:semiHidden/>
    <w:rsid w:val="00741643"/>
    <w:pPr>
      <w:ind w:left="1540"/>
    </w:pPr>
    <w:rPr>
      <w:sz w:val="20"/>
      <w:szCs w:val="20"/>
    </w:rPr>
  </w:style>
  <w:style w:type="paragraph" w:styleId="TOC9">
    <w:name w:val="toc 9"/>
    <w:basedOn w:val="Normal"/>
    <w:next w:val="Normal"/>
    <w:autoRedefine/>
    <w:uiPriority w:val="99"/>
    <w:semiHidden/>
    <w:rsid w:val="00741643"/>
    <w:pPr>
      <w:ind w:left="1760"/>
    </w:pPr>
    <w:rPr>
      <w:sz w:val="20"/>
      <w:szCs w:val="20"/>
    </w:rPr>
  </w:style>
  <w:style w:type="paragraph" w:styleId="CommentSubject">
    <w:name w:val="annotation subject"/>
    <w:basedOn w:val="CommentText"/>
    <w:next w:val="CommentText"/>
    <w:link w:val="CommentSubjectChar"/>
    <w:uiPriority w:val="99"/>
    <w:semiHidden/>
    <w:rsid w:val="00F04190"/>
    <w:rPr>
      <w:b/>
      <w:bCs/>
    </w:rPr>
  </w:style>
  <w:style w:type="character" w:customStyle="1" w:styleId="CommentSubjectChar">
    <w:name w:val="Comment Subject Char"/>
    <w:basedOn w:val="CommentTextChar"/>
    <w:link w:val="CommentSubject"/>
    <w:uiPriority w:val="99"/>
    <w:semiHidden/>
    <w:locked/>
    <w:rsid w:val="00264CBE"/>
    <w:rPr>
      <w:rFonts w:ascii="Arial" w:hAnsi="Arial" w:cs="Arial"/>
      <w:b/>
      <w:bCs/>
      <w:sz w:val="20"/>
      <w:szCs w:val="20"/>
      <w:lang w:val="en-GB" w:eastAsia="en-GB"/>
    </w:rPr>
  </w:style>
  <w:style w:type="character" w:customStyle="1" w:styleId="CommentTextChar2">
    <w:name w:val="Comment Text Char2"/>
    <w:basedOn w:val="DefaultParagraphFont"/>
    <w:link w:val="CommentText"/>
    <w:uiPriority w:val="99"/>
    <w:semiHidden/>
    <w:locked/>
    <w:rsid w:val="005000F6"/>
    <w:rPr>
      <w:rFonts w:ascii="Arial" w:hAnsi="Arial" w:cs="Arial"/>
      <w:lang w:val="en-GB" w:eastAsia="en-GB"/>
    </w:rPr>
  </w:style>
  <w:style w:type="paragraph" w:customStyle="1" w:styleId="Paragraphedeliste1">
    <w:name w:val="Paragraphe de liste1"/>
    <w:basedOn w:val="Normal"/>
    <w:uiPriority w:val="99"/>
    <w:rsid w:val="003F1AE6"/>
    <w:pPr>
      <w:ind w:left="720"/>
    </w:pPr>
    <w:rPr>
      <w:lang w:val="nl-BE"/>
    </w:rPr>
  </w:style>
  <w:style w:type="character" w:customStyle="1" w:styleId="CharChar1">
    <w:name w:val="Char Char1"/>
    <w:basedOn w:val="DefaultParagraphFont"/>
    <w:uiPriority w:val="99"/>
    <w:semiHidden/>
    <w:locked/>
    <w:rsid w:val="003F1AE6"/>
    <w:rPr>
      <w:rFonts w:ascii="Arial" w:hAnsi="Arial" w:cs="Arial"/>
      <w:sz w:val="24"/>
      <w:szCs w:val="24"/>
      <w:lang w:val="en-GB" w:eastAsia="en-GB"/>
    </w:rPr>
  </w:style>
  <w:style w:type="paragraph" w:customStyle="1" w:styleId="ListParagraph1">
    <w:name w:val="List Paragraph1"/>
    <w:basedOn w:val="Normal"/>
    <w:uiPriority w:val="99"/>
    <w:rsid w:val="003F1AE6"/>
    <w:pPr>
      <w:ind w:left="720"/>
    </w:pPr>
  </w:style>
  <w:style w:type="paragraph" w:customStyle="1" w:styleId="Bulleted1">
    <w:name w:val="Bulleted 1"/>
    <w:basedOn w:val="Normal"/>
    <w:uiPriority w:val="99"/>
    <w:rsid w:val="003F1AE6"/>
    <w:pPr>
      <w:numPr>
        <w:numId w:val="1"/>
      </w:numPr>
    </w:pPr>
    <w:rPr>
      <w:rFonts w:ascii="Verdana" w:hAnsi="Verdana" w:cs="Verdana"/>
      <w:color w:val="000000"/>
      <w:sz w:val="20"/>
      <w:szCs w:val="20"/>
      <w:lang w:eastAsia="fi-FI"/>
    </w:rPr>
  </w:style>
  <w:style w:type="character" w:customStyle="1" w:styleId="CharChar">
    <w:name w:val="Char Char"/>
    <w:basedOn w:val="DefaultParagraphFont"/>
    <w:uiPriority w:val="99"/>
    <w:semiHidden/>
    <w:rsid w:val="001A53C6"/>
    <w:rPr>
      <w:rFonts w:ascii="Arial" w:hAnsi="Arial" w:cs="Arial"/>
      <w:lang w:val="en-GB" w:eastAsia="en-GB"/>
    </w:rPr>
  </w:style>
  <w:style w:type="character" w:styleId="PageNumber">
    <w:name w:val="page number"/>
    <w:basedOn w:val="DefaultParagraphFont"/>
    <w:uiPriority w:val="99"/>
    <w:rsid w:val="00D9244A"/>
  </w:style>
  <w:style w:type="character" w:styleId="FollowedHyperlink">
    <w:name w:val="FollowedHyperlink"/>
    <w:basedOn w:val="DefaultParagraphFont"/>
    <w:uiPriority w:val="99"/>
    <w:rsid w:val="00437C12"/>
    <w:rPr>
      <w:color w:val="800080"/>
      <w:u w:val="single"/>
    </w:rPr>
  </w:style>
  <w:style w:type="paragraph" w:customStyle="1" w:styleId="msolistparagraph0">
    <w:name w:val="msolistparagraph"/>
    <w:basedOn w:val="Normal"/>
    <w:uiPriority w:val="99"/>
    <w:rsid w:val="00252FF5"/>
    <w:pPr>
      <w:ind w:left="720"/>
    </w:pPr>
    <w:rPr>
      <w:sz w:val="24"/>
    </w:rPr>
  </w:style>
  <w:style w:type="character" w:customStyle="1" w:styleId="CommentTextChar1">
    <w:name w:val="Comment Text Char1"/>
    <w:basedOn w:val="DefaultParagraphFont"/>
    <w:uiPriority w:val="99"/>
    <w:semiHidden/>
    <w:locked/>
    <w:rsid w:val="00993CD9"/>
    <w:rPr>
      <w:rFonts w:ascii="Arial" w:hAnsi="Arial" w:cs="Arial"/>
      <w:lang w:val="en-GB" w:eastAsia="en-GB"/>
    </w:rPr>
  </w:style>
  <w:style w:type="paragraph" w:styleId="EndnoteText">
    <w:name w:val="endnote text"/>
    <w:basedOn w:val="Normal"/>
    <w:link w:val="EndnoteTextChar"/>
    <w:uiPriority w:val="99"/>
    <w:semiHidden/>
    <w:rsid w:val="00AA5E7A"/>
    <w:rPr>
      <w:sz w:val="20"/>
      <w:szCs w:val="20"/>
    </w:rPr>
  </w:style>
  <w:style w:type="character" w:customStyle="1" w:styleId="EndnoteTextChar">
    <w:name w:val="Endnote Text Char"/>
    <w:basedOn w:val="DefaultParagraphFont"/>
    <w:link w:val="EndnoteText"/>
    <w:uiPriority w:val="99"/>
    <w:locked/>
    <w:rsid w:val="00AA5E7A"/>
    <w:rPr>
      <w:rFonts w:ascii="Arial" w:hAnsi="Arial" w:cs="Arial"/>
      <w:lang w:val="en-GB" w:eastAsia="en-GB"/>
    </w:rPr>
  </w:style>
  <w:style w:type="character" w:styleId="EndnoteReference">
    <w:name w:val="endnote reference"/>
    <w:basedOn w:val="DefaultParagraphFont"/>
    <w:uiPriority w:val="99"/>
    <w:semiHidden/>
    <w:rsid w:val="00AA5E7A"/>
    <w:rPr>
      <w:vertAlign w:val="superscript"/>
    </w:rPr>
  </w:style>
  <w:style w:type="character" w:customStyle="1" w:styleId="CharChar4">
    <w:name w:val="Char Char4"/>
    <w:basedOn w:val="DefaultParagraphFont"/>
    <w:uiPriority w:val="99"/>
    <w:semiHidden/>
    <w:locked/>
    <w:rsid w:val="00012388"/>
    <w:rPr>
      <w:rFonts w:ascii="Verdana" w:hAnsi="Verdana" w:cs="Verdana"/>
      <w:lang w:val="en-GB" w:eastAsia="en-US"/>
    </w:rPr>
  </w:style>
  <w:style w:type="character" w:customStyle="1" w:styleId="CharChar3">
    <w:name w:val="Char Char3"/>
    <w:basedOn w:val="DefaultParagraphFont"/>
    <w:uiPriority w:val="99"/>
    <w:semiHidden/>
    <w:locked/>
    <w:rsid w:val="00012388"/>
    <w:rPr>
      <w:rFonts w:ascii="Arial" w:hAnsi="Arial" w:cs="Arial"/>
      <w:lang w:val="en-GB" w:eastAsia="en-GB"/>
    </w:rPr>
  </w:style>
  <w:style w:type="character" w:customStyle="1" w:styleId="CharChar14">
    <w:name w:val="Char Char14"/>
    <w:basedOn w:val="DefaultParagraphFont"/>
    <w:uiPriority w:val="99"/>
    <w:rsid w:val="00AA2DE2"/>
    <w:rPr>
      <w:rFonts w:ascii="Verdana" w:hAnsi="Verdana" w:cs="Verdana"/>
      <w:b/>
      <w:bCs/>
      <w:color w:val="auto"/>
      <w:sz w:val="28"/>
      <w:szCs w:val="28"/>
    </w:rPr>
  </w:style>
  <w:style w:type="character" w:customStyle="1" w:styleId="CharChar13">
    <w:name w:val="Char Char13"/>
    <w:basedOn w:val="DefaultParagraphFont"/>
    <w:uiPriority w:val="99"/>
    <w:rsid w:val="00AA2DE2"/>
    <w:rPr>
      <w:rFonts w:ascii="Cambria" w:hAnsi="Cambria" w:cs="Cambria"/>
      <w:b/>
      <w:bCs/>
      <w:color w:val="auto"/>
      <w:sz w:val="26"/>
      <w:szCs w:val="26"/>
    </w:rPr>
  </w:style>
  <w:style w:type="paragraph" w:customStyle="1" w:styleId="Paragraphedeliste2">
    <w:name w:val="Paragraphe de liste2"/>
    <w:basedOn w:val="Normal"/>
    <w:uiPriority w:val="99"/>
    <w:rsid w:val="00AA2DE2"/>
    <w:pPr>
      <w:ind w:left="720"/>
    </w:pPr>
  </w:style>
  <w:style w:type="paragraph" w:styleId="Title">
    <w:name w:val="Title"/>
    <w:basedOn w:val="Normal"/>
    <w:next w:val="Normal"/>
    <w:link w:val="TitleChar"/>
    <w:qFormat/>
    <w:locked/>
    <w:rsid w:val="00D515AE"/>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locked/>
    <w:rsid w:val="00D515AE"/>
    <w:rPr>
      <w:rFonts w:asciiTheme="majorHAnsi" w:eastAsiaTheme="majorEastAsia" w:hAnsiTheme="majorHAnsi" w:cstheme="majorBidi"/>
      <w:color w:val="2F5773" w:themeColor="text2"/>
      <w:spacing w:val="5"/>
      <w:kern w:val="28"/>
      <w:sz w:val="52"/>
      <w:szCs w:val="52"/>
    </w:rPr>
  </w:style>
  <w:style w:type="paragraph" w:styleId="Subtitle">
    <w:name w:val="Subtitle"/>
    <w:next w:val="Normal"/>
    <w:link w:val="SubtitleChar"/>
    <w:autoRedefine/>
    <w:uiPriority w:val="11"/>
    <w:qFormat/>
    <w:locked/>
    <w:rsid w:val="00237B31"/>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locked/>
    <w:rsid w:val="00237B31"/>
    <w:rPr>
      <w:rFonts w:asciiTheme="majorHAnsi" w:eastAsiaTheme="majorEastAsia" w:hAnsiTheme="majorHAnsi" w:cstheme="majorBidi"/>
      <w:color w:val="2F5773" w:themeColor="accent1"/>
      <w:sz w:val="32"/>
      <w:szCs w:val="32"/>
    </w:rPr>
  </w:style>
  <w:style w:type="character" w:styleId="Strong">
    <w:name w:val="Strong"/>
    <w:basedOn w:val="DefaultParagraphFont"/>
    <w:uiPriority w:val="22"/>
    <w:semiHidden/>
    <w:qFormat/>
    <w:rsid w:val="007C00F8"/>
    <w:rPr>
      <w:b/>
      <w:bCs/>
    </w:rPr>
  </w:style>
  <w:style w:type="character" w:styleId="Emphasis">
    <w:name w:val="Emphasis"/>
    <w:basedOn w:val="DefaultParagraphFont"/>
    <w:uiPriority w:val="20"/>
    <w:semiHidden/>
    <w:qFormat/>
    <w:rsid w:val="007C00F8"/>
    <w:rPr>
      <w:i/>
      <w:iCs/>
    </w:rPr>
  </w:style>
  <w:style w:type="paragraph" w:customStyle="1" w:styleId="NoSpacing1">
    <w:name w:val="No Spacing1"/>
    <w:basedOn w:val="Normal"/>
    <w:uiPriority w:val="99"/>
    <w:rsid w:val="007C00F8"/>
  </w:style>
  <w:style w:type="paragraph" w:customStyle="1" w:styleId="ListParagraph2">
    <w:name w:val="List Paragraph2"/>
    <w:basedOn w:val="Normal"/>
    <w:uiPriority w:val="99"/>
    <w:rsid w:val="007C00F8"/>
    <w:pPr>
      <w:ind w:left="720"/>
    </w:pPr>
  </w:style>
  <w:style w:type="paragraph" w:customStyle="1" w:styleId="Quote1">
    <w:name w:val="Quote1"/>
    <w:basedOn w:val="Normal"/>
    <w:next w:val="Normal"/>
    <w:link w:val="QuoteChar"/>
    <w:uiPriority w:val="99"/>
    <w:rsid w:val="007C00F8"/>
    <w:pPr>
      <w:spacing w:before="200"/>
      <w:ind w:left="360" w:right="360"/>
    </w:pPr>
    <w:rPr>
      <w:i/>
      <w:iCs/>
    </w:rPr>
  </w:style>
  <w:style w:type="character" w:customStyle="1" w:styleId="QuoteChar">
    <w:name w:val="Quote Char"/>
    <w:basedOn w:val="DefaultParagraphFont"/>
    <w:link w:val="Quote1"/>
    <w:uiPriority w:val="99"/>
    <w:locked/>
    <w:rsid w:val="007C00F8"/>
    <w:rPr>
      <w:i/>
      <w:iCs/>
    </w:rPr>
  </w:style>
  <w:style w:type="paragraph" w:customStyle="1" w:styleId="IntenseQuote1">
    <w:name w:val="Intense Quote1"/>
    <w:basedOn w:val="Normal"/>
    <w:next w:val="Normal"/>
    <w:link w:val="IntenseQuoteChar"/>
    <w:uiPriority w:val="99"/>
    <w:rsid w:val="007C00F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1"/>
    <w:uiPriority w:val="99"/>
    <w:locked/>
    <w:rsid w:val="007C00F8"/>
    <w:rPr>
      <w:b/>
      <w:bCs/>
      <w:i/>
      <w:iCs/>
    </w:rPr>
  </w:style>
  <w:style w:type="character" w:customStyle="1" w:styleId="SubtleEmphasis1">
    <w:name w:val="Subtle Emphasis1"/>
    <w:basedOn w:val="DefaultParagraphFont"/>
    <w:uiPriority w:val="99"/>
    <w:rsid w:val="007C00F8"/>
    <w:rPr>
      <w:i/>
      <w:iCs/>
    </w:rPr>
  </w:style>
  <w:style w:type="character" w:customStyle="1" w:styleId="IntenseEmphasis1">
    <w:name w:val="Intense Emphasis1"/>
    <w:basedOn w:val="DefaultParagraphFont"/>
    <w:uiPriority w:val="99"/>
    <w:rsid w:val="007C00F8"/>
    <w:rPr>
      <w:b/>
      <w:bCs/>
    </w:rPr>
  </w:style>
  <w:style w:type="character" w:customStyle="1" w:styleId="SubtleReference1">
    <w:name w:val="Subtle Reference1"/>
    <w:basedOn w:val="DefaultParagraphFont"/>
    <w:uiPriority w:val="99"/>
    <w:rsid w:val="007C00F8"/>
    <w:rPr>
      <w:smallCaps/>
    </w:rPr>
  </w:style>
  <w:style w:type="character" w:customStyle="1" w:styleId="IntenseReference1">
    <w:name w:val="Intense Reference1"/>
    <w:basedOn w:val="DefaultParagraphFont"/>
    <w:uiPriority w:val="99"/>
    <w:rsid w:val="007C00F8"/>
    <w:rPr>
      <w:smallCaps/>
      <w:spacing w:val="5"/>
      <w:u w:val="single"/>
    </w:rPr>
  </w:style>
  <w:style w:type="character" w:customStyle="1" w:styleId="BookTitle1">
    <w:name w:val="Book Title1"/>
    <w:basedOn w:val="DefaultParagraphFont"/>
    <w:uiPriority w:val="99"/>
    <w:rsid w:val="007C00F8"/>
    <w:rPr>
      <w:i/>
      <w:iCs/>
      <w:smallCaps/>
      <w:spacing w:val="5"/>
    </w:rPr>
  </w:style>
  <w:style w:type="paragraph" w:customStyle="1" w:styleId="TOCHeading1">
    <w:name w:val="TOC Heading1"/>
    <w:basedOn w:val="Heading1"/>
    <w:next w:val="Normal"/>
    <w:uiPriority w:val="99"/>
    <w:semiHidden/>
    <w:rsid w:val="007C00F8"/>
    <w:pPr>
      <w:outlineLvl w:val="9"/>
    </w:pPr>
  </w:style>
  <w:style w:type="paragraph" w:styleId="PlainText">
    <w:name w:val="Plain Text"/>
    <w:basedOn w:val="Normal"/>
    <w:link w:val="PlainTextChar"/>
    <w:uiPriority w:val="99"/>
    <w:semiHidden/>
    <w:rsid w:val="003C7592"/>
    <w:rPr>
      <w:rFonts w:ascii="Consolas" w:hAnsi="Consolas" w:cs="Consolas"/>
      <w:sz w:val="21"/>
      <w:szCs w:val="21"/>
    </w:rPr>
  </w:style>
  <w:style w:type="character" w:customStyle="1" w:styleId="PlainTextChar">
    <w:name w:val="Plain Text Char"/>
    <w:basedOn w:val="DefaultParagraphFont"/>
    <w:link w:val="PlainText"/>
    <w:uiPriority w:val="99"/>
    <w:semiHidden/>
    <w:locked/>
    <w:rsid w:val="003C7592"/>
    <w:rPr>
      <w:rFonts w:ascii="Consolas" w:hAnsi="Consolas" w:cs="Consolas"/>
      <w:sz w:val="21"/>
      <w:szCs w:val="21"/>
    </w:rPr>
  </w:style>
  <w:style w:type="paragraph" w:customStyle="1" w:styleId="Revision1">
    <w:name w:val="Revision1"/>
    <w:hidden/>
    <w:uiPriority w:val="99"/>
    <w:semiHidden/>
    <w:rsid w:val="00134F05"/>
    <w:rPr>
      <w:sz w:val="22"/>
      <w:szCs w:val="22"/>
      <w:lang w:val="en-US" w:eastAsia="en-US"/>
    </w:rPr>
  </w:style>
  <w:style w:type="paragraph" w:styleId="NormalWeb">
    <w:name w:val="Normal (Web)"/>
    <w:basedOn w:val="Normal"/>
    <w:uiPriority w:val="99"/>
    <w:rsid w:val="007075FB"/>
    <w:pPr>
      <w:spacing w:before="167" w:after="167"/>
      <w:ind w:left="753" w:right="586"/>
    </w:pPr>
    <w:rPr>
      <w:rFonts w:cs="Times New Roman"/>
      <w:sz w:val="19"/>
      <w:szCs w:val="19"/>
    </w:rPr>
  </w:style>
  <w:style w:type="paragraph" w:styleId="ListParagraph">
    <w:name w:val="List Paragraph"/>
    <w:basedOn w:val="Normal"/>
    <w:uiPriority w:val="34"/>
    <w:qFormat/>
    <w:rsid w:val="00945480"/>
    <w:pPr>
      <w:ind w:left="720"/>
      <w:contextualSpacing/>
    </w:pPr>
  </w:style>
  <w:style w:type="paragraph" w:styleId="TOCHeading">
    <w:name w:val="TOC Heading"/>
    <w:basedOn w:val="Heading1"/>
    <w:next w:val="Normal"/>
    <w:uiPriority w:val="39"/>
    <w:semiHidden/>
    <w:qFormat/>
    <w:rsid w:val="005D32D5"/>
    <w:pPr>
      <w:spacing w:before="480"/>
      <w:outlineLvl w:val="9"/>
    </w:pPr>
    <w:rPr>
      <w:caps w:val="0"/>
      <w:color w:val="234156" w:themeColor="accent1" w:themeShade="BF"/>
      <w:sz w:val="28"/>
      <w:szCs w:val="28"/>
    </w:rPr>
  </w:style>
  <w:style w:type="paragraph" w:customStyle="1" w:styleId="04BodyText">
    <w:name w:val="04_Body Text"/>
    <w:basedOn w:val="TOC1"/>
    <w:rsid w:val="00F12B9D"/>
    <w:pPr>
      <w:spacing w:after="250"/>
      <w:jc w:val="both"/>
    </w:pPr>
    <w:rPr>
      <w:rFonts w:ascii="Georgia" w:hAnsi="Georgia" w:cs="Times New Roman"/>
      <w:sz w:val="20"/>
      <w:lang w:eastAsia="de-DE"/>
    </w:rPr>
  </w:style>
  <w:style w:type="paragraph" w:customStyle="1" w:styleId="04bList">
    <w:name w:val="04b_List"/>
    <w:basedOn w:val="04BodyText"/>
    <w:rsid w:val="00F12B9D"/>
    <w:pPr>
      <w:numPr>
        <w:numId w:val="2"/>
      </w:numPr>
      <w:ind w:left="567" w:hanging="340"/>
    </w:pPr>
  </w:style>
  <w:style w:type="paragraph" w:customStyle="1" w:styleId="04dBodyTextbold">
    <w:name w:val="04d_Body Text bold"/>
    <w:basedOn w:val="04BodyText"/>
    <w:rsid w:val="00F12B9D"/>
    <w:pPr>
      <w:tabs>
        <w:tab w:val="clear" w:pos="421"/>
        <w:tab w:val="left" w:pos="414"/>
      </w:tabs>
    </w:pPr>
    <w:rPr>
      <w:b w:val="0"/>
    </w:rPr>
  </w:style>
  <w:style w:type="paragraph" w:styleId="Revision">
    <w:name w:val="Revision"/>
    <w:hidden/>
    <w:uiPriority w:val="99"/>
    <w:semiHidden/>
    <w:rsid w:val="007C0C9E"/>
    <w:rPr>
      <w:sz w:val="22"/>
      <w:szCs w:val="22"/>
      <w:lang w:val="en-US" w:eastAsia="en-US"/>
    </w:rPr>
  </w:style>
  <w:style w:type="paragraph" w:styleId="Index1">
    <w:name w:val="index 1"/>
    <w:basedOn w:val="Normal"/>
    <w:next w:val="Normal"/>
    <w:autoRedefine/>
    <w:uiPriority w:val="99"/>
    <w:unhideWhenUsed/>
    <w:locked/>
    <w:rsid w:val="00F93543"/>
    <w:pPr>
      <w:ind w:left="220" w:hanging="220"/>
    </w:pPr>
  </w:style>
  <w:style w:type="paragraph" w:styleId="Index2">
    <w:name w:val="index 2"/>
    <w:basedOn w:val="Normal"/>
    <w:next w:val="Normal"/>
    <w:autoRedefine/>
    <w:uiPriority w:val="99"/>
    <w:unhideWhenUsed/>
    <w:locked/>
    <w:rsid w:val="00F93543"/>
    <w:pPr>
      <w:ind w:left="440" w:hanging="220"/>
    </w:pPr>
  </w:style>
  <w:style w:type="paragraph" w:styleId="Index3">
    <w:name w:val="index 3"/>
    <w:basedOn w:val="Normal"/>
    <w:next w:val="Normal"/>
    <w:autoRedefine/>
    <w:uiPriority w:val="99"/>
    <w:unhideWhenUsed/>
    <w:locked/>
    <w:rsid w:val="00F93543"/>
    <w:pPr>
      <w:ind w:left="660" w:hanging="220"/>
    </w:pPr>
  </w:style>
  <w:style w:type="paragraph" w:styleId="Index4">
    <w:name w:val="index 4"/>
    <w:basedOn w:val="Normal"/>
    <w:next w:val="Normal"/>
    <w:autoRedefine/>
    <w:uiPriority w:val="99"/>
    <w:unhideWhenUsed/>
    <w:locked/>
    <w:rsid w:val="00F93543"/>
    <w:pPr>
      <w:ind w:left="880" w:hanging="220"/>
    </w:pPr>
  </w:style>
  <w:style w:type="paragraph" w:styleId="Index5">
    <w:name w:val="index 5"/>
    <w:basedOn w:val="Normal"/>
    <w:next w:val="Normal"/>
    <w:autoRedefine/>
    <w:uiPriority w:val="99"/>
    <w:unhideWhenUsed/>
    <w:locked/>
    <w:rsid w:val="00F93543"/>
    <w:pPr>
      <w:ind w:left="1100" w:hanging="220"/>
    </w:pPr>
  </w:style>
  <w:style w:type="paragraph" w:styleId="Index6">
    <w:name w:val="index 6"/>
    <w:basedOn w:val="Normal"/>
    <w:next w:val="Normal"/>
    <w:autoRedefine/>
    <w:uiPriority w:val="99"/>
    <w:unhideWhenUsed/>
    <w:locked/>
    <w:rsid w:val="00F93543"/>
    <w:pPr>
      <w:ind w:left="1320" w:hanging="220"/>
    </w:pPr>
  </w:style>
  <w:style w:type="paragraph" w:styleId="Index7">
    <w:name w:val="index 7"/>
    <w:basedOn w:val="Normal"/>
    <w:next w:val="Normal"/>
    <w:autoRedefine/>
    <w:uiPriority w:val="99"/>
    <w:unhideWhenUsed/>
    <w:locked/>
    <w:rsid w:val="00F93543"/>
    <w:pPr>
      <w:ind w:left="1540" w:hanging="220"/>
    </w:pPr>
  </w:style>
  <w:style w:type="paragraph" w:styleId="Index8">
    <w:name w:val="index 8"/>
    <w:basedOn w:val="Normal"/>
    <w:next w:val="Normal"/>
    <w:autoRedefine/>
    <w:uiPriority w:val="99"/>
    <w:unhideWhenUsed/>
    <w:locked/>
    <w:rsid w:val="00F93543"/>
    <w:pPr>
      <w:ind w:left="1760" w:hanging="220"/>
    </w:pPr>
  </w:style>
  <w:style w:type="paragraph" w:styleId="Index9">
    <w:name w:val="index 9"/>
    <w:basedOn w:val="Normal"/>
    <w:next w:val="Normal"/>
    <w:autoRedefine/>
    <w:uiPriority w:val="99"/>
    <w:unhideWhenUsed/>
    <w:locked/>
    <w:rsid w:val="00F93543"/>
    <w:pPr>
      <w:ind w:left="1980" w:hanging="220"/>
    </w:pPr>
  </w:style>
  <w:style w:type="paragraph" w:styleId="IndexHeading">
    <w:name w:val="index heading"/>
    <w:basedOn w:val="Normal"/>
    <w:next w:val="Index1"/>
    <w:uiPriority w:val="99"/>
    <w:unhideWhenUsed/>
    <w:locked/>
    <w:rsid w:val="00F93543"/>
  </w:style>
  <w:style w:type="paragraph" w:customStyle="1" w:styleId="Baseparagraphnumbered">
    <w:name w:val="Base paragraph numbered"/>
    <w:basedOn w:val="Normal"/>
    <w:link w:val="BaseparagraphnumberedChar"/>
    <w:rsid w:val="00DC2612"/>
    <w:pPr>
      <w:numPr>
        <w:numId w:val="3"/>
      </w:numPr>
      <w:spacing w:after="240"/>
      <w:jc w:val="both"/>
    </w:pPr>
    <w:rPr>
      <w:rFonts w:ascii="Times New Roman" w:hAnsi="Times New Roman" w:cs="Times New Roman"/>
      <w:sz w:val="24"/>
    </w:rPr>
  </w:style>
  <w:style w:type="character" w:customStyle="1" w:styleId="BaseparagraphnumberedChar">
    <w:name w:val="Base paragraph numbered Char"/>
    <w:basedOn w:val="DefaultParagraphFont"/>
    <w:link w:val="Baseparagraphnumbered"/>
    <w:rsid w:val="00DC2612"/>
    <w:rPr>
      <w:rFonts w:ascii="Times New Roman" w:hAnsi="Times New Roman" w:cs="Times New Roman"/>
    </w:rPr>
  </w:style>
  <w:style w:type="numbering" w:customStyle="1" w:styleId="NoList1">
    <w:name w:val="No List1"/>
    <w:next w:val="NoList"/>
    <w:uiPriority w:val="99"/>
    <w:semiHidden/>
    <w:unhideWhenUsed/>
    <w:rsid w:val="009C2839"/>
  </w:style>
  <w:style w:type="table" w:customStyle="1" w:styleId="LightList1">
    <w:name w:val="Light List1"/>
    <w:basedOn w:val="TableNormal"/>
    <w:uiPriority w:val="61"/>
    <w:rsid w:val="009C2839"/>
    <w:rPr>
      <w:rFonts w:ascii="Times New Roman" w:hAnsi="Times New Roman" w:cs="Times New Roma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59"/>
    <w:rsid w:val="009C2839"/>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hemeFill="background1" w:themeFillShade="D9"/>
      </w:tcPr>
    </w:tblStylePr>
  </w:style>
  <w:style w:type="table" w:customStyle="1" w:styleId="LightShading1">
    <w:name w:val="Light Shading1"/>
    <w:basedOn w:val="TableNormal"/>
    <w:uiPriority w:val="60"/>
    <w:rsid w:val="009C2839"/>
    <w:rPr>
      <w:rFonts w:ascii="Times New Roman" w:hAnsi="Times New Roman"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IntenseQuote">
    <w:name w:val="Intense Quote"/>
    <w:basedOn w:val="Normal"/>
    <w:next w:val="Normal"/>
    <w:link w:val="IntenseQuoteChar1"/>
    <w:uiPriority w:val="30"/>
    <w:semiHidden/>
    <w:qFormat/>
    <w:rsid w:val="000378E5"/>
    <w:pPr>
      <w:pBdr>
        <w:bottom w:val="single" w:sz="4" w:space="4" w:color="2F5773" w:themeColor="accent1"/>
      </w:pBdr>
      <w:spacing w:before="200" w:after="280"/>
      <w:ind w:left="936" w:right="936"/>
    </w:pPr>
    <w:rPr>
      <w:b/>
      <w:bCs/>
      <w:i/>
      <w:iCs/>
      <w:color w:val="2F5773" w:themeColor="accent1"/>
    </w:rPr>
  </w:style>
  <w:style w:type="character" w:customStyle="1" w:styleId="IntenseQuoteChar1">
    <w:name w:val="Intense Quote Char1"/>
    <w:basedOn w:val="DefaultParagraphFont"/>
    <w:link w:val="IntenseQuote"/>
    <w:uiPriority w:val="30"/>
    <w:semiHidden/>
    <w:rsid w:val="000378E5"/>
    <w:rPr>
      <w:b/>
      <w:bCs/>
      <w:i/>
      <w:iCs/>
      <w:color w:val="2F5773" w:themeColor="accent1"/>
      <w:sz w:val="22"/>
    </w:rPr>
  </w:style>
  <w:style w:type="table" w:customStyle="1" w:styleId="EBAtable">
    <w:name w:val="EBA table"/>
    <w:basedOn w:val="TableNormal"/>
    <w:uiPriority w:val="99"/>
    <w:rsid w:val="003D5718"/>
    <w:rPr>
      <w:lang w:val="en-US"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paragraph" w:customStyle="1" w:styleId="Tabledata">
    <w:name w:val="Table data"/>
    <w:basedOn w:val="body"/>
    <w:qFormat/>
    <w:rsid w:val="00D515AE"/>
    <w:pPr>
      <w:spacing w:before="120" w:line="240" w:lineRule="auto"/>
    </w:pPr>
    <w:rPr>
      <w:rFonts w:cstheme="minorHAnsi"/>
      <w:bCs/>
      <w:color w:val="000000"/>
      <w:sz w:val="20"/>
      <w:szCs w:val="22"/>
    </w:rPr>
  </w:style>
  <w:style w:type="paragraph" w:customStyle="1" w:styleId="Tableheader">
    <w:name w:val="Table header"/>
    <w:next w:val="Tabledata"/>
    <w:qFormat/>
    <w:rsid w:val="00D515AE"/>
    <w:pPr>
      <w:spacing w:after="80"/>
    </w:pPr>
    <w:rPr>
      <w:rFonts w:ascii="Calibri" w:hAnsi="Calibri" w:cs="Times New Roman"/>
      <w:b/>
      <w:color w:val="000000"/>
      <w:sz w:val="22"/>
      <w:szCs w:val="22"/>
    </w:rPr>
  </w:style>
  <w:style w:type="paragraph" w:customStyle="1" w:styleId="Runningtitle">
    <w:name w:val="Running title"/>
    <w:qFormat/>
    <w:rsid w:val="00D515AE"/>
    <w:rPr>
      <w:caps/>
      <w:sz w:val="16"/>
      <w:szCs w:val="18"/>
    </w:rPr>
  </w:style>
  <w:style w:type="paragraph" w:customStyle="1" w:styleId="Numberedtilelevel1">
    <w:name w:val="Numbered tile level 1"/>
    <w:basedOn w:val="Titlelevel1"/>
    <w:qFormat/>
    <w:rsid w:val="00D515AE"/>
    <w:pPr>
      <w:numPr>
        <w:numId w:val="17"/>
      </w:numPr>
    </w:pPr>
  </w:style>
  <w:style w:type="paragraph" w:customStyle="1" w:styleId="Numberedtitlelevel2">
    <w:name w:val="Numbered title level 2"/>
    <w:basedOn w:val="Titlelevel2"/>
    <w:next w:val="body"/>
    <w:qFormat/>
    <w:rsid w:val="00D515AE"/>
    <w:pPr>
      <w:numPr>
        <w:ilvl w:val="1"/>
        <w:numId w:val="17"/>
      </w:numPr>
    </w:pPr>
  </w:style>
  <w:style w:type="paragraph" w:customStyle="1" w:styleId="Titlelevel2">
    <w:name w:val="Title level 2"/>
    <w:qFormat/>
    <w:rsid w:val="00D515AE"/>
    <w:pPr>
      <w:spacing w:before="240" w:after="240"/>
    </w:pPr>
    <w:rPr>
      <w:rFonts w:asciiTheme="majorHAnsi" w:eastAsiaTheme="majorEastAsia" w:hAnsiTheme="majorHAnsi" w:cstheme="majorBidi"/>
      <w:bCs/>
      <w:color w:val="2F5773" w:themeColor="text2"/>
      <w:sz w:val="32"/>
    </w:rPr>
  </w:style>
  <w:style w:type="paragraph" w:customStyle="1" w:styleId="body">
    <w:name w:val="body"/>
    <w:link w:val="bodyChar"/>
    <w:qFormat/>
    <w:rsid w:val="00D515AE"/>
    <w:pPr>
      <w:spacing w:before="240" w:after="120" w:line="276" w:lineRule="auto"/>
      <w:jc w:val="both"/>
    </w:pPr>
    <w:rPr>
      <w:sz w:val="22"/>
    </w:rPr>
  </w:style>
  <w:style w:type="paragraph" w:customStyle="1" w:styleId="List1">
    <w:name w:val="List1"/>
    <w:autoRedefine/>
    <w:qFormat/>
    <w:rsid w:val="00D515AE"/>
    <w:pPr>
      <w:numPr>
        <w:numId w:val="14"/>
      </w:numPr>
    </w:pPr>
    <w:rPr>
      <w:sz w:val="22"/>
      <w:szCs w:val="22"/>
    </w:rPr>
  </w:style>
  <w:style w:type="paragraph" w:customStyle="1" w:styleId="Titlelevel1">
    <w:name w:val="Title level 1"/>
    <w:autoRedefine/>
    <w:qFormat/>
    <w:rsid w:val="00D515AE"/>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7D121B"/>
    <w:pPr>
      <w:keepNext/>
      <w:spacing w:before="240" w:after="240"/>
    </w:pPr>
    <w:rPr>
      <w:b/>
      <w:color w:val="2F5773" w:themeColor="text2"/>
    </w:rPr>
  </w:style>
  <w:style w:type="paragraph" w:customStyle="1" w:styleId="Titlelevel4">
    <w:name w:val="Title level 4"/>
    <w:next w:val="body"/>
    <w:qFormat/>
    <w:rsid w:val="007C4AD7"/>
    <w:pPr>
      <w:keepNext/>
      <w:spacing w:before="240" w:after="240"/>
    </w:pPr>
    <w:rPr>
      <w:color w:val="E98E31" w:themeColor="background2"/>
    </w:rPr>
  </w:style>
  <w:style w:type="paragraph" w:customStyle="1" w:styleId="Figuretitle">
    <w:name w:val="Figure title"/>
    <w:basedOn w:val="body"/>
    <w:next w:val="Normal"/>
    <w:autoRedefine/>
    <w:qFormat/>
    <w:rsid w:val="00D515AE"/>
    <w:pPr>
      <w:keepNext/>
      <w:spacing w:before="360" w:after="360"/>
    </w:pPr>
    <w:rPr>
      <w:rFonts w:eastAsia="Times New Roman" w:cs="Times New Roman"/>
      <w:bCs/>
      <w:noProof/>
      <w:color w:val="2F5773" w:themeColor="text2"/>
      <w:szCs w:val="20"/>
    </w:rPr>
  </w:style>
  <w:style w:type="paragraph" w:customStyle="1" w:styleId="bullet1">
    <w:name w:val="bullet 1"/>
    <w:basedOn w:val="body"/>
    <w:next w:val="body"/>
    <w:qFormat/>
    <w:rsid w:val="00D515AE"/>
    <w:pPr>
      <w:numPr>
        <w:numId w:val="15"/>
      </w:numPr>
    </w:pPr>
    <w:rPr>
      <w:szCs w:val="22"/>
    </w:rPr>
  </w:style>
  <w:style w:type="paragraph" w:customStyle="1" w:styleId="bullet2">
    <w:name w:val="bullet 2"/>
    <w:basedOn w:val="body"/>
    <w:qFormat/>
    <w:rsid w:val="00D515AE"/>
    <w:pPr>
      <w:numPr>
        <w:numId w:val="16"/>
      </w:numPr>
    </w:pPr>
    <w:rPr>
      <w:szCs w:val="22"/>
    </w:rPr>
  </w:style>
  <w:style w:type="paragraph" w:customStyle="1" w:styleId="Numberedtitlelevel3">
    <w:name w:val="Numbered title level 3"/>
    <w:basedOn w:val="Titlelevel3"/>
    <w:next w:val="body"/>
    <w:qFormat/>
    <w:rsid w:val="00D515AE"/>
    <w:pPr>
      <w:numPr>
        <w:ilvl w:val="2"/>
        <w:numId w:val="17"/>
      </w:numPr>
    </w:pPr>
  </w:style>
  <w:style w:type="paragraph" w:customStyle="1" w:styleId="Contenttitle">
    <w:name w:val="Content title"/>
    <w:basedOn w:val="Titlelevel1"/>
    <w:qFormat/>
    <w:rsid w:val="00D515AE"/>
  </w:style>
  <w:style w:type="paragraph" w:customStyle="1" w:styleId="Numberedtitlelevel4">
    <w:name w:val="Numbered title level 4"/>
    <w:basedOn w:val="Titlelevel4"/>
    <w:qFormat/>
    <w:rsid w:val="00D515AE"/>
    <w:pPr>
      <w:numPr>
        <w:numId w:val="18"/>
      </w:numPr>
    </w:pPr>
  </w:style>
  <w:style w:type="character" w:customStyle="1" w:styleId="Highlighttext">
    <w:name w:val="Highlight text"/>
    <w:basedOn w:val="DefaultParagraphFont"/>
    <w:uiPriority w:val="1"/>
    <w:semiHidden/>
    <w:qFormat/>
    <w:rsid w:val="00D515AE"/>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D515AE"/>
    <w:rPr>
      <w:rFonts w:eastAsia="Times New Roman"/>
      <w:bCs/>
    </w:rPr>
  </w:style>
  <w:style w:type="paragraph" w:customStyle="1" w:styleId="numberedparagraph">
    <w:name w:val="numbered paragraph"/>
    <w:basedOn w:val="body"/>
    <w:qFormat/>
    <w:rsid w:val="00D515AE"/>
    <w:pPr>
      <w:numPr>
        <w:numId w:val="19"/>
      </w:numPr>
    </w:pPr>
  </w:style>
  <w:style w:type="paragraph" w:styleId="TableofFigures">
    <w:name w:val="table of figures"/>
    <w:basedOn w:val="Normal"/>
    <w:next w:val="Normal"/>
    <w:autoRedefine/>
    <w:uiPriority w:val="99"/>
    <w:qFormat/>
    <w:locked/>
    <w:rsid w:val="00D515AE"/>
    <w:pPr>
      <w:spacing w:before="160"/>
    </w:pPr>
  </w:style>
  <w:style w:type="paragraph" w:styleId="List">
    <w:name w:val="List"/>
    <w:autoRedefine/>
    <w:uiPriority w:val="99"/>
    <w:semiHidden/>
    <w:qFormat/>
    <w:locked/>
    <w:rsid w:val="00D515AE"/>
    <w:pPr>
      <w:numPr>
        <w:numId w:val="12"/>
      </w:numPr>
      <w:spacing w:before="240" w:after="120"/>
      <w:contextualSpacing/>
    </w:pPr>
    <w:rPr>
      <w:sz w:val="22"/>
    </w:rPr>
  </w:style>
  <w:style w:type="paragraph" w:styleId="ListBullet">
    <w:name w:val="List Bullet"/>
    <w:basedOn w:val="Normal"/>
    <w:semiHidden/>
    <w:qFormat/>
    <w:locked/>
    <w:rsid w:val="00D515AE"/>
    <w:pPr>
      <w:numPr>
        <w:numId w:val="13"/>
      </w:numPr>
      <w:contextualSpacing/>
    </w:pPr>
  </w:style>
  <w:style w:type="character" w:styleId="BookTitle">
    <w:name w:val="Book Title"/>
    <w:basedOn w:val="DefaultParagraphFont"/>
    <w:uiPriority w:val="33"/>
    <w:qFormat/>
    <w:rsid w:val="00D515AE"/>
    <w:rPr>
      <w:b/>
      <w:bCs/>
      <w:smallCaps/>
      <w:spacing w:val="5"/>
    </w:rPr>
  </w:style>
  <w:style w:type="paragraph" w:customStyle="1" w:styleId="SQL">
    <w:name w:val="SQL"/>
    <w:basedOn w:val="Normal"/>
    <w:link w:val="SQLChar"/>
    <w:qFormat/>
    <w:rsid w:val="000669A1"/>
    <w:pPr>
      <w:ind w:left="720"/>
    </w:pPr>
    <w:rPr>
      <w:rFonts w:ascii="Consolas" w:hAnsi="Consolas" w:cs="Consolas"/>
      <w:sz w:val="18"/>
      <w:szCs w:val="16"/>
    </w:rPr>
  </w:style>
  <w:style w:type="character" w:customStyle="1" w:styleId="SQLChar">
    <w:name w:val="SQL Char"/>
    <w:basedOn w:val="DefaultParagraphFont"/>
    <w:link w:val="SQL"/>
    <w:rsid w:val="000669A1"/>
    <w:rPr>
      <w:rFonts w:ascii="Consolas" w:hAnsi="Consolas" w:cs="Consolas"/>
      <w:sz w:val="18"/>
      <w:szCs w:val="16"/>
    </w:rPr>
  </w:style>
  <w:style w:type="paragraph" w:customStyle="1" w:styleId="Code">
    <w:name w:val="Code"/>
    <w:basedOn w:val="body"/>
    <w:link w:val="CodeChar"/>
    <w:qFormat/>
    <w:rsid w:val="000669A1"/>
    <w:pPr>
      <w:spacing w:before="0" w:after="0"/>
      <w:contextualSpacing/>
      <w:jc w:val="left"/>
    </w:pPr>
    <w:rPr>
      <w:rFonts w:ascii="Courier New" w:hAnsi="Courier New" w:cs="Courier New"/>
      <w:i/>
    </w:rPr>
  </w:style>
  <w:style w:type="character" w:customStyle="1" w:styleId="bodyChar">
    <w:name w:val="body Char"/>
    <w:basedOn w:val="DefaultParagraphFont"/>
    <w:link w:val="body"/>
    <w:rsid w:val="000669A1"/>
    <w:rPr>
      <w:sz w:val="22"/>
    </w:rPr>
  </w:style>
  <w:style w:type="character" w:customStyle="1" w:styleId="CodeChar">
    <w:name w:val="Code Char"/>
    <w:basedOn w:val="bodyChar"/>
    <w:link w:val="Code"/>
    <w:rsid w:val="000669A1"/>
    <w:rPr>
      <w:rFonts w:ascii="Courier New" w:hAnsi="Courier New" w:cs="Courier New"/>
      <w: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5226">
      <w:bodyDiv w:val="1"/>
      <w:marLeft w:val="0"/>
      <w:marRight w:val="0"/>
      <w:marTop w:val="0"/>
      <w:marBottom w:val="0"/>
      <w:divBdr>
        <w:top w:val="none" w:sz="0" w:space="0" w:color="auto"/>
        <w:left w:val="none" w:sz="0" w:space="0" w:color="auto"/>
        <w:bottom w:val="none" w:sz="0" w:space="0" w:color="auto"/>
        <w:right w:val="none" w:sz="0" w:space="0" w:color="auto"/>
      </w:divBdr>
    </w:div>
    <w:div w:id="42560055">
      <w:bodyDiv w:val="1"/>
      <w:marLeft w:val="0"/>
      <w:marRight w:val="0"/>
      <w:marTop w:val="0"/>
      <w:marBottom w:val="0"/>
      <w:divBdr>
        <w:top w:val="none" w:sz="0" w:space="0" w:color="auto"/>
        <w:left w:val="none" w:sz="0" w:space="0" w:color="auto"/>
        <w:bottom w:val="none" w:sz="0" w:space="0" w:color="auto"/>
        <w:right w:val="none" w:sz="0" w:space="0" w:color="auto"/>
      </w:divBdr>
    </w:div>
    <w:div w:id="45182381">
      <w:bodyDiv w:val="1"/>
      <w:marLeft w:val="0"/>
      <w:marRight w:val="0"/>
      <w:marTop w:val="0"/>
      <w:marBottom w:val="0"/>
      <w:divBdr>
        <w:top w:val="none" w:sz="0" w:space="0" w:color="auto"/>
        <w:left w:val="none" w:sz="0" w:space="0" w:color="auto"/>
        <w:bottom w:val="none" w:sz="0" w:space="0" w:color="auto"/>
        <w:right w:val="none" w:sz="0" w:space="0" w:color="auto"/>
      </w:divBdr>
    </w:div>
    <w:div w:id="133642743">
      <w:bodyDiv w:val="1"/>
      <w:marLeft w:val="0"/>
      <w:marRight w:val="0"/>
      <w:marTop w:val="0"/>
      <w:marBottom w:val="0"/>
      <w:divBdr>
        <w:top w:val="none" w:sz="0" w:space="0" w:color="auto"/>
        <w:left w:val="none" w:sz="0" w:space="0" w:color="auto"/>
        <w:bottom w:val="none" w:sz="0" w:space="0" w:color="auto"/>
        <w:right w:val="none" w:sz="0" w:space="0" w:color="auto"/>
      </w:divBdr>
    </w:div>
    <w:div w:id="202522353">
      <w:bodyDiv w:val="1"/>
      <w:marLeft w:val="0"/>
      <w:marRight w:val="0"/>
      <w:marTop w:val="0"/>
      <w:marBottom w:val="0"/>
      <w:divBdr>
        <w:top w:val="none" w:sz="0" w:space="0" w:color="auto"/>
        <w:left w:val="none" w:sz="0" w:space="0" w:color="auto"/>
        <w:bottom w:val="none" w:sz="0" w:space="0" w:color="auto"/>
        <w:right w:val="none" w:sz="0" w:space="0" w:color="auto"/>
      </w:divBdr>
    </w:div>
    <w:div w:id="281767511">
      <w:bodyDiv w:val="1"/>
      <w:marLeft w:val="0"/>
      <w:marRight w:val="0"/>
      <w:marTop w:val="0"/>
      <w:marBottom w:val="0"/>
      <w:divBdr>
        <w:top w:val="none" w:sz="0" w:space="0" w:color="auto"/>
        <w:left w:val="none" w:sz="0" w:space="0" w:color="auto"/>
        <w:bottom w:val="none" w:sz="0" w:space="0" w:color="auto"/>
        <w:right w:val="none" w:sz="0" w:space="0" w:color="auto"/>
      </w:divBdr>
    </w:div>
    <w:div w:id="329524697">
      <w:marLeft w:val="0"/>
      <w:marRight w:val="0"/>
      <w:marTop w:val="0"/>
      <w:marBottom w:val="0"/>
      <w:divBdr>
        <w:top w:val="none" w:sz="0" w:space="0" w:color="auto"/>
        <w:left w:val="none" w:sz="0" w:space="0" w:color="auto"/>
        <w:bottom w:val="none" w:sz="0" w:space="0" w:color="auto"/>
        <w:right w:val="none" w:sz="0" w:space="0" w:color="auto"/>
      </w:divBdr>
    </w:div>
    <w:div w:id="329524698">
      <w:marLeft w:val="0"/>
      <w:marRight w:val="0"/>
      <w:marTop w:val="0"/>
      <w:marBottom w:val="0"/>
      <w:divBdr>
        <w:top w:val="none" w:sz="0" w:space="0" w:color="auto"/>
        <w:left w:val="none" w:sz="0" w:space="0" w:color="auto"/>
        <w:bottom w:val="none" w:sz="0" w:space="0" w:color="auto"/>
        <w:right w:val="none" w:sz="0" w:space="0" w:color="auto"/>
      </w:divBdr>
    </w:div>
    <w:div w:id="329524699">
      <w:marLeft w:val="0"/>
      <w:marRight w:val="0"/>
      <w:marTop w:val="0"/>
      <w:marBottom w:val="0"/>
      <w:divBdr>
        <w:top w:val="none" w:sz="0" w:space="0" w:color="auto"/>
        <w:left w:val="none" w:sz="0" w:space="0" w:color="auto"/>
        <w:bottom w:val="none" w:sz="0" w:space="0" w:color="auto"/>
        <w:right w:val="none" w:sz="0" w:space="0" w:color="auto"/>
      </w:divBdr>
    </w:div>
    <w:div w:id="329524700">
      <w:marLeft w:val="0"/>
      <w:marRight w:val="0"/>
      <w:marTop w:val="0"/>
      <w:marBottom w:val="0"/>
      <w:divBdr>
        <w:top w:val="none" w:sz="0" w:space="0" w:color="auto"/>
        <w:left w:val="none" w:sz="0" w:space="0" w:color="auto"/>
        <w:bottom w:val="none" w:sz="0" w:space="0" w:color="auto"/>
        <w:right w:val="none" w:sz="0" w:space="0" w:color="auto"/>
      </w:divBdr>
      <w:divsChild>
        <w:div w:id="329524701">
          <w:marLeft w:val="3"/>
          <w:marRight w:val="3"/>
          <w:marTop w:val="0"/>
          <w:marBottom w:val="0"/>
          <w:divBdr>
            <w:top w:val="single" w:sz="6" w:space="0" w:color="112449"/>
            <w:left w:val="single" w:sz="6" w:space="0" w:color="112449"/>
            <w:bottom w:val="single" w:sz="6" w:space="0" w:color="112449"/>
            <w:right w:val="single" w:sz="6" w:space="0" w:color="112449"/>
          </w:divBdr>
        </w:div>
      </w:divsChild>
    </w:div>
    <w:div w:id="341321958">
      <w:bodyDiv w:val="1"/>
      <w:marLeft w:val="0"/>
      <w:marRight w:val="0"/>
      <w:marTop w:val="0"/>
      <w:marBottom w:val="0"/>
      <w:divBdr>
        <w:top w:val="none" w:sz="0" w:space="0" w:color="auto"/>
        <w:left w:val="none" w:sz="0" w:space="0" w:color="auto"/>
        <w:bottom w:val="none" w:sz="0" w:space="0" w:color="auto"/>
        <w:right w:val="none" w:sz="0" w:space="0" w:color="auto"/>
      </w:divBdr>
    </w:div>
    <w:div w:id="353114242">
      <w:bodyDiv w:val="1"/>
      <w:marLeft w:val="0"/>
      <w:marRight w:val="0"/>
      <w:marTop w:val="0"/>
      <w:marBottom w:val="0"/>
      <w:divBdr>
        <w:top w:val="none" w:sz="0" w:space="0" w:color="auto"/>
        <w:left w:val="none" w:sz="0" w:space="0" w:color="auto"/>
        <w:bottom w:val="none" w:sz="0" w:space="0" w:color="auto"/>
        <w:right w:val="none" w:sz="0" w:space="0" w:color="auto"/>
      </w:divBdr>
    </w:div>
    <w:div w:id="368840887">
      <w:bodyDiv w:val="1"/>
      <w:marLeft w:val="0"/>
      <w:marRight w:val="0"/>
      <w:marTop w:val="0"/>
      <w:marBottom w:val="0"/>
      <w:divBdr>
        <w:top w:val="none" w:sz="0" w:space="0" w:color="auto"/>
        <w:left w:val="none" w:sz="0" w:space="0" w:color="auto"/>
        <w:bottom w:val="none" w:sz="0" w:space="0" w:color="auto"/>
        <w:right w:val="none" w:sz="0" w:space="0" w:color="auto"/>
      </w:divBdr>
    </w:div>
    <w:div w:id="385492235">
      <w:bodyDiv w:val="1"/>
      <w:marLeft w:val="0"/>
      <w:marRight w:val="0"/>
      <w:marTop w:val="0"/>
      <w:marBottom w:val="0"/>
      <w:divBdr>
        <w:top w:val="none" w:sz="0" w:space="0" w:color="auto"/>
        <w:left w:val="none" w:sz="0" w:space="0" w:color="auto"/>
        <w:bottom w:val="none" w:sz="0" w:space="0" w:color="auto"/>
        <w:right w:val="none" w:sz="0" w:space="0" w:color="auto"/>
      </w:divBdr>
      <w:divsChild>
        <w:div w:id="978534335">
          <w:marLeft w:val="0"/>
          <w:marRight w:val="0"/>
          <w:marTop w:val="0"/>
          <w:marBottom w:val="0"/>
          <w:divBdr>
            <w:top w:val="none" w:sz="0" w:space="0" w:color="auto"/>
            <w:left w:val="none" w:sz="0" w:space="0" w:color="auto"/>
            <w:bottom w:val="none" w:sz="0" w:space="0" w:color="auto"/>
            <w:right w:val="none" w:sz="0" w:space="0" w:color="auto"/>
          </w:divBdr>
          <w:divsChild>
            <w:div w:id="839736094">
              <w:marLeft w:val="0"/>
              <w:marRight w:val="0"/>
              <w:marTop w:val="0"/>
              <w:marBottom w:val="0"/>
              <w:divBdr>
                <w:top w:val="none" w:sz="0" w:space="0" w:color="auto"/>
                <w:left w:val="none" w:sz="0" w:space="0" w:color="auto"/>
                <w:bottom w:val="none" w:sz="0" w:space="0" w:color="auto"/>
                <w:right w:val="none" w:sz="0" w:space="0" w:color="auto"/>
              </w:divBdr>
              <w:divsChild>
                <w:div w:id="1029641419">
                  <w:marLeft w:val="3273"/>
                  <w:marRight w:val="0"/>
                  <w:marTop w:val="0"/>
                  <w:marBottom w:val="0"/>
                  <w:divBdr>
                    <w:top w:val="none" w:sz="0" w:space="0" w:color="auto"/>
                    <w:left w:val="none" w:sz="0" w:space="0" w:color="auto"/>
                    <w:bottom w:val="none" w:sz="0" w:space="0" w:color="auto"/>
                    <w:right w:val="none" w:sz="0" w:space="0" w:color="auto"/>
                  </w:divBdr>
                  <w:divsChild>
                    <w:div w:id="1888177379">
                      <w:marLeft w:val="0"/>
                      <w:marRight w:val="0"/>
                      <w:marTop w:val="0"/>
                      <w:marBottom w:val="0"/>
                      <w:divBdr>
                        <w:top w:val="none" w:sz="0" w:space="0" w:color="auto"/>
                        <w:left w:val="none" w:sz="0" w:space="0" w:color="auto"/>
                        <w:bottom w:val="none" w:sz="0" w:space="0" w:color="auto"/>
                        <w:right w:val="none" w:sz="0" w:space="0" w:color="auto"/>
                      </w:divBdr>
                      <w:divsChild>
                        <w:div w:id="1885675141">
                          <w:marLeft w:val="0"/>
                          <w:marRight w:val="0"/>
                          <w:marTop w:val="0"/>
                          <w:marBottom w:val="0"/>
                          <w:divBdr>
                            <w:top w:val="none" w:sz="0" w:space="0" w:color="auto"/>
                            <w:left w:val="none" w:sz="0" w:space="0" w:color="auto"/>
                            <w:bottom w:val="none" w:sz="0" w:space="0" w:color="auto"/>
                            <w:right w:val="none" w:sz="0" w:space="0" w:color="auto"/>
                          </w:divBdr>
                          <w:divsChild>
                            <w:div w:id="38576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3712966">
      <w:bodyDiv w:val="1"/>
      <w:marLeft w:val="0"/>
      <w:marRight w:val="0"/>
      <w:marTop w:val="0"/>
      <w:marBottom w:val="0"/>
      <w:divBdr>
        <w:top w:val="none" w:sz="0" w:space="0" w:color="auto"/>
        <w:left w:val="none" w:sz="0" w:space="0" w:color="auto"/>
        <w:bottom w:val="none" w:sz="0" w:space="0" w:color="auto"/>
        <w:right w:val="none" w:sz="0" w:space="0" w:color="auto"/>
      </w:divBdr>
      <w:divsChild>
        <w:div w:id="350618074">
          <w:marLeft w:val="0"/>
          <w:marRight w:val="0"/>
          <w:marTop w:val="0"/>
          <w:marBottom w:val="0"/>
          <w:divBdr>
            <w:top w:val="none" w:sz="0" w:space="0" w:color="auto"/>
            <w:left w:val="none" w:sz="0" w:space="0" w:color="auto"/>
            <w:bottom w:val="none" w:sz="0" w:space="0" w:color="auto"/>
            <w:right w:val="none" w:sz="0" w:space="0" w:color="auto"/>
          </w:divBdr>
          <w:divsChild>
            <w:div w:id="2016882451">
              <w:marLeft w:val="0"/>
              <w:marRight w:val="0"/>
              <w:marTop w:val="0"/>
              <w:marBottom w:val="0"/>
              <w:divBdr>
                <w:top w:val="none" w:sz="0" w:space="0" w:color="auto"/>
                <w:left w:val="none" w:sz="0" w:space="0" w:color="auto"/>
                <w:bottom w:val="none" w:sz="0" w:space="0" w:color="auto"/>
                <w:right w:val="none" w:sz="0" w:space="0" w:color="auto"/>
              </w:divBdr>
              <w:divsChild>
                <w:div w:id="1877347285">
                  <w:marLeft w:val="5400"/>
                  <w:marRight w:val="0"/>
                  <w:marTop w:val="0"/>
                  <w:marBottom w:val="0"/>
                  <w:divBdr>
                    <w:top w:val="none" w:sz="0" w:space="0" w:color="auto"/>
                    <w:left w:val="none" w:sz="0" w:space="0" w:color="auto"/>
                    <w:bottom w:val="none" w:sz="0" w:space="0" w:color="auto"/>
                    <w:right w:val="none" w:sz="0" w:space="0" w:color="auto"/>
                  </w:divBdr>
                  <w:divsChild>
                    <w:div w:id="266498749">
                      <w:marLeft w:val="0"/>
                      <w:marRight w:val="0"/>
                      <w:marTop w:val="0"/>
                      <w:marBottom w:val="0"/>
                      <w:divBdr>
                        <w:top w:val="none" w:sz="0" w:space="0" w:color="auto"/>
                        <w:left w:val="none" w:sz="0" w:space="0" w:color="auto"/>
                        <w:bottom w:val="none" w:sz="0" w:space="0" w:color="auto"/>
                        <w:right w:val="none" w:sz="0" w:space="0" w:color="auto"/>
                      </w:divBdr>
                      <w:divsChild>
                        <w:div w:id="1887137914">
                          <w:marLeft w:val="0"/>
                          <w:marRight w:val="0"/>
                          <w:marTop w:val="0"/>
                          <w:marBottom w:val="0"/>
                          <w:divBdr>
                            <w:top w:val="none" w:sz="0" w:space="0" w:color="auto"/>
                            <w:left w:val="none" w:sz="0" w:space="0" w:color="auto"/>
                            <w:bottom w:val="none" w:sz="0" w:space="0" w:color="auto"/>
                            <w:right w:val="none" w:sz="0" w:space="0" w:color="auto"/>
                          </w:divBdr>
                          <w:divsChild>
                            <w:div w:id="100300948">
                              <w:marLeft w:val="0"/>
                              <w:marRight w:val="0"/>
                              <w:marTop w:val="0"/>
                              <w:marBottom w:val="0"/>
                              <w:divBdr>
                                <w:top w:val="none" w:sz="0" w:space="0" w:color="auto"/>
                                <w:left w:val="none" w:sz="0" w:space="0" w:color="auto"/>
                                <w:bottom w:val="none" w:sz="0" w:space="0" w:color="auto"/>
                                <w:right w:val="none" w:sz="0" w:space="0" w:color="auto"/>
                              </w:divBdr>
                              <w:divsChild>
                                <w:div w:id="1694453138">
                                  <w:marLeft w:val="0"/>
                                  <w:marRight w:val="0"/>
                                  <w:marTop w:val="0"/>
                                  <w:marBottom w:val="0"/>
                                  <w:divBdr>
                                    <w:top w:val="none" w:sz="0" w:space="0" w:color="auto"/>
                                    <w:left w:val="none" w:sz="0" w:space="0" w:color="auto"/>
                                    <w:bottom w:val="none" w:sz="0" w:space="0" w:color="auto"/>
                                    <w:right w:val="none" w:sz="0" w:space="0" w:color="auto"/>
                                  </w:divBdr>
                                  <w:divsChild>
                                    <w:div w:id="185337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4128093">
      <w:bodyDiv w:val="1"/>
      <w:marLeft w:val="0"/>
      <w:marRight w:val="0"/>
      <w:marTop w:val="0"/>
      <w:marBottom w:val="0"/>
      <w:divBdr>
        <w:top w:val="none" w:sz="0" w:space="0" w:color="auto"/>
        <w:left w:val="none" w:sz="0" w:space="0" w:color="auto"/>
        <w:bottom w:val="none" w:sz="0" w:space="0" w:color="auto"/>
        <w:right w:val="none" w:sz="0" w:space="0" w:color="auto"/>
      </w:divBdr>
    </w:div>
    <w:div w:id="579142177">
      <w:bodyDiv w:val="1"/>
      <w:marLeft w:val="0"/>
      <w:marRight w:val="0"/>
      <w:marTop w:val="0"/>
      <w:marBottom w:val="0"/>
      <w:divBdr>
        <w:top w:val="none" w:sz="0" w:space="0" w:color="auto"/>
        <w:left w:val="none" w:sz="0" w:space="0" w:color="auto"/>
        <w:bottom w:val="none" w:sz="0" w:space="0" w:color="auto"/>
        <w:right w:val="none" w:sz="0" w:space="0" w:color="auto"/>
      </w:divBdr>
    </w:div>
    <w:div w:id="611128155">
      <w:bodyDiv w:val="1"/>
      <w:marLeft w:val="0"/>
      <w:marRight w:val="0"/>
      <w:marTop w:val="0"/>
      <w:marBottom w:val="0"/>
      <w:divBdr>
        <w:top w:val="none" w:sz="0" w:space="0" w:color="auto"/>
        <w:left w:val="none" w:sz="0" w:space="0" w:color="auto"/>
        <w:bottom w:val="none" w:sz="0" w:space="0" w:color="auto"/>
        <w:right w:val="none" w:sz="0" w:space="0" w:color="auto"/>
      </w:divBdr>
    </w:div>
    <w:div w:id="650255584">
      <w:bodyDiv w:val="1"/>
      <w:marLeft w:val="0"/>
      <w:marRight w:val="0"/>
      <w:marTop w:val="0"/>
      <w:marBottom w:val="0"/>
      <w:divBdr>
        <w:top w:val="none" w:sz="0" w:space="0" w:color="auto"/>
        <w:left w:val="none" w:sz="0" w:space="0" w:color="auto"/>
        <w:bottom w:val="none" w:sz="0" w:space="0" w:color="auto"/>
        <w:right w:val="none" w:sz="0" w:space="0" w:color="auto"/>
      </w:divBdr>
    </w:div>
    <w:div w:id="686446948">
      <w:bodyDiv w:val="1"/>
      <w:marLeft w:val="0"/>
      <w:marRight w:val="0"/>
      <w:marTop w:val="0"/>
      <w:marBottom w:val="0"/>
      <w:divBdr>
        <w:top w:val="none" w:sz="0" w:space="0" w:color="auto"/>
        <w:left w:val="none" w:sz="0" w:space="0" w:color="auto"/>
        <w:bottom w:val="none" w:sz="0" w:space="0" w:color="auto"/>
        <w:right w:val="none" w:sz="0" w:space="0" w:color="auto"/>
      </w:divBdr>
    </w:div>
    <w:div w:id="707680050">
      <w:bodyDiv w:val="1"/>
      <w:marLeft w:val="0"/>
      <w:marRight w:val="0"/>
      <w:marTop w:val="0"/>
      <w:marBottom w:val="0"/>
      <w:divBdr>
        <w:top w:val="none" w:sz="0" w:space="0" w:color="auto"/>
        <w:left w:val="none" w:sz="0" w:space="0" w:color="auto"/>
        <w:bottom w:val="none" w:sz="0" w:space="0" w:color="auto"/>
        <w:right w:val="none" w:sz="0" w:space="0" w:color="auto"/>
      </w:divBdr>
    </w:div>
    <w:div w:id="794450366">
      <w:bodyDiv w:val="1"/>
      <w:marLeft w:val="0"/>
      <w:marRight w:val="0"/>
      <w:marTop w:val="0"/>
      <w:marBottom w:val="0"/>
      <w:divBdr>
        <w:top w:val="none" w:sz="0" w:space="0" w:color="auto"/>
        <w:left w:val="none" w:sz="0" w:space="0" w:color="auto"/>
        <w:bottom w:val="none" w:sz="0" w:space="0" w:color="auto"/>
        <w:right w:val="none" w:sz="0" w:space="0" w:color="auto"/>
      </w:divBdr>
    </w:div>
    <w:div w:id="830219764">
      <w:bodyDiv w:val="1"/>
      <w:marLeft w:val="0"/>
      <w:marRight w:val="0"/>
      <w:marTop w:val="0"/>
      <w:marBottom w:val="0"/>
      <w:divBdr>
        <w:top w:val="none" w:sz="0" w:space="0" w:color="auto"/>
        <w:left w:val="none" w:sz="0" w:space="0" w:color="auto"/>
        <w:bottom w:val="none" w:sz="0" w:space="0" w:color="auto"/>
        <w:right w:val="none" w:sz="0" w:space="0" w:color="auto"/>
      </w:divBdr>
    </w:div>
    <w:div w:id="851182970">
      <w:bodyDiv w:val="1"/>
      <w:marLeft w:val="0"/>
      <w:marRight w:val="0"/>
      <w:marTop w:val="0"/>
      <w:marBottom w:val="0"/>
      <w:divBdr>
        <w:top w:val="none" w:sz="0" w:space="0" w:color="auto"/>
        <w:left w:val="none" w:sz="0" w:space="0" w:color="auto"/>
        <w:bottom w:val="none" w:sz="0" w:space="0" w:color="auto"/>
        <w:right w:val="none" w:sz="0" w:space="0" w:color="auto"/>
      </w:divBdr>
    </w:div>
    <w:div w:id="939491023">
      <w:bodyDiv w:val="1"/>
      <w:marLeft w:val="0"/>
      <w:marRight w:val="0"/>
      <w:marTop w:val="0"/>
      <w:marBottom w:val="0"/>
      <w:divBdr>
        <w:top w:val="none" w:sz="0" w:space="0" w:color="auto"/>
        <w:left w:val="none" w:sz="0" w:space="0" w:color="auto"/>
        <w:bottom w:val="none" w:sz="0" w:space="0" w:color="auto"/>
        <w:right w:val="none" w:sz="0" w:space="0" w:color="auto"/>
      </w:divBdr>
    </w:div>
    <w:div w:id="957954414">
      <w:bodyDiv w:val="1"/>
      <w:marLeft w:val="0"/>
      <w:marRight w:val="0"/>
      <w:marTop w:val="0"/>
      <w:marBottom w:val="0"/>
      <w:divBdr>
        <w:top w:val="none" w:sz="0" w:space="0" w:color="auto"/>
        <w:left w:val="none" w:sz="0" w:space="0" w:color="auto"/>
        <w:bottom w:val="none" w:sz="0" w:space="0" w:color="auto"/>
        <w:right w:val="none" w:sz="0" w:space="0" w:color="auto"/>
      </w:divBdr>
    </w:div>
    <w:div w:id="1070813140">
      <w:bodyDiv w:val="1"/>
      <w:marLeft w:val="0"/>
      <w:marRight w:val="0"/>
      <w:marTop w:val="0"/>
      <w:marBottom w:val="0"/>
      <w:divBdr>
        <w:top w:val="none" w:sz="0" w:space="0" w:color="auto"/>
        <w:left w:val="none" w:sz="0" w:space="0" w:color="auto"/>
        <w:bottom w:val="none" w:sz="0" w:space="0" w:color="auto"/>
        <w:right w:val="none" w:sz="0" w:space="0" w:color="auto"/>
      </w:divBdr>
    </w:div>
    <w:div w:id="1086730389">
      <w:bodyDiv w:val="1"/>
      <w:marLeft w:val="0"/>
      <w:marRight w:val="0"/>
      <w:marTop w:val="0"/>
      <w:marBottom w:val="0"/>
      <w:divBdr>
        <w:top w:val="none" w:sz="0" w:space="0" w:color="auto"/>
        <w:left w:val="none" w:sz="0" w:space="0" w:color="auto"/>
        <w:bottom w:val="none" w:sz="0" w:space="0" w:color="auto"/>
        <w:right w:val="none" w:sz="0" w:space="0" w:color="auto"/>
      </w:divBdr>
    </w:div>
    <w:div w:id="1127509594">
      <w:bodyDiv w:val="1"/>
      <w:marLeft w:val="0"/>
      <w:marRight w:val="0"/>
      <w:marTop w:val="0"/>
      <w:marBottom w:val="0"/>
      <w:divBdr>
        <w:top w:val="none" w:sz="0" w:space="0" w:color="auto"/>
        <w:left w:val="none" w:sz="0" w:space="0" w:color="auto"/>
        <w:bottom w:val="none" w:sz="0" w:space="0" w:color="auto"/>
        <w:right w:val="none" w:sz="0" w:space="0" w:color="auto"/>
      </w:divBdr>
    </w:div>
    <w:div w:id="1142040655">
      <w:bodyDiv w:val="1"/>
      <w:marLeft w:val="0"/>
      <w:marRight w:val="0"/>
      <w:marTop w:val="0"/>
      <w:marBottom w:val="0"/>
      <w:divBdr>
        <w:top w:val="none" w:sz="0" w:space="0" w:color="auto"/>
        <w:left w:val="none" w:sz="0" w:space="0" w:color="auto"/>
        <w:bottom w:val="none" w:sz="0" w:space="0" w:color="auto"/>
        <w:right w:val="none" w:sz="0" w:space="0" w:color="auto"/>
      </w:divBdr>
      <w:divsChild>
        <w:div w:id="992950708">
          <w:marLeft w:val="0"/>
          <w:marRight w:val="0"/>
          <w:marTop w:val="0"/>
          <w:marBottom w:val="0"/>
          <w:divBdr>
            <w:top w:val="none" w:sz="0" w:space="0" w:color="auto"/>
            <w:left w:val="none" w:sz="0" w:space="0" w:color="auto"/>
            <w:bottom w:val="none" w:sz="0" w:space="0" w:color="auto"/>
            <w:right w:val="none" w:sz="0" w:space="0" w:color="auto"/>
          </w:divBdr>
          <w:divsChild>
            <w:div w:id="1013067167">
              <w:marLeft w:val="0"/>
              <w:marRight w:val="0"/>
              <w:marTop w:val="0"/>
              <w:marBottom w:val="0"/>
              <w:divBdr>
                <w:top w:val="none" w:sz="0" w:space="0" w:color="auto"/>
                <w:left w:val="none" w:sz="0" w:space="0" w:color="auto"/>
                <w:bottom w:val="none" w:sz="0" w:space="0" w:color="auto"/>
                <w:right w:val="none" w:sz="0" w:space="0" w:color="auto"/>
              </w:divBdr>
              <w:divsChild>
                <w:div w:id="912351150">
                  <w:marLeft w:val="5400"/>
                  <w:marRight w:val="0"/>
                  <w:marTop w:val="0"/>
                  <w:marBottom w:val="0"/>
                  <w:divBdr>
                    <w:top w:val="none" w:sz="0" w:space="0" w:color="auto"/>
                    <w:left w:val="none" w:sz="0" w:space="0" w:color="auto"/>
                    <w:bottom w:val="none" w:sz="0" w:space="0" w:color="auto"/>
                    <w:right w:val="none" w:sz="0" w:space="0" w:color="auto"/>
                  </w:divBdr>
                  <w:divsChild>
                    <w:div w:id="1404452379">
                      <w:marLeft w:val="0"/>
                      <w:marRight w:val="0"/>
                      <w:marTop w:val="0"/>
                      <w:marBottom w:val="0"/>
                      <w:divBdr>
                        <w:top w:val="none" w:sz="0" w:space="0" w:color="auto"/>
                        <w:left w:val="none" w:sz="0" w:space="0" w:color="auto"/>
                        <w:bottom w:val="none" w:sz="0" w:space="0" w:color="auto"/>
                        <w:right w:val="none" w:sz="0" w:space="0" w:color="auto"/>
                      </w:divBdr>
                      <w:divsChild>
                        <w:div w:id="274293869">
                          <w:marLeft w:val="0"/>
                          <w:marRight w:val="0"/>
                          <w:marTop w:val="0"/>
                          <w:marBottom w:val="0"/>
                          <w:divBdr>
                            <w:top w:val="none" w:sz="0" w:space="0" w:color="auto"/>
                            <w:left w:val="none" w:sz="0" w:space="0" w:color="auto"/>
                            <w:bottom w:val="none" w:sz="0" w:space="0" w:color="auto"/>
                            <w:right w:val="none" w:sz="0" w:space="0" w:color="auto"/>
                          </w:divBdr>
                          <w:divsChild>
                            <w:div w:id="1794446598">
                              <w:marLeft w:val="0"/>
                              <w:marRight w:val="0"/>
                              <w:marTop w:val="0"/>
                              <w:marBottom w:val="0"/>
                              <w:divBdr>
                                <w:top w:val="none" w:sz="0" w:space="0" w:color="auto"/>
                                <w:left w:val="none" w:sz="0" w:space="0" w:color="auto"/>
                                <w:bottom w:val="none" w:sz="0" w:space="0" w:color="auto"/>
                                <w:right w:val="none" w:sz="0" w:space="0" w:color="auto"/>
                              </w:divBdr>
                              <w:divsChild>
                                <w:div w:id="513350504">
                                  <w:marLeft w:val="0"/>
                                  <w:marRight w:val="0"/>
                                  <w:marTop w:val="0"/>
                                  <w:marBottom w:val="0"/>
                                  <w:divBdr>
                                    <w:top w:val="none" w:sz="0" w:space="0" w:color="auto"/>
                                    <w:left w:val="none" w:sz="0" w:space="0" w:color="auto"/>
                                    <w:bottom w:val="none" w:sz="0" w:space="0" w:color="auto"/>
                                    <w:right w:val="none" w:sz="0" w:space="0" w:color="auto"/>
                                  </w:divBdr>
                                  <w:divsChild>
                                    <w:div w:id="46512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2502058">
      <w:bodyDiv w:val="1"/>
      <w:marLeft w:val="0"/>
      <w:marRight w:val="0"/>
      <w:marTop w:val="0"/>
      <w:marBottom w:val="0"/>
      <w:divBdr>
        <w:top w:val="none" w:sz="0" w:space="0" w:color="auto"/>
        <w:left w:val="none" w:sz="0" w:space="0" w:color="auto"/>
        <w:bottom w:val="none" w:sz="0" w:space="0" w:color="auto"/>
        <w:right w:val="none" w:sz="0" w:space="0" w:color="auto"/>
      </w:divBdr>
    </w:div>
    <w:div w:id="1166477874">
      <w:bodyDiv w:val="1"/>
      <w:marLeft w:val="0"/>
      <w:marRight w:val="0"/>
      <w:marTop w:val="0"/>
      <w:marBottom w:val="0"/>
      <w:divBdr>
        <w:top w:val="none" w:sz="0" w:space="0" w:color="auto"/>
        <w:left w:val="none" w:sz="0" w:space="0" w:color="auto"/>
        <w:bottom w:val="none" w:sz="0" w:space="0" w:color="auto"/>
        <w:right w:val="none" w:sz="0" w:space="0" w:color="auto"/>
      </w:divBdr>
    </w:div>
    <w:div w:id="1217281863">
      <w:bodyDiv w:val="1"/>
      <w:marLeft w:val="0"/>
      <w:marRight w:val="0"/>
      <w:marTop w:val="0"/>
      <w:marBottom w:val="0"/>
      <w:divBdr>
        <w:top w:val="none" w:sz="0" w:space="0" w:color="auto"/>
        <w:left w:val="none" w:sz="0" w:space="0" w:color="auto"/>
        <w:bottom w:val="none" w:sz="0" w:space="0" w:color="auto"/>
        <w:right w:val="none" w:sz="0" w:space="0" w:color="auto"/>
      </w:divBdr>
    </w:div>
    <w:div w:id="1278751772">
      <w:bodyDiv w:val="1"/>
      <w:marLeft w:val="0"/>
      <w:marRight w:val="0"/>
      <w:marTop w:val="0"/>
      <w:marBottom w:val="0"/>
      <w:divBdr>
        <w:top w:val="none" w:sz="0" w:space="0" w:color="auto"/>
        <w:left w:val="none" w:sz="0" w:space="0" w:color="auto"/>
        <w:bottom w:val="none" w:sz="0" w:space="0" w:color="auto"/>
        <w:right w:val="none" w:sz="0" w:space="0" w:color="auto"/>
      </w:divBdr>
    </w:div>
    <w:div w:id="1460147935">
      <w:bodyDiv w:val="1"/>
      <w:marLeft w:val="0"/>
      <w:marRight w:val="0"/>
      <w:marTop w:val="0"/>
      <w:marBottom w:val="0"/>
      <w:divBdr>
        <w:top w:val="none" w:sz="0" w:space="0" w:color="auto"/>
        <w:left w:val="none" w:sz="0" w:space="0" w:color="auto"/>
        <w:bottom w:val="none" w:sz="0" w:space="0" w:color="auto"/>
        <w:right w:val="none" w:sz="0" w:space="0" w:color="auto"/>
      </w:divBdr>
    </w:div>
    <w:div w:id="1469009579">
      <w:bodyDiv w:val="1"/>
      <w:marLeft w:val="0"/>
      <w:marRight w:val="0"/>
      <w:marTop w:val="0"/>
      <w:marBottom w:val="0"/>
      <w:divBdr>
        <w:top w:val="none" w:sz="0" w:space="0" w:color="auto"/>
        <w:left w:val="none" w:sz="0" w:space="0" w:color="auto"/>
        <w:bottom w:val="none" w:sz="0" w:space="0" w:color="auto"/>
        <w:right w:val="none" w:sz="0" w:space="0" w:color="auto"/>
      </w:divBdr>
    </w:div>
    <w:div w:id="1477724110">
      <w:bodyDiv w:val="1"/>
      <w:marLeft w:val="0"/>
      <w:marRight w:val="0"/>
      <w:marTop w:val="0"/>
      <w:marBottom w:val="0"/>
      <w:divBdr>
        <w:top w:val="none" w:sz="0" w:space="0" w:color="auto"/>
        <w:left w:val="none" w:sz="0" w:space="0" w:color="auto"/>
        <w:bottom w:val="none" w:sz="0" w:space="0" w:color="auto"/>
        <w:right w:val="none" w:sz="0" w:space="0" w:color="auto"/>
      </w:divBdr>
    </w:div>
    <w:div w:id="1583567407">
      <w:bodyDiv w:val="1"/>
      <w:marLeft w:val="0"/>
      <w:marRight w:val="0"/>
      <w:marTop w:val="0"/>
      <w:marBottom w:val="0"/>
      <w:divBdr>
        <w:top w:val="none" w:sz="0" w:space="0" w:color="auto"/>
        <w:left w:val="none" w:sz="0" w:space="0" w:color="auto"/>
        <w:bottom w:val="none" w:sz="0" w:space="0" w:color="auto"/>
        <w:right w:val="none" w:sz="0" w:space="0" w:color="auto"/>
      </w:divBdr>
    </w:div>
    <w:div w:id="1600601948">
      <w:bodyDiv w:val="1"/>
      <w:marLeft w:val="0"/>
      <w:marRight w:val="0"/>
      <w:marTop w:val="0"/>
      <w:marBottom w:val="0"/>
      <w:divBdr>
        <w:top w:val="none" w:sz="0" w:space="0" w:color="auto"/>
        <w:left w:val="none" w:sz="0" w:space="0" w:color="auto"/>
        <w:bottom w:val="none" w:sz="0" w:space="0" w:color="auto"/>
        <w:right w:val="none" w:sz="0" w:space="0" w:color="auto"/>
      </w:divBdr>
    </w:div>
    <w:div w:id="1663391187">
      <w:bodyDiv w:val="1"/>
      <w:marLeft w:val="0"/>
      <w:marRight w:val="0"/>
      <w:marTop w:val="0"/>
      <w:marBottom w:val="0"/>
      <w:divBdr>
        <w:top w:val="none" w:sz="0" w:space="0" w:color="auto"/>
        <w:left w:val="none" w:sz="0" w:space="0" w:color="auto"/>
        <w:bottom w:val="none" w:sz="0" w:space="0" w:color="auto"/>
        <w:right w:val="none" w:sz="0" w:space="0" w:color="auto"/>
      </w:divBdr>
    </w:div>
    <w:div w:id="1682047908">
      <w:bodyDiv w:val="1"/>
      <w:marLeft w:val="0"/>
      <w:marRight w:val="0"/>
      <w:marTop w:val="0"/>
      <w:marBottom w:val="0"/>
      <w:divBdr>
        <w:top w:val="none" w:sz="0" w:space="0" w:color="auto"/>
        <w:left w:val="none" w:sz="0" w:space="0" w:color="auto"/>
        <w:bottom w:val="none" w:sz="0" w:space="0" w:color="auto"/>
        <w:right w:val="none" w:sz="0" w:space="0" w:color="auto"/>
      </w:divBdr>
    </w:div>
    <w:div w:id="1773281035">
      <w:bodyDiv w:val="1"/>
      <w:marLeft w:val="0"/>
      <w:marRight w:val="0"/>
      <w:marTop w:val="0"/>
      <w:marBottom w:val="0"/>
      <w:divBdr>
        <w:top w:val="none" w:sz="0" w:space="0" w:color="auto"/>
        <w:left w:val="none" w:sz="0" w:space="0" w:color="auto"/>
        <w:bottom w:val="none" w:sz="0" w:space="0" w:color="auto"/>
        <w:right w:val="none" w:sz="0" w:space="0" w:color="auto"/>
      </w:divBdr>
    </w:div>
    <w:div w:id="1988239879">
      <w:bodyDiv w:val="1"/>
      <w:marLeft w:val="0"/>
      <w:marRight w:val="0"/>
      <w:marTop w:val="0"/>
      <w:marBottom w:val="0"/>
      <w:divBdr>
        <w:top w:val="none" w:sz="0" w:space="0" w:color="auto"/>
        <w:left w:val="none" w:sz="0" w:space="0" w:color="auto"/>
        <w:bottom w:val="none" w:sz="0" w:space="0" w:color="auto"/>
        <w:right w:val="none" w:sz="0" w:space="0" w:color="auto"/>
      </w:divBdr>
    </w:div>
    <w:div w:id="2039353925">
      <w:bodyDiv w:val="1"/>
      <w:marLeft w:val="0"/>
      <w:marRight w:val="0"/>
      <w:marTop w:val="0"/>
      <w:marBottom w:val="0"/>
      <w:divBdr>
        <w:top w:val="none" w:sz="0" w:space="0" w:color="auto"/>
        <w:left w:val="none" w:sz="0" w:space="0" w:color="auto"/>
        <w:bottom w:val="none" w:sz="0" w:space="0" w:color="auto"/>
        <w:right w:val="none" w:sz="0" w:space="0" w:color="auto"/>
      </w:divBdr>
    </w:div>
    <w:div w:id="2063287110">
      <w:bodyDiv w:val="1"/>
      <w:marLeft w:val="0"/>
      <w:marRight w:val="0"/>
      <w:marTop w:val="0"/>
      <w:marBottom w:val="0"/>
      <w:divBdr>
        <w:top w:val="none" w:sz="0" w:space="0" w:color="auto"/>
        <w:left w:val="none" w:sz="0" w:space="0" w:color="auto"/>
        <w:bottom w:val="none" w:sz="0" w:space="0" w:color="auto"/>
        <w:right w:val="none" w:sz="0" w:space="0" w:color="auto"/>
      </w:divBdr>
    </w:div>
    <w:div w:id="21193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cid:image001.png@01D0FF78.A6EA0F60"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hyperlink" Target="mailto:eba-xbrl@eba.europa.eu" TargetMode="External"/><Relationship Id="rId2" Type="http://schemas.openxmlformats.org/officeDocument/2006/relationships/hyperlink" Target="http://www.eba.europa.eu/single-rule-book-qa" TargetMode="External"/><Relationship Id="rId1" Type="http://schemas.openxmlformats.org/officeDocument/2006/relationships/hyperlink" Target="http://eba.europa.eu"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eba-xbrl@eba.europa.eu" TargetMode="External"/><Relationship Id="rId2" Type="http://schemas.openxmlformats.org/officeDocument/2006/relationships/hyperlink" Target="http://www.eba.europa.eu/single-rule-book-qa" TargetMode="External"/><Relationship Id="rId1" Type="http://schemas.openxmlformats.org/officeDocument/2006/relationships/hyperlink" Target="http://eba.europa.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ba.europa.eu/regulation-and-policy/other-topics/regulatory-and-implementing-technical-standards-on-benchmarking-portfolios" TargetMode="External"/><Relationship Id="rId1" Type="http://schemas.openxmlformats.org/officeDocument/2006/relationships/hyperlink" Target="https://www.eba.europa.eu/single-rule-book-qa"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EBA PP Exported">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3888C-FC8E-44C7-B506-2932295E3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12130</TotalTime>
  <Pages>1</Pages>
  <Words>12910</Words>
  <Characters>73590</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Release Notes 2.7.0.0.ED</vt:lpstr>
    </vt:vector>
  </TitlesOfParts>
  <Company>European Banking Authority</Company>
  <LinksUpToDate>false</LinksUpToDate>
  <CharactersWithSpaces>86328</CharactersWithSpaces>
  <SharedDoc>false</SharedDoc>
  <HLinks>
    <vt:vector size="6" baseType="variant">
      <vt:variant>
        <vt:i4>2490439</vt:i4>
      </vt:variant>
      <vt:variant>
        <vt:i4>0</vt:i4>
      </vt:variant>
      <vt:variant>
        <vt:i4>0</vt:i4>
      </vt:variant>
      <vt:variant>
        <vt:i4>5</vt:i4>
      </vt:variant>
      <vt:variant>
        <vt:lpwstr>mailto:CP50@eba.europa.eu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Release Notes 2.7.0.0.ED</dc:title>
  <dc:subject>Beta Taxonomy Release</dc:subject>
  <dc:creator>owen.jones@eba.europa.eu</dc:creator>
  <cp:lastModifiedBy>Owen Jones</cp:lastModifiedBy>
  <cp:revision>25</cp:revision>
  <cp:lastPrinted>2016-01-25T18:19:00Z</cp:lastPrinted>
  <dcterms:created xsi:type="dcterms:W3CDTF">2017-02-07T17:31:00Z</dcterms:created>
  <dcterms:modified xsi:type="dcterms:W3CDTF">2018-02-09T17:57:00Z</dcterms:modified>
</cp:coreProperties>
</file>