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B5EA59" w14:textId="77777777" w:rsidR="00D55737" w:rsidRPr="00A313DB" w:rsidRDefault="00D55737" w:rsidP="008D3E70">
      <w:pPr>
        <w:tabs>
          <w:tab w:val="left" w:pos="5060"/>
        </w:tabs>
        <w:ind w:left="660"/>
        <w:rPr>
          <w:rFonts w:ascii="Verdana" w:hAnsi="Verdana" w:cs="Times New Roman"/>
          <w:b/>
          <w:bCs/>
          <w:sz w:val="32"/>
          <w:szCs w:val="32"/>
        </w:rPr>
      </w:pPr>
      <w:r w:rsidRPr="00A313DB">
        <w:rPr>
          <w:rFonts w:ascii="Verdana" w:hAnsi="Verdana" w:cs="Times New Roman"/>
          <w:b/>
          <w:bCs/>
          <w:sz w:val="32"/>
          <w:szCs w:val="32"/>
        </w:rPr>
        <w:tab/>
      </w:r>
      <w:r w:rsidRPr="00A313DB">
        <w:rPr>
          <w:rFonts w:ascii="Verdana" w:hAnsi="Verdana" w:cs="Times New Roman"/>
          <w:b/>
          <w:bCs/>
          <w:sz w:val="32"/>
          <w:szCs w:val="32"/>
        </w:rPr>
        <w:tab/>
      </w:r>
      <w:r w:rsidRPr="00A313DB">
        <w:rPr>
          <w:rFonts w:ascii="Verdana" w:hAnsi="Verdana" w:cs="Times New Roman"/>
          <w:b/>
          <w:bCs/>
          <w:sz w:val="32"/>
          <w:szCs w:val="32"/>
        </w:rPr>
        <w:tab/>
      </w:r>
    </w:p>
    <w:tbl>
      <w:tblPr>
        <w:tblW w:w="9180" w:type="dxa"/>
        <w:tblLook w:val="01E0" w:firstRow="1" w:lastRow="1" w:firstColumn="1" w:lastColumn="1" w:noHBand="0" w:noVBand="0"/>
      </w:tblPr>
      <w:tblGrid>
        <w:gridCol w:w="6480"/>
        <w:gridCol w:w="2700"/>
      </w:tblGrid>
      <w:tr w:rsidR="005974BE" w:rsidRPr="00A313DB" w14:paraId="55B5EA5C" w14:textId="77777777" w:rsidTr="00F740E9">
        <w:tc>
          <w:tcPr>
            <w:tcW w:w="6480" w:type="dxa"/>
          </w:tcPr>
          <w:p w14:paraId="55B5EA5A" w14:textId="77777777" w:rsidR="005974BE" w:rsidRPr="00A313DB" w:rsidRDefault="005974BE" w:rsidP="005974BE">
            <w:pPr>
              <w:spacing w:before="120" w:after="120"/>
              <w:ind w:right="34"/>
              <w:rPr>
                <w:rFonts w:ascii="Verdana" w:hAnsi="Verdana"/>
              </w:rPr>
            </w:pPr>
          </w:p>
        </w:tc>
        <w:tc>
          <w:tcPr>
            <w:tcW w:w="2700" w:type="dxa"/>
          </w:tcPr>
          <w:p w14:paraId="55B5EA5B" w14:textId="77777777" w:rsidR="005974BE" w:rsidRPr="00A313DB" w:rsidRDefault="005974BE" w:rsidP="00AE345F">
            <w:pPr>
              <w:spacing w:before="120" w:after="120"/>
              <w:jc w:val="right"/>
              <w:rPr>
                <w:rFonts w:ascii="Verdana" w:hAnsi="Verdana"/>
              </w:rPr>
            </w:pPr>
          </w:p>
        </w:tc>
      </w:tr>
      <w:tr w:rsidR="005974BE" w:rsidRPr="00A313DB" w14:paraId="55B5EA64" w14:textId="77777777" w:rsidTr="00F740E9">
        <w:tc>
          <w:tcPr>
            <w:tcW w:w="6480" w:type="dxa"/>
          </w:tcPr>
          <w:p w14:paraId="55B5EA5D" w14:textId="77777777" w:rsidR="004C7965" w:rsidRDefault="000D7C40" w:rsidP="00762BA5">
            <w:pPr>
              <w:jc w:val="both"/>
              <w:rPr>
                <w:rFonts w:ascii="Verdana" w:hAnsi="Verdana"/>
                <w:b/>
                <w:i/>
                <w:color w:val="7F7F7F" w:themeColor="text1" w:themeTint="80"/>
                <w:sz w:val="24"/>
              </w:rPr>
            </w:pPr>
            <w:bookmarkStart w:id="0" w:name="OLE_LINK1"/>
            <w:bookmarkStart w:id="1" w:name="OLE_LINK2"/>
            <w:r>
              <w:rPr>
                <w:rFonts w:ascii="Verdana" w:hAnsi="Verdana"/>
                <w:b/>
                <w:i/>
                <w:color w:val="7F7F7F" w:themeColor="text1" w:themeTint="80"/>
                <w:sz w:val="24"/>
              </w:rPr>
              <w:t xml:space="preserve">DPM / </w:t>
            </w:r>
            <w:r w:rsidR="004B7DAC">
              <w:rPr>
                <w:rFonts w:ascii="Verdana" w:hAnsi="Verdana"/>
                <w:b/>
                <w:i/>
                <w:color w:val="7F7F7F" w:themeColor="text1" w:themeTint="80"/>
                <w:sz w:val="24"/>
              </w:rPr>
              <w:t>XBRL</w:t>
            </w:r>
            <w:r w:rsidR="002E5450">
              <w:rPr>
                <w:rFonts w:ascii="Verdana" w:hAnsi="Verdana"/>
                <w:b/>
                <w:i/>
                <w:color w:val="7F7F7F" w:themeColor="text1" w:themeTint="80"/>
                <w:sz w:val="24"/>
              </w:rPr>
              <w:t xml:space="preserve"> Taxonomy</w:t>
            </w:r>
          </w:p>
          <w:p w14:paraId="55B5EA5E" w14:textId="77777777" w:rsidR="00762BA5" w:rsidRPr="00F740E9" w:rsidRDefault="004C7965" w:rsidP="00762BA5">
            <w:pPr>
              <w:jc w:val="both"/>
              <w:rPr>
                <w:rFonts w:ascii="Verdana" w:hAnsi="Verdana"/>
                <w:b/>
                <w:i/>
                <w:color w:val="7F7F7F" w:themeColor="text1" w:themeTint="80"/>
                <w:sz w:val="24"/>
              </w:rPr>
            </w:pPr>
            <w:r>
              <w:rPr>
                <w:rFonts w:ascii="Verdana" w:hAnsi="Verdana"/>
                <w:b/>
                <w:i/>
                <w:color w:val="7F7F7F" w:themeColor="text1" w:themeTint="80"/>
                <w:sz w:val="24"/>
              </w:rPr>
              <w:t>R</w:t>
            </w:r>
            <w:r w:rsidR="004B7DAC">
              <w:rPr>
                <w:rFonts w:ascii="Verdana" w:hAnsi="Verdana"/>
                <w:b/>
                <w:i/>
                <w:color w:val="7F7F7F" w:themeColor="text1" w:themeTint="80"/>
                <w:sz w:val="24"/>
              </w:rPr>
              <w:t>evision</w:t>
            </w:r>
            <w:r w:rsidR="00EF1BBA">
              <w:rPr>
                <w:rFonts w:ascii="Verdana" w:hAnsi="Verdana"/>
                <w:b/>
                <w:i/>
                <w:color w:val="7F7F7F" w:themeColor="text1" w:themeTint="80"/>
                <w:sz w:val="24"/>
              </w:rPr>
              <w:t xml:space="preserve"> note</w:t>
            </w:r>
            <w:r w:rsidR="004B7DAC">
              <w:rPr>
                <w:rFonts w:ascii="Verdana" w:hAnsi="Verdana"/>
                <w:b/>
                <w:i/>
                <w:color w:val="7F7F7F" w:themeColor="text1" w:themeTint="80"/>
                <w:sz w:val="24"/>
              </w:rPr>
              <w:t>s</w:t>
            </w:r>
            <w:r w:rsidR="00837850" w:rsidRPr="00837850">
              <w:rPr>
                <w:rFonts w:ascii="Verdana" w:hAnsi="Verdana"/>
                <w:b/>
                <w:i/>
                <w:color w:val="7F7F7F" w:themeColor="text1" w:themeTint="80"/>
                <w:sz w:val="24"/>
              </w:rPr>
              <w:t xml:space="preserve"> </w:t>
            </w:r>
          </w:p>
          <w:bookmarkEnd w:id="0"/>
          <w:bookmarkEnd w:id="1"/>
          <w:p w14:paraId="55B5EA5F" w14:textId="77777777" w:rsidR="00F776BD" w:rsidRPr="00F740E9" w:rsidRDefault="00F776BD" w:rsidP="00762BA5">
            <w:pPr>
              <w:jc w:val="both"/>
              <w:rPr>
                <w:rFonts w:ascii="Verdana" w:hAnsi="Verdana"/>
                <w:b/>
                <w:sz w:val="24"/>
              </w:rPr>
            </w:pPr>
          </w:p>
          <w:p w14:paraId="55B5EA60" w14:textId="77777777" w:rsidR="005974BE" w:rsidRPr="00F776BD" w:rsidRDefault="005974BE" w:rsidP="00837850">
            <w:pPr>
              <w:rPr>
                <w:rFonts w:ascii="Verdana" w:hAnsi="Verdana"/>
                <w:b/>
                <w:spacing w:val="24"/>
              </w:rPr>
            </w:pPr>
          </w:p>
        </w:tc>
        <w:tc>
          <w:tcPr>
            <w:tcW w:w="2700" w:type="dxa"/>
          </w:tcPr>
          <w:p w14:paraId="55B5EA61" w14:textId="77777777" w:rsidR="00762BA5" w:rsidRDefault="00762BA5" w:rsidP="00762BA5">
            <w:pPr>
              <w:jc w:val="right"/>
              <w:rPr>
                <w:rFonts w:ascii="Verdana" w:hAnsi="Verdana"/>
              </w:rPr>
            </w:pPr>
          </w:p>
          <w:p w14:paraId="55B5EA62" w14:textId="77777777" w:rsidR="00F776BD" w:rsidRDefault="00F776BD" w:rsidP="00762BA5">
            <w:pPr>
              <w:jc w:val="right"/>
              <w:rPr>
                <w:rFonts w:ascii="Verdana" w:hAnsi="Verdana"/>
              </w:rPr>
            </w:pPr>
          </w:p>
          <w:p w14:paraId="55B5EA63" w14:textId="5921ADFA" w:rsidR="005974BE" w:rsidRPr="00A313DB" w:rsidRDefault="006C253E" w:rsidP="00D65089">
            <w:pPr>
              <w:spacing w:before="120"/>
              <w:jc w:val="right"/>
              <w:rPr>
                <w:rFonts w:ascii="Verdana" w:hAnsi="Verdana"/>
              </w:rPr>
            </w:pPr>
            <w:r>
              <w:rPr>
                <w:rFonts w:ascii="Verdana" w:hAnsi="Verdana"/>
              </w:rPr>
              <w:t>25</w:t>
            </w:r>
            <w:r w:rsidR="00024782">
              <w:rPr>
                <w:rFonts w:ascii="Verdana" w:hAnsi="Verdana"/>
              </w:rPr>
              <w:t xml:space="preserve"> </w:t>
            </w:r>
            <w:r w:rsidR="00D65089">
              <w:rPr>
                <w:rFonts w:ascii="Verdana" w:hAnsi="Verdana"/>
              </w:rPr>
              <w:t xml:space="preserve">April </w:t>
            </w:r>
            <w:r w:rsidR="00E47786">
              <w:rPr>
                <w:rFonts w:ascii="Verdana" w:hAnsi="Verdana"/>
              </w:rPr>
              <w:t>201</w:t>
            </w:r>
            <w:r w:rsidR="00AC367C">
              <w:rPr>
                <w:rFonts w:ascii="Verdana" w:hAnsi="Verdana"/>
              </w:rPr>
              <w:t>6</w:t>
            </w:r>
          </w:p>
        </w:tc>
      </w:tr>
    </w:tbl>
    <w:p w14:paraId="55B5EA65" w14:textId="77777777" w:rsidR="00DC113D" w:rsidRDefault="00DC113D" w:rsidP="00B000E3">
      <w:pPr>
        <w:pStyle w:val="Heading1"/>
      </w:pPr>
    </w:p>
    <w:p w14:paraId="33003281" w14:textId="7E555E05" w:rsidR="009D1FF0" w:rsidRDefault="009D1FF0" w:rsidP="009D1FF0">
      <w:pPr>
        <w:pStyle w:val="Titlelevel1"/>
        <w:rPr>
          <w:i/>
        </w:rPr>
      </w:pPr>
      <w:proofErr w:type="gramStart"/>
      <w:r>
        <w:rPr>
          <w:i/>
        </w:rPr>
        <w:t>v2.5</w:t>
      </w:r>
      <w:r w:rsidRPr="00E47786">
        <w:rPr>
          <w:i/>
        </w:rPr>
        <w:t>.</w:t>
      </w:r>
      <w:r>
        <w:rPr>
          <w:i/>
        </w:rPr>
        <w:t>0.1</w:t>
      </w:r>
      <w:proofErr w:type="gramEnd"/>
      <w:r>
        <w:rPr>
          <w:i/>
        </w:rPr>
        <w:t xml:space="preserve"> and v2.4.1.1</w:t>
      </w:r>
      <w:r w:rsidR="0045148F">
        <w:rPr>
          <w:i/>
        </w:rPr>
        <w:t xml:space="preserve"> </w:t>
      </w:r>
    </w:p>
    <w:p w14:paraId="1ABD5978" w14:textId="075A100F" w:rsidR="008C6146" w:rsidRDefault="008C6146" w:rsidP="00B37B93">
      <w:pPr>
        <w:pStyle w:val="Titlelevel2"/>
      </w:pPr>
      <w:r>
        <w:t xml:space="preserve">Summary </w:t>
      </w:r>
    </w:p>
    <w:p w14:paraId="4E5F244B" w14:textId="1E4943A5" w:rsidR="009D1FF0" w:rsidRDefault="00433B41" w:rsidP="00B37B93">
      <w:r>
        <w:t>“Instance compatible” patch to c</w:t>
      </w:r>
      <w:r w:rsidR="009D1FF0">
        <w:t>orrect validation rule implementation error affecting rules on table C 75</w:t>
      </w:r>
      <w:r w:rsidR="00F66EEB">
        <w:rPr>
          <w:rStyle w:val="FootnoteReference"/>
        </w:rPr>
        <w:footnoteReference w:id="1"/>
      </w:r>
      <w:r w:rsidR="002317E2">
        <w:t>, and removing invalid rules applied to tables C 101-103</w:t>
      </w:r>
      <w:r w:rsidR="002317E2">
        <w:rPr>
          <w:rStyle w:val="FootnoteReference"/>
        </w:rPr>
        <w:footnoteReference w:id="2"/>
      </w:r>
      <w:r w:rsidR="002317E2">
        <w:t>.</w:t>
      </w:r>
    </w:p>
    <w:p w14:paraId="2526B118" w14:textId="50EAAF97" w:rsidR="008C6146" w:rsidRDefault="008C6146" w:rsidP="008C6146">
      <w:pPr>
        <w:pStyle w:val="Titlelevel2"/>
      </w:pPr>
      <w:r>
        <w:t>Impact</w:t>
      </w:r>
    </w:p>
    <w:p w14:paraId="720134DC" w14:textId="5C90F67B" w:rsidR="008C6146" w:rsidRDefault="008C6146" w:rsidP="009D1FF0">
      <w:r>
        <w:t>This patch is implemented in the form of changes to some of the XBRL files specified by previous</w:t>
      </w:r>
      <w:r w:rsidR="00455509">
        <w:t xml:space="preserve"> taxonomy</w:t>
      </w:r>
      <w:r>
        <w:t xml:space="preserve"> </w:t>
      </w:r>
      <w:r w:rsidR="00455509">
        <w:t>releases.</w:t>
      </w:r>
    </w:p>
    <w:p w14:paraId="032E0719" w14:textId="77777777" w:rsidR="008C6146" w:rsidRDefault="008C6146" w:rsidP="009D1FF0"/>
    <w:p w14:paraId="6A4D85B1" w14:textId="5DFA89F6" w:rsidR="008C6146" w:rsidRDefault="008C6146" w:rsidP="009D1FF0">
      <w:r>
        <w:t xml:space="preserve">Note that since this patch release merely corrects some taxonomy files involved in specific validation rule implementations, </w:t>
      </w:r>
      <w:r w:rsidR="00455509">
        <w:t xml:space="preserve">and does not change the structure (table layout, allowed cells, enumerations/lists of values etc.) of the reporting requirements </w:t>
      </w:r>
      <w:r>
        <w:t>it is possible for parties utilising different parallel</w:t>
      </w:r>
      <w:r w:rsidR="00455509">
        <w:rPr>
          <w:rStyle w:val="FootnoteReference"/>
        </w:rPr>
        <w:footnoteReference w:id="3"/>
      </w:r>
      <w:r>
        <w:t xml:space="preserve"> minor revisions of the taxonomy to successfully exchange instance files and to structural validate them (since identical instance files would result/be defined by either version).</w:t>
      </w:r>
    </w:p>
    <w:p w14:paraId="42F2A719" w14:textId="77777777" w:rsidR="008C6146" w:rsidRDefault="008C6146" w:rsidP="009D1FF0"/>
    <w:p w14:paraId="60D4B411" w14:textId="45E1FF1E" w:rsidR="008C6146" w:rsidRDefault="008C6146" w:rsidP="009D1FF0">
      <w:r>
        <w:t>Two such parties w</w:t>
      </w:r>
      <w:r w:rsidR="007B6124">
        <w:t>ill</w:t>
      </w:r>
      <w:r>
        <w:t xml:space="preserve"> differ only in the validation results (XBRL assertion formula output) the</w:t>
      </w:r>
      <w:r w:rsidR="007B6124">
        <w:t>y will</w:t>
      </w:r>
      <w:r>
        <w:t xml:space="preserve"> obtain for a given file</w:t>
      </w:r>
      <w:r w:rsidR="00455509">
        <w:t>. Therefore if a party does not wish to update to these latest versions then</w:t>
      </w:r>
      <w:r w:rsidR="007B6124">
        <w:t>,</w:t>
      </w:r>
      <w:r w:rsidR="00455509">
        <w:t xml:space="preserve"> provided they make appropriate provisions to deal with any potential incorrect validation results they may produce locally</w:t>
      </w:r>
      <w:r w:rsidR="00455509">
        <w:rPr>
          <w:rStyle w:val="FootnoteReference"/>
        </w:rPr>
        <w:footnoteReference w:id="4"/>
      </w:r>
      <w:r w:rsidR="00455509">
        <w:t>, they would be able to continue to utilise the prior version successfully with no necessary impact on the reporting chain.</w:t>
      </w:r>
      <w:r w:rsidR="00455509">
        <w:rPr>
          <w:rStyle w:val="FootnoteReference"/>
        </w:rPr>
        <w:footnoteReference w:id="5"/>
      </w:r>
      <w:r w:rsidR="00455509">
        <w:t xml:space="preserve"> </w:t>
      </w:r>
      <w:r>
        <w:t xml:space="preserve"> </w:t>
      </w:r>
    </w:p>
    <w:p w14:paraId="679E3B97" w14:textId="77777777" w:rsidR="008C6146" w:rsidRDefault="008C6146" w:rsidP="009D1FF0"/>
    <w:p w14:paraId="78DFB5CF" w14:textId="3E9263C9" w:rsidR="008C6146" w:rsidRDefault="008C6146" w:rsidP="009D1FF0">
      <w:r>
        <w:t xml:space="preserve">As such, the impact of this release is considered low. </w:t>
      </w:r>
    </w:p>
    <w:p w14:paraId="46BEF860" w14:textId="77777777" w:rsidR="00B37B93" w:rsidRDefault="00B37B93" w:rsidP="00B37B93">
      <w:pPr>
        <w:pStyle w:val="Titlelevel2"/>
      </w:pPr>
      <w:r>
        <w:t>DPM / Reporting content changes:</w:t>
      </w:r>
    </w:p>
    <w:p w14:paraId="4939BAC5" w14:textId="2D764CE4" w:rsidR="00B37B93" w:rsidRDefault="00B37B93" w:rsidP="009D1FF0">
      <w:r>
        <w:lastRenderedPageBreak/>
        <w:t>No changes to the fundamental reporting content, just corrections to implementation in order to more closely align with reporting content as intended by the validation rule specification spreadsheets.</w:t>
      </w:r>
    </w:p>
    <w:p w14:paraId="3F10F5F8" w14:textId="77777777" w:rsidR="002317E2" w:rsidRDefault="002317E2" w:rsidP="009D1FF0"/>
    <w:p w14:paraId="087B4887" w14:textId="1D695A73" w:rsidR="002317E2" w:rsidRDefault="002317E2" w:rsidP="009D1FF0">
      <w:r>
        <w:t>Three validation rules deactivated/removed (</w:t>
      </w:r>
      <w:r>
        <w:t>v4741_h-v4743_h</w:t>
      </w:r>
      <w:r>
        <w:t>) as they applied numerical addition relationships to non-numeric &amp; non-additive values in error.</w:t>
      </w:r>
      <w:bookmarkStart w:id="4" w:name="_GoBack"/>
      <w:bookmarkEnd w:id="4"/>
    </w:p>
    <w:p w14:paraId="07A7C8B8" w14:textId="77777777" w:rsidR="009D1FF0" w:rsidRDefault="009D1FF0" w:rsidP="009D1FF0">
      <w:pPr>
        <w:pStyle w:val="Titlelevel2"/>
      </w:pPr>
      <w:r w:rsidRPr="002C21E9">
        <w:t>DPM</w:t>
      </w:r>
      <w:r>
        <w:t xml:space="preserve"> DB</w:t>
      </w:r>
      <w:r w:rsidRPr="002C21E9">
        <w:t xml:space="preserve"> Changes</w:t>
      </w:r>
    </w:p>
    <w:p w14:paraId="51462874" w14:textId="1DDC8E41" w:rsidR="009D1FF0" w:rsidRDefault="009D1FF0" w:rsidP="009D1FF0">
      <w:pPr>
        <w:pStyle w:val="ListParagraph"/>
        <w:numPr>
          <w:ilvl w:val="0"/>
          <w:numId w:val="23"/>
        </w:numPr>
      </w:pPr>
      <w:r>
        <w:t>Removal of erroneous ordinates from sums</w:t>
      </w:r>
    </w:p>
    <w:p w14:paraId="20775ABE" w14:textId="0070A1BE" w:rsidR="009D1FF0" w:rsidRPr="002F1FBD" w:rsidRDefault="009D1FF0" w:rsidP="002F1FBD">
      <w:pPr>
        <w:pStyle w:val="SQL"/>
      </w:pPr>
      <w:proofErr w:type="gramStart"/>
      <w:r w:rsidRPr="002F1FBD">
        <w:t>delete</w:t>
      </w:r>
      <w:proofErr w:type="gramEnd"/>
      <w:r w:rsidRPr="002F1FBD">
        <w:t xml:space="preserve"> from </w:t>
      </w:r>
      <w:proofErr w:type="spellStart"/>
      <w:r w:rsidRPr="002F1FBD">
        <w:t>SumOfManyordinates</w:t>
      </w:r>
      <w:proofErr w:type="spellEnd"/>
    </w:p>
    <w:p w14:paraId="6C22A1D8" w14:textId="32CFD408" w:rsidR="009D1FF0" w:rsidRPr="002F1FBD" w:rsidRDefault="009D1FF0" w:rsidP="002F1FBD">
      <w:pPr>
        <w:pStyle w:val="SQL"/>
      </w:pPr>
      <w:r w:rsidRPr="002F1FBD">
        <w:t xml:space="preserve">where </w:t>
      </w:r>
      <w:proofErr w:type="spellStart"/>
      <w:r w:rsidRPr="002F1FBD">
        <w:t>VariableCode</w:t>
      </w:r>
      <w:proofErr w:type="spellEnd"/>
      <w:r w:rsidRPr="002F1FBD">
        <w:t xml:space="preserve"> = "b" and </w:t>
      </w:r>
      <w:proofErr w:type="spellStart"/>
      <w:r w:rsidRPr="002F1FBD">
        <w:t>OrdinateId</w:t>
      </w:r>
      <w:proofErr w:type="spellEnd"/>
      <w:r w:rsidRPr="002F1FBD">
        <w:t xml:space="preserve"> in (39953,39962,39971,39980,39989,39998,40007,40016,40043,45051,40052,45060,45069,40061,40070,45078,40079,45087,40088,45096,40097,45105,40106,45114);</w:t>
      </w:r>
    </w:p>
    <w:p w14:paraId="314A163A" w14:textId="77777777" w:rsidR="00433B41" w:rsidRDefault="00433B41" w:rsidP="009D1FF0">
      <w:pPr>
        <w:ind w:left="720"/>
        <w:rPr>
          <w:sz w:val="16"/>
          <w:szCs w:val="16"/>
        </w:rPr>
      </w:pPr>
    </w:p>
    <w:p w14:paraId="2D6E1E92" w14:textId="3F0A0124" w:rsidR="00433B41" w:rsidRDefault="00433B41" w:rsidP="00433B41">
      <w:pPr>
        <w:pStyle w:val="ListParagraph"/>
        <w:numPr>
          <w:ilvl w:val="0"/>
          <w:numId w:val="23"/>
        </w:numPr>
      </w:pPr>
      <w:r>
        <w:t>Correction of one attribute for one formula variable ordinate association</w:t>
      </w:r>
    </w:p>
    <w:p w14:paraId="71380A4E" w14:textId="77777777" w:rsidR="009D1FF0" w:rsidRPr="002F1FBD" w:rsidRDefault="009D1FF0" w:rsidP="002F1FBD">
      <w:pPr>
        <w:pStyle w:val="SQL"/>
      </w:pPr>
      <w:proofErr w:type="gramStart"/>
      <w:r w:rsidRPr="002F1FBD">
        <w:t>update</w:t>
      </w:r>
      <w:proofErr w:type="gramEnd"/>
      <w:r w:rsidRPr="002F1FBD">
        <w:t xml:space="preserve"> </w:t>
      </w:r>
      <w:proofErr w:type="spellStart"/>
      <w:r w:rsidRPr="002F1FBD">
        <w:t>OrdinateVariable</w:t>
      </w:r>
      <w:proofErr w:type="spellEnd"/>
    </w:p>
    <w:p w14:paraId="0DF03C70" w14:textId="77777777" w:rsidR="009D1FF0" w:rsidRPr="002F1FBD" w:rsidRDefault="009D1FF0" w:rsidP="002F1FBD">
      <w:pPr>
        <w:pStyle w:val="SQL"/>
      </w:pPr>
      <w:proofErr w:type="gramStart"/>
      <w:r w:rsidRPr="002F1FBD">
        <w:t>set</w:t>
      </w:r>
      <w:proofErr w:type="gramEnd"/>
      <w:r w:rsidRPr="002F1FBD">
        <w:t xml:space="preserve"> </w:t>
      </w:r>
      <w:proofErr w:type="spellStart"/>
      <w:r w:rsidRPr="002F1FBD">
        <w:t>IsScopeFilter</w:t>
      </w:r>
      <w:proofErr w:type="spellEnd"/>
      <w:r w:rsidRPr="002F1FBD">
        <w:t xml:space="preserve"> = 0 </w:t>
      </w:r>
    </w:p>
    <w:p w14:paraId="544B4FF4" w14:textId="77777777" w:rsidR="009D1FF0" w:rsidRPr="002F1FBD" w:rsidRDefault="009D1FF0" w:rsidP="002F1FBD">
      <w:pPr>
        <w:pStyle w:val="SQL"/>
      </w:pPr>
      <w:proofErr w:type="gramStart"/>
      <w:r w:rsidRPr="002F1FBD">
        <w:t>where</w:t>
      </w:r>
      <w:proofErr w:type="gramEnd"/>
      <w:r w:rsidRPr="002F1FBD">
        <w:t xml:space="preserve"> </w:t>
      </w:r>
      <w:proofErr w:type="spellStart"/>
      <w:r w:rsidRPr="002F1FBD">
        <w:t>Expressionid</w:t>
      </w:r>
      <w:proofErr w:type="spellEnd"/>
      <w:r w:rsidRPr="002F1FBD">
        <w:t xml:space="preserve"> =13314 and </w:t>
      </w:r>
      <w:proofErr w:type="spellStart"/>
      <w:r w:rsidRPr="002F1FBD">
        <w:t>VariableCode</w:t>
      </w:r>
      <w:proofErr w:type="spellEnd"/>
      <w:r w:rsidRPr="002F1FBD">
        <w:t xml:space="preserve"> = "a" and </w:t>
      </w:r>
      <w:proofErr w:type="spellStart"/>
      <w:r w:rsidRPr="002F1FBD">
        <w:t>Ordinateid</w:t>
      </w:r>
      <w:proofErr w:type="spellEnd"/>
      <w:r w:rsidRPr="002F1FBD">
        <w:t xml:space="preserve"> = 39953;</w:t>
      </w:r>
    </w:p>
    <w:p w14:paraId="5BFAB042" w14:textId="77777777" w:rsidR="00EF4B8E" w:rsidRPr="009D1FF0" w:rsidRDefault="00EF4B8E" w:rsidP="009D1FF0">
      <w:pPr>
        <w:ind w:left="720"/>
        <w:rPr>
          <w:sz w:val="16"/>
          <w:szCs w:val="16"/>
        </w:rPr>
      </w:pPr>
    </w:p>
    <w:p w14:paraId="4CC04EDA" w14:textId="080A135C" w:rsidR="0023080F" w:rsidRDefault="00EF4B8E" w:rsidP="009D1FF0">
      <w:pPr>
        <w:pStyle w:val="ListParagraph"/>
        <w:numPr>
          <w:ilvl w:val="0"/>
          <w:numId w:val="23"/>
        </w:numPr>
      </w:pPr>
      <w:r>
        <w:t>(Incidental) Adjustment of start date for v2.4 line</w:t>
      </w:r>
      <w:r w:rsidR="00972653">
        <w:t xml:space="preserve">, </w:t>
      </w:r>
      <w:r>
        <w:t>now</w:t>
      </w:r>
      <w:r w:rsidR="00972653">
        <w:t xml:space="preserve"> that </w:t>
      </w:r>
      <w:r w:rsidR="00F66EEB">
        <w:t xml:space="preserve">LR &amp; </w:t>
      </w:r>
      <w:r>
        <w:t>LCR delegated act reporting commencement date has been set by European Commission via publication of ITS in Official Journal:</w:t>
      </w:r>
    </w:p>
    <w:p w14:paraId="77C3C1BD" w14:textId="77777777" w:rsidR="002F1FBD" w:rsidRPr="002F1FBD" w:rsidRDefault="002F1FBD" w:rsidP="002F1FBD">
      <w:pPr>
        <w:pStyle w:val="SQL"/>
      </w:pPr>
      <w:proofErr w:type="gramStart"/>
      <w:r w:rsidRPr="002F1FBD">
        <w:t>update</w:t>
      </w:r>
      <w:proofErr w:type="gramEnd"/>
      <w:r w:rsidRPr="002F1FBD">
        <w:t xml:space="preserve"> Taxonomy </w:t>
      </w:r>
    </w:p>
    <w:p w14:paraId="7712C072" w14:textId="77777777" w:rsidR="00972653" w:rsidRDefault="002F1FBD" w:rsidP="002F1FBD">
      <w:pPr>
        <w:pStyle w:val="SQL"/>
      </w:pPr>
      <w:proofErr w:type="gramStart"/>
      <w:r w:rsidRPr="002F1FBD">
        <w:t>set</w:t>
      </w:r>
      <w:proofErr w:type="gramEnd"/>
      <w:r w:rsidRPr="002F1FBD">
        <w:t xml:space="preserve"> </w:t>
      </w:r>
      <w:proofErr w:type="spellStart"/>
      <w:r w:rsidRPr="002F1FBD">
        <w:t>FromDate</w:t>
      </w:r>
      <w:proofErr w:type="spellEnd"/>
      <w:r w:rsidRPr="002F1FBD">
        <w:t xml:space="preserve"> = switch(</w:t>
      </w:r>
      <w:proofErr w:type="spellStart"/>
      <w:r w:rsidRPr="002F1FBD">
        <w:t>FromDate</w:t>
      </w:r>
      <w:proofErr w:type="spellEnd"/>
      <w:r w:rsidRPr="002F1FBD">
        <w:t xml:space="preserve">=#03/30/2016#, #09/29/2016#,  </w:t>
      </w:r>
    </w:p>
    <w:p w14:paraId="2BEC667F" w14:textId="5C304A2A" w:rsidR="002F1FBD" w:rsidRPr="002F1FBD" w:rsidRDefault="00972653" w:rsidP="002F1FBD">
      <w:pPr>
        <w:pStyle w:val="SQL"/>
      </w:pPr>
      <w:r>
        <w:t xml:space="preserve">                      </w:t>
      </w:r>
      <w:proofErr w:type="spellStart"/>
      <w:r w:rsidR="002F1FBD" w:rsidRPr="002F1FBD">
        <w:t>FromDate</w:t>
      </w:r>
      <w:proofErr w:type="spellEnd"/>
      <w:r w:rsidR="002F1FBD" w:rsidRPr="002F1FBD">
        <w:t>=#03/31/2016#, #09/30/2016#,  true,</w:t>
      </w:r>
      <w:r>
        <w:t xml:space="preserve"> </w:t>
      </w:r>
      <w:proofErr w:type="spellStart"/>
      <w:r w:rsidR="002F1FBD" w:rsidRPr="002F1FBD">
        <w:t>FromDate</w:t>
      </w:r>
      <w:proofErr w:type="spellEnd"/>
      <w:r w:rsidR="002F1FBD" w:rsidRPr="002F1FBD">
        <w:t>),</w:t>
      </w:r>
    </w:p>
    <w:p w14:paraId="141DC6EF" w14:textId="77777777" w:rsidR="00972653" w:rsidRDefault="002F1FBD" w:rsidP="002F1FBD">
      <w:pPr>
        <w:pStyle w:val="SQL"/>
      </w:pPr>
      <w:r w:rsidRPr="002F1FBD">
        <w:t xml:space="preserve">    </w:t>
      </w:r>
      <w:proofErr w:type="spellStart"/>
      <w:r w:rsidRPr="002F1FBD">
        <w:t>ToDate</w:t>
      </w:r>
      <w:proofErr w:type="spellEnd"/>
      <w:r w:rsidRPr="002F1FBD">
        <w:t xml:space="preserve"> = </w:t>
      </w:r>
      <w:proofErr w:type="gramStart"/>
      <w:r w:rsidRPr="002F1FBD">
        <w:t>switch(</w:t>
      </w:r>
      <w:proofErr w:type="spellStart"/>
      <w:proofErr w:type="gramEnd"/>
      <w:r w:rsidRPr="002F1FBD">
        <w:t>ToDa</w:t>
      </w:r>
      <w:r w:rsidR="00972653">
        <w:t>te</w:t>
      </w:r>
      <w:proofErr w:type="spellEnd"/>
      <w:r w:rsidR="00972653">
        <w:t xml:space="preserve">=#03/30/2016#, #09/29/2016#, </w:t>
      </w:r>
    </w:p>
    <w:p w14:paraId="4F8FD60F" w14:textId="3EEF6EB8" w:rsidR="002F1FBD" w:rsidRPr="002F1FBD" w:rsidRDefault="00972653" w:rsidP="002F1FBD">
      <w:pPr>
        <w:pStyle w:val="SQL"/>
      </w:pPr>
      <w:r>
        <w:t xml:space="preserve"> </w:t>
      </w:r>
      <w:r>
        <w:tab/>
      </w:r>
      <w:r>
        <w:tab/>
        <w:t xml:space="preserve"> </w:t>
      </w:r>
      <w:proofErr w:type="spellStart"/>
      <w:r w:rsidR="002F1FBD" w:rsidRPr="002F1FBD">
        <w:t>ToDate</w:t>
      </w:r>
      <w:proofErr w:type="spellEnd"/>
      <w:r w:rsidR="002F1FBD" w:rsidRPr="002F1FBD">
        <w:t>=#03/31/2016#, #09/30/2016#,  true,</w:t>
      </w:r>
      <w:r>
        <w:t xml:space="preserve"> </w:t>
      </w:r>
      <w:proofErr w:type="spellStart"/>
      <w:r w:rsidR="002F1FBD" w:rsidRPr="002F1FBD">
        <w:t>ToDate</w:t>
      </w:r>
      <w:proofErr w:type="spellEnd"/>
      <w:r w:rsidR="002F1FBD" w:rsidRPr="002F1FBD">
        <w:t>);</w:t>
      </w:r>
    </w:p>
    <w:p w14:paraId="02F46401" w14:textId="77777777" w:rsidR="002F1FBD" w:rsidRPr="002F1FBD" w:rsidRDefault="002F1FBD" w:rsidP="002F1FBD">
      <w:pPr>
        <w:pStyle w:val="SQL"/>
      </w:pPr>
    </w:p>
    <w:p w14:paraId="1F6EF0EE" w14:textId="03CAEF2D" w:rsidR="002F1FBD" w:rsidRPr="002F1FBD" w:rsidRDefault="002F1FBD" w:rsidP="002F1FBD">
      <w:pPr>
        <w:pStyle w:val="SQL"/>
      </w:pPr>
      <w:proofErr w:type="gramStart"/>
      <w:r w:rsidRPr="002F1FBD">
        <w:t>update</w:t>
      </w:r>
      <w:proofErr w:type="gramEnd"/>
      <w:r w:rsidRPr="002F1FBD">
        <w:t xml:space="preserve"> </w:t>
      </w:r>
      <w:r w:rsidR="00972653">
        <w:t>C</w:t>
      </w:r>
      <w:r w:rsidRPr="002F1FBD">
        <w:t xml:space="preserve">oncept </w:t>
      </w:r>
    </w:p>
    <w:p w14:paraId="465365BD" w14:textId="77777777" w:rsidR="00972653" w:rsidRDefault="00972653" w:rsidP="00972653">
      <w:pPr>
        <w:pStyle w:val="SQL"/>
      </w:pPr>
      <w:proofErr w:type="gramStart"/>
      <w:r w:rsidRPr="002F1FBD">
        <w:t>set</w:t>
      </w:r>
      <w:proofErr w:type="gramEnd"/>
      <w:r w:rsidRPr="002F1FBD">
        <w:t xml:space="preserve"> </w:t>
      </w:r>
      <w:proofErr w:type="spellStart"/>
      <w:r w:rsidRPr="002F1FBD">
        <w:t>FromDate</w:t>
      </w:r>
      <w:proofErr w:type="spellEnd"/>
      <w:r w:rsidRPr="002F1FBD">
        <w:t xml:space="preserve"> = switch(</w:t>
      </w:r>
      <w:proofErr w:type="spellStart"/>
      <w:r w:rsidRPr="002F1FBD">
        <w:t>FromDate</w:t>
      </w:r>
      <w:proofErr w:type="spellEnd"/>
      <w:r w:rsidRPr="002F1FBD">
        <w:t xml:space="preserve">=#03/30/2016#, #09/29/2016#,  </w:t>
      </w:r>
    </w:p>
    <w:p w14:paraId="0872CE11" w14:textId="77777777" w:rsidR="00972653" w:rsidRPr="002F1FBD" w:rsidRDefault="00972653" w:rsidP="00972653">
      <w:pPr>
        <w:pStyle w:val="SQL"/>
      </w:pPr>
      <w:r>
        <w:t xml:space="preserve">                      </w:t>
      </w:r>
      <w:proofErr w:type="spellStart"/>
      <w:r w:rsidRPr="002F1FBD">
        <w:t>FromDate</w:t>
      </w:r>
      <w:proofErr w:type="spellEnd"/>
      <w:r w:rsidRPr="002F1FBD">
        <w:t>=#03/31/2016#, #09/30/2016#,  true,</w:t>
      </w:r>
      <w:r>
        <w:t xml:space="preserve"> </w:t>
      </w:r>
      <w:proofErr w:type="spellStart"/>
      <w:r w:rsidRPr="002F1FBD">
        <w:t>FromDate</w:t>
      </w:r>
      <w:proofErr w:type="spellEnd"/>
      <w:r w:rsidRPr="002F1FBD">
        <w:t>),</w:t>
      </w:r>
    </w:p>
    <w:p w14:paraId="375823D0" w14:textId="77777777" w:rsidR="00972653" w:rsidRDefault="00972653" w:rsidP="00972653">
      <w:pPr>
        <w:pStyle w:val="SQL"/>
      </w:pPr>
      <w:r w:rsidRPr="002F1FBD">
        <w:t xml:space="preserve">    </w:t>
      </w:r>
      <w:proofErr w:type="spellStart"/>
      <w:r w:rsidRPr="002F1FBD">
        <w:t>ToDate</w:t>
      </w:r>
      <w:proofErr w:type="spellEnd"/>
      <w:r w:rsidRPr="002F1FBD">
        <w:t xml:space="preserve"> = </w:t>
      </w:r>
      <w:proofErr w:type="gramStart"/>
      <w:r w:rsidRPr="002F1FBD">
        <w:t>switch(</w:t>
      </w:r>
      <w:proofErr w:type="spellStart"/>
      <w:proofErr w:type="gramEnd"/>
      <w:r w:rsidRPr="002F1FBD">
        <w:t>ToDa</w:t>
      </w:r>
      <w:r>
        <w:t>te</w:t>
      </w:r>
      <w:proofErr w:type="spellEnd"/>
      <w:r>
        <w:t xml:space="preserve">=#03/30/2016#, #09/29/2016#, </w:t>
      </w:r>
    </w:p>
    <w:p w14:paraId="4B62C0E6" w14:textId="77777777" w:rsidR="00972653" w:rsidRPr="002F1FBD" w:rsidRDefault="00972653" w:rsidP="00972653">
      <w:pPr>
        <w:pStyle w:val="SQL"/>
      </w:pPr>
      <w:r>
        <w:t xml:space="preserve"> </w:t>
      </w:r>
      <w:r>
        <w:tab/>
      </w:r>
      <w:r>
        <w:tab/>
        <w:t xml:space="preserve"> </w:t>
      </w:r>
      <w:proofErr w:type="spellStart"/>
      <w:r w:rsidRPr="002F1FBD">
        <w:t>ToDate</w:t>
      </w:r>
      <w:proofErr w:type="spellEnd"/>
      <w:r w:rsidRPr="002F1FBD">
        <w:t>=#03/31/2016#, #09/30/2016#,  true,</w:t>
      </w:r>
      <w:r>
        <w:t xml:space="preserve"> </w:t>
      </w:r>
      <w:proofErr w:type="spellStart"/>
      <w:r w:rsidRPr="002F1FBD">
        <w:t>ToDate</w:t>
      </w:r>
      <w:proofErr w:type="spellEnd"/>
      <w:r w:rsidRPr="002F1FBD">
        <w:t>);</w:t>
      </w:r>
    </w:p>
    <w:p w14:paraId="51CAC3BE" w14:textId="77777777" w:rsidR="00EF4B8E" w:rsidRDefault="00EF4B8E" w:rsidP="00EF4B8E">
      <w:pPr>
        <w:ind w:left="720"/>
        <w:rPr>
          <w:sz w:val="16"/>
          <w:szCs w:val="16"/>
        </w:rPr>
      </w:pPr>
    </w:p>
    <w:p w14:paraId="4B59F23E" w14:textId="594A9A73" w:rsidR="00972653" w:rsidRPr="002F1FBD" w:rsidRDefault="00972653" w:rsidP="00972653">
      <w:pPr>
        <w:pStyle w:val="SQL"/>
      </w:pPr>
      <w:proofErr w:type="gramStart"/>
      <w:r w:rsidRPr="002F1FBD">
        <w:t>update</w:t>
      </w:r>
      <w:proofErr w:type="gramEnd"/>
      <w:r w:rsidRPr="002F1FBD">
        <w:t xml:space="preserve"> </w:t>
      </w:r>
      <w:proofErr w:type="spellStart"/>
      <w:r>
        <w:t>DataPointVersion</w:t>
      </w:r>
      <w:proofErr w:type="spellEnd"/>
      <w:r w:rsidRPr="002F1FBD">
        <w:t xml:space="preserve"> </w:t>
      </w:r>
    </w:p>
    <w:p w14:paraId="54AF0512" w14:textId="77777777" w:rsidR="00972653" w:rsidRDefault="00972653" w:rsidP="00972653">
      <w:pPr>
        <w:pStyle w:val="SQL"/>
      </w:pPr>
      <w:proofErr w:type="gramStart"/>
      <w:r w:rsidRPr="002F1FBD">
        <w:t>set</w:t>
      </w:r>
      <w:proofErr w:type="gramEnd"/>
      <w:r w:rsidRPr="002F1FBD">
        <w:t xml:space="preserve"> </w:t>
      </w:r>
      <w:proofErr w:type="spellStart"/>
      <w:r w:rsidRPr="002F1FBD">
        <w:t>FromDate</w:t>
      </w:r>
      <w:proofErr w:type="spellEnd"/>
      <w:r w:rsidRPr="002F1FBD">
        <w:t xml:space="preserve"> = switch(</w:t>
      </w:r>
      <w:proofErr w:type="spellStart"/>
      <w:r w:rsidRPr="002F1FBD">
        <w:t>FromDate</w:t>
      </w:r>
      <w:proofErr w:type="spellEnd"/>
      <w:r w:rsidRPr="002F1FBD">
        <w:t xml:space="preserve">=#03/30/2016#, #09/29/2016#,  </w:t>
      </w:r>
    </w:p>
    <w:p w14:paraId="5962677E" w14:textId="77777777" w:rsidR="00972653" w:rsidRPr="002F1FBD" w:rsidRDefault="00972653" w:rsidP="00972653">
      <w:pPr>
        <w:pStyle w:val="SQL"/>
      </w:pPr>
      <w:r>
        <w:t xml:space="preserve">                      </w:t>
      </w:r>
      <w:proofErr w:type="spellStart"/>
      <w:r w:rsidRPr="002F1FBD">
        <w:t>FromDate</w:t>
      </w:r>
      <w:proofErr w:type="spellEnd"/>
      <w:r w:rsidRPr="002F1FBD">
        <w:t>=#03/31/2016#, #09/30/2016#,  true,</w:t>
      </w:r>
      <w:r>
        <w:t xml:space="preserve"> </w:t>
      </w:r>
      <w:proofErr w:type="spellStart"/>
      <w:r w:rsidRPr="002F1FBD">
        <w:t>FromDate</w:t>
      </w:r>
      <w:proofErr w:type="spellEnd"/>
      <w:r w:rsidRPr="002F1FBD">
        <w:t>),</w:t>
      </w:r>
    </w:p>
    <w:p w14:paraId="2F293274" w14:textId="77777777" w:rsidR="00972653" w:rsidRDefault="00972653" w:rsidP="00972653">
      <w:pPr>
        <w:pStyle w:val="SQL"/>
      </w:pPr>
      <w:r w:rsidRPr="002F1FBD">
        <w:t xml:space="preserve">    </w:t>
      </w:r>
      <w:proofErr w:type="spellStart"/>
      <w:r w:rsidRPr="002F1FBD">
        <w:t>ToDate</w:t>
      </w:r>
      <w:proofErr w:type="spellEnd"/>
      <w:r w:rsidRPr="002F1FBD">
        <w:t xml:space="preserve"> = </w:t>
      </w:r>
      <w:proofErr w:type="gramStart"/>
      <w:r w:rsidRPr="002F1FBD">
        <w:t>switch(</w:t>
      </w:r>
      <w:proofErr w:type="spellStart"/>
      <w:proofErr w:type="gramEnd"/>
      <w:r w:rsidRPr="002F1FBD">
        <w:t>ToDa</w:t>
      </w:r>
      <w:r>
        <w:t>te</w:t>
      </w:r>
      <w:proofErr w:type="spellEnd"/>
      <w:r>
        <w:t xml:space="preserve">=#03/30/2016#, #09/29/2016#, </w:t>
      </w:r>
    </w:p>
    <w:p w14:paraId="5A815246" w14:textId="77777777" w:rsidR="00972653" w:rsidRDefault="00972653" w:rsidP="00972653">
      <w:pPr>
        <w:pStyle w:val="SQL"/>
      </w:pPr>
      <w:r>
        <w:t xml:space="preserve"> </w:t>
      </w:r>
      <w:r>
        <w:tab/>
      </w:r>
      <w:r>
        <w:tab/>
        <w:t xml:space="preserve"> </w:t>
      </w:r>
      <w:proofErr w:type="spellStart"/>
      <w:r w:rsidRPr="002F1FBD">
        <w:t>ToDate</w:t>
      </w:r>
      <w:proofErr w:type="spellEnd"/>
      <w:r w:rsidRPr="002F1FBD">
        <w:t>=#03/31/2016#, #09/30/2016#,  true,</w:t>
      </w:r>
      <w:r>
        <w:t xml:space="preserve"> </w:t>
      </w:r>
      <w:proofErr w:type="spellStart"/>
      <w:r w:rsidRPr="002F1FBD">
        <w:t>ToDate</w:t>
      </w:r>
      <w:proofErr w:type="spellEnd"/>
      <w:r w:rsidRPr="002F1FBD">
        <w:t>);</w:t>
      </w:r>
    </w:p>
    <w:p w14:paraId="6ECD3D1B" w14:textId="77777777" w:rsidR="00972653" w:rsidRPr="002F1FBD" w:rsidRDefault="00972653" w:rsidP="00972653">
      <w:pPr>
        <w:pStyle w:val="SQL"/>
      </w:pPr>
    </w:p>
    <w:p w14:paraId="07F17944" w14:textId="453A75FD" w:rsidR="00972653" w:rsidRPr="002F1FBD" w:rsidRDefault="00972653" w:rsidP="00972653">
      <w:pPr>
        <w:pStyle w:val="SQL"/>
      </w:pPr>
      <w:proofErr w:type="gramStart"/>
      <w:r w:rsidRPr="002F1FBD">
        <w:t>update</w:t>
      </w:r>
      <w:proofErr w:type="gramEnd"/>
      <w:r w:rsidRPr="002F1FBD">
        <w:t xml:space="preserve"> </w:t>
      </w:r>
      <w:proofErr w:type="spellStart"/>
      <w:r>
        <w:t>TableVersion</w:t>
      </w:r>
      <w:proofErr w:type="spellEnd"/>
      <w:r w:rsidRPr="002F1FBD">
        <w:t xml:space="preserve"> </w:t>
      </w:r>
    </w:p>
    <w:p w14:paraId="55C5E4F1" w14:textId="77777777" w:rsidR="00972653" w:rsidRDefault="00972653" w:rsidP="00972653">
      <w:pPr>
        <w:pStyle w:val="SQL"/>
      </w:pPr>
      <w:proofErr w:type="gramStart"/>
      <w:r w:rsidRPr="002F1FBD">
        <w:t>set</w:t>
      </w:r>
      <w:proofErr w:type="gramEnd"/>
      <w:r w:rsidRPr="002F1FBD">
        <w:t xml:space="preserve"> </w:t>
      </w:r>
      <w:proofErr w:type="spellStart"/>
      <w:r w:rsidRPr="002F1FBD">
        <w:t>FromDate</w:t>
      </w:r>
      <w:proofErr w:type="spellEnd"/>
      <w:r w:rsidRPr="002F1FBD">
        <w:t xml:space="preserve"> = switch(</w:t>
      </w:r>
      <w:proofErr w:type="spellStart"/>
      <w:r w:rsidRPr="002F1FBD">
        <w:t>FromDate</w:t>
      </w:r>
      <w:proofErr w:type="spellEnd"/>
      <w:r w:rsidRPr="002F1FBD">
        <w:t xml:space="preserve">=#03/30/2016#, #09/29/2016#,  </w:t>
      </w:r>
    </w:p>
    <w:p w14:paraId="23ECD715" w14:textId="77777777" w:rsidR="00972653" w:rsidRPr="002F1FBD" w:rsidRDefault="00972653" w:rsidP="00972653">
      <w:pPr>
        <w:pStyle w:val="SQL"/>
      </w:pPr>
      <w:r>
        <w:t xml:space="preserve">                      </w:t>
      </w:r>
      <w:proofErr w:type="spellStart"/>
      <w:r w:rsidRPr="002F1FBD">
        <w:t>FromDate</w:t>
      </w:r>
      <w:proofErr w:type="spellEnd"/>
      <w:r w:rsidRPr="002F1FBD">
        <w:t>=#03/31/2016#, #09/30/2016#,  true,</w:t>
      </w:r>
      <w:r>
        <w:t xml:space="preserve"> </w:t>
      </w:r>
      <w:proofErr w:type="spellStart"/>
      <w:r w:rsidRPr="002F1FBD">
        <w:t>FromDate</w:t>
      </w:r>
      <w:proofErr w:type="spellEnd"/>
      <w:r w:rsidRPr="002F1FBD">
        <w:t>),</w:t>
      </w:r>
    </w:p>
    <w:p w14:paraId="5003F8D3" w14:textId="77777777" w:rsidR="00972653" w:rsidRDefault="00972653" w:rsidP="00972653">
      <w:pPr>
        <w:pStyle w:val="SQL"/>
      </w:pPr>
      <w:r w:rsidRPr="002F1FBD">
        <w:t xml:space="preserve">    </w:t>
      </w:r>
      <w:proofErr w:type="spellStart"/>
      <w:r w:rsidRPr="002F1FBD">
        <w:t>ToDate</w:t>
      </w:r>
      <w:proofErr w:type="spellEnd"/>
      <w:r w:rsidRPr="002F1FBD">
        <w:t xml:space="preserve"> = </w:t>
      </w:r>
      <w:proofErr w:type="gramStart"/>
      <w:r w:rsidRPr="002F1FBD">
        <w:t>switch(</w:t>
      </w:r>
      <w:proofErr w:type="spellStart"/>
      <w:proofErr w:type="gramEnd"/>
      <w:r w:rsidRPr="002F1FBD">
        <w:t>ToDa</w:t>
      </w:r>
      <w:r>
        <w:t>te</w:t>
      </w:r>
      <w:proofErr w:type="spellEnd"/>
      <w:r>
        <w:t xml:space="preserve">=#03/30/2016#, #09/29/2016#, </w:t>
      </w:r>
    </w:p>
    <w:p w14:paraId="436D9955" w14:textId="77777777" w:rsidR="00972653" w:rsidRPr="002F1FBD" w:rsidRDefault="00972653" w:rsidP="00972653">
      <w:pPr>
        <w:pStyle w:val="SQL"/>
      </w:pPr>
      <w:r>
        <w:t xml:space="preserve"> </w:t>
      </w:r>
      <w:r>
        <w:tab/>
      </w:r>
      <w:r>
        <w:tab/>
        <w:t xml:space="preserve"> </w:t>
      </w:r>
      <w:proofErr w:type="spellStart"/>
      <w:r w:rsidRPr="002F1FBD">
        <w:t>ToDate</w:t>
      </w:r>
      <w:proofErr w:type="spellEnd"/>
      <w:r w:rsidRPr="002F1FBD">
        <w:t>=#03/31/2016#, #09/30/2016#,  true,</w:t>
      </w:r>
      <w:r>
        <w:t xml:space="preserve"> </w:t>
      </w:r>
      <w:proofErr w:type="spellStart"/>
      <w:r w:rsidRPr="002F1FBD">
        <w:t>ToDate</w:t>
      </w:r>
      <w:proofErr w:type="spellEnd"/>
      <w:r w:rsidRPr="002F1FBD">
        <w:t>);</w:t>
      </w:r>
    </w:p>
    <w:p w14:paraId="0FEB2793" w14:textId="77777777" w:rsidR="00972653" w:rsidRPr="00EF4B8E" w:rsidRDefault="00972653" w:rsidP="00EF4B8E">
      <w:pPr>
        <w:ind w:left="720"/>
        <w:rPr>
          <w:sz w:val="16"/>
          <w:szCs w:val="16"/>
        </w:rPr>
      </w:pPr>
    </w:p>
    <w:p w14:paraId="60EDE6EA" w14:textId="77777777" w:rsidR="00B37B93" w:rsidRDefault="00B37B93" w:rsidP="00B37B93">
      <w:pPr>
        <w:pStyle w:val="Titlelevel2"/>
      </w:pPr>
      <w:r>
        <w:t>XBRL</w:t>
      </w:r>
      <w:r w:rsidRPr="002C21E9">
        <w:t xml:space="preserve"> Changes</w:t>
      </w:r>
    </w:p>
    <w:p w14:paraId="089DF1D1" w14:textId="59993B47" w:rsidR="0023080F" w:rsidRDefault="00B37B93" w:rsidP="0045148F">
      <w:pPr>
        <w:pStyle w:val="Titlelevel3"/>
      </w:pPr>
      <w:r>
        <w:t>For 2.4.1.1 (c.f. release 2.4.1.0)</w:t>
      </w:r>
      <w:r w:rsidR="0045148F">
        <w:t xml:space="preserve"> and 2.5.0.1 (c.f. release 2.5.0.0)</w:t>
      </w:r>
      <w:proofErr w:type="gramStart"/>
      <w:r w:rsidR="0045148F">
        <w:t>:</w:t>
      </w:r>
      <w:r>
        <w:t>:</w:t>
      </w:r>
      <w:proofErr w:type="gramEnd"/>
    </w:p>
    <w:p w14:paraId="2E70991A" w14:textId="77777777" w:rsidR="00B37B93" w:rsidRDefault="00B37B93" w:rsidP="00B37B93">
      <w:pPr>
        <w:rPr>
          <w:sz w:val="16"/>
          <w:szCs w:val="16"/>
        </w:rPr>
      </w:pPr>
    </w:p>
    <w:p w14:paraId="3D7F831F" w14:textId="627B41B7" w:rsidR="00B37B93" w:rsidRDefault="0045148F" w:rsidP="0045148F">
      <w:pPr>
        <w:pStyle w:val="ListParagraph"/>
        <w:numPr>
          <w:ilvl w:val="0"/>
          <w:numId w:val="23"/>
        </w:numPr>
      </w:pPr>
      <w:r>
        <w:t xml:space="preserve">COREP </w:t>
      </w:r>
      <w:r w:rsidR="00CD1A55">
        <w:t>“</w:t>
      </w:r>
      <w:r>
        <w:t>2.2.1</w:t>
      </w:r>
      <w:r w:rsidR="00CD1A55">
        <w:t>”</w:t>
      </w:r>
      <w:r>
        <w:t xml:space="preserve"> (from set 2.4.1) and </w:t>
      </w:r>
      <w:r w:rsidR="00CD1A55">
        <w:t>“</w:t>
      </w:r>
      <w:r>
        <w:t>2.2.</w:t>
      </w:r>
      <w:r w:rsidR="00CD1A55">
        <w:t>2”</w:t>
      </w:r>
      <w:r>
        <w:t xml:space="preserve"> (from set 2.5.0): </w:t>
      </w:r>
      <w:r w:rsidR="00B37B93" w:rsidRPr="0045148F">
        <w:t>Change in assertion set for C75.00.a and C75.00.w, addition</w:t>
      </w:r>
      <w:r>
        <w:t>/correction</w:t>
      </w:r>
      <w:r w:rsidR="00B37B93" w:rsidRPr="0045148F">
        <w:t xml:space="preserve"> of local versions of validation rule files for rules v4533-454</w:t>
      </w:r>
      <w:r w:rsidR="008C6146">
        <w:t>9 and v4672-4688</w:t>
      </w:r>
      <w:r w:rsidR="00B37B93" w:rsidRPr="0045148F">
        <w:t xml:space="preserve">), change to module schema files for COREP_LCR entry </w:t>
      </w:r>
      <w:proofErr w:type="gramStart"/>
      <w:r w:rsidR="00B37B93" w:rsidRPr="0045148F">
        <w:t>points</w:t>
      </w:r>
      <w:r>
        <w:t xml:space="preserve"> </w:t>
      </w:r>
      <w:r w:rsidR="00B37B93" w:rsidRPr="0045148F">
        <w:t xml:space="preserve"> to</w:t>
      </w:r>
      <w:proofErr w:type="gramEnd"/>
      <w:r w:rsidR="00B37B93" w:rsidRPr="0045148F">
        <w:t xml:space="preserve"> reference the local versions of the corrected validation rule files </w:t>
      </w:r>
      <w:r>
        <w:t xml:space="preserve">where previously </w:t>
      </w:r>
      <w:r w:rsidRPr="0045148F">
        <w:t xml:space="preserve">the </w:t>
      </w:r>
      <w:r w:rsidR="00B37B93" w:rsidRPr="0045148F">
        <w:t xml:space="preserve">2.4.0.0 </w:t>
      </w:r>
      <w:r w:rsidRPr="0045148F">
        <w:t xml:space="preserve">taxonomy </w:t>
      </w:r>
      <w:r w:rsidR="00CD1A55">
        <w:t xml:space="preserve">set </w:t>
      </w:r>
      <w:r w:rsidR="00B37B93" w:rsidRPr="0045148F">
        <w:t>version</w:t>
      </w:r>
      <w:r w:rsidRPr="0045148F">
        <w:t>s of these files</w:t>
      </w:r>
      <w:r>
        <w:t xml:space="preserve"> were </w:t>
      </w:r>
      <w:r w:rsidRPr="0045148F">
        <w:t>directly reference</w:t>
      </w:r>
      <w:r>
        <w:t>d</w:t>
      </w:r>
      <w:r w:rsidR="00B37B93" w:rsidRPr="0045148F">
        <w:t>.</w:t>
      </w:r>
    </w:p>
    <w:p w14:paraId="50151380" w14:textId="6EE5FF2D" w:rsidR="00B37B93" w:rsidRPr="0045148F" w:rsidRDefault="002317E2" w:rsidP="0045148F">
      <w:pPr>
        <w:pStyle w:val="ListParagraph"/>
        <w:numPr>
          <w:ilvl w:val="0"/>
          <w:numId w:val="23"/>
        </w:numPr>
      </w:pPr>
      <w:r>
        <w:t xml:space="preserve">SBP “1.0.3” from 2.5 </w:t>
      </w:r>
      <w:proofErr w:type="gramStart"/>
      <w:r>
        <w:t>line</w:t>
      </w:r>
      <w:proofErr w:type="gramEnd"/>
      <w:r>
        <w:t xml:space="preserve">: commenting out of link between SBP_IND and SBP_CON modules and validation rules </w:t>
      </w:r>
      <w:r>
        <w:t>v4741_h-v4743_h</w:t>
      </w:r>
      <w:r>
        <w:t>.</w:t>
      </w:r>
    </w:p>
    <w:p w14:paraId="5FBB5275" w14:textId="077BB71C" w:rsidR="00B37B93" w:rsidRDefault="0045148F" w:rsidP="0045148F">
      <w:pPr>
        <w:pStyle w:val="ListParagraph"/>
        <w:numPr>
          <w:ilvl w:val="0"/>
          <w:numId w:val="23"/>
        </w:numPr>
      </w:pPr>
      <w:r>
        <w:lastRenderedPageBreak/>
        <w:t xml:space="preserve">(Incidental) </w:t>
      </w:r>
      <w:r w:rsidR="00B37B93" w:rsidRPr="0045148F">
        <w:t>Change of to / from date metadata attributes in various dictionary schema files, and tax.xsd</w:t>
      </w:r>
      <w:r>
        <w:t xml:space="preserve"> files for 2.3 and 2.4 </w:t>
      </w:r>
      <w:proofErr w:type="gramStart"/>
      <w:r>
        <w:t>line</w:t>
      </w:r>
      <w:proofErr w:type="gramEnd"/>
      <w:r>
        <w:t xml:space="preserve"> COREP, FINREP and SBP reporting taxonomies </w:t>
      </w:r>
      <w:r w:rsidR="00B37B93" w:rsidRPr="0045148F">
        <w:t xml:space="preserve">with now known start date for 2.4.x taxonomy line (i.e. end March 2016 </w:t>
      </w:r>
      <w:r>
        <w:t xml:space="preserve">dates </w:t>
      </w:r>
      <w:r w:rsidR="00B37B93" w:rsidRPr="0045148F">
        <w:t>changed to end September 2016</w:t>
      </w:r>
      <w:r>
        <w:t xml:space="preserve"> dates</w:t>
      </w:r>
      <w:r w:rsidR="00B37B93" w:rsidRPr="0045148F">
        <w:t>).</w:t>
      </w:r>
    </w:p>
    <w:p w14:paraId="029F7521" w14:textId="77777777" w:rsidR="008C6146" w:rsidRDefault="008C6146" w:rsidP="008C6146">
      <w:pPr>
        <w:pStyle w:val="ListParagraph"/>
      </w:pPr>
    </w:p>
    <w:p w14:paraId="35406640" w14:textId="77777777" w:rsidR="008C6146" w:rsidRDefault="008C6146" w:rsidP="008C6146">
      <w:pPr>
        <w:pStyle w:val="ListParagraph"/>
      </w:pPr>
    </w:p>
    <w:p w14:paraId="37650E03" w14:textId="594F4F91" w:rsidR="0045148F" w:rsidRPr="0045148F" w:rsidRDefault="008C6146" w:rsidP="008C6146">
      <w:r>
        <w:t xml:space="preserve">Note that the taxonomy packages included are laid out in directories so as to indicate both the changes in </w:t>
      </w:r>
      <w:proofErr w:type="gramStart"/>
      <w:r>
        <w:t>this</w:t>
      </w:r>
      <w:proofErr w:type="gramEnd"/>
      <w:r>
        <w:t xml:space="preserve"> version vs 2.5.0 / 2.4.1, and the changes that were made to them in 2.5.0/2.4.1</w:t>
      </w:r>
    </w:p>
    <w:p w14:paraId="55B5EA66" w14:textId="182A831A" w:rsidR="00AD231B" w:rsidRDefault="00AD231B" w:rsidP="00923CC5">
      <w:pPr>
        <w:pStyle w:val="Titlelevel1"/>
        <w:rPr>
          <w:i/>
        </w:rPr>
      </w:pPr>
      <w:r>
        <w:rPr>
          <w:i/>
        </w:rPr>
        <w:t>v2.5</w:t>
      </w:r>
      <w:r w:rsidRPr="00E47786">
        <w:rPr>
          <w:i/>
        </w:rPr>
        <w:t>.</w:t>
      </w:r>
      <w:r>
        <w:rPr>
          <w:i/>
        </w:rPr>
        <w:t xml:space="preserve">0 </w:t>
      </w:r>
      <w:r w:rsidRPr="00E47786">
        <w:rPr>
          <w:i/>
        </w:rPr>
        <w:t>(“201</w:t>
      </w:r>
      <w:r>
        <w:rPr>
          <w:i/>
        </w:rPr>
        <w:t>6</w:t>
      </w:r>
      <w:r w:rsidRPr="00E47786">
        <w:rPr>
          <w:i/>
        </w:rPr>
        <w:t>-</w:t>
      </w:r>
      <w:r>
        <w:rPr>
          <w:i/>
        </w:rPr>
        <w:t>A”</w:t>
      </w:r>
      <w:r w:rsidRPr="00E47786">
        <w:rPr>
          <w:i/>
        </w:rPr>
        <w:t>)</w:t>
      </w:r>
    </w:p>
    <w:p w14:paraId="5CD8344B" w14:textId="77777777" w:rsidR="008350C5" w:rsidRDefault="008350C5" w:rsidP="008350C5">
      <w:pPr>
        <w:pStyle w:val="Titlelevel2"/>
      </w:pPr>
      <w:r>
        <w:t>Summary and Impact</w:t>
      </w:r>
    </w:p>
    <w:p w14:paraId="6DD4151E" w14:textId="56E44AAD" w:rsidR="008350C5" w:rsidRDefault="008350C5" w:rsidP="008350C5">
      <w:r>
        <w:t>This release implements general evolution of the EBA reporting frameworks. All of the EBA frameworks and reports are affected, though the degree of change is not extensive. Changes are in general relatively minor adjustments, corrections and enhancements, with only limited additional data requirements.</w:t>
      </w:r>
    </w:p>
    <w:p w14:paraId="008DF6C0" w14:textId="77777777" w:rsidR="008350C5" w:rsidRDefault="008350C5" w:rsidP="008350C5"/>
    <w:p w14:paraId="5AB4DABE" w14:textId="4D7A7466" w:rsidR="008350C5" w:rsidRPr="008350C5" w:rsidRDefault="008350C5" w:rsidP="008350C5">
      <w:pPr>
        <w:ind w:left="720"/>
        <w:rPr>
          <w:i/>
        </w:rPr>
      </w:pPr>
      <w:r w:rsidRPr="008350C5">
        <w:rPr>
          <w:i/>
        </w:rPr>
        <w:t xml:space="preserve">Implementation effort for participants is not expected to be </w:t>
      </w:r>
      <w:r>
        <w:rPr>
          <w:i/>
        </w:rPr>
        <w:t>large</w:t>
      </w:r>
      <w:r w:rsidRPr="008350C5">
        <w:rPr>
          <w:i/>
        </w:rPr>
        <w:t>.</w:t>
      </w:r>
    </w:p>
    <w:p w14:paraId="08E3BFD8" w14:textId="77777777" w:rsidR="00A526CE" w:rsidRDefault="00A526CE" w:rsidP="00A526CE">
      <w:pPr>
        <w:pStyle w:val="Titlelevel2"/>
      </w:pPr>
      <w:r w:rsidRPr="00AF5AA3">
        <w:t>Purpose</w:t>
      </w:r>
    </w:p>
    <w:p w14:paraId="2443897A" w14:textId="18B79101" w:rsidR="00A526CE" w:rsidRDefault="00B2759E" w:rsidP="00183058">
      <w:pPr>
        <w:pStyle w:val="ListParagraph"/>
        <w:numPr>
          <w:ilvl w:val="0"/>
          <w:numId w:val="21"/>
        </w:numPr>
      </w:pPr>
      <w:r>
        <w:t>Primarily c</w:t>
      </w:r>
      <w:r w:rsidR="00A526CE">
        <w:t>orrections and changes to FINREP and COREP:</w:t>
      </w:r>
    </w:p>
    <w:p w14:paraId="4DFDD626" w14:textId="77777777" w:rsidR="00A526CE" w:rsidRDefault="00A526CE" w:rsidP="00183058">
      <w:pPr>
        <w:pStyle w:val="ListParagraph"/>
        <w:numPr>
          <w:ilvl w:val="1"/>
          <w:numId w:val="21"/>
        </w:numPr>
      </w:pPr>
      <w:r>
        <w:t>Changes to FINREP as regards GAAP reporters</w:t>
      </w:r>
    </w:p>
    <w:p w14:paraId="1E0D5EED" w14:textId="77777777" w:rsidR="00A526CE" w:rsidRDefault="00A526CE" w:rsidP="00183058">
      <w:pPr>
        <w:pStyle w:val="ListParagraph"/>
        <w:numPr>
          <w:ilvl w:val="1"/>
          <w:numId w:val="21"/>
        </w:numPr>
      </w:pPr>
      <w:r>
        <w:t>Changes to COREP to align with CCB disclosure</w:t>
      </w:r>
    </w:p>
    <w:p w14:paraId="01FF6BE4" w14:textId="77777777" w:rsidR="00A526CE" w:rsidRDefault="00A526CE" w:rsidP="00183058">
      <w:pPr>
        <w:pStyle w:val="ListParagraph"/>
        <w:numPr>
          <w:ilvl w:val="0"/>
          <w:numId w:val="21"/>
        </w:numPr>
      </w:pPr>
      <w:r>
        <w:t>Implementation at the XBRL level of the additional Asset Encumbrance validation rules that were added to the validation rule spreadsheet in v2.4</w:t>
      </w:r>
    </w:p>
    <w:p w14:paraId="2D1DA64D" w14:textId="3B7E0B03" w:rsidR="0000662A" w:rsidRDefault="0000662A" w:rsidP="00183058">
      <w:pPr>
        <w:pStyle w:val="ListParagraph"/>
        <w:numPr>
          <w:ilvl w:val="0"/>
          <w:numId w:val="21"/>
        </w:numPr>
      </w:pPr>
      <w:r>
        <w:t>Minor changes and corrections to the other frameworks.</w:t>
      </w:r>
    </w:p>
    <w:p w14:paraId="55B5EA67" w14:textId="2C5E4D14" w:rsidR="00394670" w:rsidRDefault="00BC7A7F" w:rsidP="00BC7A7F">
      <w:pPr>
        <w:pStyle w:val="Titlelevel2"/>
      </w:pPr>
      <w:r>
        <w:t xml:space="preserve">DPM / </w:t>
      </w:r>
      <w:r w:rsidR="0060474C">
        <w:t>Reporting content</w:t>
      </w:r>
      <w:r w:rsidR="00394670">
        <w:t xml:space="preserve"> changes:</w:t>
      </w:r>
    </w:p>
    <w:p w14:paraId="55B5EA68" w14:textId="48DCBE42" w:rsidR="00394670" w:rsidRDefault="001A4D91" w:rsidP="00AD231B">
      <w:r>
        <w:t>(</w:t>
      </w:r>
      <w:proofErr w:type="gramStart"/>
      <w:r>
        <w:t>see</w:t>
      </w:r>
      <w:proofErr w:type="gramEnd"/>
      <w:r>
        <w:t xml:space="preserve"> “</w:t>
      </w:r>
      <w:r w:rsidR="00A526CE" w:rsidRPr="00F14EAF">
        <w:t>Summary Differences 2.5 to 2.4.docx</w:t>
      </w:r>
      <w:r>
        <w:t>” file for more detail of changes)</w:t>
      </w:r>
    </w:p>
    <w:p w14:paraId="55B5EA69" w14:textId="77777777" w:rsidR="00BC7A7F" w:rsidRPr="00BC7A7F" w:rsidRDefault="00BC7A7F" w:rsidP="00BC7A7F">
      <w:pPr>
        <w:pStyle w:val="Titlelevel3"/>
      </w:pPr>
      <w:r w:rsidRPr="00BC7A7F">
        <w:t xml:space="preserve">COREP </w:t>
      </w:r>
    </w:p>
    <w:p w14:paraId="59394D6D" w14:textId="7518892C" w:rsidR="001A4D91" w:rsidRPr="0000662A" w:rsidRDefault="00113BFD" w:rsidP="00183058">
      <w:pPr>
        <w:pStyle w:val="ListParagraph"/>
        <w:numPr>
          <w:ilvl w:val="0"/>
          <w:numId w:val="28"/>
        </w:numPr>
        <w:rPr>
          <w:rFonts w:ascii="Calibri" w:eastAsia="Times New Roman" w:hAnsi="Calibri" w:cs="Times New Roman"/>
          <w:color w:val="000000"/>
          <w:szCs w:val="22"/>
        </w:rPr>
      </w:pPr>
      <w:r>
        <w:t>C 09.03 table deleted, replaced with C09.04</w:t>
      </w:r>
      <w:r w:rsidR="001A4D91">
        <w:t xml:space="preserve"> requesting a wider set of data related to the </w:t>
      </w:r>
      <w:proofErr w:type="gramStart"/>
      <w:r w:rsidR="001A4D91">
        <w:t>Countercyclical</w:t>
      </w:r>
      <w:proofErr w:type="gramEnd"/>
      <w:r w:rsidR="001A4D91">
        <w:t xml:space="preserve"> buffer calculation.</w:t>
      </w:r>
    </w:p>
    <w:p w14:paraId="16472928" w14:textId="74E97EB7" w:rsidR="001A4D91" w:rsidRPr="0000662A" w:rsidRDefault="001A4D91" w:rsidP="00183058">
      <w:pPr>
        <w:pStyle w:val="ListParagraph"/>
        <w:numPr>
          <w:ilvl w:val="0"/>
          <w:numId w:val="28"/>
        </w:numPr>
        <w:rPr>
          <w:rFonts w:ascii="Calibri" w:eastAsia="Times New Roman" w:hAnsi="Calibri" w:cs="Times New Roman"/>
          <w:color w:val="000000"/>
          <w:szCs w:val="22"/>
        </w:rPr>
      </w:pPr>
      <w:r w:rsidRPr="0000662A">
        <w:rPr>
          <w:rFonts w:ascii="Calibri" w:eastAsia="Times New Roman" w:hAnsi="Calibri" w:cs="Times New Roman"/>
          <w:color w:val="000000"/>
          <w:szCs w:val="22"/>
        </w:rPr>
        <w:t>Additions to the currency codes noted below, impacting C 51-54, 60, 61, 66-76.</w:t>
      </w:r>
    </w:p>
    <w:p w14:paraId="55B5EA6B" w14:textId="77777777" w:rsidR="00BC7A7F" w:rsidRPr="00BC7A7F" w:rsidRDefault="00BC7A7F" w:rsidP="00BC7A7F">
      <w:pPr>
        <w:pStyle w:val="Titlelevel3"/>
      </w:pPr>
      <w:r w:rsidRPr="00BC7A7F">
        <w:t>FINREP</w:t>
      </w:r>
    </w:p>
    <w:p w14:paraId="55B5EA6C" w14:textId="5AC2D339" w:rsidR="00394670" w:rsidRDefault="00394670" w:rsidP="00183058">
      <w:pPr>
        <w:pStyle w:val="ListParagraph"/>
        <w:numPr>
          <w:ilvl w:val="0"/>
          <w:numId w:val="27"/>
        </w:numPr>
      </w:pPr>
      <w:r w:rsidRPr="00394670">
        <w:t>Nesting of row</w:t>
      </w:r>
      <w:r w:rsidR="00024782">
        <w:t xml:space="preserve">s in F_18.00 and F_19.00 corrected. Previously rows 010 to 170 did </w:t>
      </w:r>
      <w:r w:rsidRPr="00394670">
        <w:t>not appear to be chi</w:t>
      </w:r>
      <w:r w:rsidR="00024782">
        <w:t>ldren of row 180 but rather had</w:t>
      </w:r>
      <w:r w:rsidRPr="00394670">
        <w:t xml:space="preserve"> no par</w:t>
      </w:r>
      <w:r w:rsidR="00024782">
        <w:t xml:space="preserve">ent, and rows 190 to 310 appeared </w:t>
      </w:r>
      <w:r w:rsidRPr="00394670">
        <w:t>as children of row 180 ins</w:t>
      </w:r>
      <w:r w:rsidR="00C27FA7">
        <w:t xml:space="preserve">tead. Note this is the first use of a different value for </w:t>
      </w:r>
      <w:proofErr w:type="spellStart"/>
      <w:r w:rsidR="00C27FA7">
        <w:t>ParentBeforeChildren</w:t>
      </w:r>
      <w:proofErr w:type="spellEnd"/>
      <w:r w:rsidR="00C27FA7">
        <w:t xml:space="preserve"> field in </w:t>
      </w:r>
      <w:proofErr w:type="spellStart"/>
      <w:r w:rsidR="00C27FA7">
        <w:t>AxisOrdinate</w:t>
      </w:r>
      <w:proofErr w:type="spellEnd"/>
      <w:r w:rsidR="00AF39A0">
        <w:t xml:space="preserve"> table of DPM database.</w:t>
      </w:r>
    </w:p>
    <w:p w14:paraId="55B5EA6D" w14:textId="77777777" w:rsidR="00DD74C7" w:rsidRPr="00BC7A7F" w:rsidRDefault="00BC7A7F" w:rsidP="00BC7A7F">
      <w:pPr>
        <w:pStyle w:val="Titlelevel3"/>
      </w:pPr>
      <w:r w:rsidRPr="00BC7A7F">
        <w:lastRenderedPageBreak/>
        <w:t xml:space="preserve">Funding </w:t>
      </w:r>
      <w:r>
        <w:t>P</w:t>
      </w:r>
      <w:r w:rsidRPr="00BC7A7F">
        <w:t>lans</w:t>
      </w:r>
      <w:r w:rsidR="00AB25CF" w:rsidRPr="00BC7A7F">
        <w:tab/>
      </w:r>
    </w:p>
    <w:p w14:paraId="55B5EA6E" w14:textId="4135C94E" w:rsidR="00DD74C7" w:rsidRPr="0000662A" w:rsidRDefault="00DD74C7" w:rsidP="00183058">
      <w:pPr>
        <w:pStyle w:val="ListParagraph"/>
        <w:numPr>
          <w:ilvl w:val="0"/>
          <w:numId w:val="26"/>
        </w:numPr>
        <w:rPr>
          <w:rFonts w:ascii="Calibri" w:eastAsia="Times New Roman" w:hAnsi="Calibri" w:cs="Times New Roman"/>
          <w:color w:val="000000"/>
          <w:szCs w:val="22"/>
        </w:rPr>
      </w:pPr>
      <w:r w:rsidRPr="0000662A">
        <w:rPr>
          <w:rFonts w:ascii="Calibri" w:eastAsia="Times New Roman" w:hAnsi="Calibri" w:cs="Times New Roman"/>
          <w:color w:val="000000"/>
          <w:szCs w:val="22"/>
        </w:rPr>
        <w:t>Renumber</w:t>
      </w:r>
      <w:r w:rsidR="00AF39A0" w:rsidRPr="0000662A">
        <w:rPr>
          <w:rFonts w:ascii="Calibri" w:eastAsia="Times New Roman" w:hAnsi="Calibri" w:cs="Times New Roman"/>
          <w:color w:val="000000"/>
          <w:szCs w:val="22"/>
        </w:rPr>
        <w:t>ed</w:t>
      </w:r>
      <w:r w:rsidRPr="0000662A">
        <w:rPr>
          <w:rFonts w:ascii="Calibri" w:eastAsia="Times New Roman" w:hAnsi="Calibri" w:cs="Times New Roman"/>
          <w:color w:val="000000"/>
          <w:szCs w:val="22"/>
        </w:rPr>
        <w:t>/corrected P02.06 row 049 to 039 (to reflect correct position in layout), this shuffles the XBRL hierarchy, such that 040 is now correctly the child of this row (rather than erroneously being included with rows 010-030).</w:t>
      </w:r>
    </w:p>
    <w:p w14:paraId="55B5EA6F" w14:textId="77777777" w:rsidR="00BC7A7F" w:rsidRDefault="00BC7A7F" w:rsidP="00BC7A7F">
      <w:pPr>
        <w:pStyle w:val="Titlelevel3"/>
        <w:rPr>
          <w:rFonts w:eastAsia="Times New Roman"/>
        </w:rPr>
      </w:pPr>
      <w:r>
        <w:rPr>
          <w:rFonts w:eastAsia="Times New Roman"/>
        </w:rPr>
        <w:t>Benchmarking (SBP)</w:t>
      </w:r>
    </w:p>
    <w:p w14:paraId="55B5EA70" w14:textId="47787E64" w:rsidR="00BC7A7F" w:rsidRPr="0000662A" w:rsidRDefault="00BC7A7F" w:rsidP="00183058">
      <w:pPr>
        <w:pStyle w:val="ListParagraph"/>
        <w:numPr>
          <w:ilvl w:val="0"/>
          <w:numId w:val="25"/>
        </w:numPr>
        <w:rPr>
          <w:rFonts w:ascii="Calibri" w:eastAsia="Times New Roman" w:hAnsi="Calibri" w:cs="Times New Roman"/>
          <w:color w:val="0070C0"/>
          <w:szCs w:val="22"/>
        </w:rPr>
      </w:pPr>
      <w:r w:rsidRPr="0000662A">
        <w:rPr>
          <w:rFonts w:ascii="Calibri" w:eastAsia="Times New Roman" w:hAnsi="Calibri" w:cs="Times New Roman"/>
          <w:color w:val="000000"/>
          <w:szCs w:val="22"/>
        </w:rPr>
        <w:t xml:space="preserve">Tables C101-103 </w:t>
      </w:r>
      <w:r w:rsidR="00AF39A0" w:rsidRPr="0000662A">
        <w:rPr>
          <w:rFonts w:ascii="Calibri" w:eastAsia="Times New Roman" w:hAnsi="Calibri" w:cs="Times New Roman"/>
          <w:color w:val="000000"/>
          <w:szCs w:val="22"/>
        </w:rPr>
        <w:t xml:space="preserve">are </w:t>
      </w:r>
      <w:r w:rsidRPr="0000662A">
        <w:rPr>
          <w:rFonts w:ascii="Calibri" w:eastAsia="Times New Roman" w:hAnsi="Calibri" w:cs="Times New Roman"/>
          <w:color w:val="000000"/>
          <w:szCs w:val="22"/>
        </w:rPr>
        <w:t>each split into 3 sheets (one each for “Credit risk, counterparty credit risk and free deliveries” , “Credit risk and free deliveries”  and “Counterparty credit risk”) – rather than all implicitly being “Credit risk, counterparty credit risk and free deliveries”.</w:t>
      </w:r>
    </w:p>
    <w:p w14:paraId="55B5EA71" w14:textId="77777777" w:rsidR="006E587D" w:rsidRDefault="006E587D" w:rsidP="00BC7A7F">
      <w:pPr>
        <w:pStyle w:val="Titlelevel3"/>
      </w:pPr>
      <w:r>
        <w:t>Asset Encumbrance (AE)</w:t>
      </w:r>
    </w:p>
    <w:p w14:paraId="0146DBA8" w14:textId="2D3CB818" w:rsidR="0095121B" w:rsidRPr="0000662A" w:rsidRDefault="00C132AD" w:rsidP="00183058">
      <w:pPr>
        <w:pStyle w:val="ListParagraph"/>
        <w:numPr>
          <w:ilvl w:val="0"/>
          <w:numId w:val="24"/>
        </w:numPr>
        <w:rPr>
          <w:rFonts w:ascii="Calibri" w:eastAsia="Times New Roman" w:hAnsi="Calibri" w:cs="Times New Roman"/>
          <w:color w:val="000000"/>
          <w:szCs w:val="22"/>
        </w:rPr>
      </w:pPr>
      <w:r w:rsidRPr="0000662A">
        <w:rPr>
          <w:rFonts w:ascii="Calibri" w:eastAsia="Times New Roman" w:hAnsi="Calibri" w:cs="Times New Roman"/>
          <w:color w:val="000000"/>
          <w:szCs w:val="22"/>
        </w:rPr>
        <w:t>Additional validation rules</w:t>
      </w:r>
      <w:r w:rsidR="0095121B" w:rsidRPr="0000662A">
        <w:rPr>
          <w:rFonts w:ascii="Calibri" w:eastAsia="Times New Roman" w:hAnsi="Calibri" w:cs="Times New Roman"/>
          <w:color w:val="000000"/>
          <w:szCs w:val="22"/>
        </w:rPr>
        <w:t xml:space="preserve"> (that were previously published but noted as not implemented in the XBRL taxonomy)</w:t>
      </w:r>
      <w:r w:rsidRPr="0000662A">
        <w:rPr>
          <w:rFonts w:ascii="Calibri" w:eastAsia="Times New Roman" w:hAnsi="Calibri" w:cs="Times New Roman"/>
          <w:color w:val="000000"/>
          <w:szCs w:val="22"/>
        </w:rPr>
        <w:t xml:space="preserve"> included at XBRL level. </w:t>
      </w:r>
    </w:p>
    <w:p w14:paraId="7F2E2132" w14:textId="097DACEE" w:rsidR="001A4D91" w:rsidRPr="0000662A" w:rsidRDefault="001A4D91" w:rsidP="00183058">
      <w:pPr>
        <w:pStyle w:val="ListParagraph"/>
        <w:numPr>
          <w:ilvl w:val="0"/>
          <w:numId w:val="24"/>
        </w:numPr>
        <w:rPr>
          <w:rFonts w:ascii="Calibri" w:eastAsia="Times New Roman" w:hAnsi="Calibri" w:cs="Times New Roman"/>
          <w:color w:val="000000"/>
          <w:szCs w:val="22"/>
        </w:rPr>
      </w:pPr>
      <w:r w:rsidRPr="0000662A">
        <w:rPr>
          <w:rFonts w:ascii="Calibri" w:eastAsia="Times New Roman" w:hAnsi="Calibri" w:cs="Times New Roman"/>
          <w:color w:val="000000"/>
          <w:szCs w:val="22"/>
        </w:rPr>
        <w:t>Corrections to sign metadata on columns 100, 200 and 140 of F 35.00.</w:t>
      </w:r>
    </w:p>
    <w:p w14:paraId="55B5EA72" w14:textId="5B1D9724" w:rsidR="006E587D" w:rsidRPr="0000662A" w:rsidRDefault="00156A70" w:rsidP="00183058">
      <w:pPr>
        <w:pStyle w:val="ListParagraph"/>
        <w:numPr>
          <w:ilvl w:val="0"/>
          <w:numId w:val="24"/>
        </w:numPr>
        <w:rPr>
          <w:rFonts w:ascii="Calibri" w:eastAsia="Times New Roman" w:hAnsi="Calibri" w:cs="Times New Roman"/>
          <w:color w:val="000000"/>
          <w:szCs w:val="22"/>
        </w:rPr>
      </w:pPr>
      <w:r w:rsidRPr="0000662A">
        <w:rPr>
          <w:rFonts w:ascii="Calibri" w:eastAsia="Times New Roman" w:hAnsi="Calibri" w:cs="Times New Roman"/>
          <w:color w:val="000000"/>
          <w:szCs w:val="22"/>
        </w:rPr>
        <w:t>Additions</w:t>
      </w:r>
      <w:r w:rsidR="006E587D" w:rsidRPr="0000662A">
        <w:rPr>
          <w:rFonts w:ascii="Calibri" w:eastAsia="Times New Roman" w:hAnsi="Calibri" w:cs="Times New Roman"/>
          <w:color w:val="000000"/>
          <w:szCs w:val="22"/>
        </w:rPr>
        <w:t xml:space="preserve"> to the currency codes noted below, impacting F </w:t>
      </w:r>
      <w:proofErr w:type="gramStart"/>
      <w:r w:rsidR="006E587D" w:rsidRPr="0000662A">
        <w:rPr>
          <w:rFonts w:ascii="Calibri" w:eastAsia="Times New Roman" w:hAnsi="Calibri" w:cs="Times New Roman"/>
          <w:color w:val="000000"/>
          <w:szCs w:val="22"/>
        </w:rPr>
        <w:t>34.00.c .</w:t>
      </w:r>
      <w:proofErr w:type="gramEnd"/>
      <w:r w:rsidR="006E587D" w:rsidRPr="0000662A">
        <w:rPr>
          <w:rFonts w:ascii="Calibri" w:eastAsia="Times New Roman" w:hAnsi="Calibri" w:cs="Times New Roman"/>
          <w:color w:val="000000"/>
          <w:szCs w:val="22"/>
        </w:rPr>
        <w:t xml:space="preserve"> </w:t>
      </w:r>
    </w:p>
    <w:p w14:paraId="55B5EA73" w14:textId="77777777" w:rsidR="00BC7A7F" w:rsidRPr="00BC7A7F" w:rsidRDefault="00BC7A7F" w:rsidP="00BC7A7F">
      <w:pPr>
        <w:pStyle w:val="Titlelevel3"/>
      </w:pPr>
      <w:r w:rsidRPr="00BC7A7F">
        <w:t>G</w:t>
      </w:r>
      <w:r>
        <w:t>e</w:t>
      </w:r>
      <w:r w:rsidRPr="00BC7A7F">
        <w:t>neral</w:t>
      </w:r>
    </w:p>
    <w:p w14:paraId="44ED4FFC" w14:textId="77777777" w:rsidR="00B2759E" w:rsidRPr="00B2759E" w:rsidRDefault="00BC7A7F" w:rsidP="00183058">
      <w:pPr>
        <w:pStyle w:val="ListParagraph"/>
        <w:numPr>
          <w:ilvl w:val="0"/>
          <w:numId w:val="29"/>
        </w:numPr>
        <w:rPr>
          <w:rFonts w:ascii="Calibri" w:eastAsia="Times New Roman" w:hAnsi="Calibri" w:cs="Times New Roman"/>
          <w:szCs w:val="22"/>
        </w:rPr>
      </w:pPr>
      <w:r>
        <w:t>Addition of new Eurostat International organisations fr</w:t>
      </w:r>
      <w:r w:rsidR="00675C65">
        <w:t xml:space="preserve">om 2015 </w:t>
      </w:r>
      <w:proofErr w:type="spellStart"/>
      <w:r w:rsidR="00675C65">
        <w:t>vandemecum</w:t>
      </w:r>
      <w:proofErr w:type="spellEnd"/>
      <w:r w:rsidR="00675C65">
        <w:t xml:space="preserve"> update</w:t>
      </w:r>
    </w:p>
    <w:p w14:paraId="39750C26" w14:textId="77777777" w:rsidR="00B2759E" w:rsidRDefault="00B2759E" w:rsidP="00B2759E"/>
    <w:p w14:paraId="55B5EA74" w14:textId="388AA1FC" w:rsidR="00BC7A7F" w:rsidRPr="00B2759E" w:rsidRDefault="00B2759E" w:rsidP="00B2759E">
      <w:pPr>
        <w:rPr>
          <w:rFonts w:ascii="Calibri" w:eastAsia="Times New Roman" w:hAnsi="Calibri" w:cs="Times New Roman"/>
          <w:szCs w:val="22"/>
        </w:rPr>
      </w:pPr>
      <w:r>
        <w:t>N</w:t>
      </w:r>
      <w:r w:rsidR="00675C65">
        <w:t xml:space="preserve">ote Eurostat’s </w:t>
      </w:r>
      <w:r w:rsidR="00BC7A7F">
        <w:t xml:space="preserve">change from </w:t>
      </w:r>
      <w:r w:rsidR="00675C65">
        <w:t xml:space="preserve">use of </w:t>
      </w:r>
      <w:r w:rsidR="00BC7A7F">
        <w:t>ESTAT</w:t>
      </w:r>
      <w:proofErr w:type="gramStart"/>
      <w:r w:rsidR="00BC7A7F">
        <w:t>:CL</w:t>
      </w:r>
      <w:proofErr w:type="gramEnd"/>
      <w:r w:rsidR="00BC7A7F">
        <w:t>_AREA_EE</w:t>
      </w:r>
      <w:r w:rsidR="00156A70">
        <w:t xml:space="preserve"> code list</w:t>
      </w:r>
      <w:r w:rsidR="00CE0618">
        <w:t xml:space="preserve"> to IMF:CL_AREA in 2015(2014</w:t>
      </w:r>
      <w:r w:rsidR="003006D2">
        <w:t>?</w:t>
      </w:r>
      <w:r w:rsidR="00BC7A7F">
        <w:t>)</w:t>
      </w:r>
      <w:r w:rsidR="003006D2">
        <w:t xml:space="preserve"> </w:t>
      </w:r>
      <w:proofErr w:type="gramStart"/>
      <w:r w:rsidR="003006D2">
        <w:t>Under BPM6</w:t>
      </w:r>
      <w:r w:rsidR="00BC7A7F">
        <w:t>.</w:t>
      </w:r>
      <w:proofErr w:type="gramEnd"/>
      <w:r w:rsidR="00BC7A7F">
        <w:t xml:space="preserve"> Several of the codes from the new country list clash with those from the old, in those cases the new countries have been given codes prefixed with “</w:t>
      </w:r>
      <w:r w:rsidR="00BC7A7F" w:rsidRPr="00B2759E">
        <w:rPr>
          <w:rFonts w:ascii="Calibri" w:eastAsia="Times New Roman" w:hAnsi="Calibri" w:cs="Times New Roman"/>
          <w:szCs w:val="22"/>
        </w:rPr>
        <w:t>IMF.CL_AREA.</w:t>
      </w:r>
      <w:r w:rsidR="00EA370A" w:rsidRPr="00B2759E">
        <w:rPr>
          <w:rFonts w:ascii="Calibri" w:eastAsia="Times New Roman" w:hAnsi="Calibri" w:cs="Times New Roman"/>
          <w:szCs w:val="22"/>
        </w:rPr>
        <w:t>”. Countries with pre-existing (CL_AREA_</w:t>
      </w:r>
      <w:r w:rsidR="00780161" w:rsidRPr="00B2759E">
        <w:rPr>
          <w:rFonts w:ascii="Calibri" w:eastAsia="Times New Roman" w:hAnsi="Calibri" w:cs="Times New Roman"/>
          <w:szCs w:val="22"/>
        </w:rPr>
        <w:t>EE) codes that are different in</w:t>
      </w:r>
      <w:r w:rsidR="00EA370A" w:rsidRPr="00B2759E">
        <w:rPr>
          <w:rFonts w:ascii="Calibri" w:eastAsia="Times New Roman" w:hAnsi="Calibri" w:cs="Times New Roman"/>
          <w:szCs w:val="22"/>
        </w:rPr>
        <w:t xml:space="preserve"> the new Eurostat list retain their previous codes.</w:t>
      </w:r>
    </w:p>
    <w:p w14:paraId="55B5EA75" w14:textId="77777777" w:rsidR="00BC7A7F" w:rsidRDefault="00BC7A7F" w:rsidP="00BC7A7F"/>
    <w:p w14:paraId="63099102" w14:textId="77777777" w:rsidR="00B2759E" w:rsidRDefault="00BC7A7F" w:rsidP="00183058">
      <w:pPr>
        <w:pStyle w:val="ListParagraph"/>
        <w:numPr>
          <w:ilvl w:val="0"/>
          <w:numId w:val="29"/>
        </w:numPr>
      </w:pPr>
      <w:r>
        <w:t>Addition of currency member (CU</w:t>
      </w:r>
      <w:proofErr w:type="gramStart"/>
      <w:r>
        <w:t>:</w:t>
      </w:r>
      <w:r w:rsidR="00780161">
        <w:t>BRN</w:t>
      </w:r>
      <w:proofErr w:type="gramEnd"/>
      <w:r>
        <w:t xml:space="preserve">) for planned new (“2009 series”) Belarus </w:t>
      </w:r>
      <w:proofErr w:type="spellStart"/>
      <w:r>
        <w:t>Ruble</w:t>
      </w:r>
      <w:proofErr w:type="spellEnd"/>
      <w:r>
        <w:t xml:space="preserve">, and “new” </w:t>
      </w:r>
      <w:r w:rsidR="00B2759E">
        <w:t>(2013) Zambian Kwacha (CU:ZMW).</w:t>
      </w:r>
    </w:p>
    <w:p w14:paraId="65FEF65F" w14:textId="77777777" w:rsidR="00B2759E" w:rsidRDefault="00B2759E" w:rsidP="00B2759E"/>
    <w:p w14:paraId="55B5EA76" w14:textId="013E89B6" w:rsidR="00BC7A7F" w:rsidRDefault="00BC7A7F" w:rsidP="00B2759E">
      <w:r>
        <w:t>Add</w:t>
      </w:r>
      <w:r w:rsidR="00B2759E">
        <w:t>ition of</w:t>
      </w:r>
      <w:r>
        <w:t xml:space="preserve"> these new currencies to CU3_1 (triggers knock on regeneration of </w:t>
      </w:r>
      <w:r w:rsidRPr="00B2759E">
        <w:rPr>
          <w:rFonts w:ascii="Calibri" w:eastAsia="Times New Roman" w:hAnsi="Calibri" w:cs="Times New Roman"/>
          <w:color w:val="000000"/>
          <w:szCs w:val="22"/>
        </w:rPr>
        <w:t>C 51.00.w, C 51.00.x, C 52.00.w, C 52.00.x, C 52.00.y, C 52.00.z, C 53.00.w, C 53.00.x, C 53.00.y, C 54.00.w, C 60.00.w, C 60.00.x, C 61.00.w, C 61.00.x, F 34.00.c, P 02.06, C 66.00.w, C 66.00.x, C 67.00.w, C 68.00.w, C 69.00.w, C 70.00.w, C 71.00.w, C 72.00.w, C 73.00.w, C 74.00.w, C 75.00.w, C 76.00.w</w:t>
      </w:r>
      <w:r w:rsidR="00DF1E50">
        <w:t xml:space="preserve"> at XBRL level </w:t>
      </w:r>
      <w:r>
        <w:t>to add app</w:t>
      </w:r>
      <w:r w:rsidR="00DF1E50">
        <w:t xml:space="preserve">ropriated entries to the valid </w:t>
      </w:r>
      <w:proofErr w:type="spellStart"/>
      <w:r>
        <w:t>hypercubes</w:t>
      </w:r>
      <w:proofErr w:type="spellEnd"/>
      <w:r>
        <w:t>).</w:t>
      </w:r>
    </w:p>
    <w:p w14:paraId="3D75D189" w14:textId="77777777" w:rsidR="00F823CC" w:rsidRDefault="00F823CC" w:rsidP="00BC7A7F"/>
    <w:p w14:paraId="174D3EC7" w14:textId="77777777" w:rsidR="00F823CC" w:rsidRDefault="00F823CC" w:rsidP="00F823CC">
      <w:pPr>
        <w:pStyle w:val="Titlelevel2"/>
      </w:pPr>
      <w:r w:rsidRPr="002C21E9">
        <w:t>DPM</w:t>
      </w:r>
      <w:r>
        <w:t xml:space="preserve"> DB</w:t>
      </w:r>
      <w:r w:rsidRPr="002C21E9">
        <w:t xml:space="preserve"> Changes</w:t>
      </w:r>
    </w:p>
    <w:p w14:paraId="096E0D45" w14:textId="77777777" w:rsidR="00F823CC" w:rsidRDefault="00F823CC" w:rsidP="00183058">
      <w:pPr>
        <w:pStyle w:val="ListParagraph"/>
        <w:numPr>
          <w:ilvl w:val="0"/>
          <w:numId w:val="21"/>
        </w:numPr>
      </w:pPr>
      <w:r>
        <w:t xml:space="preserve">Use of new </w:t>
      </w:r>
      <w:proofErr w:type="spellStart"/>
      <w:r>
        <w:t>DatapointVersionTransition</w:t>
      </w:r>
      <w:proofErr w:type="spellEnd"/>
      <w:r>
        <w:t xml:space="preserve"> and </w:t>
      </w:r>
      <w:proofErr w:type="spellStart"/>
      <w:r>
        <w:t>DatapointVersionTransitionLink</w:t>
      </w:r>
      <w:proofErr w:type="spellEnd"/>
      <w:r>
        <w:t xml:space="preserve"> tables:</w:t>
      </w:r>
    </w:p>
    <w:p w14:paraId="5DFFD3A6" w14:textId="77777777" w:rsidR="00F823CC" w:rsidRDefault="00F823CC" w:rsidP="00F823CC">
      <w:pPr>
        <w:pStyle w:val="ListParagraph"/>
        <w:ind w:left="1080"/>
      </w:pPr>
      <w:r>
        <w:rPr>
          <w:noProof/>
        </w:rPr>
        <w:lastRenderedPageBreak/>
        <w:drawing>
          <wp:inline distT="0" distB="0" distL="0" distR="0" wp14:anchorId="15C4C084" wp14:editId="381A4193">
            <wp:extent cx="5762625" cy="1367101"/>
            <wp:effectExtent l="0" t="0" r="0" b="0"/>
            <wp:docPr id="1" name="Picture 1" descr="cid:image001.png@01D0FF78.A6EA0F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1.png@01D0FF78.A6EA0F6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5762625" cy="1367101"/>
                    </a:xfrm>
                    <a:prstGeom prst="rect">
                      <a:avLst/>
                    </a:prstGeom>
                    <a:noFill/>
                    <a:ln>
                      <a:noFill/>
                    </a:ln>
                  </pic:spPr>
                </pic:pic>
              </a:graphicData>
            </a:graphic>
          </wp:inline>
        </w:drawing>
      </w:r>
    </w:p>
    <w:p w14:paraId="3A67815D" w14:textId="77777777" w:rsidR="00F823CC" w:rsidRDefault="00F823CC" w:rsidP="00183058">
      <w:pPr>
        <w:pStyle w:val="ListParagraph"/>
        <w:numPr>
          <w:ilvl w:val="1"/>
          <w:numId w:val="21"/>
        </w:numPr>
      </w:pPr>
      <w:r>
        <w:t xml:space="preserve">The intention of these tables is to provide a mechanism to document more complex transitions to data series than the current possibilities of “start” (new </w:t>
      </w:r>
      <w:proofErr w:type="spellStart"/>
      <w:r>
        <w:t>DataPoint</w:t>
      </w:r>
      <w:proofErr w:type="spellEnd"/>
      <w:r>
        <w:t xml:space="preserve"> and </w:t>
      </w:r>
      <w:proofErr w:type="spellStart"/>
      <w:r>
        <w:t>DataPointVersion</w:t>
      </w:r>
      <w:proofErr w:type="spellEnd"/>
      <w:r>
        <w:t xml:space="preserve">), “change modelling” (additional </w:t>
      </w:r>
      <w:proofErr w:type="spellStart"/>
      <w:r>
        <w:t>DataPointVersion</w:t>
      </w:r>
      <w:proofErr w:type="spellEnd"/>
      <w:r>
        <w:t xml:space="preserve"> for same </w:t>
      </w:r>
      <w:proofErr w:type="spellStart"/>
      <w:r>
        <w:t>DataPoint</w:t>
      </w:r>
      <w:proofErr w:type="spellEnd"/>
      <w:r>
        <w:t xml:space="preserve">) or “stop” (end date on last </w:t>
      </w:r>
      <w:proofErr w:type="spellStart"/>
      <w:r>
        <w:t>DataPointVersion</w:t>
      </w:r>
      <w:proofErr w:type="spellEnd"/>
      <w:r>
        <w:t>).</w:t>
      </w:r>
    </w:p>
    <w:p w14:paraId="2FDAA281" w14:textId="77777777" w:rsidR="00F823CC" w:rsidRDefault="00F823CC" w:rsidP="00183058">
      <w:pPr>
        <w:pStyle w:val="ListParagraph"/>
        <w:numPr>
          <w:ilvl w:val="1"/>
          <w:numId w:val="21"/>
        </w:numPr>
      </w:pPr>
      <w:r>
        <w:t>Note that at present the data in these tables is not an exhaustive documentation of historic changes. (I.e. it does not document all modelling changes that have previously happened).</w:t>
      </w:r>
    </w:p>
    <w:p w14:paraId="719900E8" w14:textId="77777777" w:rsidR="00F823CC" w:rsidRDefault="00F823CC" w:rsidP="00183058">
      <w:pPr>
        <w:pStyle w:val="ListParagraph"/>
        <w:numPr>
          <w:ilvl w:val="1"/>
          <w:numId w:val="21"/>
        </w:numPr>
      </w:pPr>
      <w:r>
        <w:t xml:space="preserve">This version currently documents </w:t>
      </w:r>
      <w:r w:rsidRPr="0000662A">
        <w:t>1841</w:t>
      </w:r>
      <w:r>
        <w:t xml:space="preserve"> </w:t>
      </w:r>
      <w:proofErr w:type="spellStart"/>
      <w:r>
        <w:t>Datapoints</w:t>
      </w:r>
      <w:proofErr w:type="spellEnd"/>
      <w:r>
        <w:t xml:space="preserve"> that stopped being reported at some point in time due to changes in tables, and one “merge” of two time series between version 2.4 and 2.5</w:t>
      </w:r>
      <w:r>
        <w:rPr>
          <w:rStyle w:val="FootnoteReference"/>
        </w:rPr>
        <w:footnoteReference w:id="6"/>
      </w:r>
      <w:r>
        <w:t>.</w:t>
      </w:r>
    </w:p>
    <w:p w14:paraId="51A13AD4" w14:textId="77777777" w:rsidR="00187BD9" w:rsidRDefault="00187BD9" w:rsidP="00AD231B"/>
    <w:p w14:paraId="60462DA3" w14:textId="77777777" w:rsidR="0000662A" w:rsidRDefault="0000662A" w:rsidP="0000662A">
      <w:pPr>
        <w:pStyle w:val="Titlelevel2"/>
      </w:pPr>
      <w:r>
        <w:t>XBRL</w:t>
      </w:r>
      <w:r w:rsidRPr="002C21E9">
        <w:t xml:space="preserve"> Changes</w:t>
      </w:r>
    </w:p>
    <w:p w14:paraId="6B77C2A7" w14:textId="77777777" w:rsidR="00F823CC" w:rsidRDefault="00F823CC" w:rsidP="00183058">
      <w:pPr>
        <w:pStyle w:val="ListParagraph"/>
        <w:numPr>
          <w:ilvl w:val="0"/>
          <w:numId w:val="21"/>
        </w:numPr>
      </w:pPr>
      <w:r>
        <w:t>All frameworks have new reporting taxonomy versions.</w:t>
      </w:r>
    </w:p>
    <w:p w14:paraId="6C73631F" w14:textId="77777777" w:rsidR="00F823CC" w:rsidRDefault="00F823CC" w:rsidP="00183058">
      <w:pPr>
        <w:pStyle w:val="ListParagraph"/>
        <w:numPr>
          <w:ilvl w:val="1"/>
          <w:numId w:val="21"/>
        </w:numPr>
      </w:pPr>
      <w:r>
        <w:t>N.B. FINREP and FINREP_IND are still identical in terms of tables.</w:t>
      </w:r>
    </w:p>
    <w:p w14:paraId="21AE9007" w14:textId="716F269C" w:rsidR="00F823CC" w:rsidRDefault="00F823CC" w:rsidP="00183058">
      <w:pPr>
        <w:pStyle w:val="ListParagraph"/>
        <w:numPr>
          <w:ilvl w:val="0"/>
          <w:numId w:val="21"/>
        </w:numPr>
      </w:pPr>
      <w:r>
        <w:t>Implement</w:t>
      </w:r>
      <w:r w:rsidR="00B2759E">
        <w:t>ation</w:t>
      </w:r>
      <w:r>
        <w:t xml:space="preserve"> in XBRL formulae </w:t>
      </w:r>
      <w:r w:rsidR="00B2759E">
        <w:t xml:space="preserve">of </w:t>
      </w:r>
      <w:r>
        <w:t>the additional Asset Encumbrance validation rules that were previously added to the validation rule spreadsheet in v2.4</w:t>
      </w:r>
    </w:p>
    <w:p w14:paraId="3E113DD3" w14:textId="111E4418" w:rsidR="00F823CC" w:rsidRDefault="00F823CC" w:rsidP="00183058">
      <w:pPr>
        <w:pStyle w:val="ListParagraph"/>
        <w:numPr>
          <w:ilvl w:val="0"/>
          <w:numId w:val="21"/>
        </w:numPr>
      </w:pPr>
      <w:r>
        <w:t>Change to allowable currencies on tables with currency z-axis</w:t>
      </w:r>
    </w:p>
    <w:p w14:paraId="2E592F6F" w14:textId="7F1B59D4" w:rsidR="00BC1FD0" w:rsidRDefault="00BC1FD0" w:rsidP="006C65AD">
      <w:pPr>
        <w:pStyle w:val="Titlelevel3"/>
      </w:pPr>
      <w:r>
        <w:t>XBRL Taxonomy structure</w:t>
      </w:r>
    </w:p>
    <w:p w14:paraId="02144CEB" w14:textId="77777777" w:rsidR="006C65AD" w:rsidRDefault="00A93E8D" w:rsidP="00AD231B">
      <w:r>
        <w:t>XBRL taxonomy constructed</w:t>
      </w:r>
      <w:r w:rsidR="002230AE">
        <w:t xml:space="preserve"> by</w:t>
      </w:r>
      <w:r w:rsidR="00823E7E">
        <w:t xml:space="preserve"> “delta” approach described under v2.4.1.0 below. Each of the new reporting taxonomy versions references unchanged elements of its</w:t>
      </w:r>
      <w:r w:rsidR="00AF1DDD">
        <w:t xml:space="preserve"> </w:t>
      </w:r>
      <w:r w:rsidR="00104E8B">
        <w:t xml:space="preserve">immediate </w:t>
      </w:r>
      <w:r w:rsidR="000753EF">
        <w:t>predecessor (generally v2.4.0.1)</w:t>
      </w:r>
      <w:r w:rsidR="00AF1DDD">
        <w:t xml:space="preserve"> </w:t>
      </w:r>
      <w:r w:rsidR="006C65AD">
        <w:t>and hence is dependent upon it.</w:t>
      </w:r>
    </w:p>
    <w:p w14:paraId="6B2BFB31" w14:textId="77777777" w:rsidR="006C65AD" w:rsidRDefault="006C65AD" w:rsidP="00AD231B"/>
    <w:p w14:paraId="55B5EA7D" w14:textId="6B1DA812" w:rsidR="00394670" w:rsidRDefault="00AF1DDD" w:rsidP="00AD231B">
      <w:r>
        <w:t xml:space="preserve">Note that the v2.5.0.0 </w:t>
      </w:r>
      <w:r w:rsidR="000753EF">
        <w:t xml:space="preserve">COREP entry points </w:t>
      </w:r>
      <w:r w:rsidR="00617050">
        <w:t>reference</w:t>
      </w:r>
      <w:r>
        <w:t xml:space="preserve"> both v2.4.1.0 </w:t>
      </w:r>
      <w:r w:rsidR="00FE66B8">
        <w:t>COREP</w:t>
      </w:r>
      <w:r w:rsidR="00F31A03">
        <w:t xml:space="preserve"> files (</w:t>
      </w:r>
      <w:r w:rsidR="00AB6DC8">
        <w:t>for items changed in 2.4.1.0 but not changed in 2.5.0.0) and v2.4.0</w:t>
      </w:r>
      <w:r w:rsidR="00B87A85">
        <w:t>.1 COREP (for items unchanged by 2.4.1.0 and 2.5.0.0)</w:t>
      </w:r>
      <w:r w:rsidR="00774202">
        <w:t xml:space="preserve">. As such v2.5.0.0 COREP entry points </w:t>
      </w:r>
      <w:r w:rsidR="001805E5">
        <w:t>will require</w:t>
      </w:r>
      <w:r w:rsidR="00C320E8">
        <w:t xml:space="preserve"> the</w:t>
      </w:r>
      <w:r w:rsidR="00CD4B4B">
        <w:t xml:space="preserve"> XBRL files from v2.5.0.0, v2.4.1.0 and v2.4.0.1 COREP</w:t>
      </w:r>
      <w:r w:rsidR="00C320E8">
        <w:t xml:space="preserve"> as well as the v2.5.0.0 dictionary files in order to be processed.</w:t>
      </w:r>
    </w:p>
    <w:p w14:paraId="55B5EAD9" w14:textId="77777777" w:rsidR="00F07268" w:rsidRDefault="00F07268" w:rsidP="00F07268"/>
    <w:p w14:paraId="55B5EADA" w14:textId="54D271CE" w:rsidR="00923CC5" w:rsidRDefault="00923CC5" w:rsidP="00923CC5">
      <w:pPr>
        <w:pStyle w:val="Titlelevel2"/>
      </w:pPr>
      <w:r>
        <w:t>Note</w:t>
      </w:r>
    </w:p>
    <w:p w14:paraId="55B5EADC" w14:textId="4716B715" w:rsidR="00F14EAF" w:rsidRDefault="0084357B">
      <w:r>
        <w:t>The appropriate c</w:t>
      </w:r>
      <w:r w:rsidR="00923CC5">
        <w:t xml:space="preserve">ode for “Normative Reference” </w:t>
      </w:r>
      <w:r w:rsidR="00F07268">
        <w:t xml:space="preserve">for 2.5 </w:t>
      </w:r>
      <w:r w:rsidR="008350C5">
        <w:t>was</w:t>
      </w:r>
      <w:r w:rsidR="00923CC5">
        <w:t xml:space="preserve"> not known </w:t>
      </w:r>
      <w:r w:rsidR="008350C5">
        <w:t xml:space="preserve">at the time of production of the taxonomy, as a result more generic values than usual </w:t>
      </w:r>
      <w:r>
        <w:t>(e.g. “</w:t>
      </w:r>
      <w:proofErr w:type="spellStart"/>
      <w:r>
        <w:t>its</w:t>
      </w:r>
      <w:proofErr w:type="spellEnd"/>
      <w:r w:rsidR="00F07268">
        <w:t>-2016-</w:t>
      </w:r>
      <w:r>
        <w:t>repxx</w:t>
      </w:r>
      <w:r w:rsidR="00F07268">
        <w:t>”</w:t>
      </w:r>
      <w:r w:rsidR="00F823CC">
        <w:t>)</w:t>
      </w:r>
      <w:r>
        <w:t xml:space="preserve"> </w:t>
      </w:r>
      <w:r w:rsidR="00F07268">
        <w:t>ha</w:t>
      </w:r>
      <w:r>
        <w:t>ve</w:t>
      </w:r>
      <w:r w:rsidR="00F07268">
        <w:t xml:space="preserve"> been </w:t>
      </w:r>
      <w:r w:rsidR="00923CC5">
        <w:t>used.</w:t>
      </w:r>
      <w:r w:rsidR="008350C5">
        <w:t xml:space="preserve"> This is a trivial XBRL level detail however, and unlikely to be of functional concern for any participants.</w:t>
      </w:r>
      <w:r w:rsidR="00923CC5">
        <w:t xml:space="preserve">  </w:t>
      </w:r>
      <w:r w:rsidR="00F14EAF">
        <w:br w:type="page"/>
      </w:r>
    </w:p>
    <w:p w14:paraId="01E2B3EA" w14:textId="45D1A639" w:rsidR="001444B4" w:rsidRDefault="001444B4" w:rsidP="001444B4">
      <w:pPr>
        <w:pStyle w:val="Titlelevel1"/>
        <w:rPr>
          <w:i/>
        </w:rPr>
      </w:pPr>
      <w:r>
        <w:rPr>
          <w:i/>
        </w:rPr>
        <w:lastRenderedPageBreak/>
        <w:t>v2.4</w:t>
      </w:r>
      <w:r w:rsidRPr="00E47786">
        <w:rPr>
          <w:i/>
        </w:rPr>
        <w:t>.</w:t>
      </w:r>
      <w:r>
        <w:rPr>
          <w:i/>
        </w:rPr>
        <w:t xml:space="preserve">1 </w:t>
      </w:r>
      <w:r w:rsidRPr="00E47786">
        <w:rPr>
          <w:i/>
        </w:rPr>
        <w:t>(“201</w:t>
      </w:r>
      <w:r>
        <w:rPr>
          <w:i/>
        </w:rPr>
        <w:t>5</w:t>
      </w:r>
      <w:r w:rsidRPr="00E47786">
        <w:rPr>
          <w:i/>
        </w:rPr>
        <w:t>-</w:t>
      </w:r>
      <w:r>
        <w:rPr>
          <w:i/>
        </w:rPr>
        <w:t>B-1”</w:t>
      </w:r>
      <w:proofErr w:type="gramStart"/>
      <w:r w:rsidRPr="00E47786">
        <w:rPr>
          <w:i/>
        </w:rPr>
        <w:t>)</w:t>
      </w:r>
      <w:r>
        <w:rPr>
          <w:i/>
        </w:rPr>
        <w:t xml:space="preserve"> </w:t>
      </w:r>
      <w:r w:rsidRPr="00E47786">
        <w:rPr>
          <w:rFonts w:ascii="Arial" w:hAnsi="Arial" w:cs="Arial"/>
          <w:i/>
          <w:color w:val="696969"/>
          <w:sz w:val="18"/>
          <w:szCs w:val="18"/>
          <w:shd w:val="clear" w:color="auto" w:fill="FFFFFF"/>
        </w:rPr>
        <w:t xml:space="preserve"> </w:t>
      </w:r>
      <w:r>
        <w:rPr>
          <w:rFonts w:ascii="Arial" w:hAnsi="Arial" w:cs="Arial"/>
          <w:i/>
          <w:color w:val="696969"/>
          <w:sz w:val="18"/>
          <w:szCs w:val="18"/>
          <w:shd w:val="clear" w:color="auto" w:fill="FFFFFF"/>
        </w:rPr>
        <w:t>(</w:t>
      </w:r>
      <w:proofErr w:type="gramEnd"/>
      <w:r>
        <w:rPr>
          <w:rFonts w:ascii="Arial" w:hAnsi="Arial" w:cs="Arial"/>
          <w:i/>
          <w:color w:val="696969"/>
          <w:sz w:val="18"/>
          <w:szCs w:val="18"/>
          <w:shd w:val="clear" w:color="auto" w:fill="FFFFFF"/>
        </w:rPr>
        <w:t>Incorporating v2.4.0.1, 02/02</w:t>
      </w:r>
      <w:r w:rsidRPr="00E47786">
        <w:rPr>
          <w:rFonts w:ascii="Arial" w:hAnsi="Arial" w:cs="Arial"/>
          <w:i/>
          <w:color w:val="696969"/>
          <w:sz w:val="18"/>
          <w:szCs w:val="18"/>
          <w:shd w:val="clear" w:color="auto" w:fill="FFFFFF"/>
        </w:rPr>
        <w:t>/201</w:t>
      </w:r>
      <w:r>
        <w:rPr>
          <w:rFonts w:ascii="Arial" w:hAnsi="Arial" w:cs="Arial"/>
          <w:i/>
          <w:color w:val="696969"/>
          <w:sz w:val="18"/>
          <w:szCs w:val="18"/>
          <w:shd w:val="clear" w:color="auto" w:fill="FFFFFF"/>
        </w:rPr>
        <w:t>6</w:t>
      </w:r>
      <w:r w:rsidRPr="00E47786">
        <w:rPr>
          <w:rFonts w:ascii="Arial" w:hAnsi="Arial" w:cs="Arial"/>
          <w:i/>
          <w:color w:val="696969"/>
          <w:sz w:val="18"/>
          <w:szCs w:val="18"/>
          <w:shd w:val="clear" w:color="auto" w:fill="FFFFFF"/>
        </w:rPr>
        <w:t>)</w:t>
      </w:r>
    </w:p>
    <w:p w14:paraId="3889DD1C" w14:textId="77777777" w:rsidR="008350C5" w:rsidRDefault="008350C5" w:rsidP="008350C5">
      <w:pPr>
        <w:pStyle w:val="Titlelevel2"/>
      </w:pPr>
      <w:r>
        <w:t>Summary and Impact</w:t>
      </w:r>
    </w:p>
    <w:p w14:paraId="1BF44068" w14:textId="77777777" w:rsidR="008350C5" w:rsidRDefault="008350C5" w:rsidP="008350C5">
      <w:r>
        <w:t>This release corrects errors identified in the 2.4.0 release of the EBA taxonomy.</w:t>
      </w:r>
    </w:p>
    <w:p w14:paraId="0457A955" w14:textId="77777777" w:rsidR="008350C5" w:rsidRDefault="008350C5" w:rsidP="008350C5"/>
    <w:p w14:paraId="3207C34C" w14:textId="44D751EF" w:rsidR="008350C5" w:rsidRDefault="008350C5" w:rsidP="008350C5">
      <w:r>
        <w:t xml:space="preserve">The most significant of these would have led to an inability for </w:t>
      </w:r>
      <w:proofErr w:type="gramStart"/>
      <w:r>
        <w:t>filers  to</w:t>
      </w:r>
      <w:proofErr w:type="gramEnd"/>
      <w:r>
        <w:t xml:space="preserve"> report the “Leverage ratio calculation” summary table (C 47.00) in </w:t>
      </w:r>
      <w:r w:rsidR="009679C4">
        <w:t>individual</w:t>
      </w:r>
      <w:r>
        <w:t xml:space="preserve"> COREP reports. Correcting this issue requires a new set of “entry points” for COREP. </w:t>
      </w:r>
    </w:p>
    <w:p w14:paraId="6EDC14E5" w14:textId="77777777" w:rsidR="008350C5" w:rsidRDefault="008350C5" w:rsidP="008350C5"/>
    <w:p w14:paraId="0C1A90AD" w14:textId="7E0CB217" w:rsidR="008350C5" w:rsidRDefault="008350C5" w:rsidP="008350C5">
      <w:pPr>
        <w:ind w:left="720"/>
        <w:rPr>
          <w:i/>
        </w:rPr>
      </w:pPr>
      <w:r>
        <w:rPr>
          <w:i/>
        </w:rPr>
        <w:t xml:space="preserve">In practice this means that XBRL instance files that were produced targeting the 2.4.0 version of COREP modules will need the value of their </w:t>
      </w:r>
      <w:proofErr w:type="spellStart"/>
      <w:r>
        <w:rPr>
          <w:i/>
        </w:rPr>
        <w:t>SchemaRef</w:t>
      </w:r>
      <w:proofErr w:type="spellEnd"/>
      <w:r>
        <w:rPr>
          <w:i/>
        </w:rPr>
        <w:t xml:space="preserve"> element changed. For all modules other than COREP_</w:t>
      </w:r>
      <w:r w:rsidR="009679C4">
        <w:rPr>
          <w:i/>
        </w:rPr>
        <w:t>IND</w:t>
      </w:r>
      <w:r>
        <w:rPr>
          <w:i/>
        </w:rPr>
        <w:t xml:space="preserve"> this is the only required change. COREP_</w:t>
      </w:r>
      <w:r w:rsidR="009679C4">
        <w:rPr>
          <w:i/>
        </w:rPr>
        <w:t>IND</w:t>
      </w:r>
      <w:r>
        <w:rPr>
          <w:i/>
        </w:rPr>
        <w:t xml:space="preserve"> instances will also need to </w:t>
      </w:r>
      <w:r w:rsidR="009679C4">
        <w:rPr>
          <w:i/>
        </w:rPr>
        <w:t>include data</w:t>
      </w:r>
      <w:r>
        <w:rPr>
          <w:i/>
        </w:rPr>
        <w:t xml:space="preserve"> for C47.00</w:t>
      </w:r>
      <w:r w:rsidR="009679C4">
        <w:rPr>
          <w:i/>
        </w:rPr>
        <w:t xml:space="preserve"> where the reporter is required to submit this template</w:t>
      </w:r>
      <w:r>
        <w:rPr>
          <w:i/>
        </w:rPr>
        <w:t xml:space="preserve"> (as most reporters likely anyway expected to have been the case).</w:t>
      </w:r>
    </w:p>
    <w:p w14:paraId="722CFD82" w14:textId="77777777" w:rsidR="008350C5" w:rsidRDefault="008350C5" w:rsidP="008350C5">
      <w:pPr>
        <w:rPr>
          <w:i/>
        </w:rPr>
      </w:pPr>
    </w:p>
    <w:p w14:paraId="43065B10" w14:textId="77777777" w:rsidR="008350C5" w:rsidRDefault="008350C5" w:rsidP="008350C5">
      <w:r>
        <w:t>In addition the 2.4.0 release of the COREP, FINREP and SBP report modules had errors in some of their validation rules that would have led to these validation rules always reporting a failure. In addition an error has been corrected in the implementation of the underlying evaluation approach for the validation calculations which might have led to subtle disagreements between different XBRL validation tools in certain circumstances.  These errors are directly corrected in the relevant files.</w:t>
      </w:r>
    </w:p>
    <w:p w14:paraId="65E051CC" w14:textId="77777777" w:rsidR="008350C5" w:rsidRDefault="008350C5" w:rsidP="008350C5"/>
    <w:p w14:paraId="69AEE8E8" w14:textId="77777777" w:rsidR="008350C5" w:rsidRDefault="008350C5" w:rsidP="008350C5">
      <w:pPr>
        <w:ind w:left="720"/>
        <w:rPr>
          <w:i/>
        </w:rPr>
      </w:pPr>
      <w:r>
        <w:rPr>
          <w:i/>
        </w:rPr>
        <w:t>Where the relevant files from this release are used in place of those from the 2.4.0 release, these validation rules will now produce the correct results. No change to any produced instance files is required – only to the configuration of whatever XBRL validation tool is used to generate the validation results.</w:t>
      </w:r>
    </w:p>
    <w:p w14:paraId="7629F866" w14:textId="77777777" w:rsidR="008350C5" w:rsidRDefault="008350C5" w:rsidP="008350C5">
      <w:pPr>
        <w:rPr>
          <w:i/>
        </w:rPr>
      </w:pPr>
      <w:r>
        <w:rPr>
          <w:i/>
        </w:rPr>
        <w:t xml:space="preserve"> </w:t>
      </w:r>
    </w:p>
    <w:p w14:paraId="432B6561" w14:textId="77777777" w:rsidR="008350C5" w:rsidRDefault="008350C5" w:rsidP="008350C5">
      <w:r>
        <w:t xml:space="preserve">At a technical XBRL level, because of the essentially trivial degree of change between 2.4.0 and 2.4.1 the usual EBA practice of including completely new sets of files for each taxonomy update was viewed as likely to cause excessive and unnecessary overhead and confusion. As a result the 2.4.1 taxonomy has been constructed in a way which much more clearly identifies those elements (i.e. tables and validation rules) which have changed, separating out the minimal set of changed files into the location of the “new” modules, and referencing instead of duplicating those files that are unchanged. </w:t>
      </w:r>
    </w:p>
    <w:p w14:paraId="72DD0B88" w14:textId="77777777" w:rsidR="008350C5" w:rsidRDefault="008350C5" w:rsidP="008350C5"/>
    <w:p w14:paraId="251063AF" w14:textId="77777777" w:rsidR="008350C5" w:rsidRDefault="008350C5" w:rsidP="008350C5">
      <w:pPr>
        <w:ind w:left="720"/>
      </w:pPr>
      <w:r>
        <w:rPr>
          <w:i/>
        </w:rPr>
        <w:t>The change in the construction/layout of the taxonomy at the file level may in the short term be expected to make implementation easier or more complex in some respects depending on the details of individual reporter’s systems. Following this approach in future would be expected to generally make future implementations easier.</w:t>
      </w:r>
    </w:p>
    <w:p w14:paraId="00CCED0C" w14:textId="77777777" w:rsidR="008350C5" w:rsidRDefault="008350C5" w:rsidP="008350C5"/>
    <w:p w14:paraId="50AE88E0" w14:textId="77777777" w:rsidR="008350C5" w:rsidRDefault="008350C5" w:rsidP="008350C5">
      <w:pPr>
        <w:ind w:left="720"/>
        <w:rPr>
          <w:b/>
          <w:i/>
        </w:rPr>
      </w:pPr>
      <w:r>
        <w:rPr>
          <w:b/>
          <w:i/>
        </w:rPr>
        <w:t xml:space="preserve">Overall the impact of these changes on filers is expected to be relatively minimal (since no significant change to the content or process of production of instance files will be required). </w:t>
      </w:r>
    </w:p>
    <w:p w14:paraId="52C5D6F6" w14:textId="77777777" w:rsidR="008350C5" w:rsidRDefault="008350C5" w:rsidP="008350C5">
      <w:pPr>
        <w:ind w:left="720"/>
        <w:rPr>
          <w:i/>
        </w:rPr>
      </w:pPr>
    </w:p>
    <w:p w14:paraId="1C4D3D25" w14:textId="77777777" w:rsidR="008350C5" w:rsidRDefault="008350C5" w:rsidP="008350C5">
      <w:pPr>
        <w:ind w:left="720"/>
        <w:rPr>
          <w:i/>
        </w:rPr>
      </w:pPr>
    </w:p>
    <w:p w14:paraId="5DBBF0A5" w14:textId="77777777" w:rsidR="00D62FD8" w:rsidRDefault="00D62FD8" w:rsidP="008350C5">
      <w:pPr>
        <w:pStyle w:val="Titlelevel2"/>
        <w:keepNext/>
      </w:pPr>
      <w:r w:rsidRPr="00AF5AA3">
        <w:lastRenderedPageBreak/>
        <w:t>Purpose</w:t>
      </w:r>
    </w:p>
    <w:p w14:paraId="48F4DE13" w14:textId="77777777" w:rsidR="001444B4" w:rsidRDefault="001444B4" w:rsidP="001444B4">
      <w:r>
        <w:t xml:space="preserve">Corrective release for v2.4: </w:t>
      </w:r>
    </w:p>
    <w:p w14:paraId="22E159DB" w14:textId="77777777" w:rsidR="00D62FD8" w:rsidRDefault="001444B4" w:rsidP="00183058">
      <w:pPr>
        <w:pStyle w:val="ListParagraph"/>
        <w:numPr>
          <w:ilvl w:val="0"/>
          <w:numId w:val="22"/>
        </w:numPr>
      </w:pPr>
      <w:r>
        <w:t>New COREP taxonomy c</w:t>
      </w:r>
      <w:r w:rsidR="00D62FD8">
        <w:t>orrecting version from 2.4.0.0</w:t>
      </w:r>
    </w:p>
    <w:p w14:paraId="6335367F" w14:textId="424B0C8F" w:rsidR="001444B4" w:rsidRDefault="001444B4" w:rsidP="00183058">
      <w:pPr>
        <w:pStyle w:val="ListParagraph"/>
        <w:numPr>
          <w:ilvl w:val="1"/>
          <w:numId w:val="22"/>
        </w:numPr>
      </w:pPr>
      <w:r w:rsidRPr="00394670">
        <w:t xml:space="preserve">Addition of missing C 47.00 to COREP </w:t>
      </w:r>
      <w:r w:rsidR="009679C4">
        <w:t>IND</w:t>
      </w:r>
      <w:r w:rsidRPr="00394670">
        <w:t xml:space="preserve"> in COREP 2.2.1 </w:t>
      </w:r>
      <w:r w:rsidR="00D62FD8">
        <w:t>(“</w:t>
      </w:r>
      <w:r w:rsidR="00D62FD8" w:rsidRPr="00D62FD8">
        <w:t>COREP 2015-B-1</w:t>
      </w:r>
      <w:r w:rsidR="00D62FD8">
        <w:t xml:space="preserve">”) </w:t>
      </w:r>
      <w:r w:rsidRPr="00394670">
        <w:t>fix version.</w:t>
      </w:r>
    </w:p>
    <w:p w14:paraId="355BD13D" w14:textId="46FCEC98" w:rsidR="001444B4" w:rsidRDefault="001444B4" w:rsidP="00183058">
      <w:pPr>
        <w:pStyle w:val="ListParagraph"/>
        <w:numPr>
          <w:ilvl w:val="0"/>
          <w:numId w:val="22"/>
        </w:numPr>
      </w:pPr>
      <w:r>
        <w:t>Correction to XBRL implementation</w:t>
      </w:r>
      <w:r w:rsidR="00F00500">
        <w:t xml:space="preserve"> of validation rules in COREP, FINREP, FINREP-IND and SBP</w:t>
      </w:r>
    </w:p>
    <w:p w14:paraId="700D6C91" w14:textId="42F2C0AB" w:rsidR="00F00500" w:rsidRDefault="001444B4" w:rsidP="00183058">
      <w:pPr>
        <w:pStyle w:val="ListParagraph"/>
        <w:numPr>
          <w:ilvl w:val="0"/>
          <w:numId w:val="22"/>
        </w:numPr>
      </w:pPr>
      <w:r>
        <w:t xml:space="preserve">Inclusion of corrected </w:t>
      </w:r>
      <w:proofErr w:type="spellStart"/>
      <w:r>
        <w:t>Eurofiling</w:t>
      </w:r>
      <w:proofErr w:type="spellEnd"/>
      <w:r>
        <w:t xml:space="preserve"> “interval-arithmetics.xml” file</w:t>
      </w:r>
    </w:p>
    <w:p w14:paraId="6291C5D1" w14:textId="77777777" w:rsidR="001444B4" w:rsidRDefault="001444B4" w:rsidP="001444B4">
      <w:pPr>
        <w:pStyle w:val="ListParagraph"/>
      </w:pPr>
    </w:p>
    <w:p w14:paraId="2C9B1FE9" w14:textId="4705A8E2" w:rsidR="001444B4" w:rsidRDefault="001444B4" w:rsidP="001444B4">
      <w:r>
        <w:t xml:space="preserve">Note that v2.4.1.0 replaces v2.4.0.0 (for COREP) and </w:t>
      </w:r>
      <w:r w:rsidRPr="001C6AD9">
        <w:rPr>
          <w:b/>
        </w:rPr>
        <w:t>v2.4.1.0 must be used for reporting of COREP entry points to the EBA under any “2.4” reporting requested</w:t>
      </w:r>
      <w:r>
        <w:t xml:space="preserve">. Similarly </w:t>
      </w:r>
      <w:r w:rsidR="00F00500">
        <w:rPr>
          <w:b/>
        </w:rPr>
        <w:t xml:space="preserve">v2.4.0.1 </w:t>
      </w:r>
      <w:r w:rsidRPr="001C6AD9">
        <w:rPr>
          <w:b/>
        </w:rPr>
        <w:t>should be used for entry points other than COREP</w:t>
      </w:r>
      <w:r>
        <w:t xml:space="preserve"> (though since v2.4.0.1 and v2.4.0.0 are “instance compatible” – use the same </w:t>
      </w:r>
      <w:proofErr w:type="spellStart"/>
      <w:r>
        <w:t>schemaRef</w:t>
      </w:r>
      <w:proofErr w:type="spellEnd"/>
      <w:r>
        <w:t xml:space="preserve"> URI and produce/define identical instance files - this is relevant only in terms of validation results).</w:t>
      </w:r>
    </w:p>
    <w:p w14:paraId="6879DB57" w14:textId="77777777" w:rsidR="00D62FD8" w:rsidRPr="002C21E9" w:rsidRDefault="00D62FD8" w:rsidP="00D62FD8">
      <w:pPr>
        <w:pStyle w:val="Titlelevel2"/>
      </w:pPr>
      <w:r w:rsidRPr="002C21E9">
        <w:t>DPM Changes</w:t>
      </w:r>
    </w:p>
    <w:p w14:paraId="79450911" w14:textId="5E4D07CF" w:rsidR="00D62FD8" w:rsidRDefault="00D62FD8" w:rsidP="001444B4">
      <w:r>
        <w:t>There are no substantive reporting requirement changes; all changes are corrective (i.e. to give effect to the reporting requirements as intended for v2.4).</w:t>
      </w:r>
    </w:p>
    <w:p w14:paraId="2702B299" w14:textId="06C9CA9D" w:rsidR="001444B4" w:rsidRDefault="00D62FD8" w:rsidP="001444B4">
      <w:pPr>
        <w:pStyle w:val="Titlelevel3"/>
      </w:pPr>
      <w:r>
        <w:t xml:space="preserve">DPM </w:t>
      </w:r>
      <w:r w:rsidR="001444B4">
        <w:t>DB corrections:</w:t>
      </w:r>
    </w:p>
    <w:p w14:paraId="547BC5C4" w14:textId="50DD7290" w:rsidR="00D62FD8" w:rsidRDefault="00D62FD8" w:rsidP="00183058">
      <w:pPr>
        <w:pStyle w:val="ListParagraph"/>
        <w:numPr>
          <w:ilvl w:val="0"/>
          <w:numId w:val="23"/>
        </w:numPr>
      </w:pPr>
      <w:r>
        <w:t>Additional taxonomy entry (“</w:t>
      </w:r>
      <w:r w:rsidRPr="00D62FD8">
        <w:t>COREP 2015-B-1</w:t>
      </w:r>
      <w:r>
        <w:t xml:space="preserve">”) and related entries </w:t>
      </w:r>
    </w:p>
    <w:p w14:paraId="6D88F2D0" w14:textId="0D884769" w:rsidR="00D62FD8" w:rsidRDefault="00D62FD8" w:rsidP="00183058">
      <w:pPr>
        <w:pStyle w:val="ListParagraph"/>
        <w:numPr>
          <w:ilvl w:val="1"/>
          <w:numId w:val="23"/>
        </w:numPr>
      </w:pPr>
      <w:r>
        <w:t>Only difference from “COREP 2015-B” is correct</w:t>
      </w:r>
      <w:r w:rsidR="009679C4">
        <w:t>ly linking C 47 table to COREP IND</w:t>
      </w:r>
      <w:r>
        <w:t xml:space="preserve"> module.</w:t>
      </w:r>
    </w:p>
    <w:p w14:paraId="2DD8AB56" w14:textId="6DFE5235" w:rsidR="001444B4" w:rsidRDefault="00F00500" w:rsidP="00183058">
      <w:pPr>
        <w:pStyle w:val="ListParagraph"/>
        <w:numPr>
          <w:ilvl w:val="0"/>
          <w:numId w:val="23"/>
        </w:numPr>
      </w:pPr>
      <w:r>
        <w:t>A</w:t>
      </w:r>
      <w:r w:rsidR="001444B4" w:rsidRPr="00394670">
        <w:t xml:space="preserve">ddition of </w:t>
      </w:r>
      <w:proofErr w:type="spellStart"/>
      <w:r w:rsidR="001444B4" w:rsidRPr="00394670">
        <w:t>ToDate</w:t>
      </w:r>
      <w:proofErr w:type="spellEnd"/>
      <w:r w:rsidR="001444B4" w:rsidRPr="00394670">
        <w:t xml:space="preserve"> to </w:t>
      </w:r>
      <w:proofErr w:type="spellStart"/>
      <w:r w:rsidR="001444B4" w:rsidRPr="00394670">
        <w:t>TableVersions</w:t>
      </w:r>
      <w:proofErr w:type="spellEnd"/>
      <w:r w:rsidR="001444B4" w:rsidRPr="00394670">
        <w:t xml:space="preserve"> no longer in use</w:t>
      </w:r>
      <w:r w:rsidR="001444B4">
        <w:t>:</w:t>
      </w:r>
    </w:p>
    <w:p w14:paraId="6C31DC9A" w14:textId="77777777" w:rsidR="001444B4" w:rsidRPr="00394670" w:rsidRDefault="001444B4" w:rsidP="001444B4">
      <w:pPr>
        <w:ind w:left="720"/>
        <w:rPr>
          <w:sz w:val="16"/>
          <w:szCs w:val="16"/>
        </w:rPr>
      </w:pPr>
      <w:r w:rsidRPr="00394670">
        <w:rPr>
          <w:sz w:val="16"/>
          <w:szCs w:val="16"/>
        </w:rPr>
        <w:t xml:space="preserve">*Updated </w:t>
      </w:r>
      <w:proofErr w:type="spellStart"/>
      <w:r w:rsidRPr="00394670">
        <w:rPr>
          <w:sz w:val="16"/>
          <w:szCs w:val="16"/>
        </w:rPr>
        <w:t>TableVersions</w:t>
      </w:r>
      <w:proofErr w:type="spellEnd"/>
      <w:r w:rsidRPr="00394670">
        <w:rPr>
          <w:sz w:val="16"/>
          <w:szCs w:val="16"/>
        </w:rPr>
        <w:t xml:space="preserve"> 605,605,732,739 (C 08.01.c, C 08.01.d, C 06.02, C 06.01) with missing </w:t>
      </w:r>
      <w:proofErr w:type="spellStart"/>
      <w:r w:rsidRPr="00394670">
        <w:rPr>
          <w:sz w:val="16"/>
          <w:szCs w:val="16"/>
        </w:rPr>
        <w:t>ToDate</w:t>
      </w:r>
      <w:proofErr w:type="spellEnd"/>
      <w:r w:rsidRPr="00394670">
        <w:rPr>
          <w:sz w:val="16"/>
          <w:szCs w:val="16"/>
        </w:rPr>
        <w:t xml:space="preserve"> (29/06/201)</w:t>
      </w:r>
    </w:p>
    <w:p w14:paraId="4FE90265" w14:textId="77777777" w:rsidR="001444B4" w:rsidRPr="00394670" w:rsidRDefault="001444B4" w:rsidP="001444B4">
      <w:pPr>
        <w:ind w:left="720"/>
        <w:rPr>
          <w:sz w:val="16"/>
          <w:szCs w:val="16"/>
        </w:rPr>
      </w:pPr>
    </w:p>
    <w:p w14:paraId="390DBFAC" w14:textId="77777777" w:rsidR="001444B4" w:rsidRPr="00972653" w:rsidRDefault="001444B4" w:rsidP="00972653">
      <w:pPr>
        <w:pStyle w:val="SQL"/>
      </w:pPr>
      <w:r w:rsidRPr="00972653">
        <w:t xml:space="preserve">UPDATE concept INNER JOIN </w:t>
      </w:r>
      <w:proofErr w:type="spellStart"/>
      <w:r w:rsidRPr="00972653">
        <w:t>TableVersion</w:t>
      </w:r>
      <w:proofErr w:type="spellEnd"/>
      <w:r w:rsidRPr="00972653">
        <w:t xml:space="preserve"> ON </w:t>
      </w:r>
      <w:proofErr w:type="spellStart"/>
      <w:r w:rsidRPr="00972653">
        <w:t>Concept.ConceptID</w:t>
      </w:r>
      <w:proofErr w:type="spellEnd"/>
      <w:r w:rsidRPr="00972653">
        <w:t xml:space="preserve"> = </w:t>
      </w:r>
      <w:proofErr w:type="spellStart"/>
      <w:r w:rsidRPr="00972653">
        <w:t>TableVersion.ConceptID</w:t>
      </w:r>
      <w:proofErr w:type="spellEnd"/>
      <w:r w:rsidRPr="00972653">
        <w:t xml:space="preserve"> </w:t>
      </w:r>
    </w:p>
    <w:p w14:paraId="5F7F014C" w14:textId="77777777" w:rsidR="001444B4" w:rsidRPr="00972653" w:rsidRDefault="001444B4" w:rsidP="00972653">
      <w:pPr>
        <w:pStyle w:val="SQL"/>
      </w:pPr>
      <w:r w:rsidRPr="00972653">
        <w:t xml:space="preserve">SET </w:t>
      </w:r>
      <w:proofErr w:type="spellStart"/>
      <w:r w:rsidRPr="00972653">
        <w:t>TableVersion.ToDate</w:t>
      </w:r>
      <w:proofErr w:type="spellEnd"/>
      <w:r w:rsidRPr="00972653">
        <w:t xml:space="preserve"> = #06/29/2015#, </w:t>
      </w:r>
      <w:proofErr w:type="spellStart"/>
      <w:r w:rsidRPr="00972653">
        <w:t>Concept.ModificationDate</w:t>
      </w:r>
      <w:proofErr w:type="spellEnd"/>
      <w:r w:rsidRPr="00972653">
        <w:t xml:space="preserve"> =#1/15/2016#, </w:t>
      </w:r>
      <w:proofErr w:type="spellStart"/>
      <w:r w:rsidRPr="00972653">
        <w:t>Concept.ToDate</w:t>
      </w:r>
      <w:proofErr w:type="spellEnd"/>
      <w:r w:rsidRPr="00972653">
        <w:t>=#06/29/2015#</w:t>
      </w:r>
    </w:p>
    <w:p w14:paraId="2661BC51" w14:textId="77777777" w:rsidR="001444B4" w:rsidRPr="00972653" w:rsidRDefault="001444B4" w:rsidP="00972653">
      <w:pPr>
        <w:pStyle w:val="SQL"/>
      </w:pPr>
      <w:r w:rsidRPr="00972653">
        <w:t>WHERE (((</w:t>
      </w:r>
      <w:proofErr w:type="spellStart"/>
      <w:r w:rsidRPr="00972653">
        <w:t>TableVersion.TableVID</w:t>
      </w:r>
      <w:proofErr w:type="spellEnd"/>
      <w:r w:rsidRPr="00972653">
        <w:t>) In (605,606,732,739)));</w:t>
      </w:r>
    </w:p>
    <w:p w14:paraId="0E8244FF" w14:textId="77777777" w:rsidR="001444B4" w:rsidRPr="00394670" w:rsidRDefault="001444B4" w:rsidP="001444B4">
      <w:pPr>
        <w:ind w:left="720"/>
        <w:rPr>
          <w:sz w:val="16"/>
          <w:szCs w:val="16"/>
        </w:rPr>
      </w:pPr>
    </w:p>
    <w:p w14:paraId="369DAEBF" w14:textId="77777777" w:rsidR="001444B4" w:rsidRPr="00394670" w:rsidRDefault="001444B4" w:rsidP="001444B4">
      <w:pPr>
        <w:ind w:left="720"/>
        <w:rPr>
          <w:sz w:val="16"/>
          <w:szCs w:val="16"/>
        </w:rPr>
      </w:pPr>
      <w:r w:rsidRPr="00394670">
        <w:rPr>
          <w:sz w:val="16"/>
          <w:szCs w:val="16"/>
        </w:rPr>
        <w:t xml:space="preserve">*Updated </w:t>
      </w:r>
      <w:proofErr w:type="spellStart"/>
      <w:r w:rsidRPr="00394670">
        <w:rPr>
          <w:sz w:val="16"/>
          <w:szCs w:val="16"/>
        </w:rPr>
        <w:t>TableVersions</w:t>
      </w:r>
      <w:proofErr w:type="spellEnd"/>
      <w:r w:rsidRPr="00394670">
        <w:rPr>
          <w:sz w:val="16"/>
          <w:szCs w:val="16"/>
        </w:rPr>
        <w:t xml:space="preserve"> 642,643,644,646,819 (C 45.00.a, C 45.00.b, C 46.00.a, C 46.00.c, C 46.00.b) with missing </w:t>
      </w:r>
      <w:proofErr w:type="spellStart"/>
      <w:r w:rsidRPr="00394670">
        <w:rPr>
          <w:sz w:val="16"/>
          <w:szCs w:val="16"/>
        </w:rPr>
        <w:t>ToDates</w:t>
      </w:r>
      <w:proofErr w:type="spellEnd"/>
    </w:p>
    <w:p w14:paraId="5A45B37F" w14:textId="77777777" w:rsidR="001444B4" w:rsidRPr="00394670" w:rsidRDefault="001444B4" w:rsidP="001444B4">
      <w:pPr>
        <w:ind w:left="720"/>
        <w:rPr>
          <w:sz w:val="16"/>
          <w:szCs w:val="16"/>
        </w:rPr>
      </w:pPr>
    </w:p>
    <w:p w14:paraId="3F03EE5F" w14:textId="77777777" w:rsidR="001444B4" w:rsidRPr="00972653" w:rsidRDefault="001444B4" w:rsidP="00972653">
      <w:pPr>
        <w:pStyle w:val="SQL"/>
      </w:pPr>
      <w:r w:rsidRPr="00972653">
        <w:t xml:space="preserve">UPDATE concept INNER JOIN </w:t>
      </w:r>
      <w:proofErr w:type="spellStart"/>
      <w:r w:rsidRPr="00972653">
        <w:t>TableVersion</w:t>
      </w:r>
      <w:proofErr w:type="spellEnd"/>
      <w:r w:rsidRPr="00972653">
        <w:t xml:space="preserve"> ON </w:t>
      </w:r>
      <w:proofErr w:type="spellStart"/>
      <w:r w:rsidRPr="00972653">
        <w:t>Concept.ConceptID</w:t>
      </w:r>
      <w:proofErr w:type="spellEnd"/>
      <w:r w:rsidRPr="00972653">
        <w:t xml:space="preserve"> = </w:t>
      </w:r>
      <w:proofErr w:type="spellStart"/>
      <w:r w:rsidRPr="00972653">
        <w:t>TableVersion.ConceptID</w:t>
      </w:r>
      <w:proofErr w:type="spellEnd"/>
      <w:r w:rsidRPr="00972653">
        <w:t xml:space="preserve"> </w:t>
      </w:r>
    </w:p>
    <w:p w14:paraId="14DC872F" w14:textId="77777777" w:rsidR="001444B4" w:rsidRPr="00972653" w:rsidRDefault="001444B4" w:rsidP="00972653">
      <w:pPr>
        <w:pStyle w:val="SQL"/>
      </w:pPr>
      <w:r w:rsidRPr="00972653">
        <w:t xml:space="preserve">SET </w:t>
      </w:r>
      <w:proofErr w:type="spellStart"/>
      <w:r w:rsidRPr="00972653">
        <w:t>TableVersion.ToDate</w:t>
      </w:r>
      <w:proofErr w:type="spellEnd"/>
      <w:r w:rsidRPr="00972653">
        <w:t xml:space="preserve"> = #03/30/2016#, </w:t>
      </w:r>
      <w:proofErr w:type="spellStart"/>
      <w:r w:rsidRPr="00972653">
        <w:t>Concept.ModificationDate</w:t>
      </w:r>
      <w:proofErr w:type="spellEnd"/>
      <w:r w:rsidRPr="00972653">
        <w:t xml:space="preserve"> =#1/15/2016#, </w:t>
      </w:r>
      <w:proofErr w:type="spellStart"/>
      <w:r w:rsidRPr="00972653">
        <w:t>Concept.ToDate</w:t>
      </w:r>
      <w:proofErr w:type="spellEnd"/>
      <w:r w:rsidRPr="00972653">
        <w:t>=#03/30/2016#</w:t>
      </w:r>
    </w:p>
    <w:p w14:paraId="6B3AD34A" w14:textId="77777777" w:rsidR="001444B4" w:rsidRPr="00972653" w:rsidRDefault="001444B4" w:rsidP="00972653">
      <w:pPr>
        <w:pStyle w:val="SQL"/>
      </w:pPr>
      <w:r w:rsidRPr="00972653">
        <w:t>WHERE (((</w:t>
      </w:r>
      <w:proofErr w:type="spellStart"/>
      <w:r w:rsidRPr="00972653">
        <w:t>TableVersion.TableVID</w:t>
      </w:r>
      <w:proofErr w:type="spellEnd"/>
      <w:r w:rsidRPr="00972653">
        <w:t>) In (642,643,644,646,819)));</w:t>
      </w:r>
    </w:p>
    <w:p w14:paraId="4AC8A715" w14:textId="77777777" w:rsidR="001444B4" w:rsidRPr="00394670" w:rsidRDefault="001444B4" w:rsidP="001444B4">
      <w:pPr>
        <w:ind w:left="720"/>
        <w:rPr>
          <w:sz w:val="16"/>
          <w:szCs w:val="16"/>
        </w:rPr>
      </w:pPr>
    </w:p>
    <w:p w14:paraId="0EBEAB5F" w14:textId="77777777" w:rsidR="001444B4" w:rsidRDefault="001444B4" w:rsidP="00183058">
      <w:pPr>
        <w:pStyle w:val="ListParagraph"/>
        <w:numPr>
          <w:ilvl w:val="0"/>
          <w:numId w:val="23"/>
        </w:numPr>
      </w:pPr>
      <w:r>
        <w:t>Removal of incorrect links between validation rule and previous table versions (for metric allowed value rules)</w:t>
      </w:r>
    </w:p>
    <w:p w14:paraId="43C10DB7" w14:textId="77777777" w:rsidR="001444B4" w:rsidRDefault="001444B4" w:rsidP="001444B4">
      <w:pPr>
        <w:rPr>
          <w:sz w:val="16"/>
          <w:szCs w:val="16"/>
        </w:rPr>
      </w:pPr>
    </w:p>
    <w:p w14:paraId="6037F3C7" w14:textId="77777777" w:rsidR="001444B4" w:rsidRDefault="001444B4" w:rsidP="00183058">
      <w:pPr>
        <w:pStyle w:val="ListParagraph"/>
        <w:numPr>
          <w:ilvl w:val="0"/>
          <w:numId w:val="23"/>
        </w:numPr>
      </w:pPr>
      <w:r w:rsidRPr="00406EBB">
        <w:t xml:space="preserve">Remove misleading severity information from validation rule </w:t>
      </w:r>
      <w:r>
        <w:t>(basically this never actually provided reliable information, since EBA publishes changes to the status of rules in between taxonomy releases).</w:t>
      </w:r>
    </w:p>
    <w:p w14:paraId="5D901260" w14:textId="77777777" w:rsidR="001444B4" w:rsidRDefault="001444B4" w:rsidP="001444B4"/>
    <w:p w14:paraId="7B1DDB17" w14:textId="77777777" w:rsidR="001444B4" w:rsidRPr="00972653" w:rsidRDefault="001444B4" w:rsidP="00972653">
      <w:pPr>
        <w:pStyle w:val="SQL"/>
      </w:pPr>
      <w:r w:rsidRPr="00972653">
        <w:t xml:space="preserve">UPDATE </w:t>
      </w:r>
      <w:proofErr w:type="spellStart"/>
      <w:r w:rsidRPr="00972653">
        <w:t>ValidationRule</w:t>
      </w:r>
      <w:proofErr w:type="spellEnd"/>
      <w:r w:rsidRPr="00972653">
        <w:t xml:space="preserve"> SET </w:t>
      </w:r>
      <w:proofErr w:type="spellStart"/>
      <w:r w:rsidRPr="00972653">
        <w:t>ValidationRule.Severity</w:t>
      </w:r>
      <w:proofErr w:type="spellEnd"/>
      <w:r w:rsidRPr="00972653">
        <w:t xml:space="preserve"> = Null;</w:t>
      </w:r>
    </w:p>
    <w:p w14:paraId="44D98C79" w14:textId="77777777" w:rsidR="0084357B" w:rsidRPr="000321C4" w:rsidRDefault="0084357B" w:rsidP="00183058">
      <w:pPr>
        <w:pStyle w:val="ListParagraph"/>
        <w:numPr>
          <w:ilvl w:val="0"/>
          <w:numId w:val="21"/>
        </w:numPr>
      </w:pPr>
      <w:r>
        <w:t>Clarified status of the old/orphaned C 06.01 and C06.02 tables which used the filing indicator “C 06.00” (</w:t>
      </w:r>
      <w:proofErr w:type="spellStart"/>
      <w:r>
        <w:t>TableVersionIDs</w:t>
      </w:r>
      <w:proofErr w:type="spellEnd"/>
      <w:r>
        <w:t xml:space="preserve"> 732 and 739) by </w:t>
      </w:r>
      <w:r w:rsidRPr="000321C4">
        <w:t>set</w:t>
      </w:r>
      <w:r>
        <w:t>ting</w:t>
      </w:r>
      <w:r w:rsidRPr="000321C4">
        <w:t xml:space="preserve"> </w:t>
      </w:r>
      <w:proofErr w:type="spellStart"/>
      <w:r>
        <w:t>ToD</w:t>
      </w:r>
      <w:r w:rsidRPr="000321C4">
        <w:t>ate</w:t>
      </w:r>
      <w:proofErr w:type="spellEnd"/>
      <w:r w:rsidRPr="000321C4">
        <w:t xml:space="preserve"> to 29/06/2015</w:t>
      </w:r>
      <w:r>
        <w:t>.</w:t>
      </w:r>
    </w:p>
    <w:p w14:paraId="68EEDDB7" w14:textId="77777777" w:rsidR="0084357B" w:rsidRDefault="0084357B" w:rsidP="00183058">
      <w:pPr>
        <w:pStyle w:val="ListParagraph"/>
        <w:numPr>
          <w:ilvl w:val="0"/>
          <w:numId w:val="21"/>
        </w:numPr>
      </w:pPr>
      <w:r>
        <w:t>Corrected the version number of taxonomy SBP 2015-B to 1.0.2</w:t>
      </w:r>
    </w:p>
    <w:p w14:paraId="2EBC9491" w14:textId="77777777" w:rsidR="0084357B" w:rsidRDefault="0084357B" w:rsidP="00183058">
      <w:pPr>
        <w:pStyle w:val="ListParagraph"/>
        <w:numPr>
          <w:ilvl w:val="0"/>
          <w:numId w:val="21"/>
        </w:numPr>
      </w:pPr>
      <w:r>
        <w:t xml:space="preserve">Corrected </w:t>
      </w:r>
      <w:proofErr w:type="spellStart"/>
      <w:r>
        <w:t>OpenMemberRestriction</w:t>
      </w:r>
      <w:proofErr w:type="spellEnd"/>
      <w:r>
        <w:t xml:space="preserve"> records, all records with </w:t>
      </w:r>
      <w:proofErr w:type="spellStart"/>
      <w:r>
        <w:t>MemberIncluded</w:t>
      </w:r>
      <w:proofErr w:type="spellEnd"/>
      <w:r>
        <w:t xml:space="preserve">=true should also have had the (slightly redundant) </w:t>
      </w:r>
      <w:proofErr w:type="spellStart"/>
      <w:r>
        <w:t>AllowsDefaultMember</w:t>
      </w:r>
      <w:proofErr w:type="spellEnd"/>
      <w:r>
        <w:t xml:space="preserve"> field set to true as well</w:t>
      </w:r>
    </w:p>
    <w:p w14:paraId="142D6947" w14:textId="320F2AD1" w:rsidR="0084357B" w:rsidRDefault="0084357B" w:rsidP="0084357B">
      <w:pPr>
        <w:pStyle w:val="Titlelevel3"/>
      </w:pPr>
      <w:r>
        <w:lastRenderedPageBreak/>
        <w:t>DPM DB structure changes:</w:t>
      </w:r>
    </w:p>
    <w:p w14:paraId="139C4569" w14:textId="77777777" w:rsidR="0084357B" w:rsidRDefault="0084357B" w:rsidP="00183058">
      <w:pPr>
        <w:pStyle w:val="ListParagraph"/>
        <w:numPr>
          <w:ilvl w:val="0"/>
          <w:numId w:val="21"/>
        </w:numPr>
      </w:pPr>
      <w:r>
        <w:t xml:space="preserve">Added new </w:t>
      </w:r>
      <w:proofErr w:type="spellStart"/>
      <w:r>
        <w:t>DatapointVersionTransition</w:t>
      </w:r>
      <w:proofErr w:type="spellEnd"/>
      <w:r>
        <w:t xml:space="preserve"> and </w:t>
      </w:r>
      <w:proofErr w:type="spellStart"/>
      <w:r>
        <w:t>DatapointVersionTransitionLink</w:t>
      </w:r>
      <w:proofErr w:type="spellEnd"/>
      <w:r>
        <w:t xml:space="preserve"> tables:</w:t>
      </w:r>
    </w:p>
    <w:p w14:paraId="6D1F929A" w14:textId="77777777" w:rsidR="0084357B" w:rsidRDefault="0084357B" w:rsidP="0084357B">
      <w:pPr>
        <w:pStyle w:val="ListParagraph"/>
        <w:ind w:left="1080"/>
      </w:pPr>
      <w:r>
        <w:rPr>
          <w:noProof/>
        </w:rPr>
        <w:drawing>
          <wp:inline distT="0" distB="0" distL="0" distR="0" wp14:anchorId="392A3279" wp14:editId="22DF2772">
            <wp:extent cx="5762625" cy="1367101"/>
            <wp:effectExtent l="0" t="0" r="0" b="0"/>
            <wp:docPr id="2" name="Picture 2" descr="cid:image001.png@01D0FF78.A6EA0F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1.png@01D0FF78.A6EA0F6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5762625" cy="1367101"/>
                    </a:xfrm>
                    <a:prstGeom prst="rect">
                      <a:avLst/>
                    </a:prstGeom>
                    <a:noFill/>
                    <a:ln>
                      <a:noFill/>
                    </a:ln>
                  </pic:spPr>
                </pic:pic>
              </a:graphicData>
            </a:graphic>
          </wp:inline>
        </w:drawing>
      </w:r>
    </w:p>
    <w:p w14:paraId="6F480665" w14:textId="5C5FA272" w:rsidR="0084357B" w:rsidRDefault="0084357B" w:rsidP="00183058">
      <w:pPr>
        <w:pStyle w:val="ListParagraph"/>
        <w:numPr>
          <w:ilvl w:val="1"/>
          <w:numId w:val="21"/>
        </w:numPr>
      </w:pPr>
      <w:r>
        <w:t xml:space="preserve">The intention of these tables is to provide a mechanism to document more complex transitions to data series than the current possibilities of “start” (new </w:t>
      </w:r>
      <w:proofErr w:type="spellStart"/>
      <w:r>
        <w:t>DataPoint</w:t>
      </w:r>
      <w:proofErr w:type="spellEnd"/>
      <w:r>
        <w:t xml:space="preserve"> and </w:t>
      </w:r>
      <w:proofErr w:type="spellStart"/>
      <w:r>
        <w:t>DataPointVersion</w:t>
      </w:r>
      <w:proofErr w:type="spellEnd"/>
      <w:r>
        <w:t xml:space="preserve">), “change modelling” (additional </w:t>
      </w:r>
      <w:proofErr w:type="spellStart"/>
      <w:r>
        <w:t>DataPointVersion</w:t>
      </w:r>
      <w:proofErr w:type="spellEnd"/>
      <w:r>
        <w:t xml:space="preserve"> for same </w:t>
      </w:r>
      <w:proofErr w:type="spellStart"/>
      <w:r>
        <w:t>DataPoint</w:t>
      </w:r>
      <w:proofErr w:type="spellEnd"/>
      <w:r>
        <w:t xml:space="preserve">) or “stop” (end date on last </w:t>
      </w:r>
      <w:proofErr w:type="spellStart"/>
      <w:r>
        <w:t>DataPointVersion</w:t>
      </w:r>
      <w:proofErr w:type="spellEnd"/>
      <w:r>
        <w:t xml:space="preserve">). </w:t>
      </w:r>
    </w:p>
    <w:p w14:paraId="0AEA5F88" w14:textId="5BE7D889" w:rsidR="0084357B" w:rsidRDefault="0084357B" w:rsidP="00183058">
      <w:pPr>
        <w:pStyle w:val="ListParagraph"/>
        <w:numPr>
          <w:ilvl w:val="1"/>
          <w:numId w:val="21"/>
        </w:numPr>
      </w:pPr>
      <w:r>
        <w:t>Note they contain no records in this version.</w:t>
      </w:r>
    </w:p>
    <w:p w14:paraId="104BBE8B" w14:textId="77777777" w:rsidR="0084357B" w:rsidRDefault="0084357B" w:rsidP="001444B4">
      <w:pPr>
        <w:ind w:left="720"/>
        <w:rPr>
          <w:sz w:val="16"/>
          <w:szCs w:val="16"/>
        </w:rPr>
      </w:pPr>
    </w:p>
    <w:p w14:paraId="1FE4182E" w14:textId="77777777" w:rsidR="00D62FD8" w:rsidRDefault="00D62FD8" w:rsidP="001444B4">
      <w:pPr>
        <w:ind w:left="720"/>
        <w:rPr>
          <w:sz w:val="16"/>
          <w:szCs w:val="16"/>
        </w:rPr>
      </w:pPr>
    </w:p>
    <w:p w14:paraId="3C105FA0" w14:textId="77777777" w:rsidR="00D62FD8" w:rsidRPr="00AF5AA3" w:rsidRDefault="00D62FD8" w:rsidP="00D62FD8">
      <w:pPr>
        <w:pStyle w:val="Titlelevel2"/>
        <w:keepNext/>
      </w:pPr>
      <w:r>
        <w:t>XBRL c</w:t>
      </w:r>
      <w:r w:rsidRPr="00AF5AA3">
        <w:t>hanges</w:t>
      </w:r>
    </w:p>
    <w:p w14:paraId="34AA7AEB" w14:textId="5B3151A5" w:rsidR="00D62FD8" w:rsidRDefault="00D62FD8" w:rsidP="00D62FD8">
      <w:pPr>
        <w:pStyle w:val="Titlelevel3"/>
      </w:pPr>
      <w:r>
        <w:t xml:space="preserve"> “Changes only” XBRL taxonomy structure</w:t>
      </w:r>
    </w:p>
    <w:p w14:paraId="0B3A5889" w14:textId="77777777" w:rsidR="00D62FD8" w:rsidRDefault="00D62FD8" w:rsidP="00D62FD8">
      <w:r>
        <w:t xml:space="preserve">Note that the file structure of the XBRL taxonomy for this new correction version of COREP is implemented differently from previous EBA taxonomy releases. The new taxonomy directly references the (files containing the) unchanged elements (validation rules and tables) of the previous version, itself containing only those items that have changed or been added (i.e. it is a kind of “delta”). </w:t>
      </w:r>
    </w:p>
    <w:p w14:paraId="586342B8" w14:textId="77777777" w:rsidR="00D62FD8" w:rsidRDefault="00D62FD8" w:rsidP="00D62FD8"/>
    <w:p w14:paraId="73035EDA" w14:textId="77777777" w:rsidR="00D62FD8" w:rsidRDefault="00D62FD8" w:rsidP="00D62FD8">
      <w:r>
        <w:t>This has the significant advantages of making the (set of new files describing the) additional reporting taxonomy version much smaller (as it does not repeat the vast swathe of unchanged content), and making much clearer what is and is not changed. However it has the notable consequent disadvantage of making the new COREP entry points dependent on the files of the previous version, rather than solely on the dictionary files as was the previous pattern.</w:t>
      </w:r>
    </w:p>
    <w:p w14:paraId="7C87D191" w14:textId="199D3346" w:rsidR="00D62FD8" w:rsidRDefault="00D62FD8" w:rsidP="00D62FD8">
      <w:pPr>
        <w:pStyle w:val="Titlelevel3"/>
      </w:pPr>
      <w:r>
        <w:t>Validation rule implementation corrections</w:t>
      </w:r>
    </w:p>
    <w:p w14:paraId="27F94223" w14:textId="055A8740" w:rsidR="00D62FD8" w:rsidRDefault="00D62FD8" w:rsidP="00D62FD8">
      <w:pPr>
        <w:pStyle w:val="ListParagraph"/>
        <w:ind w:left="0"/>
      </w:pPr>
      <w:r>
        <w:t>As a result of a technical error in the taxonomy production process, validation rules intended to be of the form “</w:t>
      </w:r>
      <w:r w:rsidRPr="000F3477">
        <w:rPr>
          <w:i/>
        </w:rPr>
        <w:t>if a then b</w:t>
      </w:r>
      <w:r w:rsidR="000F3477">
        <w:rPr>
          <w:i/>
        </w:rPr>
        <w:t>”</w:t>
      </w:r>
      <w:r>
        <w:t xml:space="preserve"> were incorrectly implemented in the original release of the 2.4 XBRL taxonomy, and would always result in </w:t>
      </w:r>
      <w:r w:rsidR="000F3477">
        <w:t>a “failed” rule.</w:t>
      </w:r>
    </w:p>
    <w:p w14:paraId="15A1F052" w14:textId="77777777" w:rsidR="000F3477" w:rsidRDefault="000F3477" w:rsidP="00D62FD8">
      <w:pPr>
        <w:pStyle w:val="ListParagraph"/>
        <w:ind w:left="0"/>
      </w:pPr>
    </w:p>
    <w:p w14:paraId="008D46BF" w14:textId="4A7188F5" w:rsidR="000F3477" w:rsidRDefault="000F3477" w:rsidP="00D62FD8">
      <w:pPr>
        <w:pStyle w:val="ListParagraph"/>
        <w:ind w:left="0"/>
      </w:pPr>
      <w:r>
        <w:t xml:space="preserve">As the correction of this error does not affect the structural validity of any instance file, merely the potential results of evaluating XBRL assertions (i.e. they are “instance compatible”) this release includes “in-place” corrections to these files. The new versions of these files (or equivalently the new version of the relevant taxonomy packages) should be used.  Instances prepared using the previous versions of these taxonomies may be directly validated against the new taxonomy files without needing any changes (i.e. the </w:t>
      </w:r>
      <w:proofErr w:type="spellStart"/>
      <w:r>
        <w:t>schemaRef</w:t>
      </w:r>
      <w:proofErr w:type="spellEnd"/>
      <w:r>
        <w:t xml:space="preserve"> URIs needed are unchanged), or indeed vice versa.</w:t>
      </w:r>
    </w:p>
    <w:p w14:paraId="15612267" w14:textId="77777777" w:rsidR="000F3477" w:rsidRDefault="000F3477" w:rsidP="00D62FD8">
      <w:pPr>
        <w:pStyle w:val="ListParagraph"/>
        <w:ind w:left="0"/>
      </w:pPr>
    </w:p>
    <w:p w14:paraId="009FFA0C" w14:textId="083ACB3B" w:rsidR="000F3477" w:rsidRDefault="000F3477" w:rsidP="00D62FD8">
      <w:pPr>
        <w:pStyle w:val="ListParagraph"/>
        <w:ind w:left="0"/>
      </w:pPr>
      <w:r>
        <w:lastRenderedPageBreak/>
        <w:t xml:space="preserve">This applies to the v2.4 SBP and FINREP, for which updated versions 2.1.4.1 and 1.0.2.1 are supplied. In addition a correction for this error in the v2.4 COREP </w:t>
      </w:r>
      <w:r w:rsidR="00172A38">
        <w:t xml:space="preserve">files </w:t>
      </w:r>
      <w:r>
        <w:t xml:space="preserve">is also included, though this is superseded by the </w:t>
      </w:r>
      <w:r w:rsidR="00172A38">
        <w:t>new entry points required for the correction in the v2.4.1.0 COREP noted above</w:t>
      </w:r>
      <w:r w:rsidR="00172A38">
        <w:rPr>
          <w:rStyle w:val="FootnoteReference"/>
        </w:rPr>
        <w:footnoteReference w:id="7"/>
      </w:r>
      <w:r>
        <w:t>,</w:t>
      </w:r>
      <w:r w:rsidR="00172A38">
        <w:t xml:space="preserve"> and should not be used for any reporting to the EBA.</w:t>
      </w:r>
      <w:r>
        <w:t xml:space="preserve"> </w:t>
      </w:r>
      <w:r w:rsidR="00172A38">
        <w:t xml:space="preserve">These corrections form </w:t>
      </w:r>
      <w:r>
        <w:t xml:space="preserve">a notional </w:t>
      </w:r>
      <w:r>
        <w:rPr>
          <w:b/>
        </w:rPr>
        <w:t xml:space="preserve">v2.4.0.1 </w:t>
      </w:r>
      <w:r w:rsidRPr="000F3477">
        <w:t>release</w:t>
      </w:r>
      <w:r w:rsidR="00172A38">
        <w:t>.</w:t>
      </w:r>
    </w:p>
    <w:p w14:paraId="2A2395A4" w14:textId="77777777" w:rsidR="00D62FD8" w:rsidRDefault="00D62FD8" w:rsidP="00D62FD8">
      <w:pPr>
        <w:pStyle w:val="Titlelevel3"/>
      </w:pPr>
      <w:r>
        <w:t>Additional metadata files</w:t>
      </w:r>
    </w:p>
    <w:p w14:paraId="32306CC7" w14:textId="00DF67E8" w:rsidR="00D62FD8" w:rsidRDefault="00D62FD8" w:rsidP="00D62FD8">
      <w:pPr>
        <w:pStyle w:val="ListParagraph"/>
        <w:ind w:left="0"/>
      </w:pPr>
      <w:r>
        <w:t>Inclusion of DPM architect format “tax-inf.xml” files to provide metadata on required precision</w:t>
      </w:r>
      <w:r w:rsidR="000F3477">
        <w:t>.</w:t>
      </w:r>
      <w:r>
        <w:t xml:space="preserve"> </w:t>
      </w:r>
      <w:r w:rsidR="000F3477">
        <w:t>N.B.</w:t>
      </w:r>
      <w:r>
        <w:t xml:space="preserve"> these are merely complementary to existing information in filing rules, not directly referenced by any entry point, not crucial for any XBRL processing, and provided only in case they are useful to some consumers</w:t>
      </w:r>
      <w:r w:rsidR="000F3477">
        <w:t>.</w:t>
      </w:r>
    </w:p>
    <w:p w14:paraId="436B08FA" w14:textId="77777777" w:rsidR="001444B4" w:rsidRDefault="001444B4" w:rsidP="001444B4">
      <w:pPr>
        <w:rPr>
          <w:sz w:val="16"/>
          <w:szCs w:val="16"/>
        </w:rPr>
      </w:pPr>
    </w:p>
    <w:p w14:paraId="7C442FD0" w14:textId="77777777" w:rsidR="001444B4" w:rsidRDefault="001444B4" w:rsidP="001444B4">
      <w:pPr>
        <w:pStyle w:val="Titlelevel3"/>
      </w:pPr>
      <w:r w:rsidRPr="00394670">
        <w:t>Known Errors:</w:t>
      </w:r>
    </w:p>
    <w:p w14:paraId="488DC59B" w14:textId="00D832CA" w:rsidR="001444B4" w:rsidRDefault="00F00500" w:rsidP="001444B4">
      <w:pPr>
        <w:rPr>
          <w:rFonts w:asciiTheme="majorHAnsi" w:eastAsiaTheme="majorEastAsia" w:hAnsiTheme="majorHAnsi" w:cstheme="majorBidi"/>
          <w:bCs/>
          <w:color w:val="2F5773" w:themeColor="text2"/>
          <w:sz w:val="32"/>
        </w:rPr>
      </w:pPr>
      <w:r>
        <w:t>There is</w:t>
      </w:r>
      <w:r w:rsidR="001444B4" w:rsidRPr="00394670">
        <w:t xml:space="preserve"> an error in the table layout for P 02.06 in DPM/XBRL. </w:t>
      </w:r>
      <w:r>
        <w:t>R</w:t>
      </w:r>
      <w:r w:rsidR="001444B4" w:rsidRPr="00394670">
        <w:t xml:space="preserve">ow 040 </w:t>
      </w:r>
      <w:r>
        <w:t>is positioned i</w:t>
      </w:r>
      <w:r w:rsidR="001444B4" w:rsidRPr="00394670">
        <w:t>n the first section (under the first header) in the DPM/XBRL, but should fall into the second section. This is a display issue not a categorization one, i.e. the dimensional attributes and label of the row is still correct, but please be aware.</w:t>
      </w:r>
      <w:r>
        <w:t xml:space="preserve"> [This is corrected in v2.5]</w:t>
      </w:r>
    </w:p>
    <w:p w14:paraId="39AE2F27" w14:textId="77777777" w:rsidR="00F00500" w:rsidRDefault="00F00500">
      <w:pPr>
        <w:rPr>
          <w:rFonts w:asciiTheme="majorHAnsi" w:eastAsiaTheme="majorEastAsia" w:hAnsiTheme="majorHAnsi" w:cstheme="majorBidi"/>
          <w:i/>
          <w:color w:val="2F5773" w:themeColor="text2"/>
          <w:spacing w:val="5"/>
          <w:kern w:val="28"/>
          <w:sz w:val="52"/>
          <w:szCs w:val="52"/>
        </w:rPr>
      </w:pPr>
      <w:r>
        <w:rPr>
          <w:i/>
        </w:rPr>
        <w:br w:type="page"/>
      </w:r>
    </w:p>
    <w:p w14:paraId="55B5EADD" w14:textId="228A9621" w:rsidR="00DC113D" w:rsidRDefault="00DC113D" w:rsidP="00DC113D">
      <w:pPr>
        <w:pStyle w:val="Titlelevel1"/>
        <w:rPr>
          <w:i/>
        </w:rPr>
      </w:pPr>
      <w:r>
        <w:rPr>
          <w:i/>
        </w:rPr>
        <w:lastRenderedPageBreak/>
        <w:t>v2.4</w:t>
      </w:r>
      <w:r w:rsidRPr="00E47786">
        <w:rPr>
          <w:i/>
        </w:rPr>
        <w:t>.</w:t>
      </w:r>
      <w:r w:rsidR="00351662">
        <w:rPr>
          <w:i/>
        </w:rPr>
        <w:t>0</w:t>
      </w:r>
      <w:r w:rsidRPr="00E47786">
        <w:rPr>
          <w:i/>
        </w:rPr>
        <w:t xml:space="preserve"> (“2015-</w:t>
      </w:r>
      <w:r>
        <w:rPr>
          <w:i/>
        </w:rPr>
        <w:t>B”</w:t>
      </w:r>
      <w:r w:rsidRPr="00E47786">
        <w:rPr>
          <w:i/>
        </w:rPr>
        <w:t>)</w:t>
      </w:r>
      <w:r w:rsidRPr="00E47786">
        <w:rPr>
          <w:rFonts w:ascii="Arial" w:hAnsi="Arial" w:cs="Arial"/>
          <w:i/>
          <w:color w:val="696969"/>
          <w:sz w:val="18"/>
          <w:szCs w:val="18"/>
          <w:shd w:val="clear" w:color="auto" w:fill="FFFFFF"/>
        </w:rPr>
        <w:t xml:space="preserve"> </w:t>
      </w:r>
      <w:r>
        <w:rPr>
          <w:rFonts w:ascii="Arial" w:hAnsi="Arial" w:cs="Arial"/>
          <w:i/>
          <w:color w:val="696969"/>
          <w:sz w:val="18"/>
          <w:szCs w:val="18"/>
          <w:shd w:val="clear" w:color="auto" w:fill="FFFFFF"/>
        </w:rPr>
        <w:t>(11/08</w:t>
      </w:r>
      <w:r w:rsidRPr="00E47786">
        <w:rPr>
          <w:rFonts w:ascii="Arial" w:hAnsi="Arial" w:cs="Arial"/>
          <w:i/>
          <w:color w:val="696969"/>
          <w:sz w:val="18"/>
          <w:szCs w:val="18"/>
          <w:shd w:val="clear" w:color="auto" w:fill="FFFFFF"/>
        </w:rPr>
        <w:t>/2015)</w:t>
      </w:r>
    </w:p>
    <w:p w14:paraId="55B5EADE" w14:textId="77777777" w:rsidR="00D77280" w:rsidRDefault="00D77280" w:rsidP="00D77280">
      <w:pPr>
        <w:pStyle w:val="Titlelevel2"/>
      </w:pPr>
      <w:r w:rsidRPr="00AF5AA3">
        <w:t>Purpose</w:t>
      </w:r>
    </w:p>
    <w:p w14:paraId="55B5EADF" w14:textId="77777777" w:rsidR="00D77280" w:rsidRDefault="00D77280" w:rsidP="00183058">
      <w:pPr>
        <w:pStyle w:val="ListParagraph"/>
        <w:numPr>
          <w:ilvl w:val="0"/>
          <w:numId w:val="21"/>
        </w:numPr>
      </w:pPr>
      <w:r>
        <w:t>Alignment of LR and LCR reporting with respective Commission delegated acts.</w:t>
      </w:r>
    </w:p>
    <w:p w14:paraId="55B5EAE0" w14:textId="77777777" w:rsidR="00D77280" w:rsidRDefault="00D77280" w:rsidP="00183058">
      <w:pPr>
        <w:pStyle w:val="ListParagraph"/>
        <w:numPr>
          <w:ilvl w:val="0"/>
          <w:numId w:val="21"/>
        </w:numPr>
      </w:pPr>
      <w:r>
        <w:t xml:space="preserve">Introduction of true Multicurrency reporting to COREP and ALM per QA 1042.  </w:t>
      </w:r>
    </w:p>
    <w:p w14:paraId="55B5EAE1" w14:textId="77777777" w:rsidR="00D77280" w:rsidRDefault="00D77280" w:rsidP="00D77280"/>
    <w:p w14:paraId="55B5EAE2" w14:textId="77777777" w:rsidR="00D77280" w:rsidRPr="002C21E9" w:rsidRDefault="00D77280" w:rsidP="00D77280">
      <w:pPr>
        <w:pStyle w:val="Titlelevel2"/>
      </w:pPr>
      <w:r w:rsidRPr="002C21E9">
        <w:t>DPM Changes</w:t>
      </w:r>
    </w:p>
    <w:p w14:paraId="55B5EAE3" w14:textId="77777777" w:rsidR="00D77280" w:rsidRPr="00360446" w:rsidRDefault="00D77280" w:rsidP="00D77280">
      <w:pPr>
        <w:pStyle w:val="Titlelevel3"/>
      </w:pPr>
      <w:r w:rsidRPr="00360446">
        <w:t>Leverage Ratio</w:t>
      </w:r>
    </w:p>
    <w:p w14:paraId="55B5EAE4" w14:textId="77777777" w:rsidR="00D77280" w:rsidRDefault="00D77280" w:rsidP="00D77280">
      <w:r>
        <w:t>In accordance with the Commission Delegated Regulation 2015/62, and Implementing Technical Standards EBA/ITS/2015/03, the leverage ratio templates (C 40-46) have been updated. Templates C 40-44 have been adapted, C 45-46 deleted and C 47 added (effectively replacing C 45). As usual, these templates should be reported as part of the main COREP module.</w:t>
      </w:r>
    </w:p>
    <w:p w14:paraId="55B5EAE5" w14:textId="77777777" w:rsidR="00D77280" w:rsidRDefault="00D77280" w:rsidP="00D77280"/>
    <w:p w14:paraId="55B5EAE6" w14:textId="77777777" w:rsidR="00D77280" w:rsidRPr="002D2F3D" w:rsidRDefault="00D77280" w:rsidP="00D77280">
      <w:pPr>
        <w:pStyle w:val="Titlelevel3"/>
      </w:pPr>
      <w:r w:rsidRPr="002D2F3D">
        <w:t>Liquidity Coverage Ratio</w:t>
      </w:r>
    </w:p>
    <w:p w14:paraId="55B5EAE7" w14:textId="77777777" w:rsidR="00D77280" w:rsidRDefault="00D77280" w:rsidP="00D77280">
      <w:r>
        <w:t>In accordance with Commission Delegated Regulation 2015/61, and Implementing Technical Standards EBA/ITS/2015/04, an additional conceptual module (LCR_DA in Individual and Consolidated variants) has been introduced containing revised versions of the Liquidity Coverage Ratio templates. These are included in an additional module, rather than altering the existing templates, as the delegated act applies to only one section (broadly credit institutions) of the potential reporters of LCR templates, others of which (broadly investment firms) may continue to be required to report the pre-delegated act LCR templates.</w:t>
      </w:r>
    </w:p>
    <w:p w14:paraId="55B5EAE8" w14:textId="77777777" w:rsidR="00D77280" w:rsidRPr="002D2F3D" w:rsidRDefault="00D77280" w:rsidP="00D77280">
      <w:pPr>
        <w:pStyle w:val="Titlelevel3"/>
      </w:pPr>
      <w:r w:rsidRPr="002D2F3D">
        <w:t>QA 1042</w:t>
      </w:r>
      <w:r>
        <w:t xml:space="preserve"> - Multicurrency</w:t>
      </w:r>
    </w:p>
    <w:p w14:paraId="55B5EAE9" w14:textId="77777777" w:rsidR="00D77280" w:rsidRDefault="00D77280" w:rsidP="00D77280">
      <w:r>
        <w:t>Significant implementation changes have been made to the data model and XBRL reporting mechanics regarding the reporting of currency breakdowns (and other non-reporting currency figures).</w:t>
      </w:r>
    </w:p>
    <w:p w14:paraId="55B5EAEA" w14:textId="77777777" w:rsidR="00D77280" w:rsidRDefault="00D77280" w:rsidP="00D77280"/>
    <w:p w14:paraId="55B5EAEB" w14:textId="77777777" w:rsidR="00D77280" w:rsidRDefault="00D77280" w:rsidP="00D77280">
      <w:proofErr w:type="gramStart"/>
      <w:r>
        <w:t xml:space="preserve">On </w:t>
      </w:r>
      <w:r w:rsidRPr="002D2F3D">
        <w:t>29/05/2015</w:t>
      </w:r>
      <w:r>
        <w:t xml:space="preserve"> the question #1042 on the EBA Single Rulebook Q&amp;A</w:t>
      </w:r>
      <w:r w:rsidRPr="003F60D3">
        <w:rPr>
          <w:vertAlign w:val="superscript"/>
        </w:rPr>
        <w:footnoteReference w:id="8"/>
      </w:r>
      <w:r w:rsidRPr="003F60D3">
        <w:rPr>
          <w:vertAlign w:val="superscript"/>
        </w:rPr>
        <w:t xml:space="preserve"> </w:t>
      </w:r>
      <w:r>
        <w:t>(“</w:t>
      </w:r>
      <w:r w:rsidRPr="003F60D3">
        <w:rPr>
          <w:rFonts w:ascii="Arial" w:hAnsi="Arial" w:cs="Arial"/>
          <w:color w:val="303A40"/>
          <w:sz w:val="18"/>
          <w:szCs w:val="18"/>
          <w:shd w:val="clear" w:color="auto" w:fill="FFFFFF"/>
        </w:rPr>
        <w:t>Currency in which the information that the institutions report to the competent authorities of the home member State must be submitted, according to art.</w:t>
      </w:r>
      <w:proofErr w:type="gramEnd"/>
      <w:r w:rsidRPr="003F60D3">
        <w:rPr>
          <w:rFonts w:ascii="Arial" w:hAnsi="Arial" w:cs="Arial"/>
          <w:color w:val="303A40"/>
          <w:sz w:val="18"/>
          <w:szCs w:val="18"/>
          <w:shd w:val="clear" w:color="auto" w:fill="FFFFFF"/>
        </w:rPr>
        <w:t xml:space="preserve"> 415 (2) [LCR and NSFR templates]</w:t>
      </w:r>
      <w:r>
        <w:t>”) was answered thus:</w:t>
      </w:r>
    </w:p>
    <w:p w14:paraId="55B5EAEC" w14:textId="77777777" w:rsidR="00D77280" w:rsidRDefault="00D77280" w:rsidP="00D77280"/>
    <w:p w14:paraId="55B5EAED" w14:textId="77777777" w:rsidR="00D77280" w:rsidRDefault="00D77280" w:rsidP="00D77280">
      <w:r>
        <w:t>“</w:t>
      </w:r>
      <w:r w:rsidRPr="003F60D3">
        <w:rPr>
          <w:rFonts w:ascii="Arial" w:hAnsi="Arial" w:cs="Arial"/>
          <w:color w:val="303A40"/>
          <w:sz w:val="18"/>
          <w:szCs w:val="18"/>
          <w:shd w:val="clear" w:color="auto" w:fill="FFFFFF"/>
        </w:rPr>
        <w:t xml:space="preserve">The reporting of data in each significant currency shall, according to Article 415(2) a, be done using the significant currency itself. As the IT solutions of Article 17 of Regulation (EU) No 680/2014 - ITS on Supervisory Reporting currently do not allow for a reporting in each significant currency, the reporting currency should be used. Therefore significant currencies have to be converted into the reporting currency, </w:t>
      </w:r>
      <w:r w:rsidRPr="003F60D3">
        <w:rPr>
          <w:rFonts w:ascii="Arial" w:hAnsi="Arial" w:cs="Arial"/>
          <w:b/>
          <w:color w:val="303A40"/>
          <w:sz w:val="18"/>
          <w:szCs w:val="18"/>
          <w:shd w:val="clear" w:color="auto" w:fill="FFFFFF"/>
        </w:rPr>
        <w:t>until the IT solutions have been amended accordingly, to allow for reporting in significant currencies. This change will be made with the next possible release</w:t>
      </w:r>
      <w:r w:rsidRPr="003F60D3">
        <w:rPr>
          <w:rFonts w:ascii="Arial" w:hAnsi="Arial" w:cs="Arial"/>
          <w:color w:val="303A40"/>
          <w:sz w:val="18"/>
          <w:szCs w:val="18"/>
          <w:shd w:val="clear" w:color="auto" w:fill="FFFFFF"/>
        </w:rPr>
        <w:t>. Until then the conversion should be made according to the spot ECB foreign exchange reference rates as at the reporting reference date</w:t>
      </w:r>
      <w:r>
        <w:t>”</w:t>
      </w:r>
    </w:p>
    <w:p w14:paraId="55B5EAEE" w14:textId="77777777" w:rsidR="00D77280" w:rsidRDefault="00D77280" w:rsidP="00D77280"/>
    <w:p w14:paraId="55B5EAEF" w14:textId="77777777" w:rsidR="00D77280" w:rsidRDefault="00D77280" w:rsidP="00D77280">
      <w:r>
        <w:t>This release gives effect to this response (being the next feasible release after the QA response publication) and adjusts the operation of the requirement for a single reporting currency. The EBA filing rules have been modified to provide for reporting in other than the main reporting currency of an instance where indicated as appropriate by the Data Point Model.</w:t>
      </w:r>
    </w:p>
    <w:p w14:paraId="55B5EAF0" w14:textId="77777777" w:rsidR="00D77280" w:rsidRDefault="00D77280" w:rsidP="00D77280">
      <w:pPr>
        <w:pStyle w:val="Titlelevel4"/>
      </w:pPr>
      <w:r>
        <w:t>Currency breakdown sheets in LCR and NSFR</w:t>
      </w:r>
    </w:p>
    <w:p w14:paraId="55B5EAF1" w14:textId="77777777" w:rsidR="00D77280" w:rsidRDefault="00D77280" w:rsidP="00D77280">
      <w:r>
        <w:t xml:space="preserve">The existing tables </w:t>
      </w:r>
      <w:r w:rsidRPr="00A14D23">
        <w:t>C.51.00.w, C.51.00.x, C.52.00.w, C.52.00.x, C.52.00.y, C.52.00.z, C.53.00.w, C.53.00.x, C.53.00.y, C.54.00.a, C54.00.w</w:t>
      </w:r>
      <w:r>
        <w:t xml:space="preserve">, C 60.00.w, C 60.00.x, C 61.00.w, </w:t>
      </w:r>
      <w:proofErr w:type="gramStart"/>
      <w:r>
        <w:t>C</w:t>
      </w:r>
      <w:proofErr w:type="gramEnd"/>
      <w:r>
        <w:t xml:space="preserve"> 61.00.x (LCR and NSFR) have been altered.</w:t>
      </w:r>
    </w:p>
    <w:p w14:paraId="55B5EAF2" w14:textId="77777777" w:rsidR="00D77280" w:rsidRDefault="00D77280" w:rsidP="00D77280"/>
    <w:p w14:paraId="55B5EAF3" w14:textId="77777777" w:rsidR="00D77280" w:rsidRDefault="00D77280" w:rsidP="00D77280">
      <w:r>
        <w:t xml:space="preserve">Each of the monetary data items on these tables has had the member </w:t>
      </w:r>
      <w:r w:rsidRPr="007C4AD7">
        <w:rPr>
          <w:b/>
        </w:rPr>
        <w:t>eba_CA</w:t>
      </w:r>
      <w:proofErr w:type="gramStart"/>
      <w:r w:rsidRPr="007C4AD7">
        <w:rPr>
          <w:b/>
        </w:rPr>
        <w:t>:x1</w:t>
      </w:r>
      <w:proofErr w:type="gramEnd"/>
      <w:r w:rsidRPr="007C4AD7">
        <w:rPr>
          <w:rFonts w:ascii="Courier New" w:hAnsi="Courier New" w:cs="Courier New"/>
          <w:b/>
        </w:rPr>
        <w:t xml:space="preserve"> </w:t>
      </w:r>
      <w:r w:rsidRPr="002C21E9">
        <w:rPr>
          <w:i/>
        </w:rPr>
        <w:t>(“Expressed in currency of denomination (not converted to reporting currency)”</w:t>
      </w:r>
      <w:r>
        <w:rPr>
          <w:i/>
        </w:rPr>
        <w:t xml:space="preserve"> </w:t>
      </w:r>
      <w:r>
        <w:t xml:space="preserve">for the new dimension </w:t>
      </w:r>
      <w:r w:rsidRPr="007C4AD7">
        <w:rPr>
          <w:b/>
        </w:rPr>
        <w:t>CCA</w:t>
      </w:r>
      <w:r>
        <w:t xml:space="preserve"> </w:t>
      </w:r>
      <w:r w:rsidRPr="002C21E9">
        <w:rPr>
          <w:i/>
        </w:rPr>
        <w:t>(“Currency Conversion Approach”)</w:t>
      </w:r>
      <w:r>
        <w:t xml:space="preserve"> added to its modelling.  As noted above the EBA filing rules (v4.1) now allow such data items to be reported in currencies other than the “reporting currency” of the instance (whereas other monetary data items not so marked must still be reported in a single reporting currency per instance).</w:t>
      </w:r>
    </w:p>
    <w:p w14:paraId="55B5EAF4" w14:textId="77777777" w:rsidR="00D77280" w:rsidRDefault="00D77280" w:rsidP="00D77280"/>
    <w:p w14:paraId="55B5EAF5" w14:textId="77777777" w:rsidR="00D77280" w:rsidRPr="002C21E9" w:rsidRDefault="00D77280" w:rsidP="00D77280">
      <w:r>
        <w:t xml:space="preserve">Furthermore the filing rules state that for such facts where they have a value for </w:t>
      </w:r>
      <w:r w:rsidRPr="007C4AD7">
        <w:rPr>
          <w:b/>
        </w:rPr>
        <w:t>CUS</w:t>
      </w:r>
      <w:r>
        <w:t xml:space="preserve"> (</w:t>
      </w:r>
      <w:r w:rsidRPr="002C21E9">
        <w:rPr>
          <w:i/>
        </w:rPr>
        <w:t>“Currency with significant liabilities”)</w:t>
      </w:r>
      <w:r>
        <w:rPr>
          <w:i/>
        </w:rPr>
        <w:t xml:space="preserve"> </w:t>
      </w:r>
      <w:r>
        <w:t>the currency unit of the reported value must be consistent</w:t>
      </w:r>
      <w:r>
        <w:rPr>
          <w:rStyle w:val="FootnoteReference"/>
        </w:rPr>
        <w:footnoteReference w:id="9"/>
      </w:r>
      <w:r>
        <w:t xml:space="preserve"> with the value given for this dimension. This is the dimension used on the open z axis to identify to which sheet of the currency breakdown tables each fact relates.</w:t>
      </w:r>
    </w:p>
    <w:p w14:paraId="55B5EAF6" w14:textId="77777777" w:rsidR="00D77280" w:rsidRDefault="00D77280" w:rsidP="00D77280"/>
    <w:p w14:paraId="55B5EAF7" w14:textId="77777777" w:rsidR="00D77280" w:rsidRDefault="00D77280" w:rsidP="00D77280">
      <w:r>
        <w:t>The new LCR delegated act tables are also modelled in this way.</w:t>
      </w:r>
    </w:p>
    <w:p w14:paraId="55B5EAF8" w14:textId="77777777" w:rsidR="00D77280" w:rsidRDefault="00D77280" w:rsidP="00D77280"/>
    <w:p w14:paraId="55B5EAF9" w14:textId="77777777" w:rsidR="00D77280" w:rsidRDefault="00D77280" w:rsidP="00D77280">
      <w:r>
        <w:t>Note that table F 34.00.c in Asset Encumbrance and P 02.06 from Funding Plans, although sharing the same structure as the above mentioned tables in LCR and NSFR have NOT been altered. This is because the scope of the QA 1042 was specifically LCR and NSFR, and so does not automatically apply to these tables. F 34.00.c and P 02.06 should for now continue to be reported with all figures converted to the reporting currency (they are not marked with the member indicating otherwise).</w:t>
      </w:r>
    </w:p>
    <w:p w14:paraId="55B5EAFA" w14:textId="77777777" w:rsidR="00D77280" w:rsidRDefault="00D77280" w:rsidP="00D77280">
      <w:pPr>
        <w:pStyle w:val="Titlelevel4"/>
      </w:pPr>
      <w:r>
        <w:t>Benchmarking</w:t>
      </w:r>
    </w:p>
    <w:p w14:paraId="55B5EAFB" w14:textId="77777777" w:rsidR="00D77280" w:rsidRDefault="00D77280" w:rsidP="00D77280">
      <w:r>
        <w:t>The tables in benchmarking that previously used “decimal” primary items to report figures in various currencies without mentioning the currency have been remodelled to instead use normal monetary primary items.</w:t>
      </w:r>
    </w:p>
    <w:p w14:paraId="55B5EAFC" w14:textId="77777777" w:rsidR="00D77280" w:rsidRDefault="00D77280" w:rsidP="00D77280"/>
    <w:p w14:paraId="55B5EAFD" w14:textId="77777777" w:rsidR="00D77280" w:rsidRDefault="00D77280" w:rsidP="00D77280">
      <w:r>
        <w:t xml:space="preserve">The dimensional attributes of these data items in the DPM again contain the </w:t>
      </w:r>
      <w:r w:rsidRPr="007C4AD7">
        <w:rPr>
          <w:b/>
        </w:rPr>
        <w:t>eba_CA</w:t>
      </w:r>
      <w:proofErr w:type="gramStart"/>
      <w:r w:rsidRPr="007C4AD7">
        <w:rPr>
          <w:b/>
        </w:rPr>
        <w:t>:x1</w:t>
      </w:r>
      <w:proofErr w:type="gramEnd"/>
      <w:r>
        <w:t xml:space="preserve"> member of the </w:t>
      </w:r>
      <w:r w:rsidRPr="007C4AD7">
        <w:rPr>
          <w:b/>
        </w:rPr>
        <w:t>C</w:t>
      </w:r>
      <w:r>
        <w:rPr>
          <w:b/>
        </w:rPr>
        <w:t>CA</w:t>
      </w:r>
      <w:r>
        <w:t xml:space="preserve"> dimension to indicate they can (must) be reported with currencies other than the reporting currency where relevant.</w:t>
      </w:r>
    </w:p>
    <w:p w14:paraId="55B5EAFE" w14:textId="77777777" w:rsidR="00D77280" w:rsidRDefault="00D77280" w:rsidP="00D77280"/>
    <w:p w14:paraId="55B5EAFF" w14:textId="77777777" w:rsidR="00D77280" w:rsidRDefault="00D77280" w:rsidP="00D77280">
      <w:r>
        <w:t xml:space="preserve">The data items (unlike those in LCR and NSFR) do not however have any predetermined currency dimension associated. This is because the appropriate currency varies for each item (each row/sheet associated to a portfolio ID) in the open tables, driven by the details specified for the notional supervisory benchmarking portfolios in the lists published by the EBA in preparation for each specific </w:t>
      </w:r>
      <w:r>
        <w:lastRenderedPageBreak/>
        <w:t>benchmarking exercise</w:t>
      </w:r>
      <w:r>
        <w:rPr>
          <w:rStyle w:val="FootnoteReference"/>
        </w:rPr>
        <w:footnoteReference w:id="10"/>
      </w:r>
      <w:r>
        <w:t>. These open data items are therefore not a priori restricted by the data model to being reported in a specific currency, but of course should be reported in the appropriate currency of denomination on a reported fact by fact basis.</w:t>
      </w:r>
    </w:p>
    <w:p w14:paraId="55B5EB00" w14:textId="77777777" w:rsidR="00D77280" w:rsidRDefault="00D77280" w:rsidP="00D77280"/>
    <w:p w14:paraId="55B5EB01" w14:textId="77777777" w:rsidR="00AE7465" w:rsidRDefault="00AE7465" w:rsidP="00AE7465">
      <w:pPr>
        <w:pStyle w:val="Titlelevel3"/>
      </w:pPr>
      <w:proofErr w:type="spellStart"/>
      <w:r>
        <w:t>Finrep</w:t>
      </w:r>
      <w:proofErr w:type="spellEnd"/>
      <w:r>
        <w:t xml:space="preserve"> Individual</w:t>
      </w:r>
    </w:p>
    <w:p w14:paraId="55B5EB02" w14:textId="77777777" w:rsidR="00AE7465" w:rsidRPr="002D2F3D" w:rsidRDefault="00AE7465" w:rsidP="00AE7465">
      <w:r>
        <w:t xml:space="preserve">Please note that in order to facilitate implementation the </w:t>
      </w:r>
      <w:proofErr w:type="spellStart"/>
      <w:r>
        <w:t>Finrep</w:t>
      </w:r>
      <w:proofErr w:type="spellEnd"/>
      <w:r>
        <w:t xml:space="preserve"> Individual entry points form a separate reporting taxonomy (i.e. are separated into their own subdirectory at the XBRL level), the definitions of the tables (and hence the table layouts) are identical between the Consolidated and Individual versions.</w:t>
      </w:r>
    </w:p>
    <w:p w14:paraId="55B5EB03" w14:textId="77777777" w:rsidR="00D77280" w:rsidRDefault="00D77280" w:rsidP="00D77280">
      <w:pPr>
        <w:pStyle w:val="Titlelevel3"/>
      </w:pPr>
      <w:r>
        <w:t>Validation rules</w:t>
      </w:r>
    </w:p>
    <w:p w14:paraId="55B5EB04" w14:textId="77777777" w:rsidR="00D77280" w:rsidRDefault="00D77280" w:rsidP="00D77280">
      <w:r>
        <w:t xml:space="preserve">The “severity” attribute of validation rules is no longer populated in the DPM database (since it is essentially out of date as soon as the taxonomy is </w:t>
      </w:r>
      <w:proofErr w:type="gramStart"/>
      <w:r>
        <w:t>published,</w:t>
      </w:r>
      <w:proofErr w:type="gramEnd"/>
      <w:r>
        <w:t xml:space="preserve"> and hence just a potential source of confusion). All validation rules entries for 2.4 have this field as null. The activation / deactivation and blocking / non-blocking status of rules should be determined from the validation rule spreadsheets published from time to time by the EBA.</w:t>
      </w:r>
    </w:p>
    <w:p w14:paraId="55B5EB05" w14:textId="77777777" w:rsidR="00D77280" w:rsidRDefault="00D77280" w:rsidP="00D77280"/>
    <w:p w14:paraId="55B5EB06" w14:textId="77777777" w:rsidR="00D77280" w:rsidRDefault="00D77280" w:rsidP="00D77280">
      <w:r>
        <w:t xml:space="preserve">The accompanying validation spreadsheet includes additional rules for Asset Encumbrance, which </w:t>
      </w:r>
      <w:proofErr w:type="gramStart"/>
      <w:r>
        <w:t>are</w:t>
      </w:r>
      <w:proofErr w:type="gramEnd"/>
      <w:r>
        <w:t xml:space="preserve"> not represented in the XBRL taxonomy, being marked as “Not implemented in XBRL”. There is no new Asset Encumbrance taxonomy version in this release.</w:t>
      </w:r>
    </w:p>
    <w:p w14:paraId="55B5EB07" w14:textId="77777777" w:rsidR="00D77280" w:rsidRDefault="00D77280" w:rsidP="00D77280"/>
    <w:p w14:paraId="55B5EB08" w14:textId="77777777" w:rsidR="00D77280" w:rsidRDefault="00D77280" w:rsidP="00D77280">
      <w:r>
        <w:t>The function “min” is used for the first time in validation rules in this release.</w:t>
      </w:r>
    </w:p>
    <w:p w14:paraId="55B5EB09" w14:textId="77777777" w:rsidR="00D77280" w:rsidRPr="000818EE" w:rsidRDefault="00D77280" w:rsidP="00D77280">
      <w:pPr>
        <w:pStyle w:val="Titlelevel4"/>
        <w:ind w:left="720" w:right="711"/>
      </w:pPr>
      <w:proofErr w:type="gramStart"/>
      <w:r w:rsidRPr="000818EE">
        <w:t>A quick clarification regarding the “</w:t>
      </w:r>
      <w:proofErr w:type="spellStart"/>
      <w:r w:rsidRPr="000818EE">
        <w:t>xsum</w:t>
      </w:r>
      <w:proofErr w:type="spellEnd"/>
      <w:r w:rsidRPr="000818EE">
        <w:t>” function.</w:t>
      </w:r>
      <w:proofErr w:type="gramEnd"/>
    </w:p>
    <w:p w14:paraId="55B5EB0A" w14:textId="77777777" w:rsidR="00D77280" w:rsidRPr="00055C2E" w:rsidRDefault="00D77280" w:rsidP="00D77280">
      <w:pPr>
        <w:ind w:left="720" w:right="711"/>
        <w:jc w:val="both"/>
      </w:pPr>
      <w:r>
        <w:t xml:space="preserve">Used in the EBA validation rule formulae, </w:t>
      </w:r>
      <w:r w:rsidRPr="00055C2E">
        <w:t>“</w:t>
      </w:r>
      <w:proofErr w:type="spellStart"/>
      <w:r w:rsidRPr="00055C2E">
        <w:t>xsum</w:t>
      </w:r>
      <w:proofErr w:type="spellEnd"/>
      <w:r w:rsidRPr="00055C2E">
        <w:t>” indicates that the value of all the cells at intersections of the listed co-ordinates should be summed. I.e. if a formula stated “</w:t>
      </w:r>
      <w:proofErr w:type="spellStart"/>
      <w:proofErr w:type="gramStart"/>
      <w:r w:rsidRPr="00055C2E">
        <w:t>xsum</w:t>
      </w:r>
      <w:proofErr w:type="spellEnd"/>
      <w:r w:rsidRPr="00055C2E">
        <w:t>(</w:t>
      </w:r>
      <w:proofErr w:type="gramEnd"/>
      <w:r w:rsidRPr="00055C2E">
        <w:t>{TABLECODE, (r010, r030, c010, 030, 040)})”, then it would indicate the sum of the six cells labelled A-F in the illustration below</w:t>
      </w:r>
    </w:p>
    <w:p w14:paraId="55B5EB0B" w14:textId="77777777" w:rsidR="00D77280" w:rsidRDefault="00D77280" w:rsidP="00D77280">
      <w:pPr>
        <w:ind w:left="720"/>
        <w:rPr>
          <w:rFonts w:ascii="Calibri" w:hAnsi="Calibri"/>
          <w:color w:val="44546A"/>
          <w:szCs w:val="22"/>
        </w:rPr>
      </w:pPr>
    </w:p>
    <w:tbl>
      <w:tblPr>
        <w:tblW w:w="4633" w:type="dxa"/>
        <w:tblInd w:w="1440" w:type="dxa"/>
        <w:tblCellMar>
          <w:left w:w="0" w:type="dxa"/>
          <w:right w:w="0" w:type="dxa"/>
        </w:tblCellMar>
        <w:tblLook w:val="04A0" w:firstRow="1" w:lastRow="0" w:firstColumn="1" w:lastColumn="0" w:noHBand="0" w:noVBand="1"/>
      </w:tblPr>
      <w:tblGrid>
        <w:gridCol w:w="664"/>
        <w:gridCol w:w="709"/>
        <w:gridCol w:w="850"/>
        <w:gridCol w:w="851"/>
        <w:gridCol w:w="850"/>
        <w:gridCol w:w="709"/>
      </w:tblGrid>
      <w:tr w:rsidR="00D77280" w14:paraId="55B5EB12" w14:textId="77777777" w:rsidTr="00923CC5">
        <w:tc>
          <w:tcPr>
            <w:tcW w:w="664" w:type="dxa"/>
            <w:tcBorders>
              <w:top w:val="single" w:sz="8" w:space="0" w:color="auto"/>
              <w:left w:val="single" w:sz="8" w:space="0" w:color="auto"/>
              <w:bottom w:val="single" w:sz="18" w:space="0" w:color="FFFF00"/>
              <w:right w:val="single" w:sz="18" w:space="0" w:color="D44D2A" w:themeColor="accent3"/>
            </w:tcBorders>
            <w:shd w:val="clear" w:color="auto" w:fill="auto"/>
            <w:tcMar>
              <w:top w:w="0" w:type="dxa"/>
              <w:left w:w="108" w:type="dxa"/>
              <w:bottom w:w="0" w:type="dxa"/>
              <w:right w:w="108" w:type="dxa"/>
            </w:tcMar>
          </w:tcPr>
          <w:p w14:paraId="55B5EB0C" w14:textId="77777777" w:rsidR="00D77280" w:rsidRDefault="00D77280" w:rsidP="00923CC5">
            <w:pPr>
              <w:rPr>
                <w:rFonts w:ascii="Calibri" w:eastAsiaTheme="minorHAnsi" w:hAnsi="Calibri"/>
                <w:b/>
                <w:bCs/>
                <w:color w:val="44546A"/>
                <w:szCs w:val="22"/>
              </w:rPr>
            </w:pPr>
          </w:p>
        </w:tc>
        <w:tc>
          <w:tcPr>
            <w:tcW w:w="709" w:type="dxa"/>
            <w:tcBorders>
              <w:top w:val="single" w:sz="18" w:space="0" w:color="D44D2A" w:themeColor="accent3"/>
              <w:left w:val="single" w:sz="18" w:space="0" w:color="D44D2A" w:themeColor="accent3"/>
              <w:bottom w:val="single" w:sz="18" w:space="0" w:color="FFFF00"/>
              <w:right w:val="single" w:sz="18" w:space="0" w:color="D44D2A" w:themeColor="accent3"/>
            </w:tcBorders>
            <w:shd w:val="clear" w:color="auto" w:fill="F6DBD4" w:themeFill="accent3" w:themeFillTint="33"/>
            <w:tcMar>
              <w:top w:w="0" w:type="dxa"/>
              <w:left w:w="108" w:type="dxa"/>
              <w:bottom w:w="0" w:type="dxa"/>
              <w:right w:w="108" w:type="dxa"/>
            </w:tcMar>
            <w:hideMark/>
          </w:tcPr>
          <w:p w14:paraId="55B5EB0D" w14:textId="77777777" w:rsidR="00D77280" w:rsidRDefault="00D77280" w:rsidP="00923CC5">
            <w:pPr>
              <w:rPr>
                <w:rFonts w:ascii="Calibri" w:eastAsiaTheme="minorHAnsi" w:hAnsi="Calibri"/>
                <w:b/>
                <w:bCs/>
                <w:color w:val="44546A"/>
                <w:szCs w:val="22"/>
              </w:rPr>
            </w:pPr>
            <w:r>
              <w:rPr>
                <w:rFonts w:ascii="Calibri" w:hAnsi="Calibri"/>
                <w:b/>
                <w:bCs/>
                <w:color w:val="44546A"/>
                <w:szCs w:val="22"/>
              </w:rPr>
              <w:t>010</w:t>
            </w:r>
          </w:p>
        </w:tc>
        <w:tc>
          <w:tcPr>
            <w:tcW w:w="850" w:type="dxa"/>
            <w:tcBorders>
              <w:top w:val="single" w:sz="8" w:space="0" w:color="auto"/>
              <w:left w:val="single" w:sz="18" w:space="0" w:color="D44D2A" w:themeColor="accent3"/>
              <w:bottom w:val="single" w:sz="18" w:space="0" w:color="FFFF00"/>
              <w:right w:val="single" w:sz="18" w:space="0" w:color="D44D2A" w:themeColor="accent3"/>
            </w:tcBorders>
            <w:shd w:val="clear" w:color="auto" w:fill="auto"/>
            <w:tcMar>
              <w:top w:w="0" w:type="dxa"/>
              <w:left w:w="108" w:type="dxa"/>
              <w:bottom w:w="0" w:type="dxa"/>
              <w:right w:w="108" w:type="dxa"/>
            </w:tcMar>
            <w:hideMark/>
          </w:tcPr>
          <w:p w14:paraId="55B5EB0E" w14:textId="77777777" w:rsidR="00D77280" w:rsidRDefault="00D77280" w:rsidP="00923CC5">
            <w:pPr>
              <w:rPr>
                <w:rFonts w:ascii="Calibri" w:eastAsiaTheme="minorHAnsi" w:hAnsi="Calibri"/>
                <w:b/>
                <w:bCs/>
                <w:color w:val="44546A"/>
                <w:szCs w:val="22"/>
              </w:rPr>
            </w:pPr>
            <w:r>
              <w:rPr>
                <w:rFonts w:ascii="Calibri" w:hAnsi="Calibri"/>
                <w:b/>
                <w:bCs/>
                <w:color w:val="44546A"/>
                <w:szCs w:val="22"/>
              </w:rPr>
              <w:t>020</w:t>
            </w:r>
          </w:p>
        </w:tc>
        <w:tc>
          <w:tcPr>
            <w:tcW w:w="851" w:type="dxa"/>
            <w:tcBorders>
              <w:top w:val="single" w:sz="18" w:space="0" w:color="D44D2A" w:themeColor="accent3"/>
              <w:left w:val="single" w:sz="18" w:space="0" w:color="D44D2A" w:themeColor="accent3"/>
              <w:bottom w:val="single" w:sz="18" w:space="0" w:color="FFFF00"/>
              <w:right w:val="single" w:sz="18" w:space="0" w:color="D44D2A" w:themeColor="accent3"/>
            </w:tcBorders>
            <w:shd w:val="clear" w:color="auto" w:fill="F6DBD4" w:themeFill="accent3" w:themeFillTint="33"/>
            <w:tcMar>
              <w:top w:w="0" w:type="dxa"/>
              <w:left w:w="108" w:type="dxa"/>
              <w:bottom w:w="0" w:type="dxa"/>
              <w:right w:w="108" w:type="dxa"/>
            </w:tcMar>
            <w:hideMark/>
          </w:tcPr>
          <w:p w14:paraId="55B5EB0F" w14:textId="77777777" w:rsidR="00D77280" w:rsidRDefault="00D77280" w:rsidP="00923CC5">
            <w:pPr>
              <w:rPr>
                <w:rFonts w:ascii="Calibri" w:eastAsiaTheme="minorHAnsi" w:hAnsi="Calibri"/>
                <w:b/>
                <w:bCs/>
                <w:color w:val="44546A"/>
                <w:szCs w:val="22"/>
              </w:rPr>
            </w:pPr>
            <w:r>
              <w:rPr>
                <w:rFonts w:ascii="Calibri" w:hAnsi="Calibri"/>
                <w:b/>
                <w:bCs/>
                <w:color w:val="44546A"/>
                <w:szCs w:val="22"/>
              </w:rPr>
              <w:t>030</w:t>
            </w:r>
          </w:p>
        </w:tc>
        <w:tc>
          <w:tcPr>
            <w:tcW w:w="850" w:type="dxa"/>
            <w:tcBorders>
              <w:top w:val="single" w:sz="18" w:space="0" w:color="D44D2A" w:themeColor="accent3"/>
              <w:left w:val="single" w:sz="18" w:space="0" w:color="D44D2A" w:themeColor="accent3"/>
              <w:bottom w:val="single" w:sz="18" w:space="0" w:color="FFFF00"/>
              <w:right w:val="single" w:sz="18" w:space="0" w:color="D44D2A" w:themeColor="accent3"/>
            </w:tcBorders>
            <w:shd w:val="clear" w:color="auto" w:fill="F6DBD4" w:themeFill="accent3" w:themeFillTint="33"/>
            <w:tcMar>
              <w:top w:w="0" w:type="dxa"/>
              <w:left w:w="108" w:type="dxa"/>
              <w:bottom w:w="0" w:type="dxa"/>
              <w:right w:w="108" w:type="dxa"/>
            </w:tcMar>
            <w:hideMark/>
          </w:tcPr>
          <w:p w14:paraId="55B5EB10" w14:textId="77777777" w:rsidR="00D77280" w:rsidRDefault="00D77280" w:rsidP="00923CC5">
            <w:pPr>
              <w:rPr>
                <w:rFonts w:ascii="Calibri" w:eastAsiaTheme="minorHAnsi" w:hAnsi="Calibri"/>
                <w:b/>
                <w:bCs/>
                <w:color w:val="44546A"/>
                <w:szCs w:val="22"/>
              </w:rPr>
            </w:pPr>
            <w:r>
              <w:rPr>
                <w:rFonts w:ascii="Calibri" w:hAnsi="Calibri"/>
                <w:b/>
                <w:bCs/>
                <w:color w:val="44546A"/>
                <w:szCs w:val="22"/>
              </w:rPr>
              <w:t>040</w:t>
            </w:r>
          </w:p>
        </w:tc>
        <w:tc>
          <w:tcPr>
            <w:tcW w:w="709" w:type="dxa"/>
            <w:tcBorders>
              <w:top w:val="single" w:sz="8" w:space="0" w:color="auto"/>
              <w:left w:val="nil"/>
              <w:bottom w:val="single" w:sz="18" w:space="0" w:color="FFFF00"/>
              <w:right w:val="single" w:sz="8" w:space="0" w:color="auto"/>
            </w:tcBorders>
          </w:tcPr>
          <w:p w14:paraId="55B5EB11" w14:textId="77777777" w:rsidR="00D77280" w:rsidRDefault="00D77280" w:rsidP="00923CC5">
            <w:pPr>
              <w:rPr>
                <w:rFonts w:ascii="Calibri" w:hAnsi="Calibri"/>
                <w:b/>
                <w:bCs/>
                <w:color w:val="44546A"/>
                <w:szCs w:val="22"/>
              </w:rPr>
            </w:pPr>
            <w:r>
              <w:rPr>
                <w:rFonts w:ascii="Calibri" w:hAnsi="Calibri"/>
                <w:b/>
                <w:bCs/>
                <w:color w:val="44546A"/>
                <w:szCs w:val="22"/>
              </w:rPr>
              <w:t>050</w:t>
            </w:r>
          </w:p>
        </w:tc>
      </w:tr>
      <w:tr w:rsidR="00D77280" w14:paraId="55B5EB19" w14:textId="77777777" w:rsidTr="00923CC5">
        <w:tc>
          <w:tcPr>
            <w:tcW w:w="664" w:type="dxa"/>
            <w:tcBorders>
              <w:top w:val="single" w:sz="18" w:space="0" w:color="FFFF00"/>
              <w:left w:val="single" w:sz="18" w:space="0" w:color="FFFF00"/>
              <w:bottom w:val="single" w:sz="18" w:space="0" w:color="FFFF00"/>
              <w:right w:val="single" w:sz="18" w:space="0" w:color="D44D2A" w:themeColor="accent3"/>
            </w:tcBorders>
            <w:shd w:val="clear" w:color="auto" w:fill="FFFFCC"/>
            <w:tcMar>
              <w:top w:w="0" w:type="dxa"/>
              <w:left w:w="108" w:type="dxa"/>
              <w:bottom w:w="0" w:type="dxa"/>
              <w:right w:w="108" w:type="dxa"/>
            </w:tcMar>
            <w:hideMark/>
          </w:tcPr>
          <w:p w14:paraId="55B5EB13" w14:textId="77777777" w:rsidR="00D77280" w:rsidRDefault="00D77280" w:rsidP="00923CC5">
            <w:pPr>
              <w:rPr>
                <w:rFonts w:ascii="Calibri" w:eastAsiaTheme="minorHAnsi" w:hAnsi="Calibri"/>
                <w:b/>
                <w:bCs/>
                <w:color w:val="44546A"/>
                <w:szCs w:val="22"/>
              </w:rPr>
            </w:pPr>
            <w:r>
              <w:rPr>
                <w:rFonts w:ascii="Calibri" w:hAnsi="Calibri"/>
                <w:b/>
                <w:bCs/>
                <w:color w:val="44546A"/>
                <w:szCs w:val="22"/>
              </w:rPr>
              <w:t>010</w:t>
            </w:r>
          </w:p>
        </w:tc>
        <w:tc>
          <w:tcPr>
            <w:tcW w:w="709" w:type="dxa"/>
            <w:tcBorders>
              <w:top w:val="single" w:sz="18" w:space="0" w:color="FFFF00"/>
              <w:left w:val="single" w:sz="18" w:space="0" w:color="D44D2A" w:themeColor="accent3"/>
              <w:bottom w:val="single" w:sz="18" w:space="0" w:color="FFFF00"/>
              <w:right w:val="single" w:sz="18" w:space="0" w:color="D44D2A" w:themeColor="accent3"/>
            </w:tcBorders>
            <w:shd w:val="clear" w:color="auto" w:fill="EA933B" w:themeFill="accent2"/>
            <w:tcMar>
              <w:top w:w="0" w:type="dxa"/>
              <w:left w:w="108" w:type="dxa"/>
              <w:bottom w:w="0" w:type="dxa"/>
              <w:right w:w="108" w:type="dxa"/>
            </w:tcMar>
            <w:hideMark/>
          </w:tcPr>
          <w:p w14:paraId="55B5EB14" w14:textId="77777777" w:rsidR="00D77280" w:rsidRDefault="00D77280" w:rsidP="00923CC5">
            <w:pPr>
              <w:rPr>
                <w:rFonts w:ascii="Calibri" w:eastAsiaTheme="minorHAnsi" w:hAnsi="Calibri"/>
                <w:color w:val="44546A"/>
                <w:szCs w:val="22"/>
              </w:rPr>
            </w:pPr>
            <w:r>
              <w:rPr>
                <w:rFonts w:ascii="Calibri" w:hAnsi="Calibri"/>
                <w:color w:val="44546A"/>
                <w:szCs w:val="22"/>
              </w:rPr>
              <w:t>A</w:t>
            </w:r>
          </w:p>
        </w:tc>
        <w:tc>
          <w:tcPr>
            <w:tcW w:w="850" w:type="dxa"/>
            <w:tcBorders>
              <w:top w:val="single" w:sz="18" w:space="0" w:color="FFFF00"/>
              <w:left w:val="single" w:sz="18" w:space="0" w:color="D44D2A" w:themeColor="accent3"/>
              <w:bottom w:val="single" w:sz="18" w:space="0" w:color="FFFF00"/>
              <w:right w:val="single" w:sz="18" w:space="0" w:color="D44D2A" w:themeColor="accent3"/>
            </w:tcBorders>
            <w:shd w:val="clear" w:color="auto" w:fill="FFFFCC"/>
            <w:tcMar>
              <w:top w:w="0" w:type="dxa"/>
              <w:left w:w="108" w:type="dxa"/>
              <w:bottom w:w="0" w:type="dxa"/>
              <w:right w:w="108" w:type="dxa"/>
            </w:tcMar>
          </w:tcPr>
          <w:p w14:paraId="55B5EB15" w14:textId="77777777" w:rsidR="00D77280" w:rsidRDefault="00D77280" w:rsidP="00923CC5">
            <w:pPr>
              <w:rPr>
                <w:rFonts w:ascii="Calibri" w:eastAsiaTheme="minorHAnsi" w:hAnsi="Calibri"/>
                <w:color w:val="44546A"/>
                <w:szCs w:val="22"/>
              </w:rPr>
            </w:pPr>
          </w:p>
        </w:tc>
        <w:tc>
          <w:tcPr>
            <w:tcW w:w="851" w:type="dxa"/>
            <w:tcBorders>
              <w:top w:val="single" w:sz="18" w:space="0" w:color="FFFF00"/>
              <w:left w:val="single" w:sz="18" w:space="0" w:color="D44D2A" w:themeColor="accent3"/>
              <w:bottom w:val="single" w:sz="18" w:space="0" w:color="FFFF00"/>
              <w:right w:val="single" w:sz="18" w:space="0" w:color="D44D2A" w:themeColor="accent3"/>
            </w:tcBorders>
            <w:shd w:val="clear" w:color="auto" w:fill="EA933B" w:themeFill="accent2"/>
            <w:tcMar>
              <w:top w:w="0" w:type="dxa"/>
              <w:left w:w="108" w:type="dxa"/>
              <w:bottom w:w="0" w:type="dxa"/>
              <w:right w:w="108" w:type="dxa"/>
            </w:tcMar>
            <w:hideMark/>
          </w:tcPr>
          <w:p w14:paraId="55B5EB16" w14:textId="77777777" w:rsidR="00D77280" w:rsidRPr="00055C2E" w:rsidRDefault="00D77280" w:rsidP="00923CC5">
            <w:pPr>
              <w:rPr>
                <w:rFonts w:ascii="Calibri" w:hAnsi="Calibri"/>
                <w:color w:val="44546A"/>
                <w:szCs w:val="22"/>
              </w:rPr>
            </w:pPr>
            <w:r>
              <w:rPr>
                <w:rFonts w:ascii="Calibri" w:hAnsi="Calibri"/>
                <w:color w:val="44546A"/>
                <w:szCs w:val="22"/>
              </w:rPr>
              <w:t>B</w:t>
            </w:r>
          </w:p>
        </w:tc>
        <w:tc>
          <w:tcPr>
            <w:tcW w:w="850" w:type="dxa"/>
            <w:tcBorders>
              <w:top w:val="single" w:sz="18" w:space="0" w:color="FFFF00"/>
              <w:left w:val="single" w:sz="18" w:space="0" w:color="D44D2A" w:themeColor="accent3"/>
              <w:bottom w:val="single" w:sz="18" w:space="0" w:color="FFFF00"/>
              <w:right w:val="single" w:sz="18" w:space="0" w:color="D44D2A" w:themeColor="accent3"/>
            </w:tcBorders>
            <w:shd w:val="clear" w:color="auto" w:fill="EA933B" w:themeFill="accent2"/>
            <w:tcMar>
              <w:top w:w="0" w:type="dxa"/>
              <w:left w:w="108" w:type="dxa"/>
              <w:bottom w:w="0" w:type="dxa"/>
              <w:right w:w="108" w:type="dxa"/>
            </w:tcMar>
            <w:hideMark/>
          </w:tcPr>
          <w:p w14:paraId="55B5EB17" w14:textId="77777777" w:rsidR="00D77280" w:rsidRDefault="00D77280" w:rsidP="00923CC5">
            <w:pPr>
              <w:rPr>
                <w:rFonts w:ascii="Calibri" w:eastAsiaTheme="minorHAnsi" w:hAnsi="Calibri"/>
                <w:color w:val="44546A"/>
                <w:szCs w:val="22"/>
              </w:rPr>
            </w:pPr>
            <w:r>
              <w:rPr>
                <w:rFonts w:ascii="Calibri" w:hAnsi="Calibri"/>
                <w:color w:val="44546A"/>
                <w:szCs w:val="22"/>
              </w:rPr>
              <w:t>C</w:t>
            </w:r>
          </w:p>
        </w:tc>
        <w:tc>
          <w:tcPr>
            <w:tcW w:w="709" w:type="dxa"/>
            <w:tcBorders>
              <w:top w:val="single" w:sz="18" w:space="0" w:color="FFFF00"/>
              <w:left w:val="nil"/>
              <w:bottom w:val="single" w:sz="18" w:space="0" w:color="FFFF00"/>
              <w:right w:val="single" w:sz="18" w:space="0" w:color="FFFF00"/>
            </w:tcBorders>
            <w:shd w:val="clear" w:color="auto" w:fill="FFFFCC"/>
          </w:tcPr>
          <w:p w14:paraId="55B5EB18" w14:textId="77777777" w:rsidR="00D77280" w:rsidRDefault="00D77280" w:rsidP="00923CC5">
            <w:pPr>
              <w:rPr>
                <w:rFonts w:ascii="Calibri" w:hAnsi="Calibri"/>
                <w:color w:val="44546A"/>
                <w:szCs w:val="22"/>
              </w:rPr>
            </w:pPr>
          </w:p>
        </w:tc>
      </w:tr>
      <w:tr w:rsidR="00D77280" w14:paraId="55B5EB20" w14:textId="77777777" w:rsidTr="00923CC5">
        <w:tc>
          <w:tcPr>
            <w:tcW w:w="664" w:type="dxa"/>
            <w:tcBorders>
              <w:top w:val="single" w:sz="18" w:space="0" w:color="FFFF00"/>
              <w:left w:val="single" w:sz="8" w:space="0" w:color="auto"/>
              <w:bottom w:val="single" w:sz="18" w:space="0" w:color="FFFF00"/>
              <w:right w:val="single" w:sz="18" w:space="0" w:color="D44D2A" w:themeColor="accent3"/>
            </w:tcBorders>
            <w:shd w:val="clear" w:color="auto" w:fill="auto"/>
            <w:tcMar>
              <w:top w:w="0" w:type="dxa"/>
              <w:left w:w="108" w:type="dxa"/>
              <w:bottom w:w="0" w:type="dxa"/>
              <w:right w:w="108" w:type="dxa"/>
            </w:tcMar>
            <w:hideMark/>
          </w:tcPr>
          <w:p w14:paraId="55B5EB1A" w14:textId="77777777" w:rsidR="00D77280" w:rsidRDefault="00D77280" w:rsidP="00923CC5">
            <w:pPr>
              <w:rPr>
                <w:rFonts w:ascii="Calibri" w:eastAsiaTheme="minorHAnsi" w:hAnsi="Calibri"/>
                <w:b/>
                <w:bCs/>
                <w:color w:val="44546A"/>
                <w:szCs w:val="22"/>
              </w:rPr>
            </w:pPr>
            <w:r>
              <w:rPr>
                <w:rFonts w:ascii="Calibri" w:hAnsi="Calibri"/>
                <w:b/>
                <w:bCs/>
                <w:color w:val="44546A"/>
                <w:szCs w:val="22"/>
              </w:rPr>
              <w:t>020</w:t>
            </w:r>
          </w:p>
        </w:tc>
        <w:tc>
          <w:tcPr>
            <w:tcW w:w="709" w:type="dxa"/>
            <w:tcBorders>
              <w:top w:val="single" w:sz="18" w:space="0" w:color="FFFF00"/>
              <w:left w:val="single" w:sz="18" w:space="0" w:color="D44D2A" w:themeColor="accent3"/>
              <w:bottom w:val="single" w:sz="18" w:space="0" w:color="FFFF00"/>
              <w:right w:val="single" w:sz="18" w:space="0" w:color="D44D2A" w:themeColor="accent3"/>
            </w:tcBorders>
            <w:shd w:val="clear" w:color="auto" w:fill="F6DBD4" w:themeFill="accent3" w:themeFillTint="33"/>
            <w:tcMar>
              <w:top w:w="0" w:type="dxa"/>
              <w:left w:w="108" w:type="dxa"/>
              <w:bottom w:w="0" w:type="dxa"/>
              <w:right w:w="108" w:type="dxa"/>
            </w:tcMar>
          </w:tcPr>
          <w:p w14:paraId="55B5EB1B" w14:textId="77777777" w:rsidR="00D77280" w:rsidRDefault="00D77280" w:rsidP="00923CC5">
            <w:pPr>
              <w:rPr>
                <w:rFonts w:ascii="Calibri" w:eastAsiaTheme="minorHAnsi" w:hAnsi="Calibri"/>
                <w:color w:val="44546A"/>
                <w:szCs w:val="22"/>
              </w:rPr>
            </w:pPr>
          </w:p>
        </w:tc>
        <w:tc>
          <w:tcPr>
            <w:tcW w:w="850" w:type="dxa"/>
            <w:tcBorders>
              <w:top w:val="single" w:sz="18" w:space="0" w:color="FFFF00"/>
              <w:left w:val="single" w:sz="18" w:space="0" w:color="D44D2A" w:themeColor="accent3"/>
              <w:bottom w:val="single" w:sz="18" w:space="0" w:color="FFFF00"/>
              <w:right w:val="single" w:sz="18" w:space="0" w:color="D44D2A" w:themeColor="accent3"/>
            </w:tcBorders>
            <w:shd w:val="clear" w:color="auto" w:fill="auto"/>
            <w:tcMar>
              <w:top w:w="0" w:type="dxa"/>
              <w:left w:w="108" w:type="dxa"/>
              <w:bottom w:w="0" w:type="dxa"/>
              <w:right w:w="108" w:type="dxa"/>
            </w:tcMar>
          </w:tcPr>
          <w:p w14:paraId="55B5EB1C" w14:textId="77777777" w:rsidR="00D77280" w:rsidRDefault="00D77280" w:rsidP="00923CC5">
            <w:pPr>
              <w:rPr>
                <w:rFonts w:ascii="Calibri" w:eastAsiaTheme="minorHAnsi" w:hAnsi="Calibri"/>
                <w:color w:val="44546A"/>
                <w:szCs w:val="22"/>
              </w:rPr>
            </w:pPr>
          </w:p>
        </w:tc>
        <w:tc>
          <w:tcPr>
            <w:tcW w:w="851" w:type="dxa"/>
            <w:tcBorders>
              <w:top w:val="single" w:sz="18" w:space="0" w:color="FFFF00"/>
              <w:left w:val="single" w:sz="18" w:space="0" w:color="D44D2A" w:themeColor="accent3"/>
              <w:bottom w:val="single" w:sz="18" w:space="0" w:color="FFFF00"/>
              <w:right w:val="single" w:sz="18" w:space="0" w:color="D44D2A" w:themeColor="accent3"/>
            </w:tcBorders>
            <w:shd w:val="clear" w:color="auto" w:fill="F6DBD4" w:themeFill="accent3" w:themeFillTint="33"/>
            <w:tcMar>
              <w:top w:w="0" w:type="dxa"/>
              <w:left w:w="108" w:type="dxa"/>
              <w:bottom w:w="0" w:type="dxa"/>
              <w:right w:w="108" w:type="dxa"/>
            </w:tcMar>
          </w:tcPr>
          <w:p w14:paraId="55B5EB1D" w14:textId="77777777" w:rsidR="00D77280" w:rsidRDefault="00D77280" w:rsidP="00923CC5">
            <w:pPr>
              <w:rPr>
                <w:rFonts w:ascii="Calibri" w:eastAsiaTheme="minorHAnsi" w:hAnsi="Calibri"/>
                <w:color w:val="44546A"/>
                <w:szCs w:val="22"/>
              </w:rPr>
            </w:pPr>
          </w:p>
        </w:tc>
        <w:tc>
          <w:tcPr>
            <w:tcW w:w="850" w:type="dxa"/>
            <w:tcBorders>
              <w:top w:val="single" w:sz="18" w:space="0" w:color="FFFF00"/>
              <w:left w:val="single" w:sz="18" w:space="0" w:color="D44D2A" w:themeColor="accent3"/>
              <w:bottom w:val="single" w:sz="18" w:space="0" w:color="FFFF00"/>
              <w:right w:val="single" w:sz="18" w:space="0" w:color="D44D2A" w:themeColor="accent3"/>
            </w:tcBorders>
            <w:shd w:val="clear" w:color="auto" w:fill="F6DBD4" w:themeFill="accent3" w:themeFillTint="33"/>
            <w:tcMar>
              <w:top w:w="0" w:type="dxa"/>
              <w:left w:w="108" w:type="dxa"/>
              <w:bottom w:w="0" w:type="dxa"/>
              <w:right w:w="108" w:type="dxa"/>
            </w:tcMar>
          </w:tcPr>
          <w:p w14:paraId="55B5EB1E" w14:textId="77777777" w:rsidR="00D77280" w:rsidRDefault="00D77280" w:rsidP="00923CC5">
            <w:pPr>
              <w:rPr>
                <w:rFonts w:ascii="Calibri" w:eastAsiaTheme="minorHAnsi" w:hAnsi="Calibri"/>
                <w:color w:val="44546A"/>
                <w:szCs w:val="22"/>
              </w:rPr>
            </w:pPr>
          </w:p>
        </w:tc>
        <w:tc>
          <w:tcPr>
            <w:tcW w:w="709" w:type="dxa"/>
            <w:tcBorders>
              <w:top w:val="single" w:sz="18" w:space="0" w:color="FFFF00"/>
              <w:left w:val="nil"/>
              <w:bottom w:val="single" w:sz="18" w:space="0" w:color="FFFF00"/>
              <w:right w:val="single" w:sz="8" w:space="0" w:color="auto"/>
            </w:tcBorders>
          </w:tcPr>
          <w:p w14:paraId="55B5EB1F" w14:textId="77777777" w:rsidR="00D77280" w:rsidRDefault="00D77280" w:rsidP="00923CC5">
            <w:pPr>
              <w:rPr>
                <w:rFonts w:ascii="Calibri" w:eastAsiaTheme="minorHAnsi" w:hAnsi="Calibri"/>
                <w:color w:val="44546A"/>
                <w:szCs w:val="22"/>
              </w:rPr>
            </w:pPr>
          </w:p>
        </w:tc>
      </w:tr>
      <w:tr w:rsidR="00D77280" w14:paraId="55B5EB27" w14:textId="77777777" w:rsidTr="00923CC5">
        <w:tc>
          <w:tcPr>
            <w:tcW w:w="664" w:type="dxa"/>
            <w:tcBorders>
              <w:top w:val="single" w:sz="18" w:space="0" w:color="FFFF00"/>
              <w:left w:val="single" w:sz="18" w:space="0" w:color="FFFF00"/>
              <w:bottom w:val="single" w:sz="18" w:space="0" w:color="FFFF00"/>
              <w:right w:val="single" w:sz="18" w:space="0" w:color="D44D2A" w:themeColor="accent3"/>
            </w:tcBorders>
            <w:shd w:val="clear" w:color="auto" w:fill="FFFFCC"/>
            <w:tcMar>
              <w:top w:w="0" w:type="dxa"/>
              <w:left w:w="108" w:type="dxa"/>
              <w:bottom w:w="0" w:type="dxa"/>
              <w:right w:w="108" w:type="dxa"/>
            </w:tcMar>
            <w:hideMark/>
          </w:tcPr>
          <w:p w14:paraId="55B5EB21" w14:textId="77777777" w:rsidR="00D77280" w:rsidRDefault="00D77280" w:rsidP="00923CC5">
            <w:pPr>
              <w:rPr>
                <w:rFonts w:ascii="Calibri" w:eastAsiaTheme="minorHAnsi" w:hAnsi="Calibri"/>
                <w:b/>
                <w:bCs/>
                <w:color w:val="44546A"/>
                <w:szCs w:val="22"/>
              </w:rPr>
            </w:pPr>
            <w:r>
              <w:rPr>
                <w:rFonts w:ascii="Calibri" w:hAnsi="Calibri"/>
                <w:b/>
                <w:bCs/>
                <w:color w:val="44546A"/>
                <w:szCs w:val="22"/>
              </w:rPr>
              <w:t>030</w:t>
            </w:r>
          </w:p>
        </w:tc>
        <w:tc>
          <w:tcPr>
            <w:tcW w:w="709" w:type="dxa"/>
            <w:tcBorders>
              <w:top w:val="single" w:sz="18" w:space="0" w:color="FFFF00"/>
              <w:left w:val="single" w:sz="18" w:space="0" w:color="D44D2A" w:themeColor="accent3"/>
              <w:bottom w:val="single" w:sz="18" w:space="0" w:color="FFFF00"/>
              <w:right w:val="single" w:sz="18" w:space="0" w:color="D44D2A" w:themeColor="accent3"/>
            </w:tcBorders>
            <w:shd w:val="clear" w:color="auto" w:fill="EA933B" w:themeFill="accent2"/>
            <w:tcMar>
              <w:top w:w="0" w:type="dxa"/>
              <w:left w:w="108" w:type="dxa"/>
              <w:bottom w:w="0" w:type="dxa"/>
              <w:right w:w="108" w:type="dxa"/>
            </w:tcMar>
            <w:hideMark/>
          </w:tcPr>
          <w:p w14:paraId="55B5EB22" w14:textId="77777777" w:rsidR="00D77280" w:rsidRDefault="00D77280" w:rsidP="00923CC5">
            <w:pPr>
              <w:rPr>
                <w:rFonts w:ascii="Calibri" w:eastAsiaTheme="minorHAnsi" w:hAnsi="Calibri"/>
                <w:color w:val="44546A"/>
                <w:szCs w:val="22"/>
              </w:rPr>
            </w:pPr>
            <w:r>
              <w:rPr>
                <w:rFonts w:ascii="Calibri" w:hAnsi="Calibri"/>
                <w:color w:val="44546A"/>
                <w:szCs w:val="22"/>
              </w:rPr>
              <w:t>D</w:t>
            </w:r>
          </w:p>
        </w:tc>
        <w:tc>
          <w:tcPr>
            <w:tcW w:w="850" w:type="dxa"/>
            <w:tcBorders>
              <w:top w:val="single" w:sz="18" w:space="0" w:color="FFFF00"/>
              <w:left w:val="single" w:sz="18" w:space="0" w:color="D44D2A" w:themeColor="accent3"/>
              <w:bottom w:val="single" w:sz="18" w:space="0" w:color="FFFF00"/>
              <w:right w:val="single" w:sz="18" w:space="0" w:color="D44D2A" w:themeColor="accent3"/>
            </w:tcBorders>
            <w:shd w:val="clear" w:color="auto" w:fill="FFFFCC"/>
            <w:tcMar>
              <w:top w:w="0" w:type="dxa"/>
              <w:left w:w="108" w:type="dxa"/>
              <w:bottom w:w="0" w:type="dxa"/>
              <w:right w:w="108" w:type="dxa"/>
            </w:tcMar>
          </w:tcPr>
          <w:p w14:paraId="55B5EB23" w14:textId="77777777" w:rsidR="00D77280" w:rsidRDefault="00D77280" w:rsidP="00923CC5">
            <w:pPr>
              <w:rPr>
                <w:rFonts w:ascii="Calibri" w:eastAsiaTheme="minorHAnsi" w:hAnsi="Calibri"/>
                <w:color w:val="44546A"/>
                <w:szCs w:val="22"/>
              </w:rPr>
            </w:pPr>
          </w:p>
        </w:tc>
        <w:tc>
          <w:tcPr>
            <w:tcW w:w="851" w:type="dxa"/>
            <w:tcBorders>
              <w:top w:val="single" w:sz="18" w:space="0" w:color="FFFF00"/>
              <w:left w:val="single" w:sz="18" w:space="0" w:color="D44D2A" w:themeColor="accent3"/>
              <w:bottom w:val="single" w:sz="18" w:space="0" w:color="FFFF00"/>
              <w:right w:val="single" w:sz="18" w:space="0" w:color="D44D2A" w:themeColor="accent3"/>
            </w:tcBorders>
            <w:shd w:val="clear" w:color="auto" w:fill="EA933B" w:themeFill="accent2"/>
            <w:tcMar>
              <w:top w:w="0" w:type="dxa"/>
              <w:left w:w="108" w:type="dxa"/>
              <w:bottom w:w="0" w:type="dxa"/>
              <w:right w:w="108" w:type="dxa"/>
            </w:tcMar>
            <w:hideMark/>
          </w:tcPr>
          <w:p w14:paraId="55B5EB24" w14:textId="77777777" w:rsidR="00D77280" w:rsidRDefault="00D77280" w:rsidP="00923CC5">
            <w:pPr>
              <w:rPr>
                <w:rFonts w:ascii="Calibri" w:eastAsiaTheme="minorHAnsi" w:hAnsi="Calibri"/>
                <w:color w:val="44546A"/>
                <w:szCs w:val="22"/>
              </w:rPr>
            </w:pPr>
            <w:r>
              <w:rPr>
                <w:rFonts w:ascii="Calibri" w:hAnsi="Calibri"/>
                <w:color w:val="44546A"/>
                <w:szCs w:val="22"/>
              </w:rPr>
              <w:t>E</w:t>
            </w:r>
          </w:p>
        </w:tc>
        <w:tc>
          <w:tcPr>
            <w:tcW w:w="850" w:type="dxa"/>
            <w:tcBorders>
              <w:top w:val="single" w:sz="18" w:space="0" w:color="FFFF00"/>
              <w:left w:val="single" w:sz="18" w:space="0" w:color="D44D2A" w:themeColor="accent3"/>
              <w:bottom w:val="single" w:sz="18" w:space="0" w:color="FFFF00"/>
              <w:right w:val="single" w:sz="18" w:space="0" w:color="D44D2A" w:themeColor="accent3"/>
            </w:tcBorders>
            <w:shd w:val="clear" w:color="auto" w:fill="EA933B" w:themeFill="accent2"/>
            <w:tcMar>
              <w:top w:w="0" w:type="dxa"/>
              <w:left w:w="108" w:type="dxa"/>
              <w:bottom w:w="0" w:type="dxa"/>
              <w:right w:w="108" w:type="dxa"/>
            </w:tcMar>
            <w:hideMark/>
          </w:tcPr>
          <w:p w14:paraId="55B5EB25" w14:textId="77777777" w:rsidR="00D77280" w:rsidRDefault="00D77280" w:rsidP="00923CC5">
            <w:pPr>
              <w:rPr>
                <w:rFonts w:ascii="Calibri" w:eastAsiaTheme="minorHAnsi" w:hAnsi="Calibri"/>
                <w:color w:val="44546A"/>
                <w:szCs w:val="22"/>
              </w:rPr>
            </w:pPr>
            <w:r>
              <w:rPr>
                <w:rFonts w:ascii="Calibri" w:hAnsi="Calibri"/>
                <w:color w:val="44546A"/>
                <w:szCs w:val="22"/>
              </w:rPr>
              <w:t>F</w:t>
            </w:r>
          </w:p>
        </w:tc>
        <w:tc>
          <w:tcPr>
            <w:tcW w:w="709" w:type="dxa"/>
            <w:tcBorders>
              <w:top w:val="single" w:sz="18" w:space="0" w:color="FFFF00"/>
              <w:bottom w:val="single" w:sz="18" w:space="0" w:color="FFFF00"/>
              <w:right w:val="single" w:sz="18" w:space="0" w:color="FFFF00"/>
            </w:tcBorders>
            <w:shd w:val="clear" w:color="auto" w:fill="FFFFCC"/>
          </w:tcPr>
          <w:p w14:paraId="55B5EB26" w14:textId="77777777" w:rsidR="00D77280" w:rsidRDefault="00D77280" w:rsidP="00923CC5">
            <w:pPr>
              <w:rPr>
                <w:rFonts w:ascii="Calibri" w:hAnsi="Calibri"/>
                <w:color w:val="44546A"/>
                <w:szCs w:val="22"/>
              </w:rPr>
            </w:pPr>
          </w:p>
        </w:tc>
      </w:tr>
      <w:tr w:rsidR="00D77280" w14:paraId="55B5EB2E" w14:textId="77777777" w:rsidTr="00923CC5">
        <w:tc>
          <w:tcPr>
            <w:tcW w:w="664" w:type="dxa"/>
            <w:tcBorders>
              <w:top w:val="single" w:sz="18" w:space="0" w:color="FFFF00"/>
              <w:left w:val="single" w:sz="8" w:space="0" w:color="auto"/>
              <w:bottom w:val="single" w:sz="8" w:space="0" w:color="auto"/>
              <w:right w:val="single" w:sz="18" w:space="0" w:color="D44D2A" w:themeColor="accent3"/>
            </w:tcBorders>
            <w:shd w:val="clear" w:color="auto" w:fill="auto"/>
            <w:tcMar>
              <w:top w:w="0" w:type="dxa"/>
              <w:left w:w="108" w:type="dxa"/>
              <w:bottom w:w="0" w:type="dxa"/>
              <w:right w:w="108" w:type="dxa"/>
            </w:tcMar>
          </w:tcPr>
          <w:p w14:paraId="55B5EB28" w14:textId="77777777" w:rsidR="00D77280" w:rsidRDefault="00D77280" w:rsidP="00923CC5">
            <w:pPr>
              <w:rPr>
                <w:rFonts w:ascii="Calibri" w:hAnsi="Calibri"/>
                <w:b/>
                <w:bCs/>
                <w:color w:val="44546A"/>
                <w:szCs w:val="22"/>
              </w:rPr>
            </w:pPr>
            <w:r>
              <w:rPr>
                <w:rFonts w:ascii="Calibri" w:hAnsi="Calibri"/>
                <w:b/>
                <w:bCs/>
                <w:color w:val="44546A"/>
                <w:szCs w:val="22"/>
              </w:rPr>
              <w:t>040</w:t>
            </w:r>
          </w:p>
        </w:tc>
        <w:tc>
          <w:tcPr>
            <w:tcW w:w="709" w:type="dxa"/>
            <w:tcBorders>
              <w:top w:val="single" w:sz="18" w:space="0" w:color="FFFF00"/>
              <w:left w:val="single" w:sz="18" w:space="0" w:color="D44D2A" w:themeColor="accent3"/>
              <w:bottom w:val="single" w:sz="18" w:space="0" w:color="D44D2A" w:themeColor="accent3"/>
              <w:right w:val="single" w:sz="18" w:space="0" w:color="D44D2A" w:themeColor="accent3"/>
            </w:tcBorders>
            <w:shd w:val="clear" w:color="auto" w:fill="F6DBD4" w:themeFill="accent3" w:themeFillTint="33"/>
            <w:tcMar>
              <w:top w:w="0" w:type="dxa"/>
              <w:left w:w="108" w:type="dxa"/>
              <w:bottom w:w="0" w:type="dxa"/>
              <w:right w:w="108" w:type="dxa"/>
            </w:tcMar>
          </w:tcPr>
          <w:p w14:paraId="55B5EB29" w14:textId="77777777" w:rsidR="00D77280" w:rsidRPr="00055C2E" w:rsidRDefault="00D77280" w:rsidP="00923CC5">
            <w:pPr>
              <w:rPr>
                <w:rFonts w:ascii="Calibri" w:hAnsi="Calibri"/>
                <w:b/>
                <w:bCs/>
                <w:color w:val="44546A"/>
                <w:szCs w:val="22"/>
              </w:rPr>
            </w:pPr>
          </w:p>
        </w:tc>
        <w:tc>
          <w:tcPr>
            <w:tcW w:w="850" w:type="dxa"/>
            <w:tcBorders>
              <w:top w:val="single" w:sz="18" w:space="0" w:color="FFFF00"/>
              <w:left w:val="single" w:sz="18" w:space="0" w:color="D44D2A" w:themeColor="accent3"/>
              <w:bottom w:val="single" w:sz="8" w:space="0" w:color="auto"/>
              <w:right w:val="single" w:sz="18" w:space="0" w:color="D44D2A" w:themeColor="accent3"/>
            </w:tcBorders>
            <w:shd w:val="clear" w:color="auto" w:fill="auto"/>
            <w:tcMar>
              <w:top w:w="0" w:type="dxa"/>
              <w:left w:w="108" w:type="dxa"/>
              <w:bottom w:w="0" w:type="dxa"/>
              <w:right w:w="108" w:type="dxa"/>
            </w:tcMar>
          </w:tcPr>
          <w:p w14:paraId="55B5EB2A" w14:textId="77777777" w:rsidR="00D77280" w:rsidRPr="00055C2E" w:rsidRDefault="00D77280" w:rsidP="00923CC5">
            <w:pPr>
              <w:rPr>
                <w:rFonts w:ascii="Calibri" w:hAnsi="Calibri"/>
                <w:b/>
                <w:bCs/>
                <w:color w:val="44546A"/>
                <w:szCs w:val="22"/>
              </w:rPr>
            </w:pPr>
          </w:p>
        </w:tc>
        <w:tc>
          <w:tcPr>
            <w:tcW w:w="851" w:type="dxa"/>
            <w:tcBorders>
              <w:top w:val="single" w:sz="18" w:space="0" w:color="FFFF00"/>
              <w:left w:val="single" w:sz="18" w:space="0" w:color="D44D2A" w:themeColor="accent3"/>
              <w:bottom w:val="single" w:sz="18" w:space="0" w:color="D44D2A" w:themeColor="accent3"/>
              <w:right w:val="single" w:sz="18" w:space="0" w:color="D44D2A" w:themeColor="accent3"/>
            </w:tcBorders>
            <w:shd w:val="clear" w:color="auto" w:fill="F6DBD4" w:themeFill="accent3" w:themeFillTint="33"/>
            <w:tcMar>
              <w:top w:w="0" w:type="dxa"/>
              <w:left w:w="108" w:type="dxa"/>
              <w:bottom w:w="0" w:type="dxa"/>
              <w:right w:w="108" w:type="dxa"/>
            </w:tcMar>
          </w:tcPr>
          <w:p w14:paraId="55B5EB2B" w14:textId="77777777" w:rsidR="00D77280" w:rsidRPr="00055C2E" w:rsidRDefault="00D77280" w:rsidP="00923CC5">
            <w:pPr>
              <w:rPr>
                <w:rFonts w:ascii="Calibri" w:hAnsi="Calibri"/>
                <w:b/>
                <w:bCs/>
                <w:color w:val="44546A"/>
                <w:szCs w:val="22"/>
              </w:rPr>
            </w:pPr>
          </w:p>
        </w:tc>
        <w:tc>
          <w:tcPr>
            <w:tcW w:w="850" w:type="dxa"/>
            <w:tcBorders>
              <w:top w:val="single" w:sz="18" w:space="0" w:color="FFFF00"/>
              <w:left w:val="single" w:sz="18" w:space="0" w:color="D44D2A" w:themeColor="accent3"/>
              <w:bottom w:val="single" w:sz="18" w:space="0" w:color="D44D2A" w:themeColor="accent3"/>
              <w:right w:val="single" w:sz="18" w:space="0" w:color="D44D2A" w:themeColor="accent3"/>
            </w:tcBorders>
            <w:shd w:val="clear" w:color="auto" w:fill="F6DBD4" w:themeFill="accent3" w:themeFillTint="33"/>
            <w:tcMar>
              <w:top w:w="0" w:type="dxa"/>
              <w:left w:w="108" w:type="dxa"/>
              <w:bottom w:w="0" w:type="dxa"/>
              <w:right w:w="108" w:type="dxa"/>
            </w:tcMar>
          </w:tcPr>
          <w:p w14:paraId="55B5EB2C" w14:textId="77777777" w:rsidR="00D77280" w:rsidRPr="00055C2E" w:rsidRDefault="00D77280" w:rsidP="00923CC5">
            <w:pPr>
              <w:rPr>
                <w:rFonts w:ascii="Calibri" w:hAnsi="Calibri"/>
                <w:b/>
                <w:bCs/>
                <w:color w:val="44546A"/>
                <w:szCs w:val="22"/>
              </w:rPr>
            </w:pPr>
          </w:p>
        </w:tc>
        <w:tc>
          <w:tcPr>
            <w:tcW w:w="709" w:type="dxa"/>
            <w:tcBorders>
              <w:top w:val="single" w:sz="18" w:space="0" w:color="FFFF00"/>
              <w:left w:val="single" w:sz="18" w:space="0" w:color="D44D2A" w:themeColor="accent3"/>
              <w:bottom w:val="single" w:sz="8" w:space="0" w:color="auto"/>
              <w:right w:val="single" w:sz="8" w:space="0" w:color="auto"/>
            </w:tcBorders>
          </w:tcPr>
          <w:p w14:paraId="55B5EB2D" w14:textId="77777777" w:rsidR="00D77280" w:rsidRPr="00055C2E" w:rsidRDefault="00D77280" w:rsidP="00923CC5">
            <w:pPr>
              <w:rPr>
                <w:rFonts w:ascii="Calibri" w:hAnsi="Calibri"/>
                <w:b/>
                <w:bCs/>
                <w:color w:val="44546A"/>
                <w:szCs w:val="22"/>
              </w:rPr>
            </w:pPr>
          </w:p>
        </w:tc>
      </w:tr>
    </w:tbl>
    <w:p w14:paraId="55B5EB2F" w14:textId="77777777" w:rsidR="00D77280" w:rsidRDefault="00D77280" w:rsidP="00D77280"/>
    <w:p w14:paraId="55B5EB30" w14:textId="77777777" w:rsidR="00D77280" w:rsidRPr="00AF5AA3" w:rsidRDefault="00D77280" w:rsidP="00D77280">
      <w:pPr>
        <w:pStyle w:val="Titlelevel2"/>
        <w:keepNext/>
      </w:pPr>
      <w:r>
        <w:lastRenderedPageBreak/>
        <w:t>XBRL c</w:t>
      </w:r>
      <w:r w:rsidRPr="00AF5AA3">
        <w:t>hanges</w:t>
      </w:r>
    </w:p>
    <w:p w14:paraId="55B5EB31" w14:textId="77777777" w:rsidR="00D77280" w:rsidRDefault="00D77280" w:rsidP="00D77280">
      <w:pPr>
        <w:pStyle w:val="Titlelevel3"/>
      </w:pPr>
      <w:r>
        <w:t>Validation rules</w:t>
      </w:r>
    </w:p>
    <w:p w14:paraId="55B5EB32" w14:textId="77777777" w:rsidR="00D77280" w:rsidRDefault="00D77280" w:rsidP="00D77280">
      <w:r>
        <w:t>All validation rules which are not marked as “not implemented in XBRL” or “deleted” are now mapped to XBRL formulae. This includes formulae that are currently marked as “deactivated” (not all of which have been mapped to XBRL in prior releases).</w:t>
      </w:r>
    </w:p>
    <w:p w14:paraId="55B5EB33" w14:textId="77777777" w:rsidR="00D77280" w:rsidRDefault="00D77280" w:rsidP="00D77280"/>
    <w:p w14:paraId="55B5EB34" w14:textId="77777777" w:rsidR="00D77280" w:rsidRPr="002D2F3D" w:rsidRDefault="00D77280" w:rsidP="00D77280">
      <w:pPr>
        <w:pStyle w:val="Titlelevel3"/>
      </w:pPr>
      <w:r w:rsidRPr="002D2F3D">
        <w:t>QA 1042</w:t>
      </w:r>
      <w:r>
        <w:t xml:space="preserve"> - Multicurrency</w:t>
      </w:r>
    </w:p>
    <w:p w14:paraId="55B5EB35" w14:textId="77777777" w:rsidR="00D77280" w:rsidRDefault="00D77280" w:rsidP="00D77280">
      <w:r>
        <w:t xml:space="preserve">Note that at present there is no XBRL level enforcement of the modified EBA filing rule 3.1 which specifies the new rules around multicurrency reporting, i.e. the relationship between value of the </w:t>
      </w:r>
      <w:r w:rsidRPr="00CA7B1F">
        <w:rPr>
          <w:b/>
        </w:rPr>
        <w:t xml:space="preserve">CUS </w:t>
      </w:r>
      <w:r>
        <w:t xml:space="preserve">dimension and the unit currency, and the restriction that non-reporting currency units may only be used on facts with the </w:t>
      </w:r>
      <w:r w:rsidRPr="007C4AD7">
        <w:rPr>
          <w:b/>
        </w:rPr>
        <w:t>eba_CA</w:t>
      </w:r>
      <w:proofErr w:type="gramStart"/>
      <w:r w:rsidRPr="007C4AD7">
        <w:rPr>
          <w:b/>
        </w:rPr>
        <w:t>:x1</w:t>
      </w:r>
      <w:proofErr w:type="gramEnd"/>
      <w:r>
        <w:rPr>
          <w:b/>
        </w:rPr>
        <w:t xml:space="preserve"> </w:t>
      </w:r>
      <w:r w:rsidRPr="00CA7B1F">
        <w:t>member for the</w:t>
      </w:r>
      <w:r>
        <w:rPr>
          <w:b/>
        </w:rPr>
        <w:t xml:space="preserve"> CCA </w:t>
      </w:r>
      <w:r w:rsidRPr="00CA7B1F">
        <w:t>dimension</w:t>
      </w:r>
      <w:r>
        <w:t xml:space="preserve">. As with the previous “one reporting currency per instance” version of the rule this is currently primarily expected to be enforced by recipient data collection platforms. </w:t>
      </w:r>
    </w:p>
    <w:p w14:paraId="55B5EB36" w14:textId="77777777" w:rsidR="00A2385B" w:rsidRDefault="00A2385B" w:rsidP="00D77280"/>
    <w:p w14:paraId="55B5EB37" w14:textId="77777777" w:rsidR="00A2385B" w:rsidRDefault="00A2385B" w:rsidP="00A2385B">
      <w:pPr>
        <w:pStyle w:val="Titlelevel3"/>
      </w:pPr>
      <w:r>
        <w:t>LEI Scheme URI</w:t>
      </w:r>
    </w:p>
    <w:p w14:paraId="55B5EB38" w14:textId="77777777" w:rsidR="00A2385B" w:rsidRDefault="00A2385B" w:rsidP="00A2385B">
      <w:r>
        <w:t>Previous editions of the EBA filing rules have sadly erroneously specified a scheme URI of “http://standard.iso.org/</w:t>
      </w:r>
      <w:proofErr w:type="spellStart"/>
      <w:r>
        <w:t>iso</w:t>
      </w:r>
      <w:proofErr w:type="spellEnd"/>
      <w:r>
        <w:t xml:space="preserve">/17442” for (pre)LEI codes (note the missing </w:t>
      </w:r>
      <w:proofErr w:type="spellStart"/>
      <w:r>
        <w:t>final s</w:t>
      </w:r>
      <w:proofErr w:type="spellEnd"/>
      <w:r>
        <w:t xml:space="preserve"> of “standards”). RFC5141 however specifies the plural form.</w:t>
      </w:r>
    </w:p>
    <w:p w14:paraId="55B5EB39" w14:textId="77777777" w:rsidR="00A2385B" w:rsidRDefault="00A2385B" w:rsidP="00A2385B"/>
    <w:p w14:paraId="55B5EB3A" w14:textId="77777777" w:rsidR="00A2385B" w:rsidRDefault="00A2385B" w:rsidP="00A2385B">
      <w:r>
        <w:t>Producers of instance documents are encouraged to switch as quickly as possible to producing the correct form “http://standards.iso.org/</w:t>
      </w:r>
      <w:proofErr w:type="spellStart"/>
      <w:r>
        <w:t>iso</w:t>
      </w:r>
      <w:proofErr w:type="spellEnd"/>
      <w:r>
        <w:t>/17442”. The EBA will (and consumers of instance documents are strongly encouraged also to) in practice accept either form from submitters.</w:t>
      </w:r>
    </w:p>
    <w:p w14:paraId="55B5EB3B" w14:textId="77777777" w:rsidR="00D77280" w:rsidRPr="000818EE" w:rsidRDefault="00D77280" w:rsidP="00D77280">
      <w:pPr>
        <w:pStyle w:val="Titlelevel2"/>
        <w:keepNext/>
      </w:pPr>
      <w:r w:rsidRPr="000818EE">
        <w:t>Correction of Outstanding Known Issues</w:t>
      </w:r>
    </w:p>
    <w:p w14:paraId="55B5EB3C" w14:textId="77777777" w:rsidR="00D77280" w:rsidRPr="00AF5AA3" w:rsidRDefault="00D77280" w:rsidP="00D77280">
      <w:r>
        <w:t>The issue noted for 2.3.x regarding the incorrectly assigned metrics for COREP C 06.02 column 040, and FINREP F 40.01 column 150 has been resolved. Reporters should now use the appropriate members for these columns, in alignment with the ITS instructions.</w:t>
      </w:r>
    </w:p>
    <w:p w14:paraId="55B5EB3D" w14:textId="77777777" w:rsidR="00360446" w:rsidRPr="00AF5AA3" w:rsidRDefault="00360446" w:rsidP="00060ADA"/>
    <w:p w14:paraId="55B5EB3E" w14:textId="77777777" w:rsidR="00360446" w:rsidRDefault="00360446" w:rsidP="00360446"/>
    <w:p w14:paraId="55B5EB3F" w14:textId="77777777" w:rsidR="00360446" w:rsidRDefault="00360446">
      <w:pPr>
        <w:rPr>
          <w:rFonts w:asciiTheme="majorHAnsi" w:eastAsiaTheme="majorEastAsia" w:hAnsiTheme="majorHAnsi" w:cstheme="majorBidi"/>
          <w:i/>
          <w:color w:val="2F5773" w:themeColor="text2"/>
          <w:spacing w:val="5"/>
          <w:kern w:val="28"/>
          <w:sz w:val="52"/>
          <w:szCs w:val="52"/>
        </w:rPr>
      </w:pPr>
      <w:r>
        <w:rPr>
          <w:i/>
        </w:rPr>
        <w:br w:type="page"/>
      </w:r>
    </w:p>
    <w:p w14:paraId="55B5EB40" w14:textId="77777777" w:rsidR="00E47786" w:rsidRPr="00E47786" w:rsidRDefault="00E47786" w:rsidP="00E47786">
      <w:pPr>
        <w:pStyle w:val="Titlelevel1"/>
        <w:rPr>
          <w:i/>
        </w:rPr>
      </w:pPr>
      <w:r w:rsidRPr="00E47786">
        <w:rPr>
          <w:i/>
        </w:rPr>
        <w:lastRenderedPageBreak/>
        <w:t>v2.3.</w:t>
      </w:r>
      <w:r>
        <w:rPr>
          <w:i/>
        </w:rPr>
        <w:t>2</w:t>
      </w:r>
      <w:r w:rsidRPr="00E47786">
        <w:rPr>
          <w:i/>
        </w:rPr>
        <w:t xml:space="preserve"> (“2015-A</w:t>
      </w:r>
      <w:r>
        <w:rPr>
          <w:i/>
        </w:rPr>
        <w:t>-2</w:t>
      </w:r>
      <w:r w:rsidRPr="00E47786">
        <w:rPr>
          <w:i/>
        </w:rPr>
        <w:t>”</w:t>
      </w:r>
      <w:r w:rsidR="005A683A">
        <w:rPr>
          <w:i/>
        </w:rPr>
        <w:t xml:space="preserve"> Addition</w:t>
      </w:r>
      <w:r w:rsidRPr="00E47786">
        <w:rPr>
          <w:i/>
        </w:rPr>
        <w:t>)</w:t>
      </w:r>
      <w:r w:rsidRPr="00E47786">
        <w:rPr>
          <w:rFonts w:ascii="Arial" w:hAnsi="Arial" w:cs="Arial"/>
          <w:i/>
          <w:color w:val="696969"/>
          <w:sz w:val="18"/>
          <w:szCs w:val="18"/>
          <w:shd w:val="clear" w:color="auto" w:fill="FFFFFF"/>
        </w:rPr>
        <w:t xml:space="preserve"> </w:t>
      </w:r>
      <w:r w:rsidR="005A683A">
        <w:rPr>
          <w:rFonts w:ascii="Arial" w:hAnsi="Arial" w:cs="Arial"/>
          <w:i/>
          <w:color w:val="696969"/>
          <w:sz w:val="18"/>
          <w:szCs w:val="18"/>
          <w:shd w:val="clear" w:color="auto" w:fill="FFFFFF"/>
        </w:rPr>
        <w:t>(03</w:t>
      </w:r>
      <w:r>
        <w:rPr>
          <w:rFonts w:ascii="Arial" w:hAnsi="Arial" w:cs="Arial"/>
          <w:i/>
          <w:color w:val="696969"/>
          <w:sz w:val="18"/>
          <w:szCs w:val="18"/>
          <w:shd w:val="clear" w:color="auto" w:fill="FFFFFF"/>
        </w:rPr>
        <w:t>/07</w:t>
      </w:r>
      <w:r w:rsidRPr="00E47786">
        <w:rPr>
          <w:rFonts w:ascii="Arial" w:hAnsi="Arial" w:cs="Arial"/>
          <w:i/>
          <w:color w:val="696969"/>
          <w:sz w:val="18"/>
          <w:szCs w:val="18"/>
          <w:shd w:val="clear" w:color="auto" w:fill="FFFFFF"/>
        </w:rPr>
        <w:t>/2015)</w:t>
      </w:r>
    </w:p>
    <w:p w14:paraId="55B5EB41" w14:textId="77777777" w:rsidR="00E47786" w:rsidRPr="00AF5AA3" w:rsidRDefault="00E47786" w:rsidP="00E47786">
      <w:pPr>
        <w:pStyle w:val="Titlelevel2"/>
      </w:pPr>
      <w:r w:rsidRPr="00AF5AA3">
        <w:t>Purpose</w:t>
      </w:r>
    </w:p>
    <w:p w14:paraId="55B5EB42" w14:textId="77777777" w:rsidR="00587A42" w:rsidRPr="00AF5AA3" w:rsidRDefault="00CB1E6B" w:rsidP="00587A42">
      <w:proofErr w:type="gramStart"/>
      <w:r>
        <w:t>T</w:t>
      </w:r>
      <w:r w:rsidR="00587A42" w:rsidRPr="00AF5AA3">
        <w:t>axonomy release for FINREP Individual reporting.</w:t>
      </w:r>
      <w:proofErr w:type="gramEnd"/>
      <w:r w:rsidR="00587A42" w:rsidRPr="00AF5AA3">
        <w:t xml:space="preserve">  </w:t>
      </w:r>
    </w:p>
    <w:p w14:paraId="55B5EB43" w14:textId="77777777" w:rsidR="00587A42" w:rsidRPr="00AF5AA3" w:rsidRDefault="00587A42" w:rsidP="00587A42"/>
    <w:p w14:paraId="55B5EB44" w14:textId="77777777" w:rsidR="005A683A" w:rsidRDefault="005A683A" w:rsidP="005A683A">
      <w:r>
        <w:t xml:space="preserve">This v2.3.2 </w:t>
      </w:r>
      <w:r w:rsidR="0022111D">
        <w:t xml:space="preserve">additive </w:t>
      </w:r>
      <w:r>
        <w:t>release simply adds two additional entry points (reports) which may be used for individual (</w:t>
      </w:r>
      <w:r w:rsidR="0022111D">
        <w:t>i.e. “S</w:t>
      </w:r>
      <w:r w:rsidR="0022111D" w:rsidRPr="00AF5AA3">
        <w:t>olo</w:t>
      </w:r>
      <w:r w:rsidR="0022111D">
        <w:t>”/unconsolidated</w:t>
      </w:r>
      <w:r>
        <w:t>) FINREP data. Note that the structure of the tables in these Individual entry points is identical to the equivalent Consolidated FINREP reports in v2.3/2.3.1. The validation rules are also functionally equivalent, with the exception of two minor changes to rules applying to table F 00.01 required in order to allow proper indication of the “Individual” reporting scope of these reports.</w:t>
      </w:r>
    </w:p>
    <w:p w14:paraId="55B5EB45" w14:textId="77777777" w:rsidR="005A683A" w:rsidRDefault="005A683A" w:rsidP="005A683A"/>
    <w:p w14:paraId="55B5EB46" w14:textId="77777777" w:rsidR="005A683A" w:rsidRPr="005A683A" w:rsidRDefault="005A683A" w:rsidP="005A683A">
      <w:pPr>
        <w:rPr>
          <w:b/>
        </w:rPr>
      </w:pPr>
      <w:r w:rsidRPr="005A683A">
        <w:rPr>
          <w:b/>
        </w:rPr>
        <w:t>PLEASE NOTE – Entities who do NOT intend to use FINREP Individual reports have no need to use or install 2.3.2.</w:t>
      </w:r>
      <w:r>
        <w:rPr>
          <w:b/>
        </w:rPr>
        <w:t xml:space="preserve"> Remittance of Consolidated FINREP should continue using the existing 2.3 entry points.</w:t>
      </w:r>
    </w:p>
    <w:p w14:paraId="55B5EB47" w14:textId="77777777" w:rsidR="00DA19C1" w:rsidRDefault="00DA19C1" w:rsidP="00587A42"/>
    <w:p w14:paraId="55B5EB48" w14:textId="77777777" w:rsidR="00587A42" w:rsidRPr="00AF5AA3" w:rsidRDefault="007D121B" w:rsidP="00587A42">
      <w:r>
        <w:t>Although the EBA does not currently expect to receive FINREP individual data from Competent Authorities, these reporting structures are being provided at the EB</w:t>
      </w:r>
      <w:r w:rsidR="005A683A">
        <w:t>A level to facilitate greater European h</w:t>
      </w:r>
      <w:r>
        <w:t>armonisation. They are</w:t>
      </w:r>
      <w:r w:rsidR="003E109D">
        <w:t>,</w:t>
      </w:r>
      <w:r>
        <w:t xml:space="preserve"> </w:t>
      </w:r>
      <w:r w:rsidR="003E109D">
        <w:t xml:space="preserve">for example, </w:t>
      </w:r>
      <w:r>
        <w:t xml:space="preserve">likely to be used in the forthcoming SSM </w:t>
      </w:r>
      <w:r w:rsidR="00DA19C1">
        <w:t>reporting of Individual level FINREP.</w:t>
      </w:r>
      <w:r>
        <w:t xml:space="preserve"> </w:t>
      </w:r>
    </w:p>
    <w:p w14:paraId="55B5EB49" w14:textId="77777777" w:rsidR="00413725" w:rsidRDefault="00413725" w:rsidP="00587A42"/>
    <w:p w14:paraId="55B5EB4A" w14:textId="77777777" w:rsidR="00E47786" w:rsidRPr="00AF5AA3" w:rsidRDefault="00E47786" w:rsidP="00E47786">
      <w:pPr>
        <w:pStyle w:val="Titlelevel2"/>
      </w:pPr>
      <w:r w:rsidRPr="00AF5AA3">
        <w:t>DPM Changes</w:t>
      </w:r>
    </w:p>
    <w:p w14:paraId="55B5EB4B" w14:textId="77777777" w:rsidR="00E47786" w:rsidRPr="00AF5AA3" w:rsidRDefault="00587A42" w:rsidP="00183058">
      <w:pPr>
        <w:pStyle w:val="ListParagraph"/>
        <w:numPr>
          <w:ilvl w:val="0"/>
          <w:numId w:val="5"/>
        </w:numPr>
      </w:pPr>
      <w:r w:rsidRPr="00AF5AA3">
        <w:t xml:space="preserve">Two additional </w:t>
      </w:r>
      <w:r w:rsidR="00E47786" w:rsidRPr="00AF5AA3">
        <w:t xml:space="preserve">entry points </w:t>
      </w:r>
      <w:r w:rsidRPr="00AF5AA3">
        <w:t xml:space="preserve">have been added </w:t>
      </w:r>
      <w:r w:rsidR="00E47786" w:rsidRPr="00AF5AA3">
        <w:t xml:space="preserve">for </w:t>
      </w:r>
      <w:r w:rsidRPr="00AF5AA3">
        <w:t xml:space="preserve">Individual (i.e. solo) </w:t>
      </w:r>
      <w:r w:rsidR="00E47786" w:rsidRPr="00AF5AA3">
        <w:t>F</w:t>
      </w:r>
      <w:r w:rsidRPr="00AF5AA3">
        <w:t>INREP</w:t>
      </w:r>
      <w:r w:rsidR="00AF5AA3" w:rsidRPr="00AF5AA3">
        <w:t xml:space="preserve"> alongside the existing consolidated entry points from </w:t>
      </w:r>
      <w:r w:rsidR="005A683A">
        <w:t>v</w:t>
      </w:r>
      <w:r w:rsidR="00AF5AA3" w:rsidRPr="00AF5AA3">
        <w:t>2.3</w:t>
      </w:r>
      <w:r w:rsidR="00E47786" w:rsidRPr="00AF5AA3">
        <w:t>:</w:t>
      </w:r>
    </w:p>
    <w:tbl>
      <w:tblPr>
        <w:tblStyle w:val="EBAtable"/>
        <w:tblW w:w="0" w:type="auto"/>
        <w:tblInd w:w="51" w:type="dxa"/>
        <w:tblLayout w:type="fixed"/>
        <w:tblLook w:val="04A0" w:firstRow="1" w:lastRow="0" w:firstColumn="1" w:lastColumn="0" w:noHBand="0" w:noVBand="1"/>
      </w:tblPr>
      <w:tblGrid>
        <w:gridCol w:w="1475"/>
        <w:gridCol w:w="3402"/>
        <w:gridCol w:w="4312"/>
      </w:tblGrid>
      <w:tr w:rsidR="00AF5AA3" w:rsidRPr="00AF5AA3" w14:paraId="55B5EB4F" w14:textId="77777777" w:rsidTr="00AF5AA3">
        <w:trPr>
          <w:cnfStyle w:val="100000000000" w:firstRow="1" w:lastRow="0" w:firstColumn="0" w:lastColumn="0" w:oddVBand="0" w:evenVBand="0" w:oddHBand="0" w:evenHBand="0" w:firstRowFirstColumn="0" w:firstRowLastColumn="0" w:lastRowFirstColumn="0" w:lastRowLastColumn="0"/>
          <w:cantSplit/>
        </w:trPr>
        <w:tc>
          <w:tcPr>
            <w:tcW w:w="1475" w:type="dxa"/>
          </w:tcPr>
          <w:p w14:paraId="55B5EB4C" w14:textId="77777777" w:rsidR="00AF5AA3" w:rsidRPr="00AF5AA3" w:rsidRDefault="00AF5AA3" w:rsidP="00587A42">
            <w:pPr>
              <w:keepNext/>
              <w:keepLines/>
              <w:rPr>
                <w:b/>
              </w:rPr>
            </w:pPr>
            <w:r w:rsidRPr="00AF5AA3">
              <w:rPr>
                <w:b/>
              </w:rPr>
              <w:t>Introduced In</w:t>
            </w:r>
          </w:p>
        </w:tc>
        <w:tc>
          <w:tcPr>
            <w:tcW w:w="3402" w:type="dxa"/>
            <w:tcMar>
              <w:left w:w="57" w:type="dxa"/>
              <w:right w:w="57" w:type="dxa"/>
            </w:tcMar>
          </w:tcPr>
          <w:p w14:paraId="55B5EB4D" w14:textId="77777777" w:rsidR="00AF5AA3" w:rsidRPr="00AF5AA3" w:rsidRDefault="00AF5AA3" w:rsidP="00587A42">
            <w:pPr>
              <w:keepNext/>
              <w:keepLines/>
              <w:rPr>
                <w:b/>
              </w:rPr>
            </w:pPr>
            <w:r w:rsidRPr="00AF5AA3">
              <w:rPr>
                <w:b/>
              </w:rPr>
              <w:t>Report</w:t>
            </w:r>
          </w:p>
        </w:tc>
        <w:tc>
          <w:tcPr>
            <w:tcW w:w="4312" w:type="dxa"/>
            <w:tcMar>
              <w:left w:w="57" w:type="dxa"/>
              <w:right w:w="57" w:type="dxa"/>
            </w:tcMar>
          </w:tcPr>
          <w:p w14:paraId="55B5EB4E" w14:textId="77777777" w:rsidR="00AF5AA3" w:rsidRPr="00AF5AA3" w:rsidRDefault="00AF5AA3" w:rsidP="00587A42">
            <w:pPr>
              <w:keepNext/>
              <w:keepLines/>
              <w:rPr>
                <w:b/>
              </w:rPr>
            </w:pPr>
            <w:proofErr w:type="spellStart"/>
            <w:r w:rsidRPr="00AF5AA3">
              <w:rPr>
                <w:b/>
              </w:rPr>
              <w:t>SchemaRef</w:t>
            </w:r>
            <w:proofErr w:type="spellEnd"/>
          </w:p>
        </w:tc>
      </w:tr>
      <w:tr w:rsidR="00AF5AA3" w:rsidRPr="00AF5AA3" w14:paraId="55B5EB53" w14:textId="77777777" w:rsidTr="00AF5AA3">
        <w:trPr>
          <w:cantSplit/>
          <w:trHeight w:val="195"/>
        </w:trPr>
        <w:tc>
          <w:tcPr>
            <w:tcW w:w="1475" w:type="dxa"/>
          </w:tcPr>
          <w:p w14:paraId="55B5EB50" w14:textId="77777777" w:rsidR="00AF5AA3" w:rsidRPr="00AF5AA3" w:rsidRDefault="00AF5AA3" w:rsidP="00587A42">
            <w:pPr>
              <w:keepNext/>
              <w:keepLines/>
              <w:rPr>
                <w:sz w:val="16"/>
              </w:rPr>
            </w:pPr>
            <w:r w:rsidRPr="00AF5AA3">
              <w:rPr>
                <w:sz w:val="16"/>
              </w:rPr>
              <w:t>2.3</w:t>
            </w:r>
          </w:p>
        </w:tc>
        <w:tc>
          <w:tcPr>
            <w:tcW w:w="3402" w:type="dxa"/>
            <w:tcMar>
              <w:left w:w="57" w:type="dxa"/>
              <w:right w:w="57" w:type="dxa"/>
            </w:tcMar>
          </w:tcPr>
          <w:p w14:paraId="55B5EB51" w14:textId="77777777" w:rsidR="00AF5AA3" w:rsidRPr="00AF5AA3" w:rsidRDefault="00AF5AA3" w:rsidP="00587A42">
            <w:pPr>
              <w:keepNext/>
              <w:keepLines/>
              <w:rPr>
                <w:sz w:val="16"/>
              </w:rPr>
            </w:pPr>
            <w:r w:rsidRPr="00AF5AA3">
              <w:rPr>
                <w:sz w:val="16"/>
              </w:rPr>
              <w:t>Financial Reporting, Consolidated (Prudential scope) National GAAP</w:t>
            </w:r>
          </w:p>
        </w:tc>
        <w:tc>
          <w:tcPr>
            <w:tcW w:w="4312" w:type="dxa"/>
            <w:tcMar>
              <w:left w:w="57" w:type="dxa"/>
              <w:right w:w="57" w:type="dxa"/>
            </w:tcMar>
          </w:tcPr>
          <w:p w14:paraId="55B5EB52" w14:textId="77777777" w:rsidR="00AF5AA3" w:rsidRPr="00AF5AA3" w:rsidRDefault="00AF5AA3" w:rsidP="00587A42">
            <w:pPr>
              <w:keepNext/>
              <w:keepLines/>
              <w:rPr>
                <w:rFonts w:ascii="Arial Narrow" w:hAnsi="Arial Narrow"/>
                <w:sz w:val="18"/>
              </w:rPr>
            </w:pPr>
            <w:r w:rsidRPr="00AF5AA3">
              <w:rPr>
                <w:rFonts w:ascii="Arial Narrow" w:hAnsi="Arial Narrow"/>
                <w:sz w:val="18"/>
              </w:rPr>
              <w:t>http://www.eba.europa.eu/eu/fr/xbrl/crr/fws/finrep/its-2014-05/2015-02-16/mod/</w:t>
            </w:r>
            <w:r w:rsidRPr="005A683A">
              <w:rPr>
                <w:rFonts w:ascii="Arial Narrow" w:hAnsi="Arial Narrow"/>
                <w:sz w:val="18"/>
              </w:rPr>
              <w:t>finrep_con_gaap</w:t>
            </w:r>
            <w:r w:rsidRPr="00AF5AA3">
              <w:rPr>
                <w:rFonts w:ascii="Arial Narrow" w:hAnsi="Arial Narrow"/>
                <w:sz w:val="18"/>
              </w:rPr>
              <w:t>.xsd</w:t>
            </w:r>
          </w:p>
        </w:tc>
      </w:tr>
      <w:tr w:rsidR="00AF5AA3" w:rsidRPr="00AF5AA3" w14:paraId="55B5EB57" w14:textId="77777777" w:rsidTr="00AF5AA3">
        <w:trPr>
          <w:cantSplit/>
          <w:trHeight w:val="195"/>
        </w:trPr>
        <w:tc>
          <w:tcPr>
            <w:tcW w:w="1475" w:type="dxa"/>
          </w:tcPr>
          <w:p w14:paraId="55B5EB54" w14:textId="77777777" w:rsidR="00AF5AA3" w:rsidRPr="00AF5AA3" w:rsidRDefault="00AF5AA3" w:rsidP="00587A42">
            <w:pPr>
              <w:keepNext/>
              <w:keepLines/>
              <w:rPr>
                <w:sz w:val="16"/>
              </w:rPr>
            </w:pPr>
            <w:r w:rsidRPr="00AF5AA3">
              <w:rPr>
                <w:sz w:val="16"/>
              </w:rPr>
              <w:t>2.3</w:t>
            </w:r>
          </w:p>
        </w:tc>
        <w:tc>
          <w:tcPr>
            <w:tcW w:w="3402" w:type="dxa"/>
            <w:tcMar>
              <w:left w:w="57" w:type="dxa"/>
              <w:right w:w="57" w:type="dxa"/>
            </w:tcMar>
          </w:tcPr>
          <w:p w14:paraId="55B5EB55" w14:textId="77777777" w:rsidR="00AF5AA3" w:rsidRPr="00AF5AA3" w:rsidRDefault="00AF5AA3" w:rsidP="00587A42">
            <w:pPr>
              <w:keepNext/>
              <w:keepLines/>
              <w:rPr>
                <w:sz w:val="16"/>
              </w:rPr>
            </w:pPr>
            <w:r w:rsidRPr="00AF5AA3">
              <w:rPr>
                <w:sz w:val="16"/>
              </w:rPr>
              <w:t>Financial Reporting, Consolidated (Prudential scope) IFRS</w:t>
            </w:r>
          </w:p>
        </w:tc>
        <w:tc>
          <w:tcPr>
            <w:tcW w:w="4312" w:type="dxa"/>
            <w:tcMar>
              <w:left w:w="57" w:type="dxa"/>
              <w:right w:w="57" w:type="dxa"/>
            </w:tcMar>
          </w:tcPr>
          <w:p w14:paraId="55B5EB56" w14:textId="77777777" w:rsidR="00AF5AA3" w:rsidRPr="00AF5AA3" w:rsidRDefault="00AF5AA3" w:rsidP="00587A42">
            <w:pPr>
              <w:keepNext/>
              <w:keepLines/>
              <w:rPr>
                <w:rFonts w:ascii="Arial Narrow" w:hAnsi="Arial Narrow"/>
                <w:sz w:val="18"/>
              </w:rPr>
            </w:pPr>
            <w:r w:rsidRPr="00AF5AA3">
              <w:rPr>
                <w:rFonts w:ascii="Arial Narrow" w:hAnsi="Arial Narrow"/>
                <w:sz w:val="18"/>
              </w:rPr>
              <w:t>http://www.eba.europa.eu/eu/fr/xbrl/crr/fws/finrep/its-2014-05/2015-02-16/mod/</w:t>
            </w:r>
            <w:r w:rsidRPr="005A683A">
              <w:rPr>
                <w:rFonts w:ascii="Arial Narrow" w:hAnsi="Arial Narrow"/>
                <w:sz w:val="18"/>
              </w:rPr>
              <w:t>finrep_con_ifrs</w:t>
            </w:r>
            <w:r w:rsidRPr="00AF5AA3">
              <w:rPr>
                <w:rFonts w:ascii="Arial Narrow" w:hAnsi="Arial Narrow"/>
                <w:sz w:val="18"/>
              </w:rPr>
              <w:t>.xsd</w:t>
            </w:r>
          </w:p>
        </w:tc>
      </w:tr>
      <w:tr w:rsidR="00AF5AA3" w:rsidRPr="00AF5AA3" w14:paraId="55B5EB5B" w14:textId="77777777" w:rsidTr="00AF5AA3">
        <w:trPr>
          <w:cantSplit/>
          <w:trHeight w:val="195"/>
        </w:trPr>
        <w:tc>
          <w:tcPr>
            <w:tcW w:w="1475" w:type="dxa"/>
          </w:tcPr>
          <w:p w14:paraId="55B5EB58" w14:textId="77777777" w:rsidR="00AF5AA3" w:rsidRPr="00AF5AA3" w:rsidRDefault="00AF5AA3" w:rsidP="00587A42">
            <w:pPr>
              <w:keepNext/>
              <w:keepLines/>
              <w:rPr>
                <w:b/>
                <w:sz w:val="16"/>
              </w:rPr>
            </w:pPr>
            <w:r w:rsidRPr="00AF5AA3">
              <w:rPr>
                <w:b/>
                <w:sz w:val="16"/>
              </w:rPr>
              <w:t>2.3.2</w:t>
            </w:r>
          </w:p>
        </w:tc>
        <w:tc>
          <w:tcPr>
            <w:tcW w:w="3402" w:type="dxa"/>
            <w:tcMar>
              <w:left w:w="57" w:type="dxa"/>
              <w:right w:w="57" w:type="dxa"/>
            </w:tcMar>
          </w:tcPr>
          <w:p w14:paraId="55B5EB59" w14:textId="77777777" w:rsidR="00AF5AA3" w:rsidRPr="00AF5AA3" w:rsidRDefault="00AF5AA3" w:rsidP="00587A42">
            <w:pPr>
              <w:keepNext/>
              <w:keepLines/>
              <w:rPr>
                <w:b/>
                <w:sz w:val="16"/>
              </w:rPr>
            </w:pPr>
            <w:r w:rsidRPr="00AF5AA3">
              <w:rPr>
                <w:b/>
                <w:sz w:val="16"/>
              </w:rPr>
              <w:t>Financial Reporting, Individual National GAAP</w:t>
            </w:r>
          </w:p>
        </w:tc>
        <w:tc>
          <w:tcPr>
            <w:tcW w:w="4312" w:type="dxa"/>
            <w:tcMar>
              <w:left w:w="57" w:type="dxa"/>
              <w:right w:w="57" w:type="dxa"/>
            </w:tcMar>
          </w:tcPr>
          <w:p w14:paraId="55B5EB5A" w14:textId="77777777" w:rsidR="00AF5AA3" w:rsidRPr="00AF5AA3" w:rsidRDefault="00AF5AA3" w:rsidP="005A683A">
            <w:pPr>
              <w:keepNext/>
              <w:keepLines/>
              <w:rPr>
                <w:rFonts w:ascii="Arial Narrow" w:hAnsi="Arial Narrow"/>
                <w:sz w:val="18"/>
              </w:rPr>
            </w:pPr>
            <w:r w:rsidRPr="00AF5AA3">
              <w:rPr>
                <w:rFonts w:ascii="Arial Narrow" w:hAnsi="Arial Narrow"/>
                <w:sz w:val="18"/>
              </w:rPr>
              <w:t>http://www.eba.europa.eu/eu/fr/xbrl/crr/fws/finrep/its-2014-05/2015-</w:t>
            </w:r>
            <w:r w:rsidRPr="005A683A">
              <w:rPr>
                <w:rFonts w:ascii="Arial Narrow" w:hAnsi="Arial Narrow"/>
                <w:b/>
                <w:sz w:val="18"/>
              </w:rPr>
              <w:t>0</w:t>
            </w:r>
            <w:r w:rsidR="005A683A" w:rsidRPr="005A683A">
              <w:rPr>
                <w:rFonts w:ascii="Arial Narrow" w:hAnsi="Arial Narrow"/>
                <w:b/>
                <w:sz w:val="18"/>
              </w:rPr>
              <w:t>7-03</w:t>
            </w:r>
            <w:r w:rsidRPr="00AF5AA3">
              <w:rPr>
                <w:rFonts w:ascii="Arial Narrow" w:hAnsi="Arial Narrow"/>
                <w:sz w:val="18"/>
              </w:rPr>
              <w:t>/mod/</w:t>
            </w:r>
            <w:r w:rsidRPr="005A683A">
              <w:rPr>
                <w:rFonts w:ascii="Arial Narrow" w:hAnsi="Arial Narrow"/>
                <w:sz w:val="18"/>
              </w:rPr>
              <w:t>finrep_</w:t>
            </w:r>
            <w:r w:rsidRPr="005A683A">
              <w:rPr>
                <w:rFonts w:ascii="Arial Narrow" w:hAnsi="Arial Narrow"/>
                <w:b/>
                <w:sz w:val="18"/>
              </w:rPr>
              <w:t>ind</w:t>
            </w:r>
            <w:r w:rsidRPr="005A683A">
              <w:rPr>
                <w:rFonts w:ascii="Arial Narrow" w:hAnsi="Arial Narrow"/>
                <w:sz w:val="18"/>
              </w:rPr>
              <w:t>_gaap</w:t>
            </w:r>
            <w:r w:rsidRPr="00AF5AA3">
              <w:rPr>
                <w:rFonts w:ascii="Arial Narrow" w:hAnsi="Arial Narrow"/>
                <w:sz w:val="18"/>
              </w:rPr>
              <w:t>.xsd</w:t>
            </w:r>
          </w:p>
        </w:tc>
      </w:tr>
      <w:tr w:rsidR="00AF5AA3" w:rsidRPr="00AF5AA3" w14:paraId="55B5EB5F" w14:textId="77777777" w:rsidTr="00AF5AA3">
        <w:trPr>
          <w:trHeight w:val="195"/>
        </w:trPr>
        <w:tc>
          <w:tcPr>
            <w:tcW w:w="1475" w:type="dxa"/>
          </w:tcPr>
          <w:p w14:paraId="55B5EB5C" w14:textId="77777777" w:rsidR="00AF5AA3" w:rsidRPr="00AF5AA3" w:rsidRDefault="00AF5AA3" w:rsidP="00587A42">
            <w:pPr>
              <w:keepLines/>
              <w:rPr>
                <w:b/>
                <w:sz w:val="16"/>
              </w:rPr>
            </w:pPr>
            <w:r w:rsidRPr="00AF5AA3">
              <w:rPr>
                <w:b/>
                <w:sz w:val="16"/>
              </w:rPr>
              <w:t>2.3.2</w:t>
            </w:r>
          </w:p>
        </w:tc>
        <w:tc>
          <w:tcPr>
            <w:tcW w:w="3402" w:type="dxa"/>
            <w:tcMar>
              <w:left w:w="57" w:type="dxa"/>
              <w:right w:w="57" w:type="dxa"/>
            </w:tcMar>
          </w:tcPr>
          <w:p w14:paraId="55B5EB5D" w14:textId="77777777" w:rsidR="00AF5AA3" w:rsidRPr="00AF5AA3" w:rsidRDefault="00AF5AA3" w:rsidP="00587A42">
            <w:pPr>
              <w:keepLines/>
              <w:rPr>
                <w:b/>
                <w:sz w:val="16"/>
              </w:rPr>
            </w:pPr>
            <w:r w:rsidRPr="00AF5AA3">
              <w:rPr>
                <w:b/>
                <w:sz w:val="16"/>
              </w:rPr>
              <w:t>Financial Reporting, Individual IFRS</w:t>
            </w:r>
          </w:p>
        </w:tc>
        <w:tc>
          <w:tcPr>
            <w:tcW w:w="4312" w:type="dxa"/>
            <w:tcMar>
              <w:left w:w="57" w:type="dxa"/>
              <w:right w:w="57" w:type="dxa"/>
            </w:tcMar>
          </w:tcPr>
          <w:p w14:paraId="55B5EB5E" w14:textId="77777777" w:rsidR="00AF5AA3" w:rsidRPr="00AF5AA3" w:rsidRDefault="00AF5AA3" w:rsidP="005A683A">
            <w:pPr>
              <w:keepNext/>
              <w:keepLines/>
              <w:rPr>
                <w:sz w:val="16"/>
              </w:rPr>
            </w:pPr>
            <w:r w:rsidRPr="005A683A">
              <w:rPr>
                <w:rFonts w:ascii="Arial Narrow" w:hAnsi="Arial Narrow"/>
                <w:sz w:val="18"/>
              </w:rPr>
              <w:t>http://www.eba.europa.eu/eu/fr/xbrl/cr</w:t>
            </w:r>
            <w:r w:rsidR="005A683A">
              <w:rPr>
                <w:rFonts w:ascii="Arial Narrow" w:hAnsi="Arial Narrow"/>
                <w:sz w:val="18"/>
              </w:rPr>
              <w:t>r/fws/finrep/its-2014-05/2015-</w:t>
            </w:r>
            <w:r w:rsidR="005A683A" w:rsidRPr="005A683A">
              <w:rPr>
                <w:rFonts w:ascii="Arial Narrow" w:hAnsi="Arial Narrow"/>
                <w:b/>
                <w:sz w:val="18"/>
              </w:rPr>
              <w:t>07-03</w:t>
            </w:r>
            <w:r w:rsidRPr="005A683A">
              <w:rPr>
                <w:rFonts w:ascii="Arial Narrow" w:hAnsi="Arial Narrow"/>
                <w:sz w:val="18"/>
              </w:rPr>
              <w:t>/mod/finrep_</w:t>
            </w:r>
            <w:r w:rsidRPr="005A683A">
              <w:rPr>
                <w:rFonts w:ascii="Arial Narrow" w:hAnsi="Arial Narrow"/>
                <w:b/>
                <w:sz w:val="18"/>
              </w:rPr>
              <w:t>ind</w:t>
            </w:r>
            <w:r w:rsidRPr="005A683A">
              <w:rPr>
                <w:rFonts w:ascii="Arial Narrow" w:hAnsi="Arial Narrow"/>
                <w:sz w:val="18"/>
              </w:rPr>
              <w:t>_ifrs.xsd</w:t>
            </w:r>
          </w:p>
        </w:tc>
      </w:tr>
    </w:tbl>
    <w:p w14:paraId="55B5EB60" w14:textId="77777777" w:rsidR="00E47786" w:rsidRPr="00AF5AA3" w:rsidRDefault="00E47786" w:rsidP="00E47786">
      <w:pPr>
        <w:pStyle w:val="Titlelevel3"/>
      </w:pPr>
      <w:r w:rsidRPr="00AF5AA3">
        <w:t>Validation Rule Changes</w:t>
      </w:r>
    </w:p>
    <w:p w14:paraId="55B5EB61" w14:textId="77777777" w:rsidR="00AF5AA3" w:rsidRDefault="00AF5AA3" w:rsidP="00183058">
      <w:pPr>
        <w:pStyle w:val="ListParagraph"/>
        <w:numPr>
          <w:ilvl w:val="0"/>
          <w:numId w:val="5"/>
        </w:numPr>
      </w:pPr>
      <w:r>
        <w:t xml:space="preserve">The validation rule </w:t>
      </w:r>
      <w:r w:rsidR="00C92C09" w:rsidRPr="00C92C09">
        <w:t>v4006_c</w:t>
      </w:r>
      <w:r w:rsidR="00C05123">
        <w:t>,</w:t>
      </w:r>
      <w:r>
        <w:t xml:space="preserve"> which in v2.3.1 and before enforced that the consolidation level reported in table F 00.01 for a FINREP report had to be “Consolidated”</w:t>
      </w:r>
      <w:r w:rsidR="00C05123">
        <w:t>,</w:t>
      </w:r>
      <w:r>
        <w:t xml:space="preserve"> has been changed to require this only for consolidated FINREP entry points</w:t>
      </w:r>
      <w:r w:rsidR="00C05123">
        <w:t xml:space="preserve"> </w:t>
      </w:r>
      <w:r>
        <w:t>as per the equivalent rules for other frameworks.</w:t>
      </w:r>
    </w:p>
    <w:p w14:paraId="55B5EB62" w14:textId="77777777" w:rsidR="00AF5AA3" w:rsidRDefault="00AF5AA3" w:rsidP="00183058">
      <w:pPr>
        <w:pStyle w:val="ListParagraph"/>
        <w:numPr>
          <w:ilvl w:val="0"/>
          <w:numId w:val="5"/>
        </w:numPr>
      </w:pPr>
      <w:r>
        <w:t xml:space="preserve">An additional rule </w:t>
      </w:r>
      <w:r w:rsidR="00C92C09" w:rsidRPr="00C92C09">
        <w:t>v4442_c</w:t>
      </w:r>
      <w:r w:rsidR="00C92C09">
        <w:t xml:space="preserve"> </w:t>
      </w:r>
      <w:r>
        <w:t>has been added to FINREP to enforce the complementary check that the consolidation reported in F 00.01 should be “Individual” for the individual entry points.</w:t>
      </w:r>
    </w:p>
    <w:p w14:paraId="55B5EB63" w14:textId="77777777" w:rsidR="00AF5AA3" w:rsidRPr="00AF5AA3" w:rsidRDefault="00AF5AA3" w:rsidP="007D121B">
      <w:pPr>
        <w:pStyle w:val="Titlelevel3"/>
      </w:pPr>
      <w:r>
        <w:lastRenderedPageBreak/>
        <w:t>DPM DB</w:t>
      </w:r>
      <w:r w:rsidRPr="00AF5AA3">
        <w:t xml:space="preserve"> Changes</w:t>
      </w:r>
    </w:p>
    <w:p w14:paraId="55B5EB64" w14:textId="77777777" w:rsidR="00772008" w:rsidRDefault="00772008" w:rsidP="00183058">
      <w:pPr>
        <w:pStyle w:val="ListParagraph"/>
        <w:numPr>
          <w:ilvl w:val="0"/>
          <w:numId w:val="20"/>
        </w:numPr>
      </w:pPr>
      <w:r w:rsidRPr="00C92C09">
        <w:rPr>
          <w:b/>
        </w:rPr>
        <w:t>Taxonomy</w:t>
      </w:r>
      <w:r w:rsidR="00C92C09">
        <w:t xml:space="preserve">: </w:t>
      </w:r>
      <w:proofErr w:type="spellStart"/>
      <w:r w:rsidR="00C92C09">
        <w:t>TaxonomyID</w:t>
      </w:r>
      <w:proofErr w:type="spellEnd"/>
      <w:r w:rsidR="00C92C09">
        <w:t xml:space="preserve"> 1</w:t>
      </w:r>
      <w:r w:rsidR="0022111D">
        <w:t>6</w:t>
      </w:r>
      <w:r w:rsidR="00C92C09">
        <w:t xml:space="preserve"> </w:t>
      </w:r>
      <w:r w:rsidR="0022111D">
        <w:t xml:space="preserve">added as </w:t>
      </w:r>
      <w:r w:rsidR="00C92C09">
        <w:t>updated to Version=’2.1.3</w:t>
      </w:r>
      <w:r w:rsidR="0022111D">
        <w:t xml:space="preserve">’, </w:t>
      </w:r>
      <w:proofErr w:type="spellStart"/>
      <w:r w:rsidR="0022111D">
        <w:t>TaxonomyCode</w:t>
      </w:r>
      <w:proofErr w:type="spellEnd"/>
      <w:r w:rsidR="0022111D">
        <w:t>='FINREP 2015-A-Ind</w:t>
      </w:r>
      <w:r w:rsidR="00C92C09">
        <w:t xml:space="preserve">', </w:t>
      </w:r>
      <w:proofErr w:type="spellStart"/>
      <w:r w:rsidR="00C92C09">
        <w:t>TaxonomyLabel</w:t>
      </w:r>
      <w:proofErr w:type="spellEnd"/>
      <w:r w:rsidR="00C92C09">
        <w:t xml:space="preserve"> = </w:t>
      </w:r>
      <w:r w:rsidR="0022111D">
        <w:t>‘</w:t>
      </w:r>
      <w:proofErr w:type="spellStart"/>
      <w:r w:rsidR="0022111D" w:rsidRPr="0022111D">
        <w:t>FINancial</w:t>
      </w:r>
      <w:proofErr w:type="spellEnd"/>
      <w:r w:rsidR="0022111D" w:rsidRPr="0022111D">
        <w:t xml:space="preserve"> </w:t>
      </w:r>
      <w:proofErr w:type="spellStart"/>
      <w:r w:rsidR="0022111D" w:rsidRPr="0022111D">
        <w:t>REPorting</w:t>
      </w:r>
      <w:proofErr w:type="spellEnd"/>
      <w:r w:rsidR="0022111D" w:rsidRPr="0022111D">
        <w:t xml:space="preserve"> 2015-A Individual (2.1.3)</w:t>
      </w:r>
      <w:r w:rsidR="0022111D">
        <w:t>’</w:t>
      </w:r>
      <w:r w:rsidR="00C92C09">
        <w:t xml:space="preserve">. Matching </w:t>
      </w:r>
      <w:r w:rsidR="00C92C09" w:rsidRPr="00C92C09">
        <w:rPr>
          <w:b/>
        </w:rPr>
        <w:t>Concept</w:t>
      </w:r>
      <w:r w:rsidR="00C92C09">
        <w:t xml:space="preserve">s entry with </w:t>
      </w:r>
      <w:proofErr w:type="spellStart"/>
      <w:r w:rsidR="00C92C09">
        <w:t>ModificationDate</w:t>
      </w:r>
      <w:proofErr w:type="spellEnd"/>
      <w:r w:rsidR="00C92C09">
        <w:t xml:space="preserve"> added.</w:t>
      </w:r>
    </w:p>
    <w:p w14:paraId="55B5EB65" w14:textId="77777777" w:rsidR="0022111D" w:rsidRDefault="0022111D" w:rsidP="00183058">
      <w:pPr>
        <w:pStyle w:val="ListParagraph"/>
        <w:numPr>
          <w:ilvl w:val="0"/>
          <w:numId w:val="20"/>
        </w:numPr>
      </w:pPr>
      <w:proofErr w:type="spellStart"/>
      <w:r>
        <w:rPr>
          <w:b/>
        </w:rPr>
        <w:t>TableGroup</w:t>
      </w:r>
      <w:proofErr w:type="spellEnd"/>
      <w:r>
        <w:rPr>
          <w:b/>
        </w:rPr>
        <w:t xml:space="preserve"> </w:t>
      </w:r>
      <w:r w:rsidRPr="0022111D">
        <w:t>(with associated Concepts),</w:t>
      </w:r>
      <w:r>
        <w:rPr>
          <w:b/>
        </w:rPr>
        <w:t xml:space="preserve"> </w:t>
      </w:r>
      <w:proofErr w:type="spellStart"/>
      <w:r>
        <w:rPr>
          <w:b/>
        </w:rPr>
        <w:t>TableGroupTemplate</w:t>
      </w:r>
      <w:proofErr w:type="spellEnd"/>
      <w:r>
        <w:rPr>
          <w:b/>
        </w:rPr>
        <w:t xml:space="preserve"> </w:t>
      </w:r>
      <w:r w:rsidRPr="0022111D">
        <w:t>and</w:t>
      </w:r>
      <w:r>
        <w:rPr>
          <w:b/>
        </w:rPr>
        <w:t xml:space="preserve"> </w:t>
      </w:r>
      <w:proofErr w:type="spellStart"/>
      <w:r>
        <w:rPr>
          <w:b/>
        </w:rPr>
        <w:t>TaxonomyTableVersion</w:t>
      </w:r>
      <w:proofErr w:type="spellEnd"/>
      <w:r>
        <w:rPr>
          <w:b/>
        </w:rPr>
        <w:t xml:space="preserve"> </w:t>
      </w:r>
      <w:r w:rsidRPr="0022111D">
        <w:t>entries added</w:t>
      </w:r>
      <w:r>
        <w:t xml:space="preserve"> duplicating those related to the FINREP 2.3 taxonomy</w:t>
      </w:r>
      <w:r w:rsidRPr="0022111D">
        <w:t>.</w:t>
      </w:r>
    </w:p>
    <w:p w14:paraId="55B5EB66" w14:textId="77777777" w:rsidR="00C92C09" w:rsidRDefault="00C92C09" w:rsidP="00183058">
      <w:pPr>
        <w:pStyle w:val="ListParagraph"/>
        <w:numPr>
          <w:ilvl w:val="0"/>
          <w:numId w:val="20"/>
        </w:numPr>
      </w:pPr>
      <w:r>
        <w:t xml:space="preserve">New </w:t>
      </w:r>
      <w:r w:rsidRPr="00C92C09">
        <w:rPr>
          <w:b/>
        </w:rPr>
        <w:t>Module</w:t>
      </w:r>
      <w:r w:rsidRPr="00C92C09">
        <w:t>s</w:t>
      </w:r>
      <w:r>
        <w:t xml:space="preserve"> (with associated </w:t>
      </w:r>
      <w:r w:rsidRPr="00C92C09">
        <w:rPr>
          <w:b/>
        </w:rPr>
        <w:t>Concept</w:t>
      </w:r>
      <w:r>
        <w:t>s) 59 (</w:t>
      </w:r>
      <w:proofErr w:type="spellStart"/>
      <w:r>
        <w:t>FINREP_Ind_GAAP</w:t>
      </w:r>
      <w:proofErr w:type="spellEnd"/>
      <w:r>
        <w:t>) and 60 (</w:t>
      </w:r>
      <w:proofErr w:type="spellStart"/>
      <w:r>
        <w:t>FINREP_Ind_IFRS</w:t>
      </w:r>
      <w:proofErr w:type="spellEnd"/>
      <w:r>
        <w:t>) added.</w:t>
      </w:r>
    </w:p>
    <w:p w14:paraId="55B5EB67" w14:textId="77777777" w:rsidR="00C92C09" w:rsidRDefault="00C92C09" w:rsidP="00183058">
      <w:pPr>
        <w:pStyle w:val="ListParagraph"/>
        <w:numPr>
          <w:ilvl w:val="0"/>
          <w:numId w:val="20"/>
        </w:numPr>
      </w:pPr>
      <w:proofErr w:type="spellStart"/>
      <w:r w:rsidRPr="00C92C09">
        <w:rPr>
          <w:b/>
        </w:rPr>
        <w:t>ModuleTableOrGroup</w:t>
      </w:r>
      <w:proofErr w:type="spellEnd"/>
      <w:r>
        <w:t xml:space="preserve"> and </w:t>
      </w:r>
      <w:proofErr w:type="spellStart"/>
      <w:r w:rsidRPr="00C92C09">
        <w:rPr>
          <w:b/>
        </w:rPr>
        <w:t>ModuleTableVersion</w:t>
      </w:r>
      <w:proofErr w:type="spellEnd"/>
      <w:r>
        <w:t xml:space="preserve"> records added for </w:t>
      </w:r>
      <w:r w:rsidRPr="00C92C09">
        <w:rPr>
          <w:b/>
        </w:rPr>
        <w:t>Module</w:t>
      </w:r>
      <w:r>
        <w:t xml:space="preserve"> 59 and 60 as per </w:t>
      </w:r>
      <w:r w:rsidRPr="00C92C09">
        <w:rPr>
          <w:b/>
        </w:rPr>
        <w:t>Module</w:t>
      </w:r>
      <w:r>
        <w:t>s 44 (</w:t>
      </w:r>
      <w:proofErr w:type="spellStart"/>
      <w:r>
        <w:t>FINREP_Ind_GAAP</w:t>
      </w:r>
      <w:proofErr w:type="spellEnd"/>
      <w:r>
        <w:t>) and 45 (</w:t>
      </w:r>
      <w:proofErr w:type="spellStart"/>
      <w:r>
        <w:t>FINREP_Ind_IFRS</w:t>
      </w:r>
      <w:proofErr w:type="spellEnd"/>
      <w:r>
        <w:t>)</w:t>
      </w:r>
    </w:p>
    <w:p w14:paraId="55B5EB68" w14:textId="77777777" w:rsidR="00C92C09" w:rsidRDefault="00C92C09" w:rsidP="00183058">
      <w:pPr>
        <w:pStyle w:val="ListParagraph"/>
        <w:numPr>
          <w:ilvl w:val="0"/>
          <w:numId w:val="20"/>
        </w:numPr>
      </w:pPr>
      <w:r>
        <w:t xml:space="preserve">Appropriate </w:t>
      </w:r>
      <w:proofErr w:type="spellStart"/>
      <w:r w:rsidRPr="00C92C09">
        <w:rPr>
          <w:b/>
        </w:rPr>
        <w:t>ModuleDimensionImpliedValue</w:t>
      </w:r>
      <w:proofErr w:type="spellEnd"/>
      <w:r>
        <w:t xml:space="preserve">, </w:t>
      </w:r>
      <w:proofErr w:type="spellStart"/>
      <w:r w:rsidRPr="00C92C09">
        <w:rPr>
          <w:b/>
        </w:rPr>
        <w:t>ModuleDataPointRestriction</w:t>
      </w:r>
      <w:proofErr w:type="spellEnd"/>
      <w:r w:rsidR="0022111D">
        <w:rPr>
          <w:b/>
        </w:rPr>
        <w:t xml:space="preserve"> </w:t>
      </w:r>
      <w:r>
        <w:t>records added</w:t>
      </w:r>
    </w:p>
    <w:p w14:paraId="55B5EB69" w14:textId="77777777" w:rsidR="00C05123" w:rsidRPr="0022111D" w:rsidRDefault="00C92C09" w:rsidP="00183058">
      <w:pPr>
        <w:pStyle w:val="ListParagraph"/>
        <w:numPr>
          <w:ilvl w:val="0"/>
          <w:numId w:val="20"/>
        </w:numPr>
      </w:pPr>
      <w:proofErr w:type="spellStart"/>
      <w:r w:rsidRPr="00C92C09">
        <w:rPr>
          <w:b/>
        </w:rPr>
        <w:t>ValidationRule</w:t>
      </w:r>
      <w:proofErr w:type="spellEnd"/>
      <w:r>
        <w:t xml:space="preserve"> and </w:t>
      </w:r>
      <w:r w:rsidR="0022111D" w:rsidRPr="0022111D">
        <w:t>related records</w:t>
      </w:r>
      <w:r w:rsidR="0022111D">
        <w:t xml:space="preserve"> added for the validation rules associated with the new taxonomy</w:t>
      </w:r>
    </w:p>
    <w:p w14:paraId="55B5EB6A" w14:textId="77777777" w:rsidR="007D121B" w:rsidRPr="00AF5AA3" w:rsidRDefault="007D121B" w:rsidP="007C6692">
      <w:pPr>
        <w:pStyle w:val="Titlelevel2"/>
        <w:keepNext/>
      </w:pPr>
      <w:r>
        <w:t xml:space="preserve">XBRL </w:t>
      </w:r>
      <w:r w:rsidRPr="00AF5AA3">
        <w:t>Changes</w:t>
      </w:r>
    </w:p>
    <w:p w14:paraId="55B5EB6B" w14:textId="77777777" w:rsidR="00600178" w:rsidRDefault="007D121B" w:rsidP="007D121B">
      <w:r>
        <w:t xml:space="preserve">The two additional entry points are added into </w:t>
      </w:r>
      <w:r w:rsidR="00600178">
        <w:t>a new</w:t>
      </w:r>
      <w:r>
        <w:t xml:space="preserve"> directory </w:t>
      </w:r>
      <w:r w:rsidR="00600178">
        <w:t>(</w:t>
      </w:r>
      <w:r w:rsidR="00600178" w:rsidRPr="00600178">
        <w:t>\its-2014-05</w:t>
      </w:r>
      <w:r w:rsidR="00600178">
        <w:t>\2015-07-03)within the FINREP folder, alongside the existing 2.3 FINREP folder (</w:t>
      </w:r>
      <w:r w:rsidR="00600178" w:rsidRPr="00600178">
        <w:t>\its-2014-05</w:t>
      </w:r>
      <w:r w:rsidR="00600178">
        <w:t>\2015-02-16).</w:t>
      </w:r>
      <w:r w:rsidR="00695825">
        <w:t xml:space="preserve"> </w:t>
      </w:r>
      <w:r w:rsidR="00600178">
        <w:t>N</w:t>
      </w:r>
      <w:r w:rsidR="00695825">
        <w:t>ote:</w:t>
      </w:r>
      <w:r w:rsidR="00600178">
        <w:t xml:space="preserve"> </w:t>
      </w:r>
      <w:r w:rsidR="00695825">
        <w:t>o</w:t>
      </w:r>
      <w:r w:rsidR="00600178">
        <w:t>nly the packages required for Individual FINREP reporting are included in this release.</w:t>
      </w:r>
    </w:p>
    <w:p w14:paraId="55B5EB6C" w14:textId="77777777" w:rsidR="00E47786" w:rsidRPr="00E75446" w:rsidRDefault="00E47786" w:rsidP="00E75446">
      <w:pPr>
        <w:pStyle w:val="Titlelevel2"/>
        <w:keepNext/>
      </w:pPr>
      <w:r w:rsidRPr="00E75446">
        <w:t>Known Issues</w:t>
      </w:r>
    </w:p>
    <w:p w14:paraId="55B5EB6D" w14:textId="77777777" w:rsidR="00E47786" w:rsidRPr="00AF5AA3" w:rsidRDefault="00AF5AA3" w:rsidP="00360446">
      <w:pPr>
        <w:keepNext/>
        <w:keepLines/>
        <w:rPr>
          <w:i/>
        </w:rPr>
      </w:pPr>
      <w:r w:rsidRPr="00AF5AA3">
        <w:t xml:space="preserve">The same known issue as noted for v2.3.1 remains in place, reporting </w:t>
      </w:r>
      <w:r w:rsidR="00695825">
        <w:t xml:space="preserve">of table F 40.01 </w:t>
      </w:r>
      <w:r w:rsidRPr="00AF5AA3">
        <w:t>should follow the guidance given under 2.3.1</w:t>
      </w:r>
      <w:r>
        <w:rPr>
          <w:i/>
        </w:rPr>
        <w:t xml:space="preserve"> </w:t>
      </w:r>
    </w:p>
    <w:p w14:paraId="55B5EB6E" w14:textId="77777777" w:rsidR="00E75446" w:rsidRDefault="00E75446">
      <w:pPr>
        <w:rPr>
          <w:rFonts w:asciiTheme="majorHAnsi" w:eastAsiaTheme="majorEastAsia" w:hAnsiTheme="majorHAnsi" w:cstheme="majorBidi"/>
          <w:color w:val="2F5773" w:themeColor="text2"/>
          <w:spacing w:val="5"/>
          <w:kern w:val="28"/>
          <w:sz w:val="52"/>
          <w:szCs w:val="52"/>
        </w:rPr>
      </w:pPr>
      <w:r>
        <w:br w:type="page"/>
      </w:r>
    </w:p>
    <w:p w14:paraId="55B5EB6F" w14:textId="77777777" w:rsidR="00B000E3" w:rsidRDefault="00D515AE" w:rsidP="00D515AE">
      <w:pPr>
        <w:pStyle w:val="Titlelevel1"/>
      </w:pPr>
      <w:r w:rsidRPr="00D515AE">
        <w:lastRenderedPageBreak/>
        <w:t>v2.3.</w:t>
      </w:r>
      <w:r>
        <w:t>1</w:t>
      </w:r>
      <w:r w:rsidRPr="00D515AE">
        <w:t xml:space="preserve"> (“2015-A</w:t>
      </w:r>
      <w:r>
        <w:t>-1” Patch</w:t>
      </w:r>
      <w:r w:rsidRPr="00D515AE">
        <w:t>)</w:t>
      </w:r>
      <w:r w:rsidR="001A4CAA" w:rsidRPr="001A4CAA">
        <w:rPr>
          <w:rFonts w:ascii="Arial" w:hAnsi="Arial" w:cs="Arial"/>
          <w:color w:val="696969"/>
          <w:sz w:val="18"/>
          <w:szCs w:val="18"/>
          <w:shd w:val="clear" w:color="auto" w:fill="FFFFFF"/>
        </w:rPr>
        <w:t xml:space="preserve"> </w:t>
      </w:r>
      <w:r w:rsidR="001A4CAA">
        <w:rPr>
          <w:rFonts w:ascii="Arial" w:hAnsi="Arial" w:cs="Arial"/>
          <w:color w:val="696969"/>
          <w:sz w:val="18"/>
          <w:szCs w:val="18"/>
          <w:shd w:val="clear" w:color="auto" w:fill="FFFFFF"/>
        </w:rPr>
        <w:t>(05/05/2015)</w:t>
      </w:r>
    </w:p>
    <w:p w14:paraId="55B5EB70" w14:textId="77777777" w:rsidR="00B000E3" w:rsidRDefault="00B000E3" w:rsidP="00D515AE">
      <w:pPr>
        <w:pStyle w:val="Titlelevel2"/>
      </w:pPr>
      <w:r>
        <w:t>Purpose</w:t>
      </w:r>
    </w:p>
    <w:p w14:paraId="55B5EB71" w14:textId="77777777" w:rsidR="00B000E3" w:rsidRDefault="00B000E3" w:rsidP="00B000E3">
      <w:r>
        <w:t>The 2.3.1 release is a “patch” release, modifying the FP (funding plans) and SBP (benchmarking) reporting taxonomies to be used for remittance to the EBA to provide distinct entry points (reports) for individual and consolidated data.</w:t>
      </w:r>
      <w:r w:rsidR="00534F52">
        <w:t xml:space="preserve"> This change has been identified to be vital for the proper functioning of a significant number of the European CA’s data collection systems (not least the EBAs own collection system).</w:t>
      </w:r>
    </w:p>
    <w:p w14:paraId="55B5EB72" w14:textId="77777777" w:rsidR="00B000E3" w:rsidRDefault="00B000E3" w:rsidP="00B000E3">
      <w:r>
        <w:t>PLEASE NOTE – reporters who have been directed by their relevant Competent Authority to use XBRL based on the EBA taxonomy to report to the CA, should confirm with their relevant Competent Authority which versions of FP and SBP their CA requires to be used. Reporters should not assume that the 2.3.1 versions will necessarily be utilised by every CA.</w:t>
      </w:r>
    </w:p>
    <w:p w14:paraId="55B5EB73" w14:textId="77777777" w:rsidR="00B000E3" w:rsidRDefault="00B000E3" w:rsidP="00B000E3">
      <w:r w:rsidRPr="00B000E3">
        <w:t xml:space="preserve">The original </w:t>
      </w:r>
      <w:r>
        <w:t>2.3 releases of FP and SBP must NOT be used by CAs for remittance of data to the EBA. The 2.3.1 releases replace the 2.3 versions for this purpose for all reporting reference dates.</w:t>
      </w:r>
    </w:p>
    <w:p w14:paraId="55B5EB74" w14:textId="77777777" w:rsidR="00B000E3" w:rsidRDefault="00B000E3" w:rsidP="00B000E3">
      <w:r>
        <w:t xml:space="preserve">The main data dictionary and the other reporting taxonomies (COREP, FINREP, </w:t>
      </w:r>
      <w:proofErr w:type="gramStart"/>
      <w:r>
        <w:t>AE</w:t>
      </w:r>
      <w:proofErr w:type="gramEnd"/>
      <w:r>
        <w:t>) are unchanged compared to the 2.3 release.</w:t>
      </w:r>
    </w:p>
    <w:p w14:paraId="55B5EB75" w14:textId="77777777" w:rsidR="00B000E3" w:rsidRDefault="006A5AC9" w:rsidP="00D515AE">
      <w:pPr>
        <w:pStyle w:val="Titlelevel2"/>
      </w:pPr>
      <w:r>
        <w:t xml:space="preserve">DPM </w:t>
      </w:r>
      <w:r w:rsidR="00B000E3">
        <w:t>Changes</w:t>
      </w:r>
    </w:p>
    <w:p w14:paraId="55B5EB76" w14:textId="77777777" w:rsidR="00B000E3" w:rsidRDefault="00534F52" w:rsidP="00183058">
      <w:pPr>
        <w:pStyle w:val="ListParagraph"/>
        <w:numPr>
          <w:ilvl w:val="0"/>
          <w:numId w:val="5"/>
        </w:numPr>
      </w:pPr>
      <w:r>
        <w:t>The 2.3 e</w:t>
      </w:r>
      <w:r w:rsidR="00B000E3">
        <w:t xml:space="preserve">ntry points for FP and SBP each replaced by two distinct </w:t>
      </w:r>
      <w:r>
        <w:t>entry points:</w:t>
      </w:r>
    </w:p>
    <w:tbl>
      <w:tblPr>
        <w:tblStyle w:val="EBAtable"/>
        <w:tblW w:w="0" w:type="auto"/>
        <w:tblLayout w:type="fixed"/>
        <w:tblLook w:val="04A0" w:firstRow="1" w:lastRow="0" w:firstColumn="1" w:lastColumn="0" w:noHBand="0" w:noVBand="1"/>
      </w:tblPr>
      <w:tblGrid>
        <w:gridCol w:w="1162"/>
        <w:gridCol w:w="3261"/>
        <w:gridCol w:w="1134"/>
        <w:gridCol w:w="3574"/>
      </w:tblGrid>
      <w:tr w:rsidR="00AA0EE8" w14:paraId="55B5EB7B" w14:textId="77777777" w:rsidTr="00766D0C">
        <w:trPr>
          <w:cnfStyle w:val="100000000000" w:firstRow="1" w:lastRow="0" w:firstColumn="0" w:lastColumn="0" w:oddVBand="0" w:evenVBand="0" w:oddHBand="0" w:evenHBand="0" w:firstRowFirstColumn="0" w:firstRowLastColumn="0" w:lastRowFirstColumn="0" w:lastRowLastColumn="0"/>
        </w:trPr>
        <w:tc>
          <w:tcPr>
            <w:tcW w:w="1162" w:type="dxa"/>
            <w:tcMar>
              <w:left w:w="57" w:type="dxa"/>
              <w:right w:w="57" w:type="dxa"/>
            </w:tcMar>
          </w:tcPr>
          <w:p w14:paraId="55B5EB77" w14:textId="77777777" w:rsidR="00534F52" w:rsidRPr="00534F52" w:rsidRDefault="00534F52" w:rsidP="00B939D1">
            <w:pPr>
              <w:keepLines/>
              <w:rPr>
                <w:b/>
              </w:rPr>
            </w:pPr>
            <w:r w:rsidRPr="00534F52">
              <w:rPr>
                <w:b/>
              </w:rPr>
              <w:t>Was</w:t>
            </w:r>
          </w:p>
        </w:tc>
        <w:tc>
          <w:tcPr>
            <w:tcW w:w="3261" w:type="dxa"/>
            <w:tcMar>
              <w:left w:w="57" w:type="dxa"/>
              <w:right w:w="57" w:type="dxa"/>
            </w:tcMar>
          </w:tcPr>
          <w:p w14:paraId="55B5EB78" w14:textId="77777777" w:rsidR="00534F52" w:rsidRPr="00534F52" w:rsidRDefault="002E6BE9" w:rsidP="00B939D1">
            <w:pPr>
              <w:keepLines/>
              <w:rPr>
                <w:b/>
              </w:rPr>
            </w:pPr>
            <w:r>
              <w:rPr>
                <w:b/>
              </w:rPr>
              <w:t xml:space="preserve">Old </w:t>
            </w:r>
            <w:proofErr w:type="spellStart"/>
            <w:r>
              <w:rPr>
                <w:b/>
              </w:rPr>
              <w:t>SchemaRef</w:t>
            </w:r>
            <w:proofErr w:type="spellEnd"/>
          </w:p>
        </w:tc>
        <w:tc>
          <w:tcPr>
            <w:tcW w:w="1134" w:type="dxa"/>
            <w:tcMar>
              <w:left w:w="57" w:type="dxa"/>
              <w:right w:w="57" w:type="dxa"/>
            </w:tcMar>
          </w:tcPr>
          <w:p w14:paraId="55B5EB79" w14:textId="77777777" w:rsidR="00534F52" w:rsidRPr="00534F52" w:rsidRDefault="00534F52" w:rsidP="00B939D1">
            <w:pPr>
              <w:keepLines/>
              <w:rPr>
                <w:b/>
              </w:rPr>
            </w:pPr>
            <w:r w:rsidRPr="00534F52">
              <w:rPr>
                <w:b/>
              </w:rPr>
              <w:t>Now</w:t>
            </w:r>
          </w:p>
        </w:tc>
        <w:tc>
          <w:tcPr>
            <w:tcW w:w="3574" w:type="dxa"/>
            <w:tcMar>
              <w:left w:w="57" w:type="dxa"/>
              <w:right w:w="57" w:type="dxa"/>
            </w:tcMar>
          </w:tcPr>
          <w:p w14:paraId="55B5EB7A" w14:textId="77777777" w:rsidR="00534F52" w:rsidRPr="00534F52" w:rsidRDefault="002E6BE9" w:rsidP="00B939D1">
            <w:pPr>
              <w:keepLines/>
              <w:rPr>
                <w:b/>
              </w:rPr>
            </w:pPr>
            <w:r>
              <w:rPr>
                <w:b/>
              </w:rPr>
              <w:t xml:space="preserve">New </w:t>
            </w:r>
            <w:proofErr w:type="spellStart"/>
            <w:r>
              <w:rPr>
                <w:b/>
              </w:rPr>
              <w:t>SchemaRef</w:t>
            </w:r>
            <w:proofErr w:type="spellEnd"/>
          </w:p>
        </w:tc>
      </w:tr>
      <w:tr w:rsidR="00AA0EE8" w14:paraId="55B5EB80" w14:textId="77777777" w:rsidTr="00766D0C">
        <w:tc>
          <w:tcPr>
            <w:tcW w:w="1162" w:type="dxa"/>
            <w:vMerge w:val="restart"/>
            <w:tcMar>
              <w:left w:w="57" w:type="dxa"/>
              <w:right w:w="57" w:type="dxa"/>
            </w:tcMar>
          </w:tcPr>
          <w:p w14:paraId="55B5EB7C" w14:textId="77777777" w:rsidR="00AA0EE8" w:rsidRPr="00AA0EE8" w:rsidRDefault="00AA0EE8" w:rsidP="00B939D1">
            <w:pPr>
              <w:keepNext/>
              <w:keepLines/>
              <w:rPr>
                <w:sz w:val="16"/>
              </w:rPr>
            </w:pPr>
            <w:r w:rsidRPr="00AA0EE8">
              <w:rPr>
                <w:sz w:val="16"/>
              </w:rPr>
              <w:t>Funding Plans</w:t>
            </w:r>
          </w:p>
        </w:tc>
        <w:tc>
          <w:tcPr>
            <w:tcW w:w="3261" w:type="dxa"/>
            <w:vMerge w:val="restart"/>
            <w:tcMar>
              <w:left w:w="57" w:type="dxa"/>
              <w:right w:w="57" w:type="dxa"/>
            </w:tcMar>
          </w:tcPr>
          <w:p w14:paraId="55B5EB7D" w14:textId="77777777" w:rsidR="00AA0EE8" w:rsidRPr="00B939D1" w:rsidRDefault="00AA0EE8" w:rsidP="00B939D1">
            <w:pPr>
              <w:keepNext/>
              <w:keepLines/>
              <w:rPr>
                <w:rFonts w:ascii="Arial Narrow" w:hAnsi="Arial Narrow"/>
                <w:sz w:val="18"/>
              </w:rPr>
            </w:pPr>
            <w:r w:rsidRPr="00B939D1">
              <w:rPr>
                <w:rFonts w:ascii="Arial Narrow" w:hAnsi="Arial Narrow"/>
                <w:sz w:val="18"/>
              </w:rPr>
              <w:t>http://www.eba.europa.eu/eu/fr/xbrl/crr/fws/</w:t>
            </w:r>
            <w:r w:rsidR="002E6BE9" w:rsidRPr="00B939D1">
              <w:rPr>
                <w:rFonts w:ascii="Arial" w:hAnsi="Arial" w:cs="Arial"/>
                <w:sz w:val="18"/>
              </w:rPr>
              <w:t>‌</w:t>
            </w:r>
            <w:r w:rsidRPr="00B939D1">
              <w:rPr>
                <w:rFonts w:ascii="Arial Narrow" w:hAnsi="Arial Narrow"/>
                <w:sz w:val="18"/>
              </w:rPr>
              <w:t>fp/gl-2014-04/</w:t>
            </w:r>
            <w:r w:rsidRPr="00B939D1">
              <w:rPr>
                <w:rFonts w:ascii="Arial Narrow" w:hAnsi="Arial Narrow"/>
                <w:b/>
                <w:sz w:val="18"/>
              </w:rPr>
              <w:t>2015-02-16/mod/fp.xsd</w:t>
            </w:r>
          </w:p>
        </w:tc>
        <w:tc>
          <w:tcPr>
            <w:tcW w:w="1134" w:type="dxa"/>
            <w:tcMar>
              <w:left w:w="57" w:type="dxa"/>
              <w:right w:w="57" w:type="dxa"/>
            </w:tcMar>
          </w:tcPr>
          <w:p w14:paraId="55B5EB7E" w14:textId="77777777" w:rsidR="00AA0EE8" w:rsidRPr="00AA0EE8" w:rsidRDefault="00AA0EE8" w:rsidP="00B939D1">
            <w:pPr>
              <w:keepNext/>
              <w:keepLines/>
              <w:rPr>
                <w:sz w:val="16"/>
              </w:rPr>
            </w:pPr>
            <w:r w:rsidRPr="00AA0EE8">
              <w:rPr>
                <w:sz w:val="16"/>
              </w:rPr>
              <w:t>FP Individual</w:t>
            </w:r>
          </w:p>
        </w:tc>
        <w:tc>
          <w:tcPr>
            <w:tcW w:w="3574" w:type="dxa"/>
            <w:tcMar>
              <w:left w:w="57" w:type="dxa"/>
              <w:right w:w="57" w:type="dxa"/>
            </w:tcMar>
          </w:tcPr>
          <w:p w14:paraId="55B5EB7F" w14:textId="77777777" w:rsidR="00AA0EE8" w:rsidRPr="00B939D1" w:rsidRDefault="00AA0EE8" w:rsidP="00B939D1">
            <w:pPr>
              <w:keepNext/>
              <w:keepLines/>
              <w:rPr>
                <w:rFonts w:ascii="Arial Narrow" w:hAnsi="Arial Narrow"/>
                <w:sz w:val="18"/>
              </w:rPr>
            </w:pPr>
            <w:r w:rsidRPr="00B939D1">
              <w:rPr>
                <w:rFonts w:ascii="Arial Narrow" w:hAnsi="Arial Narrow"/>
                <w:sz w:val="18"/>
              </w:rPr>
              <w:t>http://www.eba.europa.eu/eu/fr/xbrl/crr/fws/</w:t>
            </w:r>
            <w:r w:rsidR="002E6BE9" w:rsidRPr="00B939D1">
              <w:rPr>
                <w:rFonts w:ascii="Arial" w:hAnsi="Arial" w:cs="Arial"/>
                <w:sz w:val="18"/>
              </w:rPr>
              <w:t>‌</w:t>
            </w:r>
            <w:r w:rsidR="002E6BE9" w:rsidRPr="00B939D1">
              <w:rPr>
                <w:rFonts w:ascii="Arial Narrow" w:hAnsi="Arial Narrow"/>
                <w:sz w:val="18"/>
              </w:rPr>
              <w:t>fp/gl</w:t>
            </w:r>
            <w:r w:rsidR="002E6BE9" w:rsidRPr="00B939D1">
              <w:rPr>
                <w:rFonts w:ascii="Arial Narrow" w:hAnsi="Arial Narrow"/>
                <w:sz w:val="18"/>
              </w:rPr>
              <w:noBreakHyphen/>
            </w:r>
            <w:r w:rsidRPr="00B939D1">
              <w:rPr>
                <w:rFonts w:ascii="Arial Narrow" w:hAnsi="Arial Narrow"/>
                <w:sz w:val="18"/>
              </w:rPr>
              <w:t>2014-04/</w:t>
            </w:r>
            <w:r w:rsidRPr="00B939D1">
              <w:rPr>
                <w:rFonts w:ascii="Arial Narrow" w:hAnsi="Arial Narrow"/>
                <w:b/>
                <w:sz w:val="18"/>
              </w:rPr>
              <w:t>2015-05-29/mod/fp_ind.xsd</w:t>
            </w:r>
          </w:p>
        </w:tc>
      </w:tr>
      <w:tr w:rsidR="00AA0EE8" w14:paraId="55B5EB85" w14:textId="77777777" w:rsidTr="00766D0C">
        <w:tc>
          <w:tcPr>
            <w:tcW w:w="1162" w:type="dxa"/>
            <w:vMerge/>
            <w:tcMar>
              <w:left w:w="57" w:type="dxa"/>
              <w:right w:w="57" w:type="dxa"/>
            </w:tcMar>
          </w:tcPr>
          <w:p w14:paraId="55B5EB81" w14:textId="77777777" w:rsidR="00AA0EE8" w:rsidRPr="00AA0EE8" w:rsidRDefault="00AA0EE8" w:rsidP="00B939D1">
            <w:pPr>
              <w:keepLines/>
              <w:rPr>
                <w:sz w:val="16"/>
              </w:rPr>
            </w:pPr>
          </w:p>
        </w:tc>
        <w:tc>
          <w:tcPr>
            <w:tcW w:w="3261" w:type="dxa"/>
            <w:vMerge/>
            <w:tcMar>
              <w:left w:w="57" w:type="dxa"/>
              <w:right w:w="57" w:type="dxa"/>
            </w:tcMar>
          </w:tcPr>
          <w:p w14:paraId="55B5EB82" w14:textId="77777777" w:rsidR="00AA0EE8" w:rsidRPr="00B939D1" w:rsidRDefault="00AA0EE8" w:rsidP="00B939D1">
            <w:pPr>
              <w:keepLines/>
              <w:rPr>
                <w:rFonts w:ascii="Arial Narrow" w:hAnsi="Arial Narrow"/>
                <w:sz w:val="18"/>
              </w:rPr>
            </w:pPr>
          </w:p>
        </w:tc>
        <w:tc>
          <w:tcPr>
            <w:tcW w:w="1134" w:type="dxa"/>
            <w:tcMar>
              <w:left w:w="57" w:type="dxa"/>
              <w:right w:w="57" w:type="dxa"/>
            </w:tcMar>
          </w:tcPr>
          <w:p w14:paraId="55B5EB83" w14:textId="77777777" w:rsidR="00AA0EE8" w:rsidRPr="00AA0EE8" w:rsidRDefault="00AA0EE8" w:rsidP="00B939D1">
            <w:pPr>
              <w:keepLines/>
              <w:rPr>
                <w:sz w:val="16"/>
              </w:rPr>
            </w:pPr>
            <w:r w:rsidRPr="00AA0EE8">
              <w:rPr>
                <w:sz w:val="16"/>
              </w:rPr>
              <w:t>FP Consolidated</w:t>
            </w:r>
          </w:p>
        </w:tc>
        <w:tc>
          <w:tcPr>
            <w:tcW w:w="3574" w:type="dxa"/>
            <w:tcMar>
              <w:left w:w="57" w:type="dxa"/>
              <w:right w:w="57" w:type="dxa"/>
            </w:tcMar>
          </w:tcPr>
          <w:p w14:paraId="55B5EB84" w14:textId="77777777" w:rsidR="00AA0EE8" w:rsidRPr="00B939D1" w:rsidRDefault="00AA0EE8" w:rsidP="00B939D1">
            <w:pPr>
              <w:keepLines/>
              <w:rPr>
                <w:rFonts w:ascii="Arial Narrow" w:hAnsi="Arial Narrow"/>
                <w:sz w:val="18"/>
              </w:rPr>
            </w:pPr>
            <w:r w:rsidRPr="00B939D1">
              <w:rPr>
                <w:rFonts w:ascii="Arial Narrow" w:hAnsi="Arial Narrow"/>
                <w:sz w:val="18"/>
              </w:rPr>
              <w:t>http://www.eba.europa.eu/eu/fr/xbrl/crr/fws/</w:t>
            </w:r>
            <w:r w:rsidR="002E6BE9" w:rsidRPr="00B939D1">
              <w:rPr>
                <w:rFonts w:ascii="Arial" w:hAnsi="Arial" w:cs="Arial"/>
                <w:sz w:val="18"/>
              </w:rPr>
              <w:t>‌</w:t>
            </w:r>
            <w:r w:rsidRPr="00B939D1">
              <w:rPr>
                <w:rFonts w:ascii="Arial Narrow" w:hAnsi="Arial Narrow"/>
                <w:sz w:val="18"/>
              </w:rPr>
              <w:t>fp/gl</w:t>
            </w:r>
            <w:r w:rsidR="002E6BE9" w:rsidRPr="00B939D1">
              <w:rPr>
                <w:rFonts w:ascii="Arial Narrow" w:hAnsi="Arial Narrow"/>
                <w:sz w:val="18"/>
              </w:rPr>
              <w:noBreakHyphen/>
            </w:r>
            <w:r w:rsidRPr="00B939D1">
              <w:rPr>
                <w:rFonts w:ascii="Arial Narrow" w:hAnsi="Arial Narrow"/>
                <w:sz w:val="18"/>
              </w:rPr>
              <w:t>2014-04/</w:t>
            </w:r>
            <w:r w:rsidRPr="00B939D1">
              <w:rPr>
                <w:rFonts w:ascii="Arial Narrow" w:hAnsi="Arial Narrow"/>
                <w:b/>
                <w:sz w:val="18"/>
              </w:rPr>
              <w:t>2015-05-29/mod/fp_con.xsd</w:t>
            </w:r>
          </w:p>
        </w:tc>
      </w:tr>
      <w:tr w:rsidR="00AA0EE8" w14:paraId="55B5EB8A" w14:textId="77777777" w:rsidTr="00766D0C">
        <w:tc>
          <w:tcPr>
            <w:tcW w:w="1162" w:type="dxa"/>
            <w:vMerge w:val="restart"/>
            <w:tcMar>
              <w:left w:w="57" w:type="dxa"/>
              <w:right w:w="57" w:type="dxa"/>
            </w:tcMar>
          </w:tcPr>
          <w:p w14:paraId="55B5EB86" w14:textId="77777777" w:rsidR="00AA0EE8" w:rsidRPr="00AA0EE8" w:rsidRDefault="00AA0EE8" w:rsidP="00B939D1">
            <w:pPr>
              <w:keepNext/>
              <w:keepLines/>
              <w:rPr>
                <w:sz w:val="16"/>
              </w:rPr>
            </w:pPr>
            <w:r w:rsidRPr="00AA0EE8">
              <w:rPr>
                <w:sz w:val="16"/>
              </w:rPr>
              <w:t>SBP Benchmarking</w:t>
            </w:r>
          </w:p>
        </w:tc>
        <w:tc>
          <w:tcPr>
            <w:tcW w:w="3261" w:type="dxa"/>
            <w:vMerge w:val="restart"/>
            <w:tcMar>
              <w:left w:w="57" w:type="dxa"/>
              <w:right w:w="57" w:type="dxa"/>
            </w:tcMar>
          </w:tcPr>
          <w:p w14:paraId="55B5EB87" w14:textId="77777777" w:rsidR="00AA0EE8" w:rsidRPr="00B939D1" w:rsidRDefault="00AA0EE8" w:rsidP="00B939D1">
            <w:pPr>
              <w:keepNext/>
              <w:keepLines/>
              <w:rPr>
                <w:rFonts w:ascii="Arial Narrow" w:hAnsi="Arial Narrow"/>
                <w:sz w:val="18"/>
              </w:rPr>
            </w:pPr>
            <w:r w:rsidRPr="00B939D1">
              <w:rPr>
                <w:rFonts w:ascii="Arial Narrow" w:hAnsi="Arial Narrow"/>
                <w:sz w:val="18"/>
              </w:rPr>
              <w:t>http://www.eba.europa.eu/eu/fr/xbrl/crr/fws/</w:t>
            </w:r>
            <w:r w:rsidR="002E6BE9" w:rsidRPr="00B939D1">
              <w:rPr>
                <w:rFonts w:ascii="Arial" w:hAnsi="Arial" w:cs="Arial"/>
                <w:sz w:val="18"/>
              </w:rPr>
              <w:t>‌</w:t>
            </w:r>
            <w:r w:rsidRPr="00B939D1">
              <w:rPr>
                <w:rFonts w:ascii="Arial Narrow" w:hAnsi="Arial Narrow"/>
                <w:sz w:val="18"/>
              </w:rPr>
              <w:t>sbp/cp-2014-07/</w:t>
            </w:r>
            <w:r w:rsidRPr="00B939D1">
              <w:rPr>
                <w:rFonts w:ascii="Arial Narrow" w:hAnsi="Arial Narrow"/>
                <w:b/>
                <w:sz w:val="18"/>
              </w:rPr>
              <w:t>2015-02-16/mod/sbp.xsd</w:t>
            </w:r>
          </w:p>
        </w:tc>
        <w:tc>
          <w:tcPr>
            <w:tcW w:w="1134" w:type="dxa"/>
            <w:tcMar>
              <w:left w:w="57" w:type="dxa"/>
              <w:right w:w="57" w:type="dxa"/>
            </w:tcMar>
          </w:tcPr>
          <w:p w14:paraId="55B5EB88" w14:textId="77777777" w:rsidR="00AA0EE8" w:rsidRPr="00AA0EE8" w:rsidRDefault="00AA0EE8" w:rsidP="00B939D1">
            <w:pPr>
              <w:keepNext/>
              <w:keepLines/>
              <w:rPr>
                <w:sz w:val="16"/>
              </w:rPr>
            </w:pPr>
            <w:r w:rsidRPr="00AA0EE8">
              <w:rPr>
                <w:sz w:val="16"/>
              </w:rPr>
              <w:t>Benchmarking Individual</w:t>
            </w:r>
          </w:p>
        </w:tc>
        <w:tc>
          <w:tcPr>
            <w:tcW w:w="3574" w:type="dxa"/>
            <w:tcMar>
              <w:left w:w="57" w:type="dxa"/>
              <w:right w:w="57" w:type="dxa"/>
            </w:tcMar>
          </w:tcPr>
          <w:p w14:paraId="55B5EB89" w14:textId="77777777" w:rsidR="00AA0EE8" w:rsidRPr="00B939D1" w:rsidRDefault="00AA0EE8" w:rsidP="00B939D1">
            <w:pPr>
              <w:keepNext/>
              <w:keepLines/>
              <w:rPr>
                <w:rFonts w:ascii="Arial Narrow" w:hAnsi="Arial Narrow"/>
                <w:sz w:val="18"/>
              </w:rPr>
            </w:pPr>
            <w:r w:rsidRPr="00B939D1">
              <w:rPr>
                <w:rFonts w:ascii="Arial Narrow" w:hAnsi="Arial Narrow"/>
                <w:sz w:val="18"/>
              </w:rPr>
              <w:t>http://www.eba.europa.eu/eu/fr/xbrl/crr/fws/</w:t>
            </w:r>
            <w:r w:rsidR="002E6BE9" w:rsidRPr="00B939D1">
              <w:rPr>
                <w:rFonts w:ascii="Arial" w:hAnsi="Arial" w:cs="Arial"/>
                <w:sz w:val="18"/>
              </w:rPr>
              <w:t>‌</w:t>
            </w:r>
            <w:r w:rsidRPr="00B939D1">
              <w:rPr>
                <w:rFonts w:ascii="Arial Narrow" w:hAnsi="Arial Narrow"/>
                <w:sz w:val="18"/>
              </w:rPr>
              <w:t>sbp/cp</w:t>
            </w:r>
            <w:r w:rsidR="002E6BE9" w:rsidRPr="00B939D1">
              <w:rPr>
                <w:rFonts w:ascii="Arial Narrow" w:hAnsi="Arial Narrow"/>
                <w:sz w:val="18"/>
              </w:rPr>
              <w:noBreakHyphen/>
            </w:r>
            <w:r w:rsidRPr="00B939D1">
              <w:rPr>
                <w:rFonts w:ascii="Arial Narrow" w:hAnsi="Arial Narrow"/>
                <w:sz w:val="18"/>
              </w:rPr>
              <w:t>2014-07/</w:t>
            </w:r>
            <w:r w:rsidRPr="00B939D1">
              <w:rPr>
                <w:rFonts w:ascii="Arial Narrow" w:hAnsi="Arial Narrow"/>
                <w:b/>
                <w:sz w:val="18"/>
              </w:rPr>
              <w:t>2015-05-29/mod/sbp_ind.xsd</w:t>
            </w:r>
          </w:p>
        </w:tc>
      </w:tr>
      <w:tr w:rsidR="00AA0EE8" w14:paraId="55B5EB8F" w14:textId="77777777" w:rsidTr="00766D0C">
        <w:tc>
          <w:tcPr>
            <w:tcW w:w="1162" w:type="dxa"/>
            <w:vMerge/>
            <w:tcMar>
              <w:left w:w="57" w:type="dxa"/>
              <w:right w:w="57" w:type="dxa"/>
            </w:tcMar>
          </w:tcPr>
          <w:p w14:paraId="55B5EB8B" w14:textId="77777777" w:rsidR="00AA0EE8" w:rsidRPr="00AA0EE8" w:rsidRDefault="00AA0EE8" w:rsidP="00B939D1">
            <w:pPr>
              <w:keepLines/>
              <w:rPr>
                <w:sz w:val="16"/>
              </w:rPr>
            </w:pPr>
          </w:p>
        </w:tc>
        <w:tc>
          <w:tcPr>
            <w:tcW w:w="3261" w:type="dxa"/>
            <w:vMerge/>
            <w:tcMar>
              <w:left w:w="57" w:type="dxa"/>
              <w:right w:w="57" w:type="dxa"/>
            </w:tcMar>
          </w:tcPr>
          <w:p w14:paraId="55B5EB8C" w14:textId="77777777" w:rsidR="00AA0EE8" w:rsidRPr="00B939D1" w:rsidRDefault="00AA0EE8" w:rsidP="00B939D1">
            <w:pPr>
              <w:keepLines/>
              <w:rPr>
                <w:rFonts w:ascii="Arial Narrow" w:hAnsi="Arial Narrow"/>
                <w:sz w:val="18"/>
              </w:rPr>
            </w:pPr>
          </w:p>
        </w:tc>
        <w:tc>
          <w:tcPr>
            <w:tcW w:w="1134" w:type="dxa"/>
            <w:tcMar>
              <w:left w:w="57" w:type="dxa"/>
              <w:right w:w="57" w:type="dxa"/>
            </w:tcMar>
          </w:tcPr>
          <w:p w14:paraId="55B5EB8D" w14:textId="77777777" w:rsidR="00AA0EE8" w:rsidRPr="00AA0EE8" w:rsidRDefault="00AA0EE8" w:rsidP="00B939D1">
            <w:pPr>
              <w:keepLines/>
              <w:rPr>
                <w:sz w:val="16"/>
              </w:rPr>
            </w:pPr>
            <w:r w:rsidRPr="00AA0EE8">
              <w:rPr>
                <w:sz w:val="16"/>
              </w:rPr>
              <w:t>Benchmarking Consolidated</w:t>
            </w:r>
          </w:p>
        </w:tc>
        <w:tc>
          <w:tcPr>
            <w:tcW w:w="3574" w:type="dxa"/>
            <w:tcMar>
              <w:left w:w="57" w:type="dxa"/>
              <w:right w:w="57" w:type="dxa"/>
            </w:tcMar>
          </w:tcPr>
          <w:p w14:paraId="55B5EB8E" w14:textId="77777777" w:rsidR="00AA0EE8" w:rsidRPr="00B939D1" w:rsidRDefault="00AA0EE8" w:rsidP="00766D0C">
            <w:pPr>
              <w:keepLines/>
              <w:rPr>
                <w:rFonts w:ascii="Arial Narrow" w:hAnsi="Arial Narrow"/>
                <w:sz w:val="18"/>
              </w:rPr>
            </w:pPr>
            <w:r w:rsidRPr="00B939D1">
              <w:rPr>
                <w:rFonts w:ascii="Arial Narrow" w:hAnsi="Arial Narrow"/>
                <w:sz w:val="18"/>
              </w:rPr>
              <w:t>http://www.eba.europa.eu/eu/fr/xbrl/crr/fws/</w:t>
            </w:r>
            <w:r w:rsidR="002E6BE9" w:rsidRPr="00B939D1">
              <w:rPr>
                <w:rFonts w:ascii="Arial" w:hAnsi="Arial" w:cs="Arial"/>
                <w:sz w:val="18"/>
              </w:rPr>
              <w:t>‌</w:t>
            </w:r>
            <w:r w:rsidRPr="00B939D1">
              <w:rPr>
                <w:rFonts w:ascii="Arial Narrow" w:hAnsi="Arial Narrow"/>
                <w:sz w:val="18"/>
              </w:rPr>
              <w:t>sbp/cp</w:t>
            </w:r>
            <w:r w:rsidR="00766D0C">
              <w:rPr>
                <w:rFonts w:ascii="Arial Narrow" w:hAnsi="Arial Narrow"/>
                <w:sz w:val="18"/>
              </w:rPr>
              <w:noBreakHyphen/>
            </w:r>
            <w:r w:rsidRPr="00B939D1">
              <w:rPr>
                <w:rFonts w:ascii="Arial Narrow" w:hAnsi="Arial Narrow"/>
                <w:sz w:val="18"/>
              </w:rPr>
              <w:t>2014-07/</w:t>
            </w:r>
            <w:r w:rsidRPr="00B939D1">
              <w:rPr>
                <w:rFonts w:ascii="Arial Narrow" w:hAnsi="Arial Narrow"/>
                <w:b/>
                <w:sz w:val="18"/>
              </w:rPr>
              <w:t>2015-05-29/mod/sbp_con.xsd</w:t>
            </w:r>
          </w:p>
        </w:tc>
      </w:tr>
      <w:tr w:rsidR="00AA0EE8" w14:paraId="55B5EB94" w14:textId="77777777" w:rsidTr="00766D0C">
        <w:tc>
          <w:tcPr>
            <w:tcW w:w="1162" w:type="dxa"/>
            <w:vMerge w:val="restart"/>
            <w:tcMar>
              <w:left w:w="57" w:type="dxa"/>
              <w:right w:w="57" w:type="dxa"/>
            </w:tcMar>
          </w:tcPr>
          <w:p w14:paraId="55B5EB90" w14:textId="77777777" w:rsidR="00AA0EE8" w:rsidRPr="00AA0EE8" w:rsidRDefault="00AA0EE8" w:rsidP="00B939D1">
            <w:pPr>
              <w:keepNext/>
              <w:keepLines/>
              <w:rPr>
                <w:sz w:val="16"/>
              </w:rPr>
            </w:pPr>
            <w:r w:rsidRPr="00AA0EE8">
              <w:rPr>
                <w:sz w:val="16"/>
              </w:rPr>
              <w:t>Benchmarking Initial Valuation</w:t>
            </w:r>
          </w:p>
        </w:tc>
        <w:tc>
          <w:tcPr>
            <w:tcW w:w="3261" w:type="dxa"/>
            <w:vMerge w:val="restart"/>
            <w:tcMar>
              <w:left w:w="57" w:type="dxa"/>
              <w:right w:w="57" w:type="dxa"/>
            </w:tcMar>
          </w:tcPr>
          <w:p w14:paraId="55B5EB91" w14:textId="77777777" w:rsidR="00AA0EE8" w:rsidRPr="00B939D1" w:rsidRDefault="00AA0EE8" w:rsidP="00B939D1">
            <w:pPr>
              <w:keepNext/>
              <w:keepLines/>
              <w:rPr>
                <w:rFonts w:ascii="Arial Narrow" w:hAnsi="Arial Narrow"/>
                <w:sz w:val="18"/>
              </w:rPr>
            </w:pPr>
            <w:r w:rsidRPr="00B939D1">
              <w:rPr>
                <w:rFonts w:ascii="Arial Narrow" w:hAnsi="Arial Narrow"/>
                <w:sz w:val="18"/>
              </w:rPr>
              <w:t>http://www.eba.europa.eu/eu/fr/xbrl/crr/fws/</w:t>
            </w:r>
            <w:r w:rsidR="002E6BE9" w:rsidRPr="00B939D1">
              <w:rPr>
                <w:rFonts w:ascii="Arial" w:hAnsi="Arial" w:cs="Arial"/>
                <w:sz w:val="18"/>
              </w:rPr>
              <w:t>‌</w:t>
            </w:r>
            <w:r w:rsidRPr="00B939D1">
              <w:rPr>
                <w:rFonts w:ascii="Arial Narrow" w:hAnsi="Arial Narrow"/>
                <w:sz w:val="18"/>
              </w:rPr>
              <w:t>sbp/cp</w:t>
            </w:r>
            <w:r w:rsidR="00B939D1" w:rsidRPr="00B939D1">
              <w:rPr>
                <w:rFonts w:ascii="Arial Narrow" w:hAnsi="Arial Narrow"/>
                <w:sz w:val="18"/>
              </w:rPr>
              <w:noBreakHyphen/>
            </w:r>
            <w:r w:rsidRPr="00B939D1">
              <w:rPr>
                <w:rFonts w:ascii="Arial Narrow" w:hAnsi="Arial Narrow"/>
                <w:sz w:val="18"/>
              </w:rPr>
              <w:t>2014</w:t>
            </w:r>
            <w:r w:rsidR="00B939D1" w:rsidRPr="00B939D1">
              <w:rPr>
                <w:rFonts w:ascii="Arial Narrow" w:hAnsi="Arial Narrow"/>
                <w:sz w:val="18"/>
              </w:rPr>
              <w:noBreakHyphen/>
            </w:r>
            <w:r w:rsidRPr="00B939D1">
              <w:rPr>
                <w:rFonts w:ascii="Arial Narrow" w:hAnsi="Arial Narrow"/>
                <w:sz w:val="18"/>
              </w:rPr>
              <w:t>07/</w:t>
            </w:r>
            <w:r w:rsidRPr="00B939D1">
              <w:rPr>
                <w:rFonts w:ascii="Arial Narrow" w:hAnsi="Arial Narrow"/>
                <w:b/>
                <w:sz w:val="18"/>
              </w:rPr>
              <w:t>2015</w:t>
            </w:r>
            <w:r w:rsidR="00B939D1" w:rsidRPr="00B939D1">
              <w:rPr>
                <w:rFonts w:ascii="Arial Narrow" w:hAnsi="Arial Narrow"/>
                <w:b/>
                <w:sz w:val="18"/>
              </w:rPr>
              <w:noBreakHyphen/>
            </w:r>
            <w:r w:rsidRPr="00B939D1">
              <w:rPr>
                <w:rFonts w:ascii="Arial Narrow" w:hAnsi="Arial Narrow"/>
                <w:b/>
                <w:sz w:val="18"/>
              </w:rPr>
              <w:t>02</w:t>
            </w:r>
            <w:r w:rsidR="00B939D1" w:rsidRPr="00B939D1">
              <w:rPr>
                <w:rFonts w:ascii="Arial Narrow" w:hAnsi="Arial Narrow"/>
                <w:b/>
                <w:sz w:val="18"/>
              </w:rPr>
              <w:noBreakHyphen/>
            </w:r>
            <w:r w:rsidRPr="00B939D1">
              <w:rPr>
                <w:rFonts w:ascii="Arial Narrow" w:hAnsi="Arial Narrow"/>
                <w:b/>
                <w:sz w:val="18"/>
              </w:rPr>
              <w:t>16/mod/sbpimv.xsd</w:t>
            </w:r>
          </w:p>
        </w:tc>
        <w:tc>
          <w:tcPr>
            <w:tcW w:w="1134" w:type="dxa"/>
            <w:tcMar>
              <w:left w:w="57" w:type="dxa"/>
              <w:right w:w="57" w:type="dxa"/>
            </w:tcMar>
          </w:tcPr>
          <w:p w14:paraId="55B5EB92" w14:textId="77777777" w:rsidR="00AA0EE8" w:rsidRPr="00AA0EE8" w:rsidRDefault="00AA0EE8" w:rsidP="00B939D1">
            <w:pPr>
              <w:keepLines/>
              <w:rPr>
                <w:sz w:val="16"/>
              </w:rPr>
            </w:pPr>
            <w:r w:rsidRPr="00AA0EE8">
              <w:rPr>
                <w:sz w:val="16"/>
              </w:rPr>
              <w:t>IMV Individual</w:t>
            </w:r>
          </w:p>
        </w:tc>
        <w:tc>
          <w:tcPr>
            <w:tcW w:w="3574" w:type="dxa"/>
            <w:tcMar>
              <w:left w:w="57" w:type="dxa"/>
              <w:right w:w="57" w:type="dxa"/>
            </w:tcMar>
          </w:tcPr>
          <w:p w14:paraId="55B5EB93" w14:textId="77777777" w:rsidR="00AA0EE8" w:rsidRPr="00B939D1" w:rsidRDefault="00AA0EE8" w:rsidP="00766D0C">
            <w:pPr>
              <w:keepLines/>
              <w:rPr>
                <w:rFonts w:ascii="Arial Narrow" w:hAnsi="Arial Narrow"/>
                <w:sz w:val="18"/>
              </w:rPr>
            </w:pPr>
            <w:r w:rsidRPr="00B939D1">
              <w:rPr>
                <w:rFonts w:ascii="Arial Narrow" w:hAnsi="Arial Narrow"/>
                <w:sz w:val="18"/>
              </w:rPr>
              <w:t>http://www.eba.europa.eu/eu/fr/xbrl/crr/fws/</w:t>
            </w:r>
            <w:r w:rsidR="002E6BE9" w:rsidRPr="00B939D1">
              <w:rPr>
                <w:rFonts w:ascii="Arial" w:hAnsi="Arial" w:cs="Arial"/>
                <w:sz w:val="18"/>
              </w:rPr>
              <w:t>‌</w:t>
            </w:r>
            <w:r w:rsidRPr="00B939D1">
              <w:rPr>
                <w:rFonts w:ascii="Arial Narrow" w:hAnsi="Arial Narrow"/>
                <w:sz w:val="18"/>
              </w:rPr>
              <w:t>sbp/cp</w:t>
            </w:r>
            <w:r w:rsidR="00766D0C">
              <w:rPr>
                <w:rFonts w:ascii="Arial Narrow" w:hAnsi="Arial Narrow"/>
                <w:sz w:val="18"/>
              </w:rPr>
              <w:noBreakHyphen/>
            </w:r>
            <w:r w:rsidRPr="00B939D1">
              <w:rPr>
                <w:rFonts w:ascii="Arial Narrow" w:hAnsi="Arial Narrow"/>
                <w:sz w:val="18"/>
              </w:rPr>
              <w:t>2014-07/</w:t>
            </w:r>
            <w:r w:rsidRPr="00B939D1">
              <w:rPr>
                <w:rFonts w:ascii="Arial Narrow" w:hAnsi="Arial Narrow"/>
                <w:b/>
                <w:sz w:val="18"/>
              </w:rPr>
              <w:t>2015-05-29/mod/sbpimv_ind.xsd</w:t>
            </w:r>
          </w:p>
        </w:tc>
      </w:tr>
      <w:tr w:rsidR="00AA0EE8" w14:paraId="55B5EB99" w14:textId="77777777" w:rsidTr="00766D0C">
        <w:tc>
          <w:tcPr>
            <w:tcW w:w="1162" w:type="dxa"/>
            <w:vMerge/>
            <w:tcMar>
              <w:left w:w="57" w:type="dxa"/>
              <w:right w:w="57" w:type="dxa"/>
            </w:tcMar>
          </w:tcPr>
          <w:p w14:paraId="55B5EB95" w14:textId="77777777" w:rsidR="00AA0EE8" w:rsidRPr="00AA0EE8" w:rsidRDefault="00AA0EE8" w:rsidP="00B939D1">
            <w:pPr>
              <w:keepLines/>
              <w:rPr>
                <w:sz w:val="16"/>
              </w:rPr>
            </w:pPr>
          </w:p>
        </w:tc>
        <w:tc>
          <w:tcPr>
            <w:tcW w:w="3261" w:type="dxa"/>
            <w:vMerge/>
            <w:tcMar>
              <w:left w:w="57" w:type="dxa"/>
              <w:right w:w="57" w:type="dxa"/>
            </w:tcMar>
          </w:tcPr>
          <w:p w14:paraId="55B5EB96" w14:textId="77777777" w:rsidR="00AA0EE8" w:rsidRPr="00AA0EE8" w:rsidRDefault="00AA0EE8" w:rsidP="00B939D1">
            <w:pPr>
              <w:keepLines/>
              <w:rPr>
                <w:sz w:val="16"/>
              </w:rPr>
            </w:pPr>
          </w:p>
        </w:tc>
        <w:tc>
          <w:tcPr>
            <w:tcW w:w="1134" w:type="dxa"/>
            <w:tcMar>
              <w:left w:w="57" w:type="dxa"/>
              <w:right w:w="57" w:type="dxa"/>
            </w:tcMar>
          </w:tcPr>
          <w:p w14:paraId="55B5EB97" w14:textId="77777777" w:rsidR="00AA0EE8" w:rsidRPr="00AA0EE8" w:rsidRDefault="00AA0EE8" w:rsidP="00B939D1">
            <w:pPr>
              <w:keepLines/>
              <w:rPr>
                <w:sz w:val="16"/>
              </w:rPr>
            </w:pPr>
            <w:r w:rsidRPr="00AA0EE8">
              <w:rPr>
                <w:sz w:val="16"/>
              </w:rPr>
              <w:t>IMV Consolidated</w:t>
            </w:r>
          </w:p>
        </w:tc>
        <w:tc>
          <w:tcPr>
            <w:tcW w:w="3574" w:type="dxa"/>
            <w:tcMar>
              <w:left w:w="57" w:type="dxa"/>
              <w:right w:w="57" w:type="dxa"/>
            </w:tcMar>
          </w:tcPr>
          <w:p w14:paraId="55B5EB98" w14:textId="77777777" w:rsidR="00AA0EE8" w:rsidRPr="00B939D1" w:rsidRDefault="00AA0EE8" w:rsidP="00766D0C">
            <w:pPr>
              <w:keepLines/>
              <w:rPr>
                <w:rFonts w:ascii="Arial Narrow" w:hAnsi="Arial Narrow"/>
                <w:sz w:val="18"/>
              </w:rPr>
            </w:pPr>
            <w:r w:rsidRPr="00B939D1">
              <w:rPr>
                <w:rFonts w:ascii="Arial Narrow" w:hAnsi="Arial Narrow"/>
                <w:sz w:val="18"/>
              </w:rPr>
              <w:t>http://www.eba.europa.eu/eu/fr/xbrl/crr/fws/</w:t>
            </w:r>
            <w:r w:rsidR="002E6BE9" w:rsidRPr="00B939D1">
              <w:rPr>
                <w:rFonts w:ascii="Arial" w:hAnsi="Arial" w:cs="Arial"/>
                <w:sz w:val="18"/>
              </w:rPr>
              <w:t>‌</w:t>
            </w:r>
            <w:r w:rsidRPr="00B939D1">
              <w:rPr>
                <w:rFonts w:ascii="Arial Narrow" w:hAnsi="Arial Narrow"/>
                <w:sz w:val="18"/>
              </w:rPr>
              <w:t>sbp/cp</w:t>
            </w:r>
            <w:r w:rsidR="00766D0C">
              <w:rPr>
                <w:rFonts w:ascii="Arial Narrow" w:hAnsi="Arial Narrow"/>
                <w:sz w:val="18"/>
              </w:rPr>
              <w:noBreakHyphen/>
            </w:r>
            <w:r w:rsidRPr="00B939D1">
              <w:rPr>
                <w:rFonts w:ascii="Arial Narrow" w:hAnsi="Arial Narrow"/>
                <w:sz w:val="18"/>
              </w:rPr>
              <w:t>2014-07/</w:t>
            </w:r>
            <w:r w:rsidRPr="00B939D1">
              <w:rPr>
                <w:rFonts w:ascii="Arial Narrow" w:hAnsi="Arial Narrow"/>
                <w:b/>
                <w:sz w:val="18"/>
              </w:rPr>
              <w:t>2015-05-29/mod/sbpimv_con.xsd</w:t>
            </w:r>
          </w:p>
        </w:tc>
      </w:tr>
    </w:tbl>
    <w:p w14:paraId="55B5EB9A" w14:textId="77777777" w:rsidR="00534F52" w:rsidRDefault="00534F52" w:rsidP="00B000E3"/>
    <w:p w14:paraId="55B5EB9B" w14:textId="77777777" w:rsidR="00534F52" w:rsidRDefault="00534F52" w:rsidP="00057CFC">
      <w:pPr>
        <w:keepNext/>
        <w:keepLines/>
        <w:pBdr>
          <w:top w:val="single" w:sz="4" w:space="1" w:color="auto"/>
          <w:left w:val="single" w:sz="4" w:space="4" w:color="auto"/>
          <w:bottom w:val="single" w:sz="4" w:space="1" w:color="auto"/>
          <w:right w:val="single" w:sz="4" w:space="4" w:color="auto"/>
        </w:pBdr>
        <w:ind w:left="720" w:right="425"/>
        <w:rPr>
          <w:b/>
        </w:rPr>
      </w:pPr>
      <w:r w:rsidRPr="00534F52">
        <w:rPr>
          <w:b/>
        </w:rPr>
        <w:lastRenderedPageBreak/>
        <w:t>Mapping 2.3 Instance files to 2.3.1</w:t>
      </w:r>
    </w:p>
    <w:p w14:paraId="55B5EB9C" w14:textId="77777777" w:rsidR="00534F52" w:rsidRPr="00534F52" w:rsidRDefault="00534F52" w:rsidP="00057CFC">
      <w:pPr>
        <w:keepNext/>
        <w:keepLines/>
        <w:pBdr>
          <w:top w:val="single" w:sz="4" w:space="1" w:color="auto"/>
          <w:left w:val="single" w:sz="4" w:space="4" w:color="auto"/>
          <w:bottom w:val="single" w:sz="4" w:space="1" w:color="auto"/>
          <w:right w:val="single" w:sz="4" w:space="4" w:color="auto"/>
        </w:pBdr>
        <w:ind w:left="720" w:right="425"/>
      </w:pPr>
      <w:r w:rsidRPr="00534F52">
        <w:t>S</w:t>
      </w:r>
      <w:r>
        <w:t>i</w:t>
      </w:r>
      <w:r w:rsidRPr="00534F52">
        <w:t>nce</w:t>
      </w:r>
      <w:r>
        <w:t xml:space="preserve"> the data content of 2.3 and 2.3.1 FP and SBP reports are mostly identical (with one exception, see below), is it plausible to map 2.3 Instance Files to 2.3.1 compatible instance files.</w:t>
      </w:r>
    </w:p>
    <w:p w14:paraId="55B5EB9D" w14:textId="77777777" w:rsidR="00534F52" w:rsidRDefault="00534F52" w:rsidP="00057CFC">
      <w:pPr>
        <w:keepNext/>
        <w:keepLines/>
        <w:pBdr>
          <w:top w:val="single" w:sz="4" w:space="1" w:color="auto"/>
          <w:left w:val="single" w:sz="4" w:space="4" w:color="auto"/>
          <w:bottom w:val="single" w:sz="4" w:space="1" w:color="auto"/>
          <w:right w:val="single" w:sz="4" w:space="4" w:color="auto"/>
        </w:pBdr>
        <w:ind w:left="720" w:right="425"/>
      </w:pPr>
      <w:r>
        <w:t>Both the 2.3.1 SBP and SBPIMV reports are identical structures to the 2.3 versions, with the only difference being the explicit differentiation</w:t>
      </w:r>
      <w:r w:rsidR="00AA0EE8">
        <w:t xml:space="preserve"> of individual and c</w:t>
      </w:r>
      <w:r>
        <w:t xml:space="preserve">onsolidated entry points, </w:t>
      </w:r>
      <w:r w:rsidR="00AA0EE8">
        <w:t xml:space="preserve">replacing the </w:t>
      </w:r>
      <w:proofErr w:type="spellStart"/>
      <w:r w:rsidR="00AA0EE8">
        <w:t>schemaR</w:t>
      </w:r>
      <w:r>
        <w:t>ef</w:t>
      </w:r>
      <w:proofErr w:type="spellEnd"/>
      <w:r>
        <w:t xml:space="preserve"> of a valid 2.3 instance file </w:t>
      </w:r>
      <w:r w:rsidR="00AA0EE8">
        <w:t>with the appropriate i</w:t>
      </w:r>
      <w:r>
        <w:t xml:space="preserve">ndividual or </w:t>
      </w:r>
      <w:r w:rsidR="00AA0EE8">
        <w:t>c</w:t>
      </w:r>
      <w:r>
        <w:t xml:space="preserve">onsolidated </w:t>
      </w:r>
      <w:proofErr w:type="spellStart"/>
      <w:r>
        <w:t>schemaRef</w:t>
      </w:r>
      <w:proofErr w:type="spellEnd"/>
      <w:r>
        <w:t xml:space="preserve"> for 2.3.1 would converted the file to a valid 2.3.1 Instance.</w:t>
      </w:r>
    </w:p>
    <w:p w14:paraId="55B5EB9E" w14:textId="77777777" w:rsidR="00534F52" w:rsidRDefault="00534F52" w:rsidP="00057CFC">
      <w:pPr>
        <w:keepNext/>
        <w:keepLines/>
        <w:pBdr>
          <w:top w:val="single" w:sz="4" w:space="1" w:color="auto"/>
          <w:left w:val="single" w:sz="4" w:space="4" w:color="auto"/>
          <w:bottom w:val="single" w:sz="4" w:space="1" w:color="auto"/>
          <w:right w:val="single" w:sz="4" w:space="4" w:color="auto"/>
        </w:pBdr>
        <w:ind w:left="720" w:right="425"/>
      </w:pPr>
      <w:r>
        <w:t>FP table P</w:t>
      </w:r>
      <w:r w:rsidR="00B939D1">
        <w:t xml:space="preserve"> </w:t>
      </w:r>
      <w:r>
        <w:t>00.01 in version 2.3 did not contain a row 020 to indicate consolidation status. This is added in version 2.3.1. As such</w:t>
      </w:r>
      <w:r w:rsidR="00AA0EE8">
        <w:t xml:space="preserve">, as well as mapping the </w:t>
      </w:r>
      <w:proofErr w:type="spellStart"/>
      <w:r w:rsidR="00AA0EE8">
        <w:t>schemaR</w:t>
      </w:r>
      <w:r>
        <w:t>ef</w:t>
      </w:r>
      <w:proofErr w:type="spellEnd"/>
      <w:r>
        <w:t xml:space="preserve"> to the appropriate value based on the consolidation nature of the report</w:t>
      </w:r>
      <w:r w:rsidR="00AA0EE8">
        <w:t>, this data point should be added, i.e. either:</w:t>
      </w:r>
    </w:p>
    <w:p w14:paraId="55B5EB9F" w14:textId="77777777" w:rsidR="00AA0EE8" w:rsidRDefault="00AA0EE8" w:rsidP="00057CFC">
      <w:pPr>
        <w:keepNext/>
        <w:keepLines/>
        <w:pBdr>
          <w:top w:val="single" w:sz="4" w:space="1" w:color="auto"/>
          <w:left w:val="single" w:sz="4" w:space="4" w:color="auto"/>
          <w:bottom w:val="single" w:sz="4" w:space="1" w:color="auto"/>
          <w:right w:val="single" w:sz="4" w:space="4" w:color="auto"/>
        </w:pBdr>
        <w:ind w:left="720" w:right="425"/>
        <w:rPr>
          <w:b/>
        </w:rPr>
      </w:pPr>
      <w:r w:rsidRPr="009037B2">
        <w:rPr>
          <w:b/>
        </w:rPr>
        <w:t xml:space="preserve">&lt;eba_met:ei207 </w:t>
      </w:r>
      <w:proofErr w:type="spellStart"/>
      <w:r w:rsidRPr="009037B2">
        <w:rPr>
          <w:b/>
        </w:rPr>
        <w:t>contextRef</w:t>
      </w:r>
      <w:proofErr w:type="spellEnd"/>
      <w:r w:rsidRPr="009037B2">
        <w:rPr>
          <w:b/>
        </w:rPr>
        <w:t>="c2"&gt;eba_SC</w:t>
      </w:r>
      <w:proofErr w:type="gramStart"/>
      <w:r w:rsidRPr="009037B2">
        <w:rPr>
          <w:b/>
        </w:rPr>
        <w:t>:x6</w:t>
      </w:r>
      <w:proofErr w:type="gramEnd"/>
      <w:r w:rsidRPr="009037B2">
        <w:rPr>
          <w:b/>
        </w:rPr>
        <w:t>&lt;/eba_met:ei207&gt;</w:t>
      </w:r>
    </w:p>
    <w:p w14:paraId="55B5EBA0" w14:textId="77777777" w:rsidR="00AA0EE8" w:rsidRDefault="00AA0EE8" w:rsidP="00057CFC">
      <w:pPr>
        <w:keepNext/>
        <w:keepLines/>
        <w:pBdr>
          <w:top w:val="single" w:sz="4" w:space="1" w:color="auto"/>
          <w:left w:val="single" w:sz="4" w:space="4" w:color="auto"/>
          <w:bottom w:val="single" w:sz="4" w:space="1" w:color="auto"/>
          <w:right w:val="single" w:sz="4" w:space="4" w:color="auto"/>
        </w:pBdr>
        <w:ind w:left="720" w:right="425"/>
      </w:pPr>
      <w:proofErr w:type="gramStart"/>
      <w:r>
        <w:t>for</w:t>
      </w:r>
      <w:proofErr w:type="gramEnd"/>
      <w:r>
        <w:t xml:space="preserve"> individual, or for consolidated:</w:t>
      </w:r>
    </w:p>
    <w:p w14:paraId="55B5EBA1" w14:textId="77777777" w:rsidR="00AA0EE8" w:rsidRDefault="00AA0EE8" w:rsidP="00057CFC">
      <w:pPr>
        <w:keepNext/>
        <w:keepLines/>
        <w:pBdr>
          <w:top w:val="single" w:sz="4" w:space="1" w:color="auto"/>
          <w:left w:val="single" w:sz="4" w:space="4" w:color="auto"/>
          <w:bottom w:val="single" w:sz="4" w:space="1" w:color="auto"/>
          <w:right w:val="single" w:sz="4" w:space="4" w:color="auto"/>
        </w:pBdr>
        <w:ind w:left="720" w:right="425"/>
        <w:rPr>
          <w:b/>
        </w:rPr>
      </w:pPr>
      <w:r w:rsidRPr="009037B2">
        <w:rPr>
          <w:b/>
        </w:rPr>
        <w:t xml:space="preserve">&lt;eba_met:ei207 </w:t>
      </w:r>
      <w:proofErr w:type="spellStart"/>
      <w:r w:rsidRPr="009037B2">
        <w:rPr>
          <w:b/>
        </w:rPr>
        <w:t>contextRef</w:t>
      </w:r>
      <w:proofErr w:type="spellEnd"/>
      <w:r w:rsidRPr="009037B2">
        <w:rPr>
          <w:b/>
        </w:rPr>
        <w:t>="c2"&gt;eba_SC</w:t>
      </w:r>
      <w:proofErr w:type="gramStart"/>
      <w:r w:rsidRPr="009037B2">
        <w:rPr>
          <w:b/>
        </w:rPr>
        <w:t>:x</w:t>
      </w:r>
      <w:r>
        <w:rPr>
          <w:b/>
        </w:rPr>
        <w:t>7</w:t>
      </w:r>
      <w:proofErr w:type="gramEnd"/>
      <w:r w:rsidRPr="009037B2">
        <w:rPr>
          <w:b/>
        </w:rPr>
        <w:t>&lt;/eba_met:ei207&gt;</w:t>
      </w:r>
    </w:p>
    <w:p w14:paraId="55B5EBA2" w14:textId="77777777" w:rsidR="00AA0EE8" w:rsidRDefault="00AA0EE8" w:rsidP="00057CFC">
      <w:pPr>
        <w:keepLines/>
        <w:pBdr>
          <w:top w:val="single" w:sz="4" w:space="1" w:color="auto"/>
          <w:left w:val="single" w:sz="4" w:space="4" w:color="auto"/>
          <w:bottom w:val="single" w:sz="4" w:space="1" w:color="auto"/>
          <w:right w:val="single" w:sz="4" w:space="4" w:color="auto"/>
        </w:pBdr>
        <w:ind w:left="720" w:right="425"/>
      </w:pPr>
      <w:proofErr w:type="gramStart"/>
      <w:r>
        <w:t>would</w:t>
      </w:r>
      <w:proofErr w:type="gramEnd"/>
      <w:r>
        <w:t xml:space="preserve"> be added within the &lt;xbrl&gt; tag, </w:t>
      </w:r>
      <w:r w:rsidRPr="009037B2">
        <w:t>where context “c2” is the context already used for ei4 data i</w:t>
      </w:r>
      <w:r>
        <w:t>tem, and assuming the use in the instance of the canonical namespace prefixes (if this is not the case, “</w:t>
      </w:r>
      <w:proofErr w:type="spellStart"/>
      <w:r>
        <w:t>eba_met</w:t>
      </w:r>
      <w:proofErr w:type="spellEnd"/>
      <w:r>
        <w:t>” and “</w:t>
      </w:r>
      <w:proofErr w:type="spellStart"/>
      <w:r>
        <w:t>eba_SC</w:t>
      </w:r>
      <w:proofErr w:type="spellEnd"/>
      <w:r>
        <w:t>” would need to be changed appropriately).</w:t>
      </w:r>
    </w:p>
    <w:p w14:paraId="55B5EBA3" w14:textId="77777777" w:rsidR="00D515AE" w:rsidRDefault="00D515AE" w:rsidP="00B000E3">
      <w:pPr>
        <w:rPr>
          <w:b/>
        </w:rPr>
      </w:pPr>
    </w:p>
    <w:p w14:paraId="55B5EBA4" w14:textId="77777777" w:rsidR="00534F52" w:rsidRDefault="00B939D1" w:rsidP="00D515AE">
      <w:pPr>
        <w:pStyle w:val="Titlelevel3"/>
      </w:pPr>
      <w:r w:rsidRPr="00B939D1">
        <w:t>Table Changes</w:t>
      </w:r>
    </w:p>
    <w:p w14:paraId="55B5EBA5" w14:textId="77777777" w:rsidR="00B939D1" w:rsidRPr="00B939D1" w:rsidRDefault="00B939D1" w:rsidP="00183058">
      <w:pPr>
        <w:pStyle w:val="ListParagraph"/>
        <w:numPr>
          <w:ilvl w:val="0"/>
          <w:numId w:val="5"/>
        </w:numPr>
      </w:pPr>
      <w:r w:rsidRPr="00B939D1">
        <w:t>As noted above, row 020 “</w:t>
      </w:r>
      <w:r w:rsidR="001F0E7F" w:rsidRPr="001F0E7F">
        <w:t>Reporting Level</w:t>
      </w:r>
      <w:r w:rsidRPr="00B939D1">
        <w:t>” added to P 00.01.</w:t>
      </w:r>
    </w:p>
    <w:p w14:paraId="55B5EBA6" w14:textId="77777777" w:rsidR="00B939D1" w:rsidRPr="00B939D1" w:rsidRDefault="00B939D1" w:rsidP="00183058">
      <w:pPr>
        <w:pStyle w:val="ListParagraph"/>
        <w:numPr>
          <w:ilvl w:val="0"/>
          <w:numId w:val="5"/>
        </w:numPr>
      </w:pPr>
      <w:r w:rsidRPr="00B939D1">
        <w:t xml:space="preserve">Label of Open Axis for C 105.02 </w:t>
      </w:r>
      <w:r>
        <w:t>“</w:t>
      </w:r>
      <w:r w:rsidRPr="00B939D1">
        <w:t>Mapping of internal models to portfolios</w:t>
      </w:r>
      <w:r>
        <w:t xml:space="preserve">” </w:t>
      </w:r>
      <w:r w:rsidRPr="00B939D1">
        <w:t>changed from “Portfolio” to “</w:t>
      </w:r>
      <w:r>
        <w:t>Row Number”</w:t>
      </w:r>
      <w:r w:rsidR="001A4CAA">
        <w:t xml:space="preserve"> (minor cosmetic change only, does not affect instance files)</w:t>
      </w:r>
      <w:r>
        <w:t>.</w:t>
      </w:r>
    </w:p>
    <w:p w14:paraId="55B5EBA7" w14:textId="77777777" w:rsidR="00B939D1" w:rsidRDefault="00057CFC" w:rsidP="00D515AE">
      <w:pPr>
        <w:pStyle w:val="Titlelevel3"/>
      </w:pPr>
      <w:r>
        <w:t>Validation Rule Changes</w:t>
      </w:r>
    </w:p>
    <w:p w14:paraId="55B5EBA8" w14:textId="77777777" w:rsidR="006A5AC9" w:rsidRDefault="006A5AC9" w:rsidP="00183058">
      <w:pPr>
        <w:pStyle w:val="ListParagraph"/>
        <w:numPr>
          <w:ilvl w:val="0"/>
          <w:numId w:val="5"/>
        </w:numPr>
      </w:pPr>
      <w:r>
        <w:t>Added check on existence of value for P 00.01 row 020 (e4437_e), and checks that the values of P 00.01 and S 00.01 are agree with the Individual/Consolidated nature of the report (v4438_c - v4441_c).</w:t>
      </w:r>
    </w:p>
    <w:p w14:paraId="55B5EBA9" w14:textId="77777777" w:rsidR="00766D0C" w:rsidRDefault="00766D0C" w:rsidP="00766D0C">
      <w:pPr>
        <w:pStyle w:val="Titlelevel3"/>
      </w:pPr>
      <w:r>
        <w:t>Documentation</w:t>
      </w:r>
      <w:r w:rsidR="00057CFC">
        <w:t xml:space="preserve"> Changes</w:t>
      </w:r>
    </w:p>
    <w:p w14:paraId="55B5EBAA" w14:textId="77777777" w:rsidR="001F0E7F" w:rsidRDefault="001F0E7F" w:rsidP="00183058">
      <w:pPr>
        <w:pStyle w:val="ListParagraph"/>
        <w:numPr>
          <w:ilvl w:val="0"/>
          <w:numId w:val="5"/>
        </w:numPr>
      </w:pPr>
      <w:r w:rsidRPr="001F0E7F">
        <w:t xml:space="preserve">“Not Included in XBRL” marker added to </w:t>
      </w:r>
      <w:r w:rsidR="00766D0C">
        <w:t>validation rules</w:t>
      </w:r>
      <w:r w:rsidR="00766D0C" w:rsidRPr="001F0E7F">
        <w:t xml:space="preserve"> v3330_i and v3331_i </w:t>
      </w:r>
      <w:r w:rsidR="00766D0C">
        <w:t xml:space="preserve">on </w:t>
      </w:r>
      <w:r w:rsidRPr="001F0E7F">
        <w:t xml:space="preserve">2.3 </w:t>
      </w:r>
      <w:proofErr w:type="gramStart"/>
      <w:r w:rsidR="00766D0C">
        <w:t>tab</w:t>
      </w:r>
      <w:proofErr w:type="gramEnd"/>
      <w:r w:rsidRPr="001F0E7F">
        <w:t xml:space="preserve"> </w:t>
      </w:r>
      <w:r w:rsidR="006A5AC9">
        <w:t xml:space="preserve">(was </w:t>
      </w:r>
      <w:r w:rsidR="00766D0C">
        <w:t xml:space="preserve">already </w:t>
      </w:r>
      <w:r w:rsidR="006A5AC9">
        <w:t>present on the other tabs).</w:t>
      </w:r>
    </w:p>
    <w:p w14:paraId="55B5EBAB" w14:textId="77777777" w:rsidR="00057CFC" w:rsidRDefault="00057CFC" w:rsidP="00057CFC"/>
    <w:p w14:paraId="55B5EBAC" w14:textId="77777777" w:rsidR="00057CFC" w:rsidRDefault="00057CFC" w:rsidP="00057CFC">
      <w:pPr>
        <w:pStyle w:val="Titlelevel3"/>
      </w:pPr>
      <w:r>
        <w:t>Unchanged</w:t>
      </w:r>
    </w:p>
    <w:p w14:paraId="55B5EBAD" w14:textId="77777777" w:rsidR="00057CFC" w:rsidRDefault="00057CFC" w:rsidP="00183058">
      <w:pPr>
        <w:pStyle w:val="ListParagraph"/>
        <w:numPr>
          <w:ilvl w:val="0"/>
          <w:numId w:val="5"/>
        </w:numPr>
      </w:pPr>
      <w:r>
        <w:t>Asset Encumbrance remains unchanged from version 2.2 (i.e. v2.2 entry point/taxonomy should continue to be used)</w:t>
      </w:r>
    </w:p>
    <w:p w14:paraId="55B5EBAE" w14:textId="77777777" w:rsidR="00057CFC" w:rsidRDefault="00057CFC" w:rsidP="00183058">
      <w:pPr>
        <w:pStyle w:val="ListParagraph"/>
        <w:numPr>
          <w:ilvl w:val="0"/>
          <w:numId w:val="5"/>
        </w:numPr>
      </w:pPr>
      <w:r>
        <w:t>FINREP remains unchanged from version 2.3</w:t>
      </w:r>
    </w:p>
    <w:p w14:paraId="55B5EBAF" w14:textId="77777777" w:rsidR="00057CFC" w:rsidRDefault="00057CFC" w:rsidP="00183058">
      <w:pPr>
        <w:pStyle w:val="ListParagraph"/>
        <w:numPr>
          <w:ilvl w:val="0"/>
          <w:numId w:val="5"/>
        </w:numPr>
      </w:pPr>
      <w:r>
        <w:t>COREP remains unchanged from version 2.3 (however see Known Issues section below)</w:t>
      </w:r>
    </w:p>
    <w:p w14:paraId="55B5EBB0" w14:textId="77777777" w:rsidR="00057CFC" w:rsidRPr="001F0E7F" w:rsidRDefault="00057CFC" w:rsidP="00057CFC">
      <w:pPr>
        <w:pStyle w:val="ListParagraph"/>
      </w:pPr>
    </w:p>
    <w:p w14:paraId="55B5EBB1" w14:textId="77777777" w:rsidR="00057CFC" w:rsidRPr="00057CFC" w:rsidRDefault="00057CFC" w:rsidP="00057CFC">
      <w:pPr>
        <w:pStyle w:val="Titlelevel2"/>
        <w:keepNext/>
        <w:keepLines/>
        <w:rPr>
          <w:b/>
        </w:rPr>
      </w:pPr>
      <w:r w:rsidRPr="00057CFC">
        <w:rPr>
          <w:b/>
        </w:rPr>
        <w:lastRenderedPageBreak/>
        <w:t>Known Issues</w:t>
      </w:r>
    </w:p>
    <w:p w14:paraId="55B5EBB2" w14:textId="77777777" w:rsidR="00057CFC" w:rsidRDefault="00057CFC" w:rsidP="00183058">
      <w:pPr>
        <w:pStyle w:val="ListParagraph"/>
        <w:keepNext/>
        <w:keepLines/>
        <w:numPr>
          <w:ilvl w:val="0"/>
          <w:numId w:val="5"/>
        </w:numPr>
      </w:pPr>
      <w:r>
        <w:t>The metrics assigned to COREP C 06.02 column 040, and FINREP F 40.01 column 150 are incorrect in v2.3 (and 2.3.1), have been mistakenly swapped over.</w:t>
      </w:r>
    </w:p>
    <w:p w14:paraId="55B5EBB3" w14:textId="77777777" w:rsidR="00057CFC" w:rsidRDefault="00057CFC" w:rsidP="00183058">
      <w:pPr>
        <w:pStyle w:val="ListParagraph"/>
        <w:keepNext/>
        <w:keepLines/>
        <w:numPr>
          <w:ilvl w:val="1"/>
          <w:numId w:val="5"/>
        </w:numPr>
      </w:pPr>
      <w:r>
        <w:t xml:space="preserve">This error has </w:t>
      </w:r>
      <w:r w:rsidRPr="006A5AC9">
        <w:rPr>
          <w:b/>
        </w:rPr>
        <w:t>NOT</w:t>
      </w:r>
      <w:r>
        <w:t xml:space="preserve"> been corrected in v2.3.1, so as to avoid impacting the FINREP or COREP taxonomies</w:t>
      </w:r>
    </w:p>
    <w:p w14:paraId="55B5EBB4" w14:textId="77777777" w:rsidR="00057CFC" w:rsidRDefault="00057CFC" w:rsidP="00183058">
      <w:pPr>
        <w:pStyle w:val="ListParagraph"/>
        <w:keepNext/>
        <w:keepLines/>
        <w:numPr>
          <w:ilvl w:val="1"/>
          <w:numId w:val="5"/>
        </w:numPr>
      </w:pPr>
      <w:r>
        <w:t>F 40.01 col 150 remains a string metric as it was in previous versions, reporters should continue to report this as they have done previously</w:t>
      </w:r>
    </w:p>
    <w:p w14:paraId="55B5EBB5" w14:textId="77777777" w:rsidR="00057CFC" w:rsidRDefault="00057CFC" w:rsidP="00183058">
      <w:pPr>
        <w:pStyle w:val="ListParagraph"/>
        <w:keepNext/>
        <w:keepLines/>
        <w:numPr>
          <w:ilvl w:val="1"/>
          <w:numId w:val="5"/>
        </w:numPr>
      </w:pPr>
      <w:r w:rsidRPr="00766D0C">
        <w:rPr>
          <w:b/>
        </w:rPr>
        <w:t>For COREP, table C 06.02</w:t>
      </w:r>
      <w:r>
        <w:t xml:space="preserve"> the taxonomy allows for column 040 all four values below, but </w:t>
      </w:r>
      <w:r w:rsidRPr="00057CFC">
        <w:rPr>
          <w:b/>
        </w:rPr>
        <w:t>instance files should be reported respecting the supplementary instructions below</w:t>
      </w:r>
      <w:r>
        <w:t xml:space="preserve">: </w:t>
      </w:r>
    </w:p>
    <w:p w14:paraId="55B5EBB6" w14:textId="77777777" w:rsidR="00057CFC" w:rsidRDefault="00057CFC" w:rsidP="00057CFC">
      <w:pPr>
        <w:ind w:left="1080"/>
      </w:pPr>
    </w:p>
    <w:tbl>
      <w:tblPr>
        <w:tblStyle w:val="EBAtable"/>
        <w:tblW w:w="0" w:type="auto"/>
        <w:tblLook w:val="04A0" w:firstRow="1" w:lastRow="0" w:firstColumn="1" w:lastColumn="0" w:noHBand="0" w:noVBand="1"/>
      </w:tblPr>
      <w:tblGrid>
        <w:gridCol w:w="1391"/>
        <w:gridCol w:w="3904"/>
        <w:gridCol w:w="3996"/>
      </w:tblGrid>
      <w:tr w:rsidR="00057CFC" w:rsidRPr="006A5AC9" w14:paraId="55B5EBBA" w14:textId="77777777" w:rsidTr="00587A42">
        <w:trPr>
          <w:cnfStyle w:val="100000000000" w:firstRow="1" w:lastRow="0" w:firstColumn="0" w:lastColumn="0" w:oddVBand="0" w:evenVBand="0" w:oddHBand="0" w:evenHBand="0" w:firstRowFirstColumn="0" w:firstRowLastColumn="0" w:lastRowFirstColumn="0" w:lastRowLastColumn="0"/>
        </w:trPr>
        <w:tc>
          <w:tcPr>
            <w:tcW w:w="1126" w:type="dxa"/>
          </w:tcPr>
          <w:p w14:paraId="55B5EBB7" w14:textId="77777777" w:rsidR="00057CFC" w:rsidRPr="00D515AE" w:rsidRDefault="00057CFC" w:rsidP="00587A42">
            <w:pPr>
              <w:rPr>
                <w:rFonts w:ascii="Arial" w:hAnsi="Arial" w:cs="Arial"/>
                <w:b/>
              </w:rPr>
            </w:pPr>
            <w:r>
              <w:rPr>
                <w:rFonts w:ascii="Arial" w:hAnsi="Arial" w:cs="Arial"/>
                <w:b/>
              </w:rPr>
              <w:t>Member</w:t>
            </w:r>
          </w:p>
        </w:tc>
        <w:tc>
          <w:tcPr>
            <w:tcW w:w="3984" w:type="dxa"/>
          </w:tcPr>
          <w:p w14:paraId="55B5EBB8" w14:textId="77777777" w:rsidR="00057CFC" w:rsidRPr="00D515AE" w:rsidRDefault="00057CFC" w:rsidP="00587A42">
            <w:pPr>
              <w:rPr>
                <w:rFonts w:ascii="Arial" w:hAnsi="Arial" w:cs="Arial"/>
                <w:b/>
              </w:rPr>
            </w:pPr>
            <w:r w:rsidRPr="00D515AE">
              <w:rPr>
                <w:rFonts w:ascii="Arial" w:hAnsi="Arial" w:cs="Arial"/>
                <w:b/>
              </w:rPr>
              <w:t>Label</w:t>
            </w:r>
          </w:p>
        </w:tc>
        <w:tc>
          <w:tcPr>
            <w:tcW w:w="4070" w:type="dxa"/>
          </w:tcPr>
          <w:p w14:paraId="55B5EBB9" w14:textId="77777777" w:rsidR="00057CFC" w:rsidRPr="00D515AE" w:rsidRDefault="00057CFC" w:rsidP="00587A42">
            <w:pPr>
              <w:rPr>
                <w:rFonts w:ascii="Arial" w:hAnsi="Arial" w:cs="Arial"/>
                <w:b/>
              </w:rPr>
            </w:pPr>
            <w:r w:rsidRPr="00D515AE">
              <w:rPr>
                <w:rFonts w:ascii="Arial" w:hAnsi="Arial" w:cs="Arial"/>
                <w:b/>
              </w:rPr>
              <w:t>Supplementary instruction</w:t>
            </w:r>
          </w:p>
        </w:tc>
      </w:tr>
      <w:tr w:rsidR="00057CFC" w:rsidRPr="006A5AC9" w14:paraId="55B5EBBE" w14:textId="77777777" w:rsidTr="00587A42">
        <w:tc>
          <w:tcPr>
            <w:tcW w:w="1126" w:type="dxa"/>
          </w:tcPr>
          <w:p w14:paraId="55B5EBBB" w14:textId="77777777" w:rsidR="00057CFC" w:rsidRPr="00D515AE" w:rsidRDefault="00057CFC" w:rsidP="00587A42">
            <w:pPr>
              <w:rPr>
                <w:rFonts w:ascii="Arial" w:hAnsi="Arial" w:cs="Arial"/>
              </w:rPr>
            </w:pPr>
            <w:r w:rsidRPr="00BC0A15">
              <w:rPr>
                <w:rFonts w:ascii="Arial" w:hAnsi="Arial" w:cs="Arial"/>
              </w:rPr>
              <w:t>eba_Z</w:t>
            </w:r>
            <w:r>
              <w:rPr>
                <w:rFonts w:ascii="Arial" w:hAnsi="Arial" w:cs="Arial"/>
              </w:rPr>
              <w:t>Z:</w:t>
            </w:r>
            <w:r w:rsidRPr="00D515AE">
              <w:rPr>
                <w:rFonts w:ascii="Arial" w:hAnsi="Arial" w:cs="Arial"/>
              </w:rPr>
              <w:t>x29</w:t>
            </w:r>
          </w:p>
        </w:tc>
        <w:tc>
          <w:tcPr>
            <w:tcW w:w="3984" w:type="dxa"/>
          </w:tcPr>
          <w:p w14:paraId="55B5EBBC" w14:textId="77777777" w:rsidR="00057CFC" w:rsidRPr="00D515AE" w:rsidRDefault="00057CFC" w:rsidP="00587A42">
            <w:pPr>
              <w:rPr>
                <w:rFonts w:ascii="Arial" w:hAnsi="Arial" w:cs="Arial"/>
              </w:rPr>
            </w:pPr>
            <w:r w:rsidRPr="00D515AE">
              <w:rPr>
                <w:rFonts w:ascii="Arial" w:hAnsi="Arial" w:cs="Arial"/>
              </w:rPr>
              <w:t>Full consolidation</w:t>
            </w:r>
          </w:p>
        </w:tc>
        <w:tc>
          <w:tcPr>
            <w:tcW w:w="4070" w:type="dxa"/>
          </w:tcPr>
          <w:p w14:paraId="55B5EBBD" w14:textId="77777777" w:rsidR="00057CFC" w:rsidRPr="00D515AE" w:rsidRDefault="00057CFC" w:rsidP="00587A42">
            <w:pPr>
              <w:rPr>
                <w:rFonts w:ascii="Arial" w:hAnsi="Arial" w:cs="Arial"/>
              </w:rPr>
            </w:pPr>
            <w:r w:rsidRPr="00D515AE">
              <w:rPr>
                <w:rFonts w:ascii="Arial" w:hAnsi="Arial" w:cs="Arial"/>
              </w:rPr>
              <w:t>Us</w:t>
            </w:r>
            <w:r>
              <w:rPr>
                <w:rFonts w:ascii="Arial" w:hAnsi="Arial" w:cs="Arial"/>
              </w:rPr>
              <w:t>e</w:t>
            </w:r>
            <w:r w:rsidRPr="00D515AE">
              <w:rPr>
                <w:rFonts w:ascii="Arial" w:hAnsi="Arial" w:cs="Arial"/>
              </w:rPr>
              <w:t xml:space="preserve"> to report value “fully consolidated” ("SF")</w:t>
            </w:r>
          </w:p>
        </w:tc>
      </w:tr>
      <w:tr w:rsidR="00057CFC" w:rsidRPr="006A5AC9" w14:paraId="55B5EBC2" w14:textId="77777777" w:rsidTr="00587A42">
        <w:tc>
          <w:tcPr>
            <w:tcW w:w="1126" w:type="dxa"/>
          </w:tcPr>
          <w:p w14:paraId="55B5EBBF" w14:textId="77777777" w:rsidR="00057CFC" w:rsidRPr="00766D0C" w:rsidRDefault="00057CFC" w:rsidP="00587A42">
            <w:pPr>
              <w:rPr>
                <w:rFonts w:ascii="Arial" w:hAnsi="Arial" w:cs="Arial"/>
              </w:rPr>
            </w:pPr>
            <w:r w:rsidRPr="00766D0C">
              <w:rPr>
                <w:rFonts w:ascii="Arial" w:hAnsi="Arial" w:cs="Arial"/>
              </w:rPr>
              <w:t>eba_ZZ:x30</w:t>
            </w:r>
          </w:p>
        </w:tc>
        <w:tc>
          <w:tcPr>
            <w:tcW w:w="3984" w:type="dxa"/>
          </w:tcPr>
          <w:p w14:paraId="55B5EBC0" w14:textId="77777777" w:rsidR="00057CFC" w:rsidRPr="00766D0C" w:rsidRDefault="00057CFC" w:rsidP="00587A42">
            <w:pPr>
              <w:rPr>
                <w:rFonts w:ascii="Arial" w:hAnsi="Arial" w:cs="Arial"/>
              </w:rPr>
            </w:pPr>
            <w:r w:rsidRPr="00766D0C">
              <w:rPr>
                <w:rFonts w:ascii="Arial" w:hAnsi="Arial" w:cs="Arial"/>
              </w:rPr>
              <w:t>Proportional consolidation</w:t>
            </w:r>
          </w:p>
        </w:tc>
        <w:tc>
          <w:tcPr>
            <w:tcW w:w="4070" w:type="dxa"/>
          </w:tcPr>
          <w:p w14:paraId="55B5EBC1" w14:textId="77777777" w:rsidR="00057CFC" w:rsidRPr="00766D0C" w:rsidRDefault="00057CFC" w:rsidP="00587A42">
            <w:pPr>
              <w:rPr>
                <w:rFonts w:ascii="Arial" w:hAnsi="Arial" w:cs="Arial"/>
              </w:rPr>
            </w:pPr>
            <w:r w:rsidRPr="00766D0C">
              <w:rPr>
                <w:rFonts w:ascii="Arial" w:hAnsi="Arial" w:cs="Arial"/>
              </w:rPr>
              <w:t>DO NOT USE</w:t>
            </w:r>
          </w:p>
        </w:tc>
      </w:tr>
      <w:tr w:rsidR="00057CFC" w:rsidRPr="006A5AC9" w14:paraId="55B5EBC6" w14:textId="77777777" w:rsidTr="00587A42">
        <w:tc>
          <w:tcPr>
            <w:tcW w:w="1126" w:type="dxa"/>
          </w:tcPr>
          <w:p w14:paraId="55B5EBC3" w14:textId="77777777" w:rsidR="00057CFC" w:rsidRPr="00766D0C" w:rsidRDefault="00057CFC" w:rsidP="00587A42">
            <w:pPr>
              <w:rPr>
                <w:rFonts w:ascii="Arial" w:hAnsi="Arial" w:cs="Arial"/>
              </w:rPr>
            </w:pPr>
            <w:r w:rsidRPr="00766D0C">
              <w:rPr>
                <w:rFonts w:ascii="Arial" w:hAnsi="Arial" w:cs="Arial"/>
              </w:rPr>
              <w:t>eba_ZZ:x31</w:t>
            </w:r>
          </w:p>
        </w:tc>
        <w:tc>
          <w:tcPr>
            <w:tcW w:w="3984" w:type="dxa"/>
          </w:tcPr>
          <w:p w14:paraId="55B5EBC4" w14:textId="77777777" w:rsidR="00057CFC" w:rsidRPr="00766D0C" w:rsidRDefault="00057CFC" w:rsidP="00587A42">
            <w:pPr>
              <w:rPr>
                <w:rFonts w:ascii="Arial" w:hAnsi="Arial" w:cs="Arial"/>
              </w:rPr>
            </w:pPr>
            <w:r w:rsidRPr="00766D0C">
              <w:rPr>
                <w:rFonts w:ascii="Arial" w:hAnsi="Arial" w:cs="Arial"/>
              </w:rPr>
              <w:t>Equity method</w:t>
            </w:r>
          </w:p>
        </w:tc>
        <w:tc>
          <w:tcPr>
            <w:tcW w:w="4070" w:type="dxa"/>
          </w:tcPr>
          <w:p w14:paraId="55B5EBC5" w14:textId="77777777" w:rsidR="00057CFC" w:rsidRPr="00766D0C" w:rsidRDefault="00057CFC" w:rsidP="00587A42">
            <w:pPr>
              <w:rPr>
                <w:rFonts w:ascii="Arial" w:hAnsi="Arial" w:cs="Arial"/>
              </w:rPr>
            </w:pPr>
            <w:r w:rsidRPr="00766D0C">
              <w:rPr>
                <w:rFonts w:ascii="Arial" w:hAnsi="Arial" w:cs="Arial"/>
              </w:rPr>
              <w:t>DO NOT USE</w:t>
            </w:r>
          </w:p>
        </w:tc>
      </w:tr>
      <w:tr w:rsidR="00057CFC" w:rsidRPr="006A5AC9" w14:paraId="55B5EBCA" w14:textId="77777777" w:rsidTr="00587A42">
        <w:tc>
          <w:tcPr>
            <w:tcW w:w="1126" w:type="dxa"/>
          </w:tcPr>
          <w:p w14:paraId="55B5EBC7" w14:textId="77777777" w:rsidR="00057CFC" w:rsidRPr="00D515AE" w:rsidRDefault="00057CFC" w:rsidP="00587A42">
            <w:pPr>
              <w:rPr>
                <w:rFonts w:ascii="Arial" w:hAnsi="Arial" w:cs="Arial"/>
              </w:rPr>
            </w:pPr>
            <w:r>
              <w:rPr>
                <w:rFonts w:ascii="Arial" w:hAnsi="Arial" w:cs="Arial"/>
              </w:rPr>
              <w:t>eba_ZZ:</w:t>
            </w:r>
            <w:r w:rsidRPr="00D515AE">
              <w:rPr>
                <w:rFonts w:ascii="Arial" w:hAnsi="Arial" w:cs="Arial"/>
              </w:rPr>
              <w:t>x32</w:t>
            </w:r>
          </w:p>
        </w:tc>
        <w:tc>
          <w:tcPr>
            <w:tcW w:w="3984" w:type="dxa"/>
          </w:tcPr>
          <w:p w14:paraId="55B5EBC8" w14:textId="77777777" w:rsidR="00057CFC" w:rsidRPr="00D515AE" w:rsidRDefault="00057CFC" w:rsidP="00587A42">
            <w:pPr>
              <w:rPr>
                <w:rFonts w:ascii="Arial" w:hAnsi="Arial" w:cs="Arial"/>
              </w:rPr>
            </w:pPr>
            <w:r w:rsidRPr="00D515AE">
              <w:rPr>
                <w:rFonts w:ascii="Arial" w:hAnsi="Arial" w:cs="Arial"/>
              </w:rPr>
              <w:t>Other than Full consolidation, Proportional consolidation, Equity method</w:t>
            </w:r>
          </w:p>
        </w:tc>
        <w:tc>
          <w:tcPr>
            <w:tcW w:w="4070" w:type="dxa"/>
          </w:tcPr>
          <w:p w14:paraId="55B5EBC9" w14:textId="77777777" w:rsidR="00057CFC" w:rsidRPr="00D515AE" w:rsidRDefault="00057CFC" w:rsidP="00587A42">
            <w:pPr>
              <w:rPr>
                <w:rFonts w:ascii="Arial" w:hAnsi="Arial" w:cs="Arial"/>
              </w:rPr>
            </w:pPr>
            <w:r w:rsidRPr="00D515AE">
              <w:rPr>
                <w:rFonts w:ascii="Arial" w:hAnsi="Arial" w:cs="Arial"/>
              </w:rPr>
              <w:t>Usable to report value “partially consolidated” ("SP")</w:t>
            </w:r>
          </w:p>
        </w:tc>
      </w:tr>
    </w:tbl>
    <w:p w14:paraId="55B5EBCB" w14:textId="77777777" w:rsidR="00057CFC" w:rsidRDefault="00057CFC" w:rsidP="00057CFC"/>
    <w:p w14:paraId="55B5EBCC" w14:textId="77777777" w:rsidR="004A28AD" w:rsidRPr="00AC2556" w:rsidRDefault="004A28AD" w:rsidP="004A28AD">
      <w:pPr>
        <w:pStyle w:val="Heading1"/>
      </w:pPr>
      <w:r w:rsidRPr="00AC2556">
        <w:t>2.</w:t>
      </w:r>
      <w:r>
        <w:t>3</w:t>
      </w:r>
      <w:r w:rsidRPr="00AC2556">
        <w:t>.0 (“201</w:t>
      </w:r>
      <w:r>
        <w:t>5-A</w:t>
      </w:r>
      <w:r w:rsidRPr="00AC2556">
        <w:t xml:space="preserve">” Package) </w:t>
      </w:r>
    </w:p>
    <w:p w14:paraId="55B5EBCD" w14:textId="77777777" w:rsidR="00766D0C" w:rsidRDefault="00766D0C">
      <w:pPr>
        <w:rPr>
          <w:rFonts w:asciiTheme="majorHAnsi" w:eastAsiaTheme="majorEastAsia" w:hAnsiTheme="majorHAnsi" w:cstheme="majorBidi"/>
          <w:color w:val="2F5773" w:themeColor="text2"/>
          <w:spacing w:val="5"/>
          <w:kern w:val="28"/>
          <w:sz w:val="52"/>
          <w:szCs w:val="52"/>
        </w:rPr>
      </w:pPr>
      <w:r>
        <w:br w:type="page"/>
      </w:r>
    </w:p>
    <w:p w14:paraId="55B5EBCE" w14:textId="77777777" w:rsidR="004A28AD" w:rsidRDefault="00D515AE" w:rsidP="00D515AE">
      <w:pPr>
        <w:pStyle w:val="Heading2"/>
      </w:pPr>
      <w:r w:rsidRPr="00D515AE">
        <w:lastRenderedPageBreak/>
        <w:t>v2.3.0 (“2015-A” Package)</w:t>
      </w:r>
      <w:r w:rsidR="001A4CAA" w:rsidRPr="001A4CAA">
        <w:rPr>
          <w:rFonts w:ascii="Arial" w:hAnsi="Arial" w:cs="Arial"/>
          <w:color w:val="696969"/>
          <w:sz w:val="18"/>
          <w:szCs w:val="18"/>
          <w:shd w:val="clear" w:color="auto" w:fill="FFFFFF"/>
        </w:rPr>
        <w:t xml:space="preserve"> </w:t>
      </w:r>
      <w:r w:rsidR="001A4CAA">
        <w:rPr>
          <w:rFonts w:ascii="Arial" w:hAnsi="Arial" w:cs="Arial"/>
          <w:color w:val="696969"/>
          <w:sz w:val="18"/>
          <w:szCs w:val="18"/>
          <w:shd w:val="clear" w:color="auto" w:fill="FFFFFF"/>
        </w:rPr>
        <w:t>(02/03/2015)</w:t>
      </w:r>
    </w:p>
    <w:p w14:paraId="55B5EBCF" w14:textId="77777777" w:rsidR="004A28AD" w:rsidRDefault="00D515AE" w:rsidP="00D515AE">
      <w:pPr>
        <w:pStyle w:val="Titlelevel2"/>
      </w:pPr>
      <w:r>
        <w:t>DPM changes</w:t>
      </w:r>
    </w:p>
    <w:p w14:paraId="55B5EBD0" w14:textId="77777777" w:rsidR="006A3920" w:rsidRDefault="006A3920" w:rsidP="00183058">
      <w:pPr>
        <w:pStyle w:val="ListParagraph"/>
        <w:numPr>
          <w:ilvl w:val="0"/>
          <w:numId w:val="5"/>
        </w:numPr>
      </w:pPr>
      <w:r>
        <w:t>New version of Funding Plans taxonomy – replacing previous version which will not be used.</w:t>
      </w:r>
    </w:p>
    <w:p w14:paraId="55B5EBD1" w14:textId="77777777" w:rsidR="0049741E" w:rsidRDefault="0049741E" w:rsidP="00183058">
      <w:pPr>
        <w:pStyle w:val="ListParagraph"/>
        <w:numPr>
          <w:ilvl w:val="1"/>
          <w:numId w:val="5"/>
        </w:numPr>
      </w:pPr>
      <w:r>
        <w:t>Correction of erroneous modelling of tables P 02.07 and P02.08 (column 010 marked identical to P 01.02</w:t>
      </w:r>
      <w:r w:rsidR="0089263A">
        <w:t>)</w:t>
      </w:r>
      <w:r w:rsidR="007D6736">
        <w:t xml:space="preserve"> </w:t>
      </w:r>
      <w:r>
        <w:t xml:space="preserve"> </w:t>
      </w:r>
    </w:p>
    <w:p w14:paraId="55B5EBD2" w14:textId="77777777" w:rsidR="006A3920" w:rsidRDefault="006A3920" w:rsidP="00183058">
      <w:pPr>
        <w:pStyle w:val="ListParagraph"/>
        <w:numPr>
          <w:ilvl w:val="0"/>
          <w:numId w:val="5"/>
        </w:numPr>
      </w:pPr>
      <w:r>
        <w:t xml:space="preserve">Preliminary version of </w:t>
      </w:r>
      <w:r w:rsidR="00291461">
        <w:t xml:space="preserve">new </w:t>
      </w:r>
      <w:r>
        <w:t xml:space="preserve">Benchmarking </w:t>
      </w:r>
      <w:r w:rsidR="00291461">
        <w:t xml:space="preserve">framework </w:t>
      </w:r>
      <w:r w:rsidR="00273419">
        <w:t>/</w:t>
      </w:r>
      <w:r w:rsidR="00291461">
        <w:t xml:space="preserve"> </w:t>
      </w:r>
      <w:r>
        <w:t>taxonomy included.</w:t>
      </w:r>
    </w:p>
    <w:p w14:paraId="55B5EBD3" w14:textId="77777777" w:rsidR="00BA6A8E" w:rsidRDefault="00BA6A8E" w:rsidP="00183058">
      <w:pPr>
        <w:pStyle w:val="ListParagraph"/>
        <w:numPr>
          <w:ilvl w:val="1"/>
          <w:numId w:val="5"/>
        </w:numPr>
      </w:pPr>
      <w:r>
        <w:t xml:space="preserve">Several tables in Benchmarking </w:t>
      </w:r>
      <w:r w:rsidR="00F441B8">
        <w:t xml:space="preserve">(C 106 – 110) </w:t>
      </w:r>
      <w:r>
        <w:t>require figures to be reported in the intrinsic currency of the value (i.e. the value of a portfolio of USD bonds should be reported in USD, whereas a portfolio of EUR assets should be reported in EUR), rather than converted to equivalents in a single reporting currency (as is the approach in the rest of the EBA reporting). The data to which this reporting approach is applicable is indicated by the application of</w:t>
      </w:r>
      <w:r w:rsidR="004D40E3">
        <w:t xml:space="preserve"> values from</w:t>
      </w:r>
      <w:r>
        <w:t xml:space="preserve"> a new dimension CCA (“</w:t>
      </w:r>
      <w:r w:rsidRPr="00BA6A8E">
        <w:t>Currency conversion approach</w:t>
      </w:r>
      <w:r>
        <w:t>”).</w:t>
      </w:r>
    </w:p>
    <w:p w14:paraId="55B5EBD4" w14:textId="77777777" w:rsidR="00291461" w:rsidRDefault="00291461" w:rsidP="00183058">
      <w:pPr>
        <w:pStyle w:val="ListParagraph"/>
        <w:numPr>
          <w:ilvl w:val="1"/>
          <w:numId w:val="5"/>
        </w:numPr>
      </w:pPr>
      <w:r>
        <w:t>Addition of (decimal) members to be used to report values in market value section of benchmarking that are in different currencies per</w:t>
      </w:r>
      <w:r w:rsidR="004D40E3">
        <w:t xml:space="preserve"> row (by portfolio) as currency-</w:t>
      </w:r>
      <w:r>
        <w:t xml:space="preserve">less numbers to avoid the need for tools to support </w:t>
      </w:r>
      <w:r w:rsidR="004D40E3">
        <w:t xml:space="preserve">full </w:t>
      </w:r>
      <w:r>
        <w:t>multicurrency reporting (</w:t>
      </w:r>
      <w:r w:rsidR="004D40E3">
        <w:t xml:space="preserve">which was </w:t>
      </w:r>
      <w:r>
        <w:t xml:space="preserve">expected to be </w:t>
      </w:r>
      <w:r w:rsidR="00BA6A8E">
        <w:t>problematic in the short term).</w:t>
      </w:r>
    </w:p>
    <w:p w14:paraId="55B5EBD5" w14:textId="77777777" w:rsidR="00291461" w:rsidRDefault="006A3920" w:rsidP="00183058">
      <w:pPr>
        <w:pStyle w:val="ListParagraph"/>
        <w:numPr>
          <w:ilvl w:val="0"/>
          <w:numId w:val="5"/>
        </w:numPr>
      </w:pPr>
      <w:r>
        <w:t>Mi</w:t>
      </w:r>
      <w:r w:rsidR="00273419">
        <w:t>nor changes to COREP and FINREP, including</w:t>
      </w:r>
    </w:p>
    <w:p w14:paraId="55B5EBD6" w14:textId="77777777" w:rsidR="00291461" w:rsidRDefault="00291461" w:rsidP="00183058">
      <w:pPr>
        <w:pStyle w:val="ListParagraph"/>
        <w:numPr>
          <w:ilvl w:val="1"/>
          <w:numId w:val="5"/>
        </w:numPr>
      </w:pPr>
      <w:r w:rsidRPr="00B000E3">
        <w:rPr>
          <w:b/>
        </w:rPr>
        <w:t xml:space="preserve">Tables F 19.00.e and .f removed, </w:t>
      </w:r>
      <w:r>
        <w:t>C 18 sheets 010 and 011 removed, F 19.00.b and .c row 340 added.</w:t>
      </w:r>
    </w:p>
    <w:p w14:paraId="55B5EBD7" w14:textId="77777777" w:rsidR="00237B31" w:rsidRDefault="006A3920" w:rsidP="00183058">
      <w:pPr>
        <w:pStyle w:val="ListParagraph"/>
        <w:numPr>
          <w:ilvl w:val="0"/>
          <w:numId w:val="5"/>
        </w:numPr>
      </w:pPr>
      <w:r>
        <w:t>Asset Encumbrance is unchanged.</w:t>
      </w:r>
    </w:p>
    <w:p w14:paraId="55B5EBD8" w14:textId="77777777" w:rsidR="004A28AD" w:rsidRDefault="007D6736" w:rsidP="00183058">
      <w:pPr>
        <w:pStyle w:val="ListParagraph"/>
        <w:numPr>
          <w:ilvl w:val="0"/>
          <w:numId w:val="5"/>
        </w:numPr>
      </w:pPr>
      <w:r>
        <w:t xml:space="preserve">Changed or Corrected many validation rules, </w:t>
      </w:r>
      <w:r w:rsidR="004A28AD">
        <w:t>"Reacti</w:t>
      </w:r>
      <w:r w:rsidR="00237B31">
        <w:t>vated" several validation rules</w:t>
      </w:r>
    </w:p>
    <w:p w14:paraId="55B5EBD9" w14:textId="77777777" w:rsidR="00237B31" w:rsidRDefault="00237B31" w:rsidP="00237B31">
      <w:pPr>
        <w:pStyle w:val="ListParagraph"/>
      </w:pPr>
    </w:p>
    <w:p w14:paraId="55B5EBDA" w14:textId="77777777" w:rsidR="007D6736" w:rsidRDefault="007D6736" w:rsidP="004A28AD">
      <w:r>
        <w:t>See accompanying documentation for more detail of changes.</w:t>
      </w:r>
    </w:p>
    <w:p w14:paraId="55B5EBDB" w14:textId="77777777" w:rsidR="004A28AD" w:rsidRDefault="004A28AD" w:rsidP="004A28AD"/>
    <w:p w14:paraId="55B5EBDC" w14:textId="77777777" w:rsidR="004A28AD" w:rsidRPr="00D515AE" w:rsidRDefault="00237B31" w:rsidP="00D515AE">
      <w:pPr>
        <w:pStyle w:val="Titlelevel2"/>
      </w:pPr>
      <w:r>
        <w:t>XBRL changes</w:t>
      </w:r>
    </w:p>
    <w:p w14:paraId="55B5EBDD" w14:textId="77777777" w:rsidR="004A28AD" w:rsidRDefault="004A28AD" w:rsidP="00183058">
      <w:pPr>
        <w:pStyle w:val="ListParagraph"/>
        <w:numPr>
          <w:ilvl w:val="0"/>
          <w:numId w:val="9"/>
        </w:numPr>
      </w:pPr>
      <w:r>
        <w:t xml:space="preserve">Decimal metrics are mapped to primary items starting </w:t>
      </w:r>
      <w:r w:rsidR="00BA6A8E">
        <w:t>r</w:t>
      </w:r>
      <w:r>
        <w:t xml:space="preserve"> (i.e. </w:t>
      </w:r>
      <w:r w:rsidR="00BA6A8E">
        <w:t>r</w:t>
      </w:r>
      <w:r>
        <w:t xml:space="preserve">i128). </w:t>
      </w:r>
    </w:p>
    <w:p w14:paraId="55B5EBDE" w14:textId="77777777" w:rsidR="004A28AD" w:rsidRDefault="004A28AD" w:rsidP="00183058">
      <w:pPr>
        <w:pStyle w:val="ListParagraph"/>
        <w:numPr>
          <w:ilvl w:val="0"/>
          <w:numId w:val="9"/>
        </w:numPr>
      </w:pPr>
      <w:r>
        <w:t>Addition o</w:t>
      </w:r>
      <w:r w:rsidR="00237B31">
        <w:t xml:space="preserve">f role refs to various </w:t>
      </w:r>
      <w:proofErr w:type="spellStart"/>
      <w:r w:rsidR="00237B31">
        <w:t>linkbaseR</w:t>
      </w:r>
      <w:r>
        <w:t>ef</w:t>
      </w:r>
      <w:proofErr w:type="spellEnd"/>
      <w:r>
        <w:t xml:space="preserve"> elements, which eliminates warnings generated when validating the taxonomy using several XBRL tools.</w:t>
      </w:r>
    </w:p>
    <w:p w14:paraId="55B5EBDF" w14:textId="77777777" w:rsidR="00F441B8" w:rsidRDefault="00F441B8" w:rsidP="00183058">
      <w:pPr>
        <w:pStyle w:val="ListParagraph"/>
        <w:numPr>
          <w:ilvl w:val="0"/>
          <w:numId w:val="9"/>
        </w:numPr>
      </w:pPr>
      <w:r>
        <w:t xml:space="preserve">Addition of existence rules ("e****_e") requiring the reporting of cells on tables </w:t>
      </w:r>
      <w:proofErr w:type="gramStart"/>
      <w:r>
        <w:t>00.01 .</w:t>
      </w:r>
      <w:proofErr w:type="gramEnd"/>
      <w:r>
        <w:t xml:space="preserve"> </w:t>
      </w:r>
    </w:p>
    <w:p w14:paraId="55B5EBE0" w14:textId="77777777" w:rsidR="00F441B8" w:rsidRDefault="004A28AD" w:rsidP="00183058">
      <w:pPr>
        <w:pStyle w:val="ListParagraph"/>
        <w:numPr>
          <w:ilvl w:val="1"/>
          <w:numId w:val="9"/>
        </w:numPr>
      </w:pPr>
      <w:r>
        <w:t xml:space="preserve">Note that </w:t>
      </w:r>
      <w:r w:rsidR="00DD121A">
        <w:t>the</w:t>
      </w:r>
      <w:r w:rsidR="00F441B8">
        <w:t>se</w:t>
      </w:r>
      <w:r w:rsidR="00DD121A">
        <w:t xml:space="preserve"> </w:t>
      </w:r>
      <w:r>
        <w:t>do not depend on any filing indicators and run whatever.</w:t>
      </w:r>
    </w:p>
    <w:p w14:paraId="55B5EBE1" w14:textId="77777777" w:rsidR="004A28AD" w:rsidRPr="00D515AE" w:rsidRDefault="00237B31" w:rsidP="00D515AE">
      <w:pPr>
        <w:pStyle w:val="Titlelevel2"/>
      </w:pPr>
      <w:r>
        <w:t>Documentation changes</w:t>
      </w:r>
    </w:p>
    <w:p w14:paraId="55B5EBE2" w14:textId="77777777" w:rsidR="004A28AD" w:rsidRDefault="004A28AD" w:rsidP="00183058">
      <w:pPr>
        <w:pStyle w:val="ListParagraph"/>
        <w:numPr>
          <w:ilvl w:val="0"/>
          <w:numId w:val="10"/>
        </w:numPr>
      </w:pPr>
      <w:r>
        <w:t>Changed Taxonomy Architecture</w:t>
      </w:r>
      <w:r w:rsidR="00DD121A">
        <w:t xml:space="preserve"> document</w:t>
      </w:r>
      <w:r>
        <w:t xml:space="preserve"> to list the prefix for decimal types as "</w:t>
      </w:r>
      <w:r w:rsidR="00BA6A8E">
        <w:t>r</w:t>
      </w:r>
      <w:r>
        <w:t>".</w:t>
      </w:r>
    </w:p>
    <w:p w14:paraId="55B5EBE3" w14:textId="77777777" w:rsidR="004A28AD" w:rsidRDefault="004A28AD" w:rsidP="00183058">
      <w:pPr>
        <w:pStyle w:val="ListParagraph"/>
        <w:numPr>
          <w:ilvl w:val="0"/>
          <w:numId w:val="10"/>
        </w:numPr>
      </w:pPr>
      <w:r>
        <w:t xml:space="preserve">Filing rules updated to cover the reporting of </w:t>
      </w:r>
      <w:proofErr w:type="spellStart"/>
      <w:r>
        <w:t>currencyless</w:t>
      </w:r>
      <w:proofErr w:type="spellEnd"/>
      <w:r>
        <w:t xml:space="preserve"> money values using decimal data type, and the use of negative filing indicators</w:t>
      </w:r>
      <w:r w:rsidR="00476AA2">
        <w:t xml:space="preserve"> for indicating intentional non-reporting of templates</w:t>
      </w:r>
      <w:r>
        <w:t>.</w:t>
      </w:r>
    </w:p>
    <w:p w14:paraId="55B5EBE4" w14:textId="77777777" w:rsidR="00F441B8" w:rsidRDefault="00F441B8" w:rsidP="00F441B8">
      <w:pPr>
        <w:pStyle w:val="ListParagraph"/>
      </w:pPr>
    </w:p>
    <w:p w14:paraId="55B5EBE5" w14:textId="77777777" w:rsidR="00E56F2E" w:rsidRDefault="00E56F2E" w:rsidP="00D515AE">
      <w:pPr>
        <w:pStyle w:val="Titlelevel2"/>
      </w:pPr>
      <w:bookmarkStart w:id="5" w:name="OLE_LINK3"/>
      <w:bookmarkStart w:id="6" w:name="OLE_LINK4"/>
      <w:r w:rsidRPr="00D515AE">
        <w:t xml:space="preserve">Tables </w:t>
      </w:r>
      <w:proofErr w:type="gramStart"/>
      <w:r w:rsidRPr="00D515AE">
        <w:t>C  06.01</w:t>
      </w:r>
      <w:proofErr w:type="gramEnd"/>
      <w:r w:rsidRPr="00D515AE">
        <w:t xml:space="preserve"> and C 06.02</w:t>
      </w:r>
    </w:p>
    <w:p w14:paraId="55B5EBE6" w14:textId="77777777" w:rsidR="00E56F2E" w:rsidRDefault="00E56F2E">
      <w:r>
        <w:lastRenderedPageBreak/>
        <w:t>As noted below, in v2.2 table C 06.00 was renamed C 06.02, and C 06.0</w:t>
      </w:r>
      <w:r>
        <w:rPr>
          <w:color w:val="1F497D"/>
        </w:rPr>
        <w:t>1</w:t>
      </w:r>
      <w:r>
        <w:t xml:space="preserve"> was added. In 2.2 they both formed part of the same </w:t>
      </w:r>
      <w:r w:rsidR="00273419">
        <w:t xml:space="preserve">“group solvency” template </w:t>
      </w:r>
      <w:r>
        <w:t xml:space="preserve">filing unit, as indicated in the </w:t>
      </w:r>
      <w:r w:rsidR="00273419">
        <w:t xml:space="preserve">appropriate fields of the </w:t>
      </w:r>
      <w:r>
        <w:t>DPM database and the XBRL taxonomy</w:t>
      </w:r>
      <w:r w:rsidR="00273419">
        <w:t xml:space="preserve">, as per the taxonomy architecture </w:t>
      </w:r>
      <w:r>
        <w:t>– i.e. one filing indicator with the code “C_06.00” was to be used, which would indicate that both were notionally filed (or both were not filed).</w:t>
      </w:r>
    </w:p>
    <w:p w14:paraId="55B5EBE7" w14:textId="77777777" w:rsidR="00E56F2E" w:rsidRDefault="00E56F2E"/>
    <w:p w14:paraId="55B5EBE8" w14:textId="77777777" w:rsidR="00E56F2E" w:rsidRDefault="00E56F2E">
      <w:r>
        <w:t>This did</w:t>
      </w:r>
      <w:r w:rsidR="00273419">
        <w:t xml:space="preserve"> not fit with the implied </w:t>
      </w:r>
      <w:r>
        <w:t xml:space="preserve">naming approach </w:t>
      </w:r>
      <w:r w:rsidR="00273419">
        <w:t>seen</w:t>
      </w:r>
      <w:r>
        <w:t xml:space="preserve"> elsewhere in the EBA </w:t>
      </w:r>
      <w:r w:rsidR="00273419">
        <w:t xml:space="preserve">reporting, </w:t>
      </w:r>
      <w:r>
        <w:t xml:space="preserve">where “.01”, “.02” etc. </w:t>
      </w:r>
      <w:r w:rsidR="00273419">
        <w:t xml:space="preserve">are generally given to </w:t>
      </w:r>
      <w:r>
        <w:t>independently file</w:t>
      </w:r>
      <w:r w:rsidR="00273419">
        <w:t>d</w:t>
      </w:r>
      <w:r>
        <w:t xml:space="preserve"> tables, whereas </w:t>
      </w:r>
      <w:r w:rsidR="00273419">
        <w:t>“.a” or “.x” etc. are given to tables that are sub parts of a template and form part of a single reporting unit.</w:t>
      </w:r>
    </w:p>
    <w:p w14:paraId="55B5EBE9" w14:textId="77777777" w:rsidR="00E56F2E" w:rsidRDefault="00E56F2E"/>
    <w:p w14:paraId="55B5EBEA" w14:textId="77777777" w:rsidR="004A28AD" w:rsidRDefault="00273419">
      <w:pPr>
        <w:rPr>
          <w:rFonts w:ascii="Cambria" w:hAnsi="Cambria" w:cs="Cambria"/>
          <w:b/>
          <w:bCs/>
          <w:sz w:val="28"/>
          <w:szCs w:val="28"/>
        </w:rPr>
      </w:pPr>
      <w:r>
        <w:t>In the 2015-A version of the COREP taxonomy</w:t>
      </w:r>
      <w:r w:rsidR="00E56F2E">
        <w:t xml:space="preserve"> version these tables now form </w:t>
      </w:r>
      <w:r>
        <w:t xml:space="preserve">fully </w:t>
      </w:r>
      <w:r w:rsidR="00E56F2E">
        <w:t xml:space="preserve">independent templates – i.e. they can be </w:t>
      </w:r>
      <w:r>
        <w:t>reported</w:t>
      </w:r>
      <w:r w:rsidR="00E56F2E">
        <w:t xml:space="preserve"> independently</w:t>
      </w:r>
      <w:r>
        <w:t xml:space="preserve"> if necessary (i.e. none, one or the other, or both)</w:t>
      </w:r>
      <w:r w:rsidR="00E56F2E">
        <w:t>, and the filing indicators codes “</w:t>
      </w:r>
      <w:r>
        <w:t>C_06.01” and “C_06.02” should be used – “C_06.00” no longer being used</w:t>
      </w:r>
      <w:r w:rsidR="00E56F2E">
        <w:t>.</w:t>
      </w:r>
    </w:p>
    <w:bookmarkEnd w:id="5"/>
    <w:bookmarkEnd w:id="6"/>
    <w:p w14:paraId="55B5EBEB" w14:textId="77777777" w:rsidR="00237B31" w:rsidRDefault="00237B31" w:rsidP="00237B31">
      <w:pPr>
        <w:pStyle w:val="Heading2"/>
        <w:rPr>
          <w:b/>
        </w:rPr>
      </w:pPr>
      <w:r w:rsidRPr="00AC2556">
        <w:t>v2.2.0 (“2014/07” Package)</w:t>
      </w:r>
      <w:r w:rsidRPr="00237B31">
        <w:rPr>
          <w:rFonts w:ascii="Arial" w:hAnsi="Arial" w:cs="Arial"/>
          <w:color w:val="696969"/>
          <w:sz w:val="18"/>
          <w:szCs w:val="18"/>
          <w:shd w:val="clear" w:color="auto" w:fill="FFFFFF"/>
        </w:rPr>
        <w:t xml:space="preserve"> </w:t>
      </w:r>
      <w:r w:rsidR="001A4CAA">
        <w:rPr>
          <w:rFonts w:ascii="Arial" w:hAnsi="Arial" w:cs="Arial"/>
          <w:color w:val="696969"/>
          <w:sz w:val="18"/>
          <w:szCs w:val="18"/>
          <w:shd w:val="clear" w:color="auto" w:fill="FFFFFF"/>
        </w:rPr>
        <w:t>(1</w:t>
      </w:r>
      <w:r>
        <w:rPr>
          <w:rFonts w:ascii="Arial" w:hAnsi="Arial" w:cs="Arial"/>
          <w:color w:val="696969"/>
          <w:sz w:val="18"/>
          <w:szCs w:val="18"/>
          <w:shd w:val="clear" w:color="auto" w:fill="FFFFFF"/>
        </w:rPr>
        <w:t>8/0</w:t>
      </w:r>
      <w:r w:rsidR="001A4CAA">
        <w:rPr>
          <w:rFonts w:ascii="Arial" w:hAnsi="Arial" w:cs="Arial"/>
          <w:color w:val="696969"/>
          <w:sz w:val="18"/>
          <w:szCs w:val="18"/>
          <w:shd w:val="clear" w:color="auto" w:fill="FFFFFF"/>
        </w:rPr>
        <w:t>8</w:t>
      </w:r>
      <w:r>
        <w:rPr>
          <w:rFonts w:ascii="Arial" w:hAnsi="Arial" w:cs="Arial"/>
          <w:color w:val="696969"/>
          <w:sz w:val="18"/>
          <w:szCs w:val="18"/>
          <w:shd w:val="clear" w:color="auto" w:fill="FFFFFF"/>
        </w:rPr>
        <w:t>/2014)</w:t>
      </w:r>
    </w:p>
    <w:p w14:paraId="55B5EBEC" w14:textId="77777777" w:rsidR="002C36C9" w:rsidRDefault="002C36C9" w:rsidP="002C36C9">
      <w:pPr>
        <w:jc w:val="center"/>
        <w:rPr>
          <w:b/>
        </w:rPr>
      </w:pPr>
      <w:r w:rsidRPr="002C36C9">
        <w:rPr>
          <w:b/>
        </w:rPr>
        <w:t xml:space="preserve">N.B. Applicable for reporting </w:t>
      </w:r>
      <w:r w:rsidR="00A55E27">
        <w:rPr>
          <w:b/>
        </w:rPr>
        <w:t xml:space="preserve">for </w:t>
      </w:r>
      <w:r w:rsidRPr="002C36C9">
        <w:rPr>
          <w:b/>
        </w:rPr>
        <w:t>reference date</w:t>
      </w:r>
      <w:r w:rsidR="00A55E27">
        <w:rPr>
          <w:b/>
        </w:rPr>
        <w:t>s from</w:t>
      </w:r>
      <w:r w:rsidRPr="002C36C9">
        <w:rPr>
          <w:b/>
        </w:rPr>
        <w:t xml:space="preserve"> 31/12/2014</w:t>
      </w:r>
      <w:r w:rsidR="00A55E27">
        <w:rPr>
          <w:b/>
        </w:rPr>
        <w:t xml:space="preserve"> onwards</w:t>
      </w:r>
    </w:p>
    <w:p w14:paraId="55B5EBED" w14:textId="77777777" w:rsidR="00237B31" w:rsidRPr="002C36C9" w:rsidRDefault="00237B31" w:rsidP="002C36C9">
      <w:pPr>
        <w:jc w:val="center"/>
        <w:rPr>
          <w:b/>
        </w:rPr>
      </w:pPr>
    </w:p>
    <w:p w14:paraId="55B5EBEE" w14:textId="77777777" w:rsidR="00B677D6" w:rsidRPr="00AC2556" w:rsidRDefault="00B677D6" w:rsidP="00B677D6">
      <w:bookmarkStart w:id="7" w:name="OLE_LINK5"/>
      <w:bookmarkStart w:id="8" w:name="OLE_LINK6"/>
      <w:bookmarkStart w:id="9" w:name="OLE_LINK7"/>
      <w:r w:rsidRPr="00AC2556">
        <w:t xml:space="preserve">Includes first release </w:t>
      </w:r>
      <w:bookmarkEnd w:id="7"/>
      <w:bookmarkEnd w:id="8"/>
      <w:bookmarkEnd w:id="9"/>
      <w:r w:rsidRPr="00AC2556">
        <w:t>(and first use) version of Funding Plans, and first use</w:t>
      </w:r>
      <w:r w:rsidR="00AC2556" w:rsidRPr="00AC2556">
        <w:t xml:space="preserve"> version of Asset Encumbrance (</w:t>
      </w:r>
      <w:proofErr w:type="spellStart"/>
      <w:r w:rsidR="00AC2556" w:rsidRPr="00AC2556">
        <w:t>n.b</w:t>
      </w:r>
      <w:r w:rsidRPr="00AC2556">
        <w:t>.</w:t>
      </w:r>
      <w:proofErr w:type="spellEnd"/>
      <w:r w:rsidRPr="00AC2556">
        <w:t xml:space="preserve"> very minor change</w:t>
      </w:r>
      <w:r w:rsidR="00AC2556">
        <w:t>s</w:t>
      </w:r>
      <w:r w:rsidRPr="00AC2556">
        <w:t xml:space="preserve"> compared to previous first release version – just grey cells on F32.04.b).</w:t>
      </w:r>
    </w:p>
    <w:p w14:paraId="55B5EBEF" w14:textId="77777777" w:rsidR="00B677D6" w:rsidRPr="00AC2556" w:rsidRDefault="00B677D6" w:rsidP="00D515AE">
      <w:pPr>
        <w:pStyle w:val="Titlelevel2"/>
      </w:pPr>
      <w:r w:rsidRPr="00AC2556">
        <w:t>DPM Changes</w:t>
      </w:r>
    </w:p>
    <w:p w14:paraId="55B5EBF0" w14:textId="77777777" w:rsidR="00B677D6" w:rsidRPr="00AC2556" w:rsidRDefault="00B677D6" w:rsidP="00183058">
      <w:pPr>
        <w:pStyle w:val="ListParagraph"/>
        <w:numPr>
          <w:ilvl w:val="0"/>
          <w:numId w:val="5"/>
        </w:numPr>
      </w:pPr>
      <w:r w:rsidRPr="00AC2556">
        <w:t>Addition of set of Funding Plans templates (P 00.01 to P 03.00)</w:t>
      </w:r>
    </w:p>
    <w:p w14:paraId="55B5EBF1" w14:textId="77777777" w:rsidR="00B677D6" w:rsidRPr="00AC2556" w:rsidRDefault="00B677D6" w:rsidP="00183058">
      <w:pPr>
        <w:pStyle w:val="ListParagraph"/>
        <w:numPr>
          <w:ilvl w:val="1"/>
          <w:numId w:val="5"/>
        </w:numPr>
      </w:pPr>
      <w:r w:rsidRPr="00AC2556">
        <w:t>includes additional DPM/XBRL only table P00.01 (report wide info - Similar to C/F/A 00.01)</w:t>
      </w:r>
    </w:p>
    <w:p w14:paraId="55B5EBF2" w14:textId="77777777" w:rsidR="00B677D6" w:rsidRPr="00AC2556" w:rsidRDefault="00B677D6" w:rsidP="00183058">
      <w:pPr>
        <w:pStyle w:val="ListParagraph"/>
        <w:numPr>
          <w:ilvl w:val="1"/>
          <w:numId w:val="5"/>
        </w:numPr>
      </w:pPr>
      <w:r w:rsidRPr="00AC2556">
        <w:t>Note that this P 00.01 has only details on accounting standard, detailed reporting / consolidation scope of Funding Templates is specified on template P 03.00</w:t>
      </w:r>
    </w:p>
    <w:p w14:paraId="55B5EBF3" w14:textId="77777777" w:rsidR="00B677D6" w:rsidRPr="00AC2556" w:rsidRDefault="00B677D6" w:rsidP="00183058">
      <w:pPr>
        <w:pStyle w:val="ListParagraph"/>
        <w:numPr>
          <w:ilvl w:val="1"/>
          <w:numId w:val="5"/>
        </w:numPr>
      </w:pPr>
      <w:r w:rsidRPr="00AC2556">
        <w:t>N.B header row 009 from P03.00 *not* included in DPM/XBRL (technical constraint).</w:t>
      </w:r>
    </w:p>
    <w:p w14:paraId="55B5EBF4" w14:textId="77777777" w:rsidR="00B677D6" w:rsidRPr="00AC2556" w:rsidRDefault="00B677D6" w:rsidP="00183058">
      <w:pPr>
        <w:pStyle w:val="ListParagraph"/>
        <w:numPr>
          <w:ilvl w:val="0"/>
          <w:numId w:val="5"/>
        </w:numPr>
      </w:pPr>
      <w:r w:rsidRPr="00AC2556">
        <w:t>Add C 06.01 (total summary for some columns of group solvency)</w:t>
      </w:r>
    </w:p>
    <w:p w14:paraId="55B5EBF5" w14:textId="77777777" w:rsidR="00B677D6" w:rsidRPr="00AC2556" w:rsidRDefault="00B677D6" w:rsidP="00183058">
      <w:pPr>
        <w:pStyle w:val="ListParagraph"/>
        <w:numPr>
          <w:ilvl w:val="0"/>
          <w:numId w:val="5"/>
        </w:numPr>
      </w:pPr>
      <w:r w:rsidRPr="00AC2556">
        <w:t>Change table number of C06.00 to C 06.02, label of open row to Entity Code for consistency</w:t>
      </w:r>
    </w:p>
    <w:p w14:paraId="55B5EBF6" w14:textId="77777777" w:rsidR="00B677D6" w:rsidRPr="00AC2556" w:rsidRDefault="00B677D6" w:rsidP="00183058">
      <w:pPr>
        <w:pStyle w:val="ListParagraph"/>
        <w:numPr>
          <w:ilvl w:val="0"/>
          <w:numId w:val="5"/>
        </w:numPr>
      </w:pPr>
      <w:r w:rsidRPr="00AC2556">
        <w:t>Add "Total" member to BT - used in C 06.01</w:t>
      </w:r>
    </w:p>
    <w:p w14:paraId="55B5EBF7" w14:textId="77777777" w:rsidR="00B677D6" w:rsidRPr="00AC2556" w:rsidRDefault="00B677D6" w:rsidP="00183058">
      <w:pPr>
        <w:pStyle w:val="ListParagraph"/>
        <w:numPr>
          <w:ilvl w:val="0"/>
          <w:numId w:val="5"/>
        </w:numPr>
      </w:pPr>
      <w:r w:rsidRPr="00AC2556">
        <w:t xml:space="preserve">C 22.00 row 260 ("Latvian </w:t>
      </w:r>
      <w:proofErr w:type="spellStart"/>
      <w:r w:rsidRPr="00AC2556">
        <w:t>Lats</w:t>
      </w:r>
      <w:proofErr w:type="spellEnd"/>
      <w:r w:rsidRPr="00AC2556">
        <w:t>") removed (old change)</w:t>
      </w:r>
    </w:p>
    <w:p w14:paraId="55B5EBF8" w14:textId="77777777" w:rsidR="00B677D6" w:rsidRPr="00AC2556" w:rsidRDefault="00B677D6" w:rsidP="00183058">
      <w:pPr>
        <w:pStyle w:val="ListParagraph"/>
        <w:numPr>
          <w:ilvl w:val="0"/>
          <w:numId w:val="5"/>
        </w:numPr>
      </w:pPr>
      <w:r w:rsidRPr="00AC2556">
        <w:t>F 16.07.a and F16.07.b row 145 ("Other" (impairments)) added</w:t>
      </w:r>
    </w:p>
    <w:p w14:paraId="55B5EBF9" w14:textId="77777777" w:rsidR="00B677D6" w:rsidRPr="00AC2556" w:rsidRDefault="00B677D6" w:rsidP="00183058">
      <w:pPr>
        <w:pStyle w:val="ListParagraph"/>
        <w:numPr>
          <w:ilvl w:val="0"/>
          <w:numId w:val="5"/>
        </w:numPr>
      </w:pPr>
      <w:r w:rsidRPr="00AC2556">
        <w:t>Delete restrictions in C 08.01a (c260, rows 040 - 060)</w:t>
      </w:r>
    </w:p>
    <w:p w14:paraId="55B5EBFA" w14:textId="77777777" w:rsidR="00B677D6" w:rsidRPr="00AC2556" w:rsidRDefault="00B677D6" w:rsidP="00183058">
      <w:pPr>
        <w:pStyle w:val="ListParagraph"/>
        <w:numPr>
          <w:ilvl w:val="0"/>
          <w:numId w:val="5"/>
        </w:numPr>
      </w:pPr>
      <w:r w:rsidRPr="00AC2556">
        <w:t>Shaded C12 column 360, rows 110 to 240</w:t>
      </w:r>
    </w:p>
    <w:p w14:paraId="55B5EBFB" w14:textId="77777777" w:rsidR="00B677D6" w:rsidRPr="00AC2556" w:rsidRDefault="00B677D6" w:rsidP="00183058">
      <w:pPr>
        <w:pStyle w:val="ListParagraph"/>
        <w:numPr>
          <w:ilvl w:val="0"/>
          <w:numId w:val="5"/>
        </w:numPr>
      </w:pPr>
      <w:r w:rsidRPr="00AC2556">
        <w:t>Shaded F07 col 110, rows 010-050</w:t>
      </w:r>
    </w:p>
    <w:p w14:paraId="55B5EBFC" w14:textId="77777777" w:rsidR="00B677D6" w:rsidRPr="00AC2556" w:rsidRDefault="00B677D6" w:rsidP="00183058">
      <w:pPr>
        <w:pStyle w:val="ListParagraph"/>
        <w:numPr>
          <w:ilvl w:val="0"/>
          <w:numId w:val="5"/>
        </w:numPr>
      </w:pPr>
      <w:r w:rsidRPr="00AC2556">
        <w:t>F 32.04.b, r060, c040-c050  greyed-out and  F 32.04.b, r070, c040-c050 whitened (unrestricted)</w:t>
      </w:r>
    </w:p>
    <w:p w14:paraId="55B5EBFD" w14:textId="77777777" w:rsidR="00B677D6" w:rsidRPr="00AC2556" w:rsidRDefault="00B677D6" w:rsidP="00183058">
      <w:pPr>
        <w:pStyle w:val="ListParagraph"/>
        <w:numPr>
          <w:ilvl w:val="0"/>
          <w:numId w:val="5"/>
        </w:numPr>
      </w:pPr>
      <w:r w:rsidRPr="00AC2556">
        <w:t>Change labels on C01.00 rows 350 &amp; 400 , C 06.02 Columns 140,170,200</w:t>
      </w:r>
    </w:p>
    <w:p w14:paraId="55B5EBFE" w14:textId="77777777" w:rsidR="00B677D6" w:rsidRPr="00AC2556" w:rsidRDefault="00B677D6" w:rsidP="00183058">
      <w:pPr>
        <w:pStyle w:val="ListParagraph"/>
        <w:numPr>
          <w:ilvl w:val="0"/>
          <w:numId w:val="5"/>
        </w:numPr>
      </w:pPr>
      <w:r w:rsidRPr="00AC2556">
        <w:t>Change labels on F01.01 r010, F04.04 c030 c040 , F07.00 c080 c090,F12.00 r020 r160, F20.04 r210</w:t>
      </w:r>
    </w:p>
    <w:p w14:paraId="55B5EBFF" w14:textId="77777777" w:rsidR="00AC2556" w:rsidRPr="00AC2556" w:rsidRDefault="00B677D6" w:rsidP="00183058">
      <w:pPr>
        <w:pStyle w:val="ListParagraph"/>
        <w:numPr>
          <w:ilvl w:val="0"/>
          <w:numId w:val="5"/>
        </w:numPr>
      </w:pPr>
      <w:r w:rsidRPr="00AC2556">
        <w:t>Change label on F 18.00.b c170</w:t>
      </w:r>
    </w:p>
    <w:p w14:paraId="55B5EC00" w14:textId="77777777" w:rsidR="00B677D6" w:rsidRPr="00AC2556" w:rsidRDefault="00AC2556" w:rsidP="00183058">
      <w:pPr>
        <w:pStyle w:val="ListParagraph"/>
        <w:numPr>
          <w:ilvl w:val="0"/>
          <w:numId w:val="5"/>
        </w:numPr>
      </w:pPr>
      <w:r w:rsidRPr="00AC2556">
        <w:lastRenderedPageBreak/>
        <w:t>Various v</w:t>
      </w:r>
      <w:r w:rsidR="00B677D6" w:rsidRPr="00AC2556">
        <w:t>alidation rule changes</w:t>
      </w:r>
      <w:r w:rsidRPr="00AC2556">
        <w:t>.</w:t>
      </w:r>
    </w:p>
    <w:p w14:paraId="55B5EC01" w14:textId="77777777" w:rsidR="00B677D6" w:rsidRPr="00AC2556" w:rsidRDefault="00B677D6" w:rsidP="00B677D6">
      <w:r w:rsidRPr="00AC2556">
        <w:t>N.B. Deactivations not necessarily perfectly up to date with published lists, additional deactivation list for 2.2 (and 2.1) to bring in line to be published shortly.</w:t>
      </w:r>
    </w:p>
    <w:p w14:paraId="55B5EC02" w14:textId="77777777" w:rsidR="00B677D6" w:rsidRPr="00AC2556" w:rsidRDefault="00B677D6" w:rsidP="00D515AE">
      <w:pPr>
        <w:pStyle w:val="Titlelevel2"/>
      </w:pPr>
      <w:r w:rsidRPr="00AC2556">
        <w:t>Taxonomy Changes</w:t>
      </w:r>
    </w:p>
    <w:p w14:paraId="55B5EC03" w14:textId="77777777" w:rsidR="00B677D6" w:rsidRPr="00AC2556" w:rsidRDefault="00B677D6" w:rsidP="00183058">
      <w:pPr>
        <w:pStyle w:val="ListParagraph"/>
        <w:numPr>
          <w:ilvl w:val="0"/>
          <w:numId w:val="5"/>
        </w:numPr>
      </w:pPr>
      <w:r w:rsidRPr="00AC2556">
        <w:t>Addition of FP reporting taxonomy.</w:t>
      </w:r>
    </w:p>
    <w:p w14:paraId="55B5EC04" w14:textId="77777777" w:rsidR="00B677D6" w:rsidRPr="00AC2556" w:rsidRDefault="00B677D6" w:rsidP="00183058">
      <w:pPr>
        <w:pStyle w:val="ListParagraph"/>
        <w:numPr>
          <w:ilvl w:val="0"/>
          <w:numId w:val="5"/>
        </w:numPr>
      </w:pPr>
      <w:r w:rsidRPr="00AC2556">
        <w:t>Creation of x.x.x.1 version of old taxonomies to include suitable non-breaking changes (i.e. could be used interchangeably with x.x.x.0 versions)</w:t>
      </w:r>
    </w:p>
    <w:p w14:paraId="55B5EC05" w14:textId="77777777" w:rsidR="00B677D6" w:rsidRPr="00AC2556" w:rsidRDefault="00B677D6" w:rsidP="00183058">
      <w:pPr>
        <w:pStyle w:val="ListParagraph"/>
        <w:numPr>
          <w:ilvl w:val="1"/>
          <w:numId w:val="5"/>
        </w:numPr>
      </w:pPr>
      <w:r w:rsidRPr="00AC2556">
        <w:t>Simple label corrections</w:t>
      </w:r>
    </w:p>
    <w:p w14:paraId="55B5EC06" w14:textId="77777777" w:rsidR="00B677D6" w:rsidRPr="00AC2556" w:rsidRDefault="00B677D6" w:rsidP="00183058">
      <w:pPr>
        <w:pStyle w:val="ListParagraph"/>
        <w:numPr>
          <w:ilvl w:val="1"/>
          <w:numId w:val="5"/>
        </w:numPr>
      </w:pPr>
      <w:r w:rsidRPr="00AC2556">
        <w:t>Addition of taxonomy end dates (and change of notional date for AE 1.0.0)</w:t>
      </w:r>
    </w:p>
    <w:p w14:paraId="55B5EC07" w14:textId="77777777" w:rsidR="00B677D6" w:rsidRPr="00AC2556" w:rsidRDefault="00B677D6" w:rsidP="00183058">
      <w:pPr>
        <w:pStyle w:val="ListParagraph"/>
        <w:numPr>
          <w:ilvl w:val="1"/>
          <w:numId w:val="5"/>
        </w:numPr>
      </w:pPr>
      <w:r w:rsidRPr="00AC2556">
        <w:t>N.B. these x.x.x.1 versions have the same dictionary package requirements as the originally released x.x.x.0 versions.</w:t>
      </w:r>
    </w:p>
    <w:p w14:paraId="55B5EC08" w14:textId="77777777" w:rsidR="00B677D6" w:rsidRPr="00AC2556" w:rsidRDefault="00B677D6" w:rsidP="00183058">
      <w:pPr>
        <w:pStyle w:val="ListParagraph"/>
        <w:numPr>
          <w:ilvl w:val="1"/>
          <w:numId w:val="5"/>
        </w:numPr>
      </w:pPr>
      <w:r w:rsidRPr="00AC2556">
        <w:t>There is no requirement to adapt system to utilise these versions rather than the x.x.x.0 versions.</w:t>
      </w:r>
    </w:p>
    <w:p w14:paraId="55B5EC09" w14:textId="77777777" w:rsidR="00A55E27" w:rsidRDefault="00A55E27" w:rsidP="00D515AE">
      <w:pPr>
        <w:pStyle w:val="Titlelevel3"/>
      </w:pPr>
      <w:r>
        <w:t xml:space="preserve">Change of XBRL Taxonomy Package labelling pattern </w:t>
      </w:r>
    </w:p>
    <w:p w14:paraId="55B5EC0A" w14:textId="77777777" w:rsidR="00A55E27" w:rsidRPr="00A55E27" w:rsidRDefault="00A55E27" w:rsidP="00A55E27">
      <w:r>
        <w:t xml:space="preserve">To simplify the association of taxonomy versions with the related ITS/DPM/reporting requirements package the taxonomy packages in this release are named according </w:t>
      </w:r>
      <w:r w:rsidR="005909B9">
        <w:t>to the pattern</w:t>
      </w:r>
    </w:p>
    <w:p w14:paraId="55B5EC0B" w14:textId="77777777" w:rsidR="00A55E27" w:rsidRPr="005909B9" w:rsidRDefault="00A55E27" w:rsidP="00A55E27">
      <w:pPr>
        <w:rPr>
          <w:b/>
          <w:color w:val="3F8BD0" w:themeColor="accent6" w:themeTint="99"/>
        </w:rPr>
      </w:pPr>
      <w:proofErr w:type="gramStart"/>
      <w:r w:rsidRPr="005909B9">
        <w:rPr>
          <w:b/>
          <w:color w:val="3F8BD0" w:themeColor="accent6" w:themeTint="99"/>
        </w:rPr>
        <w:t>eba</w:t>
      </w:r>
      <w:r w:rsidRPr="005909B9">
        <w:rPr>
          <w:b/>
          <w:color w:val="D44D2A" w:themeColor="accent3"/>
          <w:u w:val="single"/>
        </w:rPr>
        <w:t>_VERSIONOFDPM/BUSINESSPACKAGE_</w:t>
      </w:r>
      <w:r w:rsidRPr="005909B9">
        <w:rPr>
          <w:b/>
          <w:color w:val="3F8BD0" w:themeColor="accent6" w:themeTint="99"/>
        </w:rPr>
        <w:t>reportingtaxonomycode_VERSIONOFTAXONOMY</w:t>
      </w:r>
      <w:proofErr w:type="gramEnd"/>
      <w:r w:rsidRPr="005909B9">
        <w:rPr>
          <w:b/>
          <w:color w:val="3F8BD0" w:themeColor="accent6" w:themeTint="99"/>
        </w:rPr>
        <w:t xml:space="preserve"> </w:t>
      </w:r>
    </w:p>
    <w:p w14:paraId="55B5EC0C" w14:textId="77777777" w:rsidR="00A55E27" w:rsidRDefault="00A55E27" w:rsidP="00A55E27">
      <w:r>
        <w:t xml:space="preserve">e.g. </w:t>
      </w:r>
      <w:r w:rsidRPr="00924C0E">
        <w:t>eba_corep_2.0.</w:t>
      </w:r>
      <w:r w:rsidR="005909B9">
        <w:t>2.1</w:t>
      </w:r>
      <w:r>
        <w:t xml:space="preserve">.zip </w:t>
      </w:r>
      <w:r>
        <w:sym w:font="Wingdings" w:char="F0E0"/>
      </w:r>
      <w:r w:rsidR="005909B9">
        <w:t xml:space="preserve"> eba</w:t>
      </w:r>
      <w:r w:rsidR="005909B9" w:rsidRPr="005909B9">
        <w:rPr>
          <w:color w:val="D44D2A" w:themeColor="accent3"/>
        </w:rPr>
        <w:t>_2.2_</w:t>
      </w:r>
      <w:r w:rsidR="005909B9">
        <w:t>corep_2.0.2.1.zip</w:t>
      </w:r>
    </w:p>
    <w:p w14:paraId="55B5EC0D" w14:textId="77777777" w:rsidR="00A55E27" w:rsidRDefault="00A55E27" w:rsidP="00A55E27">
      <w:pPr>
        <w:rPr>
          <w:rFonts w:ascii="Courier New" w:hAnsi="Courier New" w:cs="Courier New"/>
          <w:i/>
          <w:color w:val="808080" w:themeColor="background1" w:themeShade="80"/>
        </w:rPr>
      </w:pPr>
    </w:p>
    <w:tbl>
      <w:tblPr>
        <w:tblStyle w:val="EBAtable"/>
        <w:tblW w:w="9242" w:type="dxa"/>
        <w:tblLook w:val="04A0" w:firstRow="1" w:lastRow="0" w:firstColumn="1" w:lastColumn="0" w:noHBand="0" w:noVBand="1"/>
      </w:tblPr>
      <w:tblGrid>
        <w:gridCol w:w="3975"/>
        <w:gridCol w:w="5267"/>
      </w:tblGrid>
      <w:tr w:rsidR="00A55E27" w:rsidRPr="005B4BEF" w14:paraId="55B5EC10" w14:textId="77777777" w:rsidTr="00AA0EE8">
        <w:trPr>
          <w:cnfStyle w:val="100000000000" w:firstRow="1" w:lastRow="0" w:firstColumn="0" w:lastColumn="0" w:oddVBand="0" w:evenVBand="0" w:oddHBand="0" w:evenHBand="0" w:firstRowFirstColumn="0" w:firstRowLastColumn="0" w:lastRowFirstColumn="0" w:lastRowLastColumn="0"/>
        </w:trPr>
        <w:tc>
          <w:tcPr>
            <w:tcW w:w="3975" w:type="dxa"/>
          </w:tcPr>
          <w:p w14:paraId="55B5EC0E" w14:textId="77777777" w:rsidR="00A55E27" w:rsidRPr="005B4BEF" w:rsidRDefault="00A55E27" w:rsidP="00AA0EE8">
            <w:pPr>
              <w:pStyle w:val="Tableheader"/>
            </w:pPr>
            <w:r>
              <w:t>Old</w:t>
            </w:r>
          </w:p>
        </w:tc>
        <w:tc>
          <w:tcPr>
            <w:tcW w:w="5267" w:type="dxa"/>
          </w:tcPr>
          <w:p w14:paraId="55B5EC0F" w14:textId="77777777" w:rsidR="00A55E27" w:rsidRPr="005B4BEF" w:rsidRDefault="00A55E27" w:rsidP="00AA0EE8">
            <w:pPr>
              <w:pStyle w:val="Tableheader"/>
            </w:pPr>
            <w:r w:rsidRPr="005B4BEF">
              <w:t>Becomes</w:t>
            </w:r>
            <w:r w:rsidR="005909B9">
              <w:t>/New in 2.2</w:t>
            </w:r>
          </w:p>
        </w:tc>
      </w:tr>
      <w:tr w:rsidR="00A55E27" w:rsidRPr="005B4BEF" w14:paraId="55B5EC13" w14:textId="77777777" w:rsidTr="00AA0EE8">
        <w:trPr>
          <w:trHeight w:val="170"/>
        </w:trPr>
        <w:tc>
          <w:tcPr>
            <w:tcW w:w="3975" w:type="dxa"/>
          </w:tcPr>
          <w:p w14:paraId="55B5EC11" w14:textId="77777777" w:rsidR="00A55E27" w:rsidRPr="005B4BEF" w:rsidRDefault="00A55E27" w:rsidP="00AA0EE8">
            <w:pPr>
              <w:pStyle w:val="Tabledata"/>
            </w:pPr>
            <w:r w:rsidRPr="005B4BEF">
              <w:t>eba_finrep_2.0.1.1.zip</w:t>
            </w:r>
          </w:p>
        </w:tc>
        <w:tc>
          <w:tcPr>
            <w:tcW w:w="5267" w:type="dxa"/>
          </w:tcPr>
          <w:p w14:paraId="55B5EC12" w14:textId="77777777" w:rsidR="00A55E27" w:rsidRPr="005B4BEF" w:rsidRDefault="00A55E27" w:rsidP="00AA0EE8">
            <w:pPr>
              <w:pStyle w:val="Tabledata"/>
            </w:pPr>
            <w:r w:rsidRPr="005B4BEF">
              <w:t>eba_</w:t>
            </w:r>
            <w:r>
              <w:t>2.0_</w:t>
            </w:r>
            <w:r w:rsidRPr="005B4BEF">
              <w:t>finrep_2.0.1.1.zip</w:t>
            </w:r>
          </w:p>
        </w:tc>
      </w:tr>
      <w:tr w:rsidR="00A55E27" w:rsidRPr="005B4BEF" w14:paraId="55B5EC16" w14:textId="77777777" w:rsidTr="00AA0EE8">
        <w:trPr>
          <w:trHeight w:val="170"/>
        </w:trPr>
        <w:tc>
          <w:tcPr>
            <w:tcW w:w="3975" w:type="dxa"/>
          </w:tcPr>
          <w:p w14:paraId="55B5EC14" w14:textId="77777777" w:rsidR="00A55E27" w:rsidRPr="005B4BEF" w:rsidRDefault="00A55E27" w:rsidP="00AA0EE8">
            <w:pPr>
              <w:pStyle w:val="Tabledata"/>
            </w:pPr>
            <w:r w:rsidRPr="005B4BEF">
              <w:t xml:space="preserve">eba_corep_2.0.1.1.zip </w:t>
            </w:r>
          </w:p>
        </w:tc>
        <w:tc>
          <w:tcPr>
            <w:tcW w:w="5267" w:type="dxa"/>
          </w:tcPr>
          <w:p w14:paraId="55B5EC15" w14:textId="77777777" w:rsidR="00A55E27" w:rsidRPr="005B4BEF" w:rsidRDefault="00A55E27" w:rsidP="00AA0EE8">
            <w:pPr>
              <w:pStyle w:val="Tabledata"/>
            </w:pPr>
            <w:r w:rsidRPr="005B4BEF">
              <w:t>eba_</w:t>
            </w:r>
            <w:r>
              <w:t>2.0_</w:t>
            </w:r>
            <w:r w:rsidRPr="005B4BEF">
              <w:t xml:space="preserve">corep_2.0.1.1.zip </w:t>
            </w:r>
          </w:p>
        </w:tc>
      </w:tr>
      <w:tr w:rsidR="00A55E27" w:rsidRPr="005B4BEF" w14:paraId="55B5EC19" w14:textId="77777777" w:rsidTr="00A55E27">
        <w:trPr>
          <w:trHeight w:val="170"/>
        </w:trPr>
        <w:tc>
          <w:tcPr>
            <w:tcW w:w="3975" w:type="dxa"/>
          </w:tcPr>
          <w:p w14:paraId="55B5EC17" w14:textId="77777777" w:rsidR="00A55E27" w:rsidRPr="005B4BEF" w:rsidRDefault="00A55E27" w:rsidP="00AA0EE8">
            <w:pPr>
              <w:pStyle w:val="Tabledata"/>
            </w:pPr>
            <w:r w:rsidRPr="005B4BEF">
              <w:t>eba_ae_1.0.0.1.zip</w:t>
            </w:r>
          </w:p>
        </w:tc>
        <w:tc>
          <w:tcPr>
            <w:tcW w:w="5267" w:type="dxa"/>
          </w:tcPr>
          <w:p w14:paraId="55B5EC18" w14:textId="77777777" w:rsidR="00A55E27" w:rsidRPr="005B4BEF" w:rsidRDefault="00A55E27" w:rsidP="00AA0EE8">
            <w:pPr>
              <w:pStyle w:val="Tabledata"/>
            </w:pPr>
            <w:r w:rsidRPr="005B4BEF">
              <w:t>eba_</w:t>
            </w:r>
            <w:r>
              <w:t>2.1_</w:t>
            </w:r>
            <w:r w:rsidRPr="005B4BEF">
              <w:t>ae_1.0.0.1.zip</w:t>
            </w:r>
          </w:p>
        </w:tc>
      </w:tr>
      <w:tr w:rsidR="00A55E27" w:rsidRPr="005B4BEF" w14:paraId="55B5EC1C" w14:textId="77777777" w:rsidTr="00A55E27">
        <w:trPr>
          <w:trHeight w:val="170"/>
        </w:trPr>
        <w:tc>
          <w:tcPr>
            <w:tcW w:w="3975" w:type="dxa"/>
          </w:tcPr>
          <w:p w14:paraId="55B5EC1A" w14:textId="77777777" w:rsidR="00A55E27" w:rsidRPr="005B4BEF" w:rsidRDefault="00A55E27" w:rsidP="00AA0EE8">
            <w:pPr>
              <w:pStyle w:val="Tabledata"/>
            </w:pPr>
            <w:r w:rsidRPr="005B4BEF">
              <w:t>eba_corep_2.0.2.1.zip</w:t>
            </w:r>
          </w:p>
        </w:tc>
        <w:tc>
          <w:tcPr>
            <w:tcW w:w="5267" w:type="dxa"/>
          </w:tcPr>
          <w:p w14:paraId="55B5EC1B" w14:textId="77777777" w:rsidR="00A55E27" w:rsidRPr="005B4BEF" w:rsidRDefault="00A55E27" w:rsidP="00AA0EE8">
            <w:pPr>
              <w:pStyle w:val="Tabledata"/>
            </w:pPr>
            <w:r w:rsidRPr="005B4BEF">
              <w:t>eba_</w:t>
            </w:r>
            <w:r>
              <w:t>2.1_</w:t>
            </w:r>
            <w:r w:rsidRPr="005B4BEF">
              <w:t>corep_2.0.2.1.zip</w:t>
            </w:r>
          </w:p>
        </w:tc>
      </w:tr>
      <w:tr w:rsidR="00A55E27" w:rsidRPr="005B4BEF" w14:paraId="55B5EC1F" w14:textId="77777777" w:rsidTr="00A55E27">
        <w:trPr>
          <w:trHeight w:val="170"/>
        </w:trPr>
        <w:tc>
          <w:tcPr>
            <w:tcW w:w="3975" w:type="dxa"/>
          </w:tcPr>
          <w:p w14:paraId="55B5EC1D" w14:textId="77777777" w:rsidR="00A55E27" w:rsidRPr="005B4BEF" w:rsidRDefault="00A55E27" w:rsidP="00AA0EE8">
            <w:pPr>
              <w:pStyle w:val="Tabledata"/>
            </w:pPr>
            <w:r w:rsidRPr="005B4BEF">
              <w:t>eba_finrep_2.1.0.1.zip</w:t>
            </w:r>
          </w:p>
        </w:tc>
        <w:tc>
          <w:tcPr>
            <w:tcW w:w="5267" w:type="dxa"/>
          </w:tcPr>
          <w:p w14:paraId="55B5EC1E" w14:textId="77777777" w:rsidR="00A55E27" w:rsidRPr="005B4BEF" w:rsidRDefault="00A55E27" w:rsidP="00AA0EE8">
            <w:pPr>
              <w:pStyle w:val="Tabledata"/>
            </w:pPr>
            <w:r w:rsidRPr="005B4BEF">
              <w:t>eba_</w:t>
            </w:r>
            <w:r>
              <w:t>2.1_</w:t>
            </w:r>
            <w:r w:rsidRPr="005B4BEF">
              <w:t>finrep_2.1.0.1.zip</w:t>
            </w:r>
          </w:p>
        </w:tc>
      </w:tr>
      <w:tr w:rsidR="00A55E27" w:rsidRPr="005B4BEF" w14:paraId="55B5EC22" w14:textId="77777777" w:rsidTr="00AA0EE8">
        <w:trPr>
          <w:trHeight w:val="170"/>
        </w:trPr>
        <w:tc>
          <w:tcPr>
            <w:tcW w:w="3975" w:type="dxa"/>
          </w:tcPr>
          <w:p w14:paraId="55B5EC20" w14:textId="77777777" w:rsidR="00A55E27" w:rsidRPr="005909B9" w:rsidRDefault="00A55E27" w:rsidP="00AA0EE8">
            <w:pPr>
              <w:pStyle w:val="Tabledata"/>
              <w:rPr>
                <w:i/>
              </w:rPr>
            </w:pPr>
          </w:p>
        </w:tc>
        <w:tc>
          <w:tcPr>
            <w:tcW w:w="5267" w:type="dxa"/>
          </w:tcPr>
          <w:p w14:paraId="55B5EC21" w14:textId="77777777" w:rsidR="00A55E27" w:rsidRPr="005B4BEF" w:rsidRDefault="00A55E27" w:rsidP="00AA0EE8">
            <w:pPr>
              <w:pStyle w:val="Tabledata"/>
            </w:pPr>
            <w:r w:rsidRPr="005B4BEF">
              <w:t>eba_</w:t>
            </w:r>
            <w:r>
              <w:t>2.2_</w:t>
            </w:r>
            <w:r w:rsidRPr="005B4BEF">
              <w:t>ae_1.0.1.0.zip</w:t>
            </w:r>
          </w:p>
        </w:tc>
      </w:tr>
      <w:tr w:rsidR="00A55E27" w:rsidRPr="005B4BEF" w14:paraId="55B5EC25" w14:textId="77777777" w:rsidTr="00AA0EE8">
        <w:trPr>
          <w:trHeight w:val="170"/>
        </w:trPr>
        <w:tc>
          <w:tcPr>
            <w:tcW w:w="3975" w:type="dxa"/>
          </w:tcPr>
          <w:p w14:paraId="55B5EC23" w14:textId="77777777" w:rsidR="00A55E27" w:rsidRPr="005909B9" w:rsidRDefault="00A55E27" w:rsidP="00AA0EE8">
            <w:pPr>
              <w:pStyle w:val="Tabledata"/>
              <w:rPr>
                <w:i/>
              </w:rPr>
            </w:pPr>
          </w:p>
        </w:tc>
        <w:tc>
          <w:tcPr>
            <w:tcW w:w="5267" w:type="dxa"/>
          </w:tcPr>
          <w:p w14:paraId="55B5EC24" w14:textId="77777777" w:rsidR="00A55E27" w:rsidRPr="005B4BEF" w:rsidRDefault="00A55E27" w:rsidP="00AA0EE8">
            <w:pPr>
              <w:pStyle w:val="Tabledata"/>
            </w:pPr>
            <w:r w:rsidRPr="005B4BEF">
              <w:t>eba_</w:t>
            </w:r>
            <w:r>
              <w:t>2.2_</w:t>
            </w:r>
            <w:r w:rsidRPr="005B4BEF">
              <w:t>corep_2.0.3.0.zip</w:t>
            </w:r>
          </w:p>
        </w:tc>
      </w:tr>
      <w:tr w:rsidR="00A55E27" w:rsidRPr="005B4BEF" w14:paraId="55B5EC28" w14:textId="77777777" w:rsidTr="00AA0EE8">
        <w:trPr>
          <w:trHeight w:val="170"/>
        </w:trPr>
        <w:tc>
          <w:tcPr>
            <w:tcW w:w="3975" w:type="dxa"/>
          </w:tcPr>
          <w:p w14:paraId="55B5EC26" w14:textId="77777777" w:rsidR="00A55E27" w:rsidRPr="005909B9" w:rsidRDefault="00A55E27" w:rsidP="00AA0EE8">
            <w:pPr>
              <w:pStyle w:val="Tabledata"/>
              <w:rPr>
                <w:i/>
              </w:rPr>
            </w:pPr>
          </w:p>
        </w:tc>
        <w:tc>
          <w:tcPr>
            <w:tcW w:w="5267" w:type="dxa"/>
          </w:tcPr>
          <w:p w14:paraId="55B5EC27" w14:textId="77777777" w:rsidR="00A55E27" w:rsidRPr="005B4BEF" w:rsidRDefault="00A55E27" w:rsidP="00AA0EE8">
            <w:pPr>
              <w:pStyle w:val="Tabledata"/>
            </w:pPr>
            <w:r w:rsidRPr="005B4BEF">
              <w:t>eba_</w:t>
            </w:r>
            <w:r>
              <w:t>2.2_</w:t>
            </w:r>
            <w:r w:rsidRPr="005B4BEF">
              <w:t>finrep_2.1.1.0.zip</w:t>
            </w:r>
          </w:p>
        </w:tc>
      </w:tr>
      <w:tr w:rsidR="00A55E27" w:rsidRPr="005B4BEF" w14:paraId="55B5EC2B" w14:textId="77777777" w:rsidTr="00AA0EE8">
        <w:trPr>
          <w:trHeight w:val="170"/>
        </w:trPr>
        <w:tc>
          <w:tcPr>
            <w:tcW w:w="3975" w:type="dxa"/>
          </w:tcPr>
          <w:p w14:paraId="55B5EC29" w14:textId="77777777" w:rsidR="00A55E27" w:rsidRPr="005909B9" w:rsidRDefault="00A55E27" w:rsidP="00AA0EE8">
            <w:pPr>
              <w:pStyle w:val="Tabledata"/>
              <w:rPr>
                <w:i/>
              </w:rPr>
            </w:pPr>
          </w:p>
        </w:tc>
        <w:tc>
          <w:tcPr>
            <w:tcW w:w="5267" w:type="dxa"/>
          </w:tcPr>
          <w:p w14:paraId="55B5EC2A" w14:textId="77777777" w:rsidR="00A55E27" w:rsidRPr="005B4BEF" w:rsidRDefault="00A55E27" w:rsidP="00AA0EE8">
            <w:pPr>
              <w:pStyle w:val="Tabledata"/>
            </w:pPr>
            <w:r w:rsidRPr="005B4BEF">
              <w:t>eba_</w:t>
            </w:r>
            <w:r>
              <w:t>2.2_</w:t>
            </w:r>
            <w:r w:rsidRPr="005B4BEF">
              <w:t>fp_1.0.0.0.zip</w:t>
            </w:r>
          </w:p>
        </w:tc>
      </w:tr>
      <w:tr w:rsidR="00A55E27" w:rsidRPr="005B4BEF" w14:paraId="55B5EC2E" w14:textId="77777777" w:rsidTr="00AA0EE8">
        <w:trPr>
          <w:trHeight w:val="170"/>
        </w:trPr>
        <w:tc>
          <w:tcPr>
            <w:tcW w:w="3975" w:type="dxa"/>
          </w:tcPr>
          <w:p w14:paraId="55B5EC2C" w14:textId="77777777" w:rsidR="00A55E27" w:rsidRPr="005909B9" w:rsidRDefault="00A55E27" w:rsidP="00AA0EE8">
            <w:pPr>
              <w:pStyle w:val="Tabledata"/>
              <w:rPr>
                <w:i/>
              </w:rPr>
            </w:pPr>
          </w:p>
        </w:tc>
        <w:tc>
          <w:tcPr>
            <w:tcW w:w="5267" w:type="dxa"/>
          </w:tcPr>
          <w:p w14:paraId="55B5EC2D" w14:textId="77777777" w:rsidR="00A55E27" w:rsidRPr="005B4BEF" w:rsidRDefault="00A55E27" w:rsidP="00AA0EE8">
            <w:pPr>
              <w:pStyle w:val="Tabledata"/>
            </w:pPr>
            <w:r w:rsidRPr="005B4BEF">
              <w:t>eba_</w:t>
            </w:r>
            <w:r>
              <w:t>2.2_</w:t>
            </w:r>
            <w:r w:rsidRPr="005B4BEF">
              <w:t>dict_2.2.0.0.zip</w:t>
            </w:r>
          </w:p>
        </w:tc>
      </w:tr>
    </w:tbl>
    <w:p w14:paraId="55B5EC2F" w14:textId="77777777" w:rsidR="00AC2556" w:rsidRDefault="00AC2556" w:rsidP="00AC2556"/>
    <w:p w14:paraId="55B5EC30" w14:textId="77777777" w:rsidR="005909B9" w:rsidRDefault="005909B9" w:rsidP="00D515AE">
      <w:pPr>
        <w:pStyle w:val="Titlelevel3"/>
      </w:pPr>
      <w:proofErr w:type="gramStart"/>
      <w:r w:rsidRPr="00593C0F">
        <w:t>Blocking of use of non-explicitly mentioned metrics</w:t>
      </w:r>
      <w:r>
        <w:t xml:space="preserve"> at XBRL level</w:t>
      </w:r>
      <w:r w:rsidRPr="00593C0F">
        <w:t>.</w:t>
      </w:r>
      <w:proofErr w:type="gramEnd"/>
      <w:r>
        <w:t xml:space="preserve"> </w:t>
      </w:r>
    </w:p>
    <w:p w14:paraId="55B5EC31" w14:textId="77777777" w:rsidR="005909B9" w:rsidRDefault="005909B9" w:rsidP="005909B9">
      <w:r>
        <w:t xml:space="preserve">Every metric is now linked to a “null” hypercube by default that contains a link to a dimension with no members (i.e. the hypercube actually has no possible elements). The result of this is that any </w:t>
      </w:r>
      <w:r>
        <w:lastRenderedPageBreak/>
        <w:t>metrics included in an instance that are not explicitly given allowed usage in a module (i.e. are supposed to be reported in that report) will now fail XBRL dimensional validation.</w:t>
      </w:r>
    </w:p>
    <w:p w14:paraId="55B5EC32" w14:textId="77777777" w:rsidR="005909B9" w:rsidRDefault="005909B9" w:rsidP="005909B9">
      <w:r>
        <w:t xml:space="preserve">Previously the mechanics of the XBRL specification meant that metrics mentioned without *any* hypercube(s) attached could be used legitimately (at the XBRL level) with any dimensional contexts (they were excluded from dimensional validation).  Since each EBA module imported all the EBA metrics </w:t>
      </w:r>
      <w:proofErr w:type="spellStart"/>
      <w:r>
        <w:t>en</w:t>
      </w:r>
      <w:proofErr w:type="spellEnd"/>
      <w:r>
        <w:t xml:space="preserve"> masse, this meant that any metric *not* actually intended to be used in a particular module, and hence without an explicit hypercube associated in that module, could be used in any dimensional combination without triggering an XBRL validation failure (These instances would breach filing rule 1.8.1 however.</w:t>
      </w:r>
    </w:p>
    <w:p w14:paraId="55B5EC33" w14:textId="77777777" w:rsidR="005909B9" w:rsidRDefault="005909B9" w:rsidP="005909B9">
      <w:r>
        <w:t xml:space="preserve">This will now trigger an XBRL dimensional validation failure, achieved by: </w:t>
      </w:r>
    </w:p>
    <w:p w14:paraId="55B5EC34" w14:textId="77777777" w:rsidR="005909B9" w:rsidRDefault="005909B9" w:rsidP="00183058">
      <w:pPr>
        <w:pStyle w:val="ListParagraph"/>
        <w:numPr>
          <w:ilvl w:val="0"/>
          <w:numId w:val="5"/>
        </w:numPr>
      </w:pPr>
      <w:r>
        <w:t xml:space="preserve">Addition of a specific </w:t>
      </w:r>
      <w:proofErr w:type="spellStart"/>
      <w:r>
        <w:t>roleType</w:t>
      </w:r>
      <w:proofErr w:type="spellEnd"/>
      <w:r>
        <w:t xml:space="preserve"> and dummy “</w:t>
      </w:r>
      <w:proofErr w:type="spellStart"/>
      <w:r>
        <w:t>NullDimension</w:t>
      </w:r>
      <w:proofErr w:type="spellEnd"/>
      <w:r>
        <w:t xml:space="preserve">” dimension into the EBA model.xsd file. </w:t>
      </w:r>
    </w:p>
    <w:p w14:paraId="55B5EC35" w14:textId="77777777" w:rsidR="005909B9" w:rsidRDefault="005909B9" w:rsidP="00183058">
      <w:pPr>
        <w:pStyle w:val="ListParagraph"/>
        <w:numPr>
          <w:ilvl w:val="0"/>
          <w:numId w:val="5"/>
        </w:numPr>
      </w:pPr>
      <w:r>
        <w:t>Creation of a met-def.xml file that links all metrics to a hypercube linked to this null dimension (but not to any members).</w:t>
      </w:r>
    </w:p>
    <w:p w14:paraId="55B5EC36" w14:textId="77777777" w:rsidR="00237B31" w:rsidRDefault="005909B9" w:rsidP="00183058">
      <w:pPr>
        <w:pStyle w:val="ListParagraph"/>
        <w:numPr>
          <w:ilvl w:val="0"/>
          <w:numId w:val="5"/>
        </w:numPr>
      </w:pPr>
      <w:r>
        <w:t>Linking from each of the new entry points to this met-def.xml file.</w:t>
      </w:r>
    </w:p>
    <w:p w14:paraId="55B5EC37" w14:textId="77777777" w:rsidR="00237B31" w:rsidRDefault="00237B31" w:rsidP="00237B31"/>
    <w:p w14:paraId="55B5EC38" w14:textId="77777777" w:rsidR="00237B31" w:rsidRDefault="005909B9" w:rsidP="00237B31">
      <w:r>
        <w:t xml:space="preserve">Since the </w:t>
      </w:r>
      <w:proofErr w:type="spellStart"/>
      <w:r>
        <w:t>hypercubes</w:t>
      </w:r>
      <w:proofErr w:type="spellEnd"/>
      <w:r>
        <w:t xml:space="preserve"> used are additive, any metric intended to be used in a module will also be associated with additional </w:t>
      </w:r>
      <w:proofErr w:type="spellStart"/>
      <w:proofErr w:type="gramStart"/>
      <w:r>
        <w:t>hypercubes</w:t>
      </w:r>
      <w:proofErr w:type="spellEnd"/>
      <w:r>
        <w:t>, that</w:t>
      </w:r>
      <w:proofErr w:type="gramEnd"/>
      <w:r>
        <w:t xml:space="preserve"> will allow it to be used as intended. All others will only have the null hypercube, making them unusable. As they will however have </w:t>
      </w:r>
      <w:r w:rsidRPr="00237B31">
        <w:rPr>
          <w:b/>
        </w:rPr>
        <w:t>a</w:t>
      </w:r>
      <w:r>
        <w:t xml:space="preserve"> hypercube (i.e. the null hypercube) associated they will be eligible for XBRL dimensional validation to enforce their non-use.</w:t>
      </w:r>
    </w:p>
    <w:p w14:paraId="55B5EC39" w14:textId="77777777" w:rsidR="00237B31" w:rsidRDefault="00237B31" w:rsidP="00237B31"/>
    <w:p w14:paraId="55B5EC3A" w14:textId="77777777" w:rsidR="00237B31" w:rsidRDefault="00237B31" w:rsidP="00237B31">
      <w:pPr>
        <w:pStyle w:val="Heading2"/>
      </w:pPr>
      <w:proofErr w:type="gramStart"/>
      <w:r>
        <w:t>v2.1.0.1</w:t>
      </w:r>
      <w:proofErr w:type="gramEnd"/>
      <w:r>
        <w:t xml:space="preserve"> DPM Errata</w:t>
      </w:r>
      <w:r>
        <w:rPr>
          <w:rFonts w:ascii="Arial" w:hAnsi="Arial" w:cs="Arial"/>
          <w:color w:val="696969"/>
          <w:sz w:val="18"/>
          <w:szCs w:val="18"/>
          <w:shd w:val="clear" w:color="auto" w:fill="FFFFFF"/>
        </w:rPr>
        <w:t>(28/07/2014)</w:t>
      </w:r>
    </w:p>
    <w:p w14:paraId="55B5EC3B" w14:textId="77777777" w:rsidR="00AC2556" w:rsidRPr="003D5718" w:rsidRDefault="00237B31" w:rsidP="00237B31">
      <w:pPr>
        <w:pStyle w:val="Subtitle"/>
      </w:pPr>
      <w:r w:rsidRPr="00237B31">
        <w:t>Correction of minor errors in DPM Database</w:t>
      </w:r>
      <w:r w:rsidR="003D5718">
        <w:t xml:space="preserve"> </w:t>
      </w:r>
    </w:p>
    <w:p w14:paraId="55B5EC3C" w14:textId="77777777" w:rsidR="00AC2556" w:rsidRPr="003D5718" w:rsidRDefault="00AC2556" w:rsidP="00AC2556"/>
    <w:p w14:paraId="55B5EC3D" w14:textId="77777777" w:rsidR="00AC2556" w:rsidRPr="003D5718" w:rsidRDefault="00AC2556" w:rsidP="00AC2556">
      <w:r w:rsidRPr="003D5718">
        <w:t xml:space="preserve">N.B. no related taxonomy </w:t>
      </w:r>
      <w:proofErr w:type="gramStart"/>
      <w:r w:rsidRPr="003D5718">
        <w:t>update,</w:t>
      </w:r>
      <w:proofErr w:type="gramEnd"/>
      <w:r w:rsidRPr="003D5718">
        <w:t xml:space="preserve"> corrections do not affect XBRL taxonomy representation.</w:t>
      </w:r>
    </w:p>
    <w:p w14:paraId="55B5EC3E" w14:textId="77777777" w:rsidR="00AC2556" w:rsidRPr="000F3810" w:rsidRDefault="000F3810" w:rsidP="00D515AE">
      <w:pPr>
        <w:pStyle w:val="Titlelevel2"/>
        <w:rPr>
          <w:b/>
        </w:rPr>
      </w:pPr>
      <w:r w:rsidRPr="000F3810">
        <w:t>Table</w:t>
      </w:r>
      <w:r w:rsidRPr="000F3810">
        <w:rPr>
          <w:b/>
        </w:rPr>
        <w:t xml:space="preserve"> </w:t>
      </w:r>
      <w:r w:rsidRPr="000F3810">
        <w:t>Layouts</w:t>
      </w:r>
    </w:p>
    <w:p w14:paraId="55B5EC3F" w14:textId="77777777" w:rsidR="00AC2556" w:rsidRPr="003D5718" w:rsidRDefault="00AC2556" w:rsidP="00AC2556">
      <w:r w:rsidRPr="003D5718">
        <w:t>Annotations of cells in row 100 of Table F31.01 corrected.</w:t>
      </w:r>
    </w:p>
    <w:p w14:paraId="55B5EC40" w14:textId="77777777" w:rsidR="00AC2556" w:rsidRPr="003D5718" w:rsidRDefault="00AC2556" w:rsidP="00AC2556">
      <w:proofErr w:type="spellStart"/>
      <w:r w:rsidRPr="003D5718">
        <w:t>Were</w:t>
      </w:r>
      <w:proofErr w:type="spellEnd"/>
      <w:r w:rsidRPr="003D5718">
        <w:t xml:space="preserve"> missing dimensions implied by row and column headings due to error in data related to the contexts of associated data points in the DPM </w:t>
      </w:r>
      <w:proofErr w:type="gramStart"/>
      <w:r w:rsidRPr="003D5718">
        <w:t>Database.</w:t>
      </w:r>
      <w:proofErr w:type="gramEnd"/>
    </w:p>
    <w:p w14:paraId="55B5EC41" w14:textId="77777777" w:rsidR="00AC2556" w:rsidRPr="003D5718" w:rsidRDefault="00AC2556" w:rsidP="00AC2556">
      <w:r w:rsidRPr="003D5718">
        <w:t>See correction to database for more details</w:t>
      </w:r>
    </w:p>
    <w:p w14:paraId="55B5EC42" w14:textId="77777777" w:rsidR="00AC2556" w:rsidRPr="000F3810" w:rsidRDefault="00AC2556" w:rsidP="00D515AE">
      <w:pPr>
        <w:pStyle w:val="Titlelevel2"/>
      </w:pPr>
      <w:r w:rsidRPr="000F3810">
        <w:t>DPM Database</w:t>
      </w:r>
    </w:p>
    <w:p w14:paraId="55B5EC43" w14:textId="77777777" w:rsidR="000F3810" w:rsidRDefault="000F3810" w:rsidP="000F3810">
      <w:r w:rsidRPr="003D5718">
        <w:t xml:space="preserve">Set incorrect </w:t>
      </w:r>
      <w:proofErr w:type="spellStart"/>
      <w:r w:rsidRPr="003D5718">
        <w:t>AllowsDefaultMember</w:t>
      </w:r>
      <w:proofErr w:type="spellEnd"/>
      <w:r w:rsidRPr="003D5718">
        <w:t xml:space="preserve"> flag for </w:t>
      </w:r>
      <w:proofErr w:type="spellStart"/>
      <w:r w:rsidRPr="003D5718">
        <w:t>OpenMemberRestrictions</w:t>
      </w:r>
      <w:proofErr w:type="spellEnd"/>
      <w:r w:rsidRPr="003D5718">
        <w:t xml:space="preserve"> 1 and 5.</w:t>
      </w:r>
    </w:p>
    <w:p w14:paraId="55B5EC44" w14:textId="77777777" w:rsidR="00AC2556" w:rsidRPr="003D5718" w:rsidRDefault="00AC2556" w:rsidP="00AC2556">
      <w:r w:rsidRPr="003D5718">
        <w:t>Correction of errors in Contexts for 6 data points on F31.01</w:t>
      </w:r>
    </w:p>
    <w:p w14:paraId="55B5EC45" w14:textId="77777777" w:rsidR="003D5718" w:rsidRPr="003D5718" w:rsidRDefault="003D5718" w:rsidP="003D5718">
      <w:pPr>
        <w:rPr>
          <w:b/>
        </w:rPr>
      </w:pPr>
      <w:r w:rsidRPr="003D5718">
        <w:rPr>
          <w:b/>
        </w:rPr>
        <w:t>Missing Contexts:</w:t>
      </w:r>
    </w:p>
    <w:tbl>
      <w:tblPr>
        <w:tblStyle w:val="EBAtable"/>
        <w:tblW w:w="0" w:type="auto"/>
        <w:tblLayout w:type="fixed"/>
        <w:tblLook w:val="04A0" w:firstRow="1" w:lastRow="0" w:firstColumn="1" w:lastColumn="0" w:noHBand="0" w:noVBand="1"/>
      </w:tblPr>
      <w:tblGrid>
        <w:gridCol w:w="1242"/>
        <w:gridCol w:w="2764"/>
        <w:gridCol w:w="5285"/>
      </w:tblGrid>
      <w:tr w:rsidR="003D5718" w:rsidRPr="003D5718" w14:paraId="55B5EC49" w14:textId="77777777" w:rsidTr="00AA0EE8">
        <w:trPr>
          <w:cnfStyle w:val="100000000000" w:firstRow="1" w:lastRow="0" w:firstColumn="0" w:lastColumn="0" w:oddVBand="0" w:evenVBand="0" w:oddHBand="0" w:evenHBand="0" w:firstRowFirstColumn="0" w:firstRowLastColumn="0" w:lastRowFirstColumn="0" w:lastRowLastColumn="0"/>
        </w:trPr>
        <w:tc>
          <w:tcPr>
            <w:tcW w:w="1242" w:type="dxa"/>
          </w:tcPr>
          <w:p w14:paraId="55B5EC46" w14:textId="77777777" w:rsidR="003D5718" w:rsidRPr="003D5718" w:rsidRDefault="003D5718" w:rsidP="00AA0EE8">
            <w:pPr>
              <w:pStyle w:val="Tableheader"/>
            </w:pPr>
            <w:proofErr w:type="spellStart"/>
            <w:r w:rsidRPr="003D5718">
              <w:t>ContextID</w:t>
            </w:r>
            <w:proofErr w:type="spellEnd"/>
          </w:p>
        </w:tc>
        <w:tc>
          <w:tcPr>
            <w:tcW w:w="2764" w:type="dxa"/>
          </w:tcPr>
          <w:p w14:paraId="55B5EC47" w14:textId="77777777" w:rsidR="003D5718" w:rsidRPr="003D5718" w:rsidRDefault="003D5718" w:rsidP="00AA0EE8">
            <w:pPr>
              <w:pStyle w:val="Tableheader"/>
            </w:pPr>
            <w:r w:rsidRPr="003D5718">
              <w:tab/>
            </w:r>
            <w:proofErr w:type="spellStart"/>
            <w:r w:rsidRPr="003D5718">
              <w:t>ContextKey</w:t>
            </w:r>
            <w:proofErr w:type="spellEnd"/>
          </w:p>
        </w:tc>
        <w:tc>
          <w:tcPr>
            <w:tcW w:w="5285" w:type="dxa"/>
          </w:tcPr>
          <w:p w14:paraId="55B5EC48" w14:textId="77777777" w:rsidR="003D5718" w:rsidRPr="003D5718" w:rsidRDefault="003D5718" w:rsidP="00AA0EE8">
            <w:pPr>
              <w:pStyle w:val="Tableheader"/>
            </w:pPr>
            <w:r w:rsidRPr="003D5718">
              <w:tab/>
            </w:r>
            <w:proofErr w:type="spellStart"/>
            <w:r w:rsidRPr="003D5718">
              <w:t>XbrlContextKey</w:t>
            </w:r>
            <w:proofErr w:type="spellEnd"/>
          </w:p>
        </w:tc>
      </w:tr>
      <w:tr w:rsidR="003D5718" w:rsidRPr="003D5718" w14:paraId="55B5EC4D" w14:textId="77777777" w:rsidTr="00AA0EE8">
        <w:tc>
          <w:tcPr>
            <w:tcW w:w="1242" w:type="dxa"/>
          </w:tcPr>
          <w:p w14:paraId="55B5EC4A" w14:textId="77777777" w:rsidR="003D5718" w:rsidRPr="003D5718" w:rsidRDefault="003D5718" w:rsidP="00AA0EE8">
            <w:pPr>
              <w:pStyle w:val="Tabledata"/>
              <w:rPr>
                <w:b/>
              </w:rPr>
            </w:pPr>
            <w:r w:rsidRPr="003D5718">
              <w:rPr>
                <w:b/>
              </w:rPr>
              <w:t>63000</w:t>
            </w:r>
          </w:p>
        </w:tc>
        <w:tc>
          <w:tcPr>
            <w:tcW w:w="2764" w:type="dxa"/>
          </w:tcPr>
          <w:p w14:paraId="55B5EC4B" w14:textId="77777777" w:rsidR="003D5718" w:rsidRPr="003D5718" w:rsidRDefault="003D5718" w:rsidP="00AA0EE8">
            <w:pPr>
              <w:pStyle w:val="Tabledata"/>
              <w:rPr>
                <w:b/>
              </w:rPr>
            </w:pPr>
            <w:r w:rsidRPr="003D5718">
              <w:rPr>
                <w:b/>
              </w:rPr>
              <w:t>BAS1516IMS1801MCY2255RPR2672</w:t>
            </w:r>
          </w:p>
        </w:tc>
        <w:tc>
          <w:tcPr>
            <w:tcW w:w="5285" w:type="dxa"/>
          </w:tcPr>
          <w:p w14:paraId="55B5EC4C" w14:textId="77777777" w:rsidR="003D5718" w:rsidRPr="003D5718" w:rsidRDefault="003D5718" w:rsidP="00AA0EE8">
            <w:pPr>
              <w:pStyle w:val="Tabledata"/>
              <w:rPr>
                <w:b/>
              </w:rPr>
            </w:pPr>
            <w:r w:rsidRPr="003D5718">
              <w:rPr>
                <w:b/>
              </w:rPr>
              <w:t>BAS=eba_BA:x10,IMS=eba_IM:x3,MCY=eba_MC:x251,RPR=eba_RP:x4</w:t>
            </w:r>
          </w:p>
        </w:tc>
      </w:tr>
      <w:tr w:rsidR="003D5718" w:rsidRPr="003D5718" w14:paraId="55B5EC51" w14:textId="77777777" w:rsidTr="00AA0EE8">
        <w:tc>
          <w:tcPr>
            <w:tcW w:w="1242" w:type="dxa"/>
          </w:tcPr>
          <w:p w14:paraId="55B5EC4E" w14:textId="77777777" w:rsidR="003D5718" w:rsidRPr="003D5718" w:rsidRDefault="003D5718" w:rsidP="00AA0EE8">
            <w:pPr>
              <w:pStyle w:val="Tabledata"/>
              <w:rPr>
                <w:b/>
              </w:rPr>
            </w:pPr>
            <w:r w:rsidRPr="003D5718">
              <w:rPr>
                <w:b/>
              </w:rPr>
              <w:lastRenderedPageBreak/>
              <w:t>63001</w:t>
            </w:r>
          </w:p>
        </w:tc>
        <w:tc>
          <w:tcPr>
            <w:tcW w:w="2764" w:type="dxa"/>
          </w:tcPr>
          <w:p w14:paraId="55B5EC4F" w14:textId="77777777" w:rsidR="003D5718" w:rsidRPr="003D5718" w:rsidRDefault="003D5718" w:rsidP="00AA0EE8">
            <w:pPr>
              <w:pStyle w:val="Tabledata"/>
              <w:rPr>
                <w:b/>
              </w:rPr>
            </w:pPr>
            <w:r w:rsidRPr="003D5718">
              <w:rPr>
                <w:b/>
              </w:rPr>
              <w:t>BAS1516IMS1801MCY2255RPR2673</w:t>
            </w:r>
          </w:p>
        </w:tc>
        <w:tc>
          <w:tcPr>
            <w:tcW w:w="5285" w:type="dxa"/>
          </w:tcPr>
          <w:p w14:paraId="55B5EC50" w14:textId="77777777" w:rsidR="003D5718" w:rsidRPr="003D5718" w:rsidRDefault="003D5718" w:rsidP="00AA0EE8">
            <w:pPr>
              <w:pStyle w:val="Tabledata"/>
              <w:rPr>
                <w:b/>
              </w:rPr>
            </w:pPr>
            <w:r w:rsidRPr="003D5718">
              <w:rPr>
                <w:b/>
              </w:rPr>
              <w:t>BAS=eba_BA:x10,IMS=eba_IM:x3,MCY=eba_MC:x251,RPR=eba_RP:x5</w:t>
            </w:r>
          </w:p>
        </w:tc>
      </w:tr>
      <w:tr w:rsidR="003D5718" w:rsidRPr="003D5718" w14:paraId="55B5EC55" w14:textId="77777777" w:rsidTr="00AA0EE8">
        <w:tc>
          <w:tcPr>
            <w:tcW w:w="1242" w:type="dxa"/>
          </w:tcPr>
          <w:p w14:paraId="55B5EC52" w14:textId="77777777" w:rsidR="003D5718" w:rsidRPr="003D5718" w:rsidRDefault="003D5718" w:rsidP="00AA0EE8">
            <w:pPr>
              <w:pStyle w:val="Tabledata"/>
              <w:rPr>
                <w:b/>
              </w:rPr>
            </w:pPr>
            <w:r w:rsidRPr="003D5718">
              <w:rPr>
                <w:b/>
              </w:rPr>
              <w:t>63002</w:t>
            </w:r>
          </w:p>
        </w:tc>
        <w:tc>
          <w:tcPr>
            <w:tcW w:w="2764" w:type="dxa"/>
          </w:tcPr>
          <w:p w14:paraId="55B5EC53" w14:textId="77777777" w:rsidR="003D5718" w:rsidRPr="003D5718" w:rsidRDefault="003D5718" w:rsidP="00AA0EE8">
            <w:pPr>
              <w:pStyle w:val="Tabledata"/>
              <w:rPr>
                <w:b/>
              </w:rPr>
            </w:pPr>
            <w:r w:rsidRPr="003D5718">
              <w:rPr>
                <w:b/>
              </w:rPr>
              <w:t>BAS1516IMS1801MCY2255RPR2676</w:t>
            </w:r>
          </w:p>
        </w:tc>
        <w:tc>
          <w:tcPr>
            <w:tcW w:w="5285" w:type="dxa"/>
          </w:tcPr>
          <w:p w14:paraId="55B5EC54" w14:textId="77777777" w:rsidR="003D5718" w:rsidRPr="003D5718" w:rsidRDefault="003D5718" w:rsidP="00AA0EE8">
            <w:pPr>
              <w:pStyle w:val="Tabledata"/>
              <w:rPr>
                <w:b/>
              </w:rPr>
            </w:pPr>
            <w:r w:rsidRPr="003D5718">
              <w:rPr>
                <w:b/>
              </w:rPr>
              <w:t>BAS=eba_BA:x10,IMS=eba_IM:x3,MCY=eba_MC:x251,RPR=eba_RP:x8</w:t>
            </w:r>
          </w:p>
        </w:tc>
      </w:tr>
      <w:tr w:rsidR="003D5718" w:rsidRPr="003D5718" w14:paraId="55B5EC59" w14:textId="77777777" w:rsidTr="00AA0EE8">
        <w:tc>
          <w:tcPr>
            <w:tcW w:w="1242" w:type="dxa"/>
          </w:tcPr>
          <w:p w14:paraId="55B5EC56" w14:textId="77777777" w:rsidR="003D5718" w:rsidRPr="003D5718" w:rsidRDefault="003D5718" w:rsidP="00AA0EE8">
            <w:pPr>
              <w:pStyle w:val="Tabledata"/>
              <w:rPr>
                <w:b/>
              </w:rPr>
            </w:pPr>
            <w:r w:rsidRPr="003D5718">
              <w:rPr>
                <w:b/>
              </w:rPr>
              <w:t>63003</w:t>
            </w:r>
          </w:p>
        </w:tc>
        <w:tc>
          <w:tcPr>
            <w:tcW w:w="2764" w:type="dxa"/>
          </w:tcPr>
          <w:p w14:paraId="55B5EC57" w14:textId="77777777" w:rsidR="003D5718" w:rsidRPr="003D5718" w:rsidRDefault="003D5718" w:rsidP="00AA0EE8">
            <w:pPr>
              <w:pStyle w:val="Tabledata"/>
              <w:rPr>
                <w:b/>
              </w:rPr>
            </w:pPr>
            <w:r w:rsidRPr="003D5718">
              <w:rPr>
                <w:b/>
              </w:rPr>
              <w:t>BAS1516IMS1801MCY2255RPR2679</w:t>
            </w:r>
          </w:p>
        </w:tc>
        <w:tc>
          <w:tcPr>
            <w:tcW w:w="5285" w:type="dxa"/>
          </w:tcPr>
          <w:p w14:paraId="55B5EC58" w14:textId="77777777" w:rsidR="003D5718" w:rsidRPr="003D5718" w:rsidRDefault="003D5718" w:rsidP="00AA0EE8">
            <w:pPr>
              <w:pStyle w:val="Tabledata"/>
              <w:rPr>
                <w:b/>
              </w:rPr>
            </w:pPr>
            <w:r w:rsidRPr="003D5718">
              <w:rPr>
                <w:b/>
              </w:rPr>
              <w:t>BAS=eba_BA:x10,IMS=eba_IM:x3,MCY=eba_MC:x251,RPR=eba_RP:x10</w:t>
            </w:r>
          </w:p>
        </w:tc>
      </w:tr>
      <w:tr w:rsidR="003D5718" w:rsidRPr="003D5718" w14:paraId="55B5EC5D" w14:textId="77777777" w:rsidTr="00AA0EE8">
        <w:tc>
          <w:tcPr>
            <w:tcW w:w="1242" w:type="dxa"/>
          </w:tcPr>
          <w:p w14:paraId="55B5EC5A" w14:textId="77777777" w:rsidR="003D5718" w:rsidRPr="003D5718" w:rsidRDefault="003D5718" w:rsidP="00AA0EE8">
            <w:pPr>
              <w:pStyle w:val="Tabledata"/>
              <w:rPr>
                <w:b/>
              </w:rPr>
            </w:pPr>
            <w:r w:rsidRPr="003D5718">
              <w:rPr>
                <w:b/>
              </w:rPr>
              <w:t>63004</w:t>
            </w:r>
          </w:p>
        </w:tc>
        <w:tc>
          <w:tcPr>
            <w:tcW w:w="2764" w:type="dxa"/>
          </w:tcPr>
          <w:p w14:paraId="55B5EC5B" w14:textId="77777777" w:rsidR="003D5718" w:rsidRPr="003D5718" w:rsidRDefault="003D5718" w:rsidP="00AA0EE8">
            <w:pPr>
              <w:pStyle w:val="Tabledata"/>
              <w:rPr>
                <w:b/>
              </w:rPr>
            </w:pPr>
            <w:r w:rsidRPr="003D5718">
              <w:rPr>
                <w:b/>
              </w:rPr>
              <w:t>BAS1516IMS1801MCY2255RPR2680</w:t>
            </w:r>
          </w:p>
        </w:tc>
        <w:tc>
          <w:tcPr>
            <w:tcW w:w="5285" w:type="dxa"/>
          </w:tcPr>
          <w:p w14:paraId="55B5EC5C" w14:textId="77777777" w:rsidR="003D5718" w:rsidRPr="003D5718" w:rsidRDefault="003D5718" w:rsidP="00AA0EE8">
            <w:pPr>
              <w:pStyle w:val="Tabledata"/>
              <w:rPr>
                <w:b/>
              </w:rPr>
            </w:pPr>
            <w:r w:rsidRPr="003D5718">
              <w:rPr>
                <w:b/>
              </w:rPr>
              <w:t>BAS=eba_BA:x10,IMS=eba_IM:x3,MCY=eba_MC:x251,RPR=eba_RP:x1</w:t>
            </w:r>
          </w:p>
        </w:tc>
      </w:tr>
    </w:tbl>
    <w:p w14:paraId="55B5EC5E" w14:textId="77777777" w:rsidR="00AC2556" w:rsidRPr="003D5718" w:rsidRDefault="00AC2556" w:rsidP="00AC2556"/>
    <w:p w14:paraId="55B5EC5F" w14:textId="77777777" w:rsidR="003D5718" w:rsidRDefault="003D5718" w:rsidP="003D5718">
      <w:r>
        <w:t>Missing Context Definition Entries:</w:t>
      </w:r>
    </w:p>
    <w:tbl>
      <w:tblPr>
        <w:tblStyle w:val="EBAtable"/>
        <w:tblW w:w="0" w:type="auto"/>
        <w:tblLook w:val="04A0" w:firstRow="1" w:lastRow="0" w:firstColumn="1" w:lastColumn="0" w:noHBand="0" w:noVBand="1"/>
      </w:tblPr>
      <w:tblGrid>
        <w:gridCol w:w="3097"/>
        <w:gridCol w:w="3097"/>
        <w:gridCol w:w="3097"/>
      </w:tblGrid>
      <w:tr w:rsidR="003D5718" w:rsidRPr="005A77ED" w14:paraId="55B5EC63" w14:textId="77777777" w:rsidTr="00AA0EE8">
        <w:trPr>
          <w:cnfStyle w:val="100000000000" w:firstRow="1" w:lastRow="0" w:firstColumn="0" w:lastColumn="0" w:oddVBand="0" w:evenVBand="0" w:oddHBand="0" w:evenHBand="0" w:firstRowFirstColumn="0" w:firstRowLastColumn="0" w:lastRowFirstColumn="0" w:lastRowLastColumn="0"/>
        </w:trPr>
        <w:tc>
          <w:tcPr>
            <w:tcW w:w="3097" w:type="dxa"/>
          </w:tcPr>
          <w:p w14:paraId="55B5EC60" w14:textId="77777777" w:rsidR="003D5718" w:rsidRPr="005A77ED" w:rsidRDefault="003D5718" w:rsidP="00AA0EE8">
            <w:pPr>
              <w:pStyle w:val="Tableheader"/>
            </w:pPr>
            <w:proofErr w:type="spellStart"/>
            <w:r w:rsidRPr="005A77ED">
              <w:t>ContextID</w:t>
            </w:r>
            <w:proofErr w:type="spellEnd"/>
          </w:p>
        </w:tc>
        <w:tc>
          <w:tcPr>
            <w:tcW w:w="3097" w:type="dxa"/>
          </w:tcPr>
          <w:p w14:paraId="55B5EC61" w14:textId="77777777" w:rsidR="003D5718" w:rsidRPr="005A77ED" w:rsidRDefault="003D5718" w:rsidP="00AA0EE8">
            <w:pPr>
              <w:pStyle w:val="Tableheader"/>
            </w:pPr>
            <w:proofErr w:type="spellStart"/>
            <w:r w:rsidRPr="005A77ED">
              <w:t>DimensionID</w:t>
            </w:r>
            <w:proofErr w:type="spellEnd"/>
          </w:p>
        </w:tc>
        <w:tc>
          <w:tcPr>
            <w:tcW w:w="3097" w:type="dxa"/>
          </w:tcPr>
          <w:p w14:paraId="55B5EC62" w14:textId="77777777" w:rsidR="003D5718" w:rsidRPr="005A77ED" w:rsidRDefault="003D5718" w:rsidP="00AA0EE8">
            <w:pPr>
              <w:pStyle w:val="Tableheader"/>
            </w:pPr>
            <w:proofErr w:type="spellStart"/>
            <w:r w:rsidRPr="005A77ED">
              <w:t>MemberID</w:t>
            </w:r>
            <w:proofErr w:type="spellEnd"/>
          </w:p>
        </w:tc>
      </w:tr>
      <w:tr w:rsidR="003D5718" w:rsidRPr="005A77ED" w14:paraId="55B5EC67" w14:textId="77777777" w:rsidTr="00AA0EE8">
        <w:tc>
          <w:tcPr>
            <w:tcW w:w="3097" w:type="dxa"/>
          </w:tcPr>
          <w:p w14:paraId="55B5EC64" w14:textId="77777777" w:rsidR="003D5718" w:rsidRPr="005A77ED" w:rsidRDefault="003D5718" w:rsidP="00AA0EE8">
            <w:pPr>
              <w:pStyle w:val="Tabledata"/>
            </w:pPr>
            <w:r w:rsidRPr="005A77ED">
              <w:t>63000</w:t>
            </w:r>
          </w:p>
        </w:tc>
        <w:tc>
          <w:tcPr>
            <w:tcW w:w="3097" w:type="dxa"/>
          </w:tcPr>
          <w:p w14:paraId="55B5EC65" w14:textId="77777777" w:rsidR="003D5718" w:rsidRPr="005A77ED" w:rsidRDefault="003D5718" w:rsidP="00AA0EE8">
            <w:pPr>
              <w:pStyle w:val="Tabledata"/>
            </w:pPr>
            <w:r w:rsidRPr="005A77ED">
              <w:t>110</w:t>
            </w:r>
          </w:p>
        </w:tc>
        <w:tc>
          <w:tcPr>
            <w:tcW w:w="3097" w:type="dxa"/>
          </w:tcPr>
          <w:p w14:paraId="55B5EC66" w14:textId="77777777" w:rsidR="003D5718" w:rsidRPr="005A77ED" w:rsidRDefault="003D5718" w:rsidP="00AA0EE8">
            <w:pPr>
              <w:pStyle w:val="Tabledata"/>
            </w:pPr>
            <w:r w:rsidRPr="005A77ED">
              <w:t>1516</w:t>
            </w:r>
          </w:p>
        </w:tc>
      </w:tr>
      <w:tr w:rsidR="003D5718" w:rsidRPr="005A77ED" w14:paraId="55B5EC6B" w14:textId="77777777" w:rsidTr="00AA0EE8">
        <w:tc>
          <w:tcPr>
            <w:tcW w:w="3097" w:type="dxa"/>
          </w:tcPr>
          <w:p w14:paraId="55B5EC68" w14:textId="77777777" w:rsidR="003D5718" w:rsidRPr="005A77ED" w:rsidRDefault="003D5718" w:rsidP="00AA0EE8">
            <w:pPr>
              <w:pStyle w:val="Tabledata"/>
            </w:pPr>
            <w:r w:rsidRPr="005A77ED">
              <w:t>63000</w:t>
            </w:r>
          </w:p>
        </w:tc>
        <w:tc>
          <w:tcPr>
            <w:tcW w:w="3097" w:type="dxa"/>
          </w:tcPr>
          <w:p w14:paraId="55B5EC69" w14:textId="77777777" w:rsidR="003D5718" w:rsidRPr="005A77ED" w:rsidRDefault="003D5718" w:rsidP="00AA0EE8">
            <w:pPr>
              <w:pStyle w:val="Tabledata"/>
            </w:pPr>
            <w:r w:rsidRPr="005A77ED">
              <w:t>120</w:t>
            </w:r>
          </w:p>
        </w:tc>
        <w:tc>
          <w:tcPr>
            <w:tcW w:w="3097" w:type="dxa"/>
          </w:tcPr>
          <w:p w14:paraId="55B5EC6A" w14:textId="77777777" w:rsidR="003D5718" w:rsidRPr="005A77ED" w:rsidRDefault="003D5718" w:rsidP="00AA0EE8">
            <w:pPr>
              <w:pStyle w:val="Tabledata"/>
            </w:pPr>
            <w:r w:rsidRPr="005A77ED">
              <w:t>2255</w:t>
            </w:r>
          </w:p>
        </w:tc>
      </w:tr>
      <w:tr w:rsidR="003D5718" w:rsidRPr="005A77ED" w14:paraId="55B5EC6F" w14:textId="77777777" w:rsidTr="00AA0EE8">
        <w:tc>
          <w:tcPr>
            <w:tcW w:w="3097" w:type="dxa"/>
          </w:tcPr>
          <w:p w14:paraId="55B5EC6C" w14:textId="77777777" w:rsidR="003D5718" w:rsidRPr="005A77ED" w:rsidRDefault="003D5718" w:rsidP="00AA0EE8">
            <w:pPr>
              <w:pStyle w:val="Tabledata"/>
            </w:pPr>
            <w:r w:rsidRPr="005A77ED">
              <w:t>63000</w:t>
            </w:r>
          </w:p>
        </w:tc>
        <w:tc>
          <w:tcPr>
            <w:tcW w:w="3097" w:type="dxa"/>
          </w:tcPr>
          <w:p w14:paraId="55B5EC6D" w14:textId="77777777" w:rsidR="003D5718" w:rsidRPr="005A77ED" w:rsidRDefault="003D5718" w:rsidP="00AA0EE8">
            <w:pPr>
              <w:pStyle w:val="Tabledata"/>
            </w:pPr>
            <w:r w:rsidRPr="005A77ED">
              <w:t>390</w:t>
            </w:r>
          </w:p>
        </w:tc>
        <w:tc>
          <w:tcPr>
            <w:tcW w:w="3097" w:type="dxa"/>
          </w:tcPr>
          <w:p w14:paraId="55B5EC6E" w14:textId="77777777" w:rsidR="003D5718" w:rsidRPr="005A77ED" w:rsidRDefault="003D5718" w:rsidP="00AA0EE8">
            <w:pPr>
              <w:pStyle w:val="Tabledata"/>
            </w:pPr>
            <w:r w:rsidRPr="005A77ED">
              <w:t>1801</w:t>
            </w:r>
          </w:p>
        </w:tc>
      </w:tr>
      <w:tr w:rsidR="003D5718" w:rsidRPr="005A77ED" w14:paraId="55B5EC73" w14:textId="77777777" w:rsidTr="00AA0EE8">
        <w:tc>
          <w:tcPr>
            <w:tcW w:w="3097" w:type="dxa"/>
          </w:tcPr>
          <w:p w14:paraId="55B5EC70" w14:textId="77777777" w:rsidR="003D5718" w:rsidRPr="005A77ED" w:rsidRDefault="003D5718" w:rsidP="00AA0EE8">
            <w:pPr>
              <w:pStyle w:val="Tabledata"/>
            </w:pPr>
            <w:r w:rsidRPr="005A77ED">
              <w:t>63000</w:t>
            </w:r>
          </w:p>
        </w:tc>
        <w:tc>
          <w:tcPr>
            <w:tcW w:w="3097" w:type="dxa"/>
          </w:tcPr>
          <w:p w14:paraId="55B5EC71" w14:textId="77777777" w:rsidR="003D5718" w:rsidRPr="005A77ED" w:rsidRDefault="003D5718" w:rsidP="00AA0EE8">
            <w:pPr>
              <w:pStyle w:val="Tabledata"/>
            </w:pPr>
            <w:r w:rsidRPr="005A77ED">
              <w:t>525</w:t>
            </w:r>
          </w:p>
        </w:tc>
        <w:tc>
          <w:tcPr>
            <w:tcW w:w="3097" w:type="dxa"/>
          </w:tcPr>
          <w:p w14:paraId="55B5EC72" w14:textId="77777777" w:rsidR="003D5718" w:rsidRPr="005A77ED" w:rsidRDefault="003D5718" w:rsidP="00AA0EE8">
            <w:pPr>
              <w:pStyle w:val="Tabledata"/>
            </w:pPr>
            <w:r w:rsidRPr="005A77ED">
              <w:t>2672</w:t>
            </w:r>
          </w:p>
        </w:tc>
      </w:tr>
      <w:tr w:rsidR="003D5718" w:rsidRPr="005A77ED" w14:paraId="55B5EC77" w14:textId="77777777" w:rsidTr="00AA0EE8">
        <w:tc>
          <w:tcPr>
            <w:tcW w:w="3097" w:type="dxa"/>
          </w:tcPr>
          <w:p w14:paraId="55B5EC74" w14:textId="77777777" w:rsidR="003D5718" w:rsidRPr="005A77ED" w:rsidRDefault="003D5718" w:rsidP="00AA0EE8">
            <w:pPr>
              <w:pStyle w:val="Tabledata"/>
            </w:pPr>
            <w:r w:rsidRPr="005A77ED">
              <w:t>63001</w:t>
            </w:r>
          </w:p>
        </w:tc>
        <w:tc>
          <w:tcPr>
            <w:tcW w:w="3097" w:type="dxa"/>
          </w:tcPr>
          <w:p w14:paraId="55B5EC75" w14:textId="77777777" w:rsidR="003D5718" w:rsidRPr="005A77ED" w:rsidRDefault="003D5718" w:rsidP="00AA0EE8">
            <w:pPr>
              <w:pStyle w:val="Tabledata"/>
            </w:pPr>
            <w:r w:rsidRPr="005A77ED">
              <w:t>110</w:t>
            </w:r>
          </w:p>
        </w:tc>
        <w:tc>
          <w:tcPr>
            <w:tcW w:w="3097" w:type="dxa"/>
          </w:tcPr>
          <w:p w14:paraId="55B5EC76" w14:textId="77777777" w:rsidR="003D5718" w:rsidRPr="005A77ED" w:rsidRDefault="003D5718" w:rsidP="00AA0EE8">
            <w:pPr>
              <w:pStyle w:val="Tabledata"/>
            </w:pPr>
            <w:r w:rsidRPr="005A77ED">
              <w:t>1516</w:t>
            </w:r>
          </w:p>
        </w:tc>
      </w:tr>
      <w:tr w:rsidR="003D5718" w:rsidRPr="005A77ED" w14:paraId="55B5EC7B" w14:textId="77777777" w:rsidTr="00AA0EE8">
        <w:tc>
          <w:tcPr>
            <w:tcW w:w="3097" w:type="dxa"/>
          </w:tcPr>
          <w:p w14:paraId="55B5EC78" w14:textId="77777777" w:rsidR="003D5718" w:rsidRPr="005A77ED" w:rsidRDefault="003D5718" w:rsidP="00AA0EE8">
            <w:pPr>
              <w:pStyle w:val="Tabledata"/>
            </w:pPr>
            <w:r w:rsidRPr="005A77ED">
              <w:t>63001</w:t>
            </w:r>
          </w:p>
        </w:tc>
        <w:tc>
          <w:tcPr>
            <w:tcW w:w="3097" w:type="dxa"/>
          </w:tcPr>
          <w:p w14:paraId="55B5EC79" w14:textId="77777777" w:rsidR="003D5718" w:rsidRPr="005A77ED" w:rsidRDefault="003D5718" w:rsidP="00AA0EE8">
            <w:pPr>
              <w:pStyle w:val="Tabledata"/>
            </w:pPr>
            <w:r w:rsidRPr="005A77ED">
              <w:t>120</w:t>
            </w:r>
          </w:p>
        </w:tc>
        <w:tc>
          <w:tcPr>
            <w:tcW w:w="3097" w:type="dxa"/>
          </w:tcPr>
          <w:p w14:paraId="55B5EC7A" w14:textId="77777777" w:rsidR="003D5718" w:rsidRPr="005A77ED" w:rsidRDefault="003D5718" w:rsidP="00AA0EE8">
            <w:pPr>
              <w:pStyle w:val="Tabledata"/>
            </w:pPr>
            <w:r w:rsidRPr="005A77ED">
              <w:t>2255</w:t>
            </w:r>
          </w:p>
        </w:tc>
      </w:tr>
      <w:tr w:rsidR="003D5718" w:rsidRPr="005A77ED" w14:paraId="55B5EC7F" w14:textId="77777777" w:rsidTr="00AA0EE8">
        <w:tc>
          <w:tcPr>
            <w:tcW w:w="3097" w:type="dxa"/>
          </w:tcPr>
          <w:p w14:paraId="55B5EC7C" w14:textId="77777777" w:rsidR="003D5718" w:rsidRPr="005A77ED" w:rsidRDefault="003D5718" w:rsidP="00AA0EE8">
            <w:pPr>
              <w:pStyle w:val="Tabledata"/>
            </w:pPr>
            <w:r w:rsidRPr="005A77ED">
              <w:t>63001</w:t>
            </w:r>
          </w:p>
        </w:tc>
        <w:tc>
          <w:tcPr>
            <w:tcW w:w="3097" w:type="dxa"/>
          </w:tcPr>
          <w:p w14:paraId="55B5EC7D" w14:textId="77777777" w:rsidR="003D5718" w:rsidRPr="005A77ED" w:rsidRDefault="003D5718" w:rsidP="00AA0EE8">
            <w:pPr>
              <w:pStyle w:val="Tabledata"/>
            </w:pPr>
            <w:r w:rsidRPr="005A77ED">
              <w:t>390</w:t>
            </w:r>
          </w:p>
        </w:tc>
        <w:tc>
          <w:tcPr>
            <w:tcW w:w="3097" w:type="dxa"/>
          </w:tcPr>
          <w:p w14:paraId="55B5EC7E" w14:textId="77777777" w:rsidR="003D5718" w:rsidRPr="005A77ED" w:rsidRDefault="003D5718" w:rsidP="00AA0EE8">
            <w:pPr>
              <w:pStyle w:val="Tabledata"/>
            </w:pPr>
            <w:r w:rsidRPr="005A77ED">
              <w:t>1801</w:t>
            </w:r>
          </w:p>
        </w:tc>
      </w:tr>
      <w:tr w:rsidR="003D5718" w:rsidRPr="005A77ED" w14:paraId="55B5EC83" w14:textId="77777777" w:rsidTr="00AA0EE8">
        <w:tc>
          <w:tcPr>
            <w:tcW w:w="3097" w:type="dxa"/>
          </w:tcPr>
          <w:p w14:paraId="55B5EC80" w14:textId="77777777" w:rsidR="003D5718" w:rsidRPr="005A77ED" w:rsidRDefault="003D5718" w:rsidP="00AA0EE8">
            <w:pPr>
              <w:pStyle w:val="Tabledata"/>
            </w:pPr>
            <w:r w:rsidRPr="005A77ED">
              <w:t>63001</w:t>
            </w:r>
          </w:p>
        </w:tc>
        <w:tc>
          <w:tcPr>
            <w:tcW w:w="3097" w:type="dxa"/>
          </w:tcPr>
          <w:p w14:paraId="55B5EC81" w14:textId="77777777" w:rsidR="003D5718" w:rsidRPr="005A77ED" w:rsidRDefault="003D5718" w:rsidP="00AA0EE8">
            <w:pPr>
              <w:pStyle w:val="Tabledata"/>
            </w:pPr>
            <w:r w:rsidRPr="005A77ED">
              <w:t>525</w:t>
            </w:r>
          </w:p>
        </w:tc>
        <w:tc>
          <w:tcPr>
            <w:tcW w:w="3097" w:type="dxa"/>
          </w:tcPr>
          <w:p w14:paraId="55B5EC82" w14:textId="77777777" w:rsidR="003D5718" w:rsidRPr="005A77ED" w:rsidRDefault="003D5718" w:rsidP="00AA0EE8">
            <w:pPr>
              <w:pStyle w:val="Tabledata"/>
            </w:pPr>
            <w:r w:rsidRPr="005A77ED">
              <w:t>2673</w:t>
            </w:r>
          </w:p>
        </w:tc>
      </w:tr>
      <w:tr w:rsidR="003D5718" w:rsidRPr="005A77ED" w14:paraId="55B5EC87" w14:textId="77777777" w:rsidTr="00AA0EE8">
        <w:tc>
          <w:tcPr>
            <w:tcW w:w="3097" w:type="dxa"/>
          </w:tcPr>
          <w:p w14:paraId="55B5EC84" w14:textId="77777777" w:rsidR="003D5718" w:rsidRPr="005A77ED" w:rsidRDefault="003D5718" w:rsidP="00AA0EE8">
            <w:pPr>
              <w:pStyle w:val="Tabledata"/>
            </w:pPr>
            <w:r w:rsidRPr="005A77ED">
              <w:t>63002</w:t>
            </w:r>
          </w:p>
        </w:tc>
        <w:tc>
          <w:tcPr>
            <w:tcW w:w="3097" w:type="dxa"/>
          </w:tcPr>
          <w:p w14:paraId="55B5EC85" w14:textId="77777777" w:rsidR="003D5718" w:rsidRPr="005A77ED" w:rsidRDefault="003D5718" w:rsidP="00AA0EE8">
            <w:pPr>
              <w:pStyle w:val="Tabledata"/>
            </w:pPr>
            <w:r w:rsidRPr="005A77ED">
              <w:t>110</w:t>
            </w:r>
          </w:p>
        </w:tc>
        <w:tc>
          <w:tcPr>
            <w:tcW w:w="3097" w:type="dxa"/>
          </w:tcPr>
          <w:p w14:paraId="55B5EC86" w14:textId="77777777" w:rsidR="003D5718" w:rsidRPr="005A77ED" w:rsidRDefault="003D5718" w:rsidP="00AA0EE8">
            <w:pPr>
              <w:pStyle w:val="Tabledata"/>
            </w:pPr>
            <w:r w:rsidRPr="005A77ED">
              <w:t>1516</w:t>
            </w:r>
          </w:p>
        </w:tc>
      </w:tr>
      <w:tr w:rsidR="003D5718" w:rsidRPr="005A77ED" w14:paraId="55B5EC8B" w14:textId="77777777" w:rsidTr="00AA0EE8">
        <w:tc>
          <w:tcPr>
            <w:tcW w:w="3097" w:type="dxa"/>
          </w:tcPr>
          <w:p w14:paraId="55B5EC88" w14:textId="77777777" w:rsidR="003D5718" w:rsidRPr="005A77ED" w:rsidRDefault="003D5718" w:rsidP="00AA0EE8">
            <w:pPr>
              <w:pStyle w:val="Tabledata"/>
            </w:pPr>
            <w:r w:rsidRPr="005A77ED">
              <w:t>63002</w:t>
            </w:r>
          </w:p>
        </w:tc>
        <w:tc>
          <w:tcPr>
            <w:tcW w:w="3097" w:type="dxa"/>
          </w:tcPr>
          <w:p w14:paraId="55B5EC89" w14:textId="77777777" w:rsidR="003D5718" w:rsidRPr="005A77ED" w:rsidRDefault="003D5718" w:rsidP="00AA0EE8">
            <w:pPr>
              <w:pStyle w:val="Tabledata"/>
            </w:pPr>
            <w:r w:rsidRPr="005A77ED">
              <w:t>120</w:t>
            </w:r>
          </w:p>
        </w:tc>
        <w:tc>
          <w:tcPr>
            <w:tcW w:w="3097" w:type="dxa"/>
          </w:tcPr>
          <w:p w14:paraId="55B5EC8A" w14:textId="77777777" w:rsidR="003D5718" w:rsidRPr="005A77ED" w:rsidRDefault="003D5718" w:rsidP="00AA0EE8">
            <w:pPr>
              <w:pStyle w:val="Tabledata"/>
            </w:pPr>
            <w:r w:rsidRPr="005A77ED">
              <w:t>2255</w:t>
            </w:r>
          </w:p>
        </w:tc>
      </w:tr>
      <w:tr w:rsidR="003D5718" w:rsidRPr="005A77ED" w14:paraId="55B5EC8F" w14:textId="77777777" w:rsidTr="00AA0EE8">
        <w:tc>
          <w:tcPr>
            <w:tcW w:w="3097" w:type="dxa"/>
          </w:tcPr>
          <w:p w14:paraId="55B5EC8C" w14:textId="77777777" w:rsidR="003D5718" w:rsidRPr="005A77ED" w:rsidRDefault="003D5718" w:rsidP="00AA0EE8">
            <w:pPr>
              <w:pStyle w:val="Tabledata"/>
            </w:pPr>
            <w:r w:rsidRPr="005A77ED">
              <w:t>63002</w:t>
            </w:r>
          </w:p>
        </w:tc>
        <w:tc>
          <w:tcPr>
            <w:tcW w:w="3097" w:type="dxa"/>
          </w:tcPr>
          <w:p w14:paraId="55B5EC8D" w14:textId="77777777" w:rsidR="003D5718" w:rsidRPr="005A77ED" w:rsidRDefault="003D5718" w:rsidP="00AA0EE8">
            <w:pPr>
              <w:pStyle w:val="Tabledata"/>
            </w:pPr>
            <w:r w:rsidRPr="005A77ED">
              <w:t>390</w:t>
            </w:r>
          </w:p>
        </w:tc>
        <w:tc>
          <w:tcPr>
            <w:tcW w:w="3097" w:type="dxa"/>
          </w:tcPr>
          <w:p w14:paraId="55B5EC8E" w14:textId="77777777" w:rsidR="003D5718" w:rsidRPr="005A77ED" w:rsidRDefault="003D5718" w:rsidP="00AA0EE8">
            <w:pPr>
              <w:pStyle w:val="Tabledata"/>
            </w:pPr>
            <w:r w:rsidRPr="005A77ED">
              <w:t>1801</w:t>
            </w:r>
          </w:p>
        </w:tc>
      </w:tr>
      <w:tr w:rsidR="003D5718" w:rsidRPr="005A77ED" w14:paraId="55B5EC93" w14:textId="77777777" w:rsidTr="00AA0EE8">
        <w:tc>
          <w:tcPr>
            <w:tcW w:w="3097" w:type="dxa"/>
          </w:tcPr>
          <w:p w14:paraId="55B5EC90" w14:textId="77777777" w:rsidR="003D5718" w:rsidRPr="005A77ED" w:rsidRDefault="003D5718" w:rsidP="00AA0EE8">
            <w:pPr>
              <w:pStyle w:val="Tabledata"/>
            </w:pPr>
            <w:r w:rsidRPr="005A77ED">
              <w:t>63002</w:t>
            </w:r>
          </w:p>
        </w:tc>
        <w:tc>
          <w:tcPr>
            <w:tcW w:w="3097" w:type="dxa"/>
          </w:tcPr>
          <w:p w14:paraId="55B5EC91" w14:textId="77777777" w:rsidR="003D5718" w:rsidRPr="005A77ED" w:rsidRDefault="003D5718" w:rsidP="00AA0EE8">
            <w:pPr>
              <w:pStyle w:val="Tabledata"/>
            </w:pPr>
            <w:r w:rsidRPr="005A77ED">
              <w:t>525</w:t>
            </w:r>
          </w:p>
        </w:tc>
        <w:tc>
          <w:tcPr>
            <w:tcW w:w="3097" w:type="dxa"/>
          </w:tcPr>
          <w:p w14:paraId="55B5EC92" w14:textId="77777777" w:rsidR="003D5718" w:rsidRPr="005A77ED" w:rsidRDefault="003D5718" w:rsidP="00AA0EE8">
            <w:pPr>
              <w:pStyle w:val="Tabledata"/>
            </w:pPr>
            <w:r w:rsidRPr="005A77ED">
              <w:t>2676</w:t>
            </w:r>
          </w:p>
        </w:tc>
      </w:tr>
      <w:tr w:rsidR="003D5718" w:rsidRPr="005A77ED" w14:paraId="55B5EC97" w14:textId="77777777" w:rsidTr="00AA0EE8">
        <w:tc>
          <w:tcPr>
            <w:tcW w:w="3097" w:type="dxa"/>
          </w:tcPr>
          <w:p w14:paraId="55B5EC94" w14:textId="77777777" w:rsidR="003D5718" w:rsidRPr="005A77ED" w:rsidRDefault="003D5718" w:rsidP="00AA0EE8">
            <w:pPr>
              <w:pStyle w:val="Tabledata"/>
            </w:pPr>
            <w:r w:rsidRPr="005A77ED">
              <w:t>63003</w:t>
            </w:r>
          </w:p>
        </w:tc>
        <w:tc>
          <w:tcPr>
            <w:tcW w:w="3097" w:type="dxa"/>
          </w:tcPr>
          <w:p w14:paraId="55B5EC95" w14:textId="77777777" w:rsidR="003D5718" w:rsidRPr="005A77ED" w:rsidRDefault="003D5718" w:rsidP="00AA0EE8">
            <w:pPr>
              <w:pStyle w:val="Tabledata"/>
            </w:pPr>
            <w:r w:rsidRPr="005A77ED">
              <w:t>110</w:t>
            </w:r>
          </w:p>
        </w:tc>
        <w:tc>
          <w:tcPr>
            <w:tcW w:w="3097" w:type="dxa"/>
          </w:tcPr>
          <w:p w14:paraId="55B5EC96" w14:textId="77777777" w:rsidR="003D5718" w:rsidRPr="005A77ED" w:rsidRDefault="003D5718" w:rsidP="00AA0EE8">
            <w:pPr>
              <w:pStyle w:val="Tabledata"/>
            </w:pPr>
            <w:r w:rsidRPr="005A77ED">
              <w:t>1516</w:t>
            </w:r>
          </w:p>
        </w:tc>
      </w:tr>
      <w:tr w:rsidR="003D5718" w:rsidRPr="005A77ED" w14:paraId="55B5EC9B" w14:textId="77777777" w:rsidTr="00AA0EE8">
        <w:tc>
          <w:tcPr>
            <w:tcW w:w="3097" w:type="dxa"/>
          </w:tcPr>
          <w:p w14:paraId="55B5EC98" w14:textId="77777777" w:rsidR="003D5718" w:rsidRPr="005A77ED" w:rsidRDefault="003D5718" w:rsidP="00AA0EE8">
            <w:pPr>
              <w:pStyle w:val="Tabledata"/>
            </w:pPr>
            <w:r w:rsidRPr="005A77ED">
              <w:t>63003</w:t>
            </w:r>
          </w:p>
        </w:tc>
        <w:tc>
          <w:tcPr>
            <w:tcW w:w="3097" w:type="dxa"/>
          </w:tcPr>
          <w:p w14:paraId="55B5EC99" w14:textId="77777777" w:rsidR="003D5718" w:rsidRPr="005A77ED" w:rsidRDefault="003D5718" w:rsidP="00AA0EE8">
            <w:pPr>
              <w:pStyle w:val="Tabledata"/>
            </w:pPr>
            <w:r w:rsidRPr="005A77ED">
              <w:t>120</w:t>
            </w:r>
          </w:p>
        </w:tc>
        <w:tc>
          <w:tcPr>
            <w:tcW w:w="3097" w:type="dxa"/>
          </w:tcPr>
          <w:p w14:paraId="55B5EC9A" w14:textId="77777777" w:rsidR="003D5718" w:rsidRPr="005A77ED" w:rsidRDefault="003D5718" w:rsidP="00AA0EE8">
            <w:pPr>
              <w:pStyle w:val="Tabledata"/>
            </w:pPr>
            <w:r w:rsidRPr="005A77ED">
              <w:t>2255</w:t>
            </w:r>
          </w:p>
        </w:tc>
      </w:tr>
      <w:tr w:rsidR="003D5718" w:rsidRPr="005A77ED" w14:paraId="55B5EC9F" w14:textId="77777777" w:rsidTr="00AA0EE8">
        <w:tc>
          <w:tcPr>
            <w:tcW w:w="3097" w:type="dxa"/>
          </w:tcPr>
          <w:p w14:paraId="55B5EC9C" w14:textId="77777777" w:rsidR="003D5718" w:rsidRPr="005A77ED" w:rsidRDefault="003D5718" w:rsidP="00AA0EE8">
            <w:pPr>
              <w:pStyle w:val="Tabledata"/>
            </w:pPr>
            <w:r w:rsidRPr="005A77ED">
              <w:t>63003</w:t>
            </w:r>
          </w:p>
        </w:tc>
        <w:tc>
          <w:tcPr>
            <w:tcW w:w="3097" w:type="dxa"/>
          </w:tcPr>
          <w:p w14:paraId="55B5EC9D" w14:textId="77777777" w:rsidR="003D5718" w:rsidRPr="005A77ED" w:rsidRDefault="003D5718" w:rsidP="00AA0EE8">
            <w:pPr>
              <w:pStyle w:val="Tabledata"/>
            </w:pPr>
            <w:r w:rsidRPr="005A77ED">
              <w:t>390</w:t>
            </w:r>
          </w:p>
        </w:tc>
        <w:tc>
          <w:tcPr>
            <w:tcW w:w="3097" w:type="dxa"/>
          </w:tcPr>
          <w:p w14:paraId="55B5EC9E" w14:textId="77777777" w:rsidR="003D5718" w:rsidRPr="005A77ED" w:rsidRDefault="003D5718" w:rsidP="00AA0EE8">
            <w:pPr>
              <w:pStyle w:val="Tabledata"/>
            </w:pPr>
            <w:r w:rsidRPr="005A77ED">
              <w:t>1801</w:t>
            </w:r>
          </w:p>
        </w:tc>
      </w:tr>
      <w:tr w:rsidR="003D5718" w:rsidRPr="005A77ED" w14:paraId="55B5ECA3" w14:textId="77777777" w:rsidTr="00AA0EE8">
        <w:tc>
          <w:tcPr>
            <w:tcW w:w="3097" w:type="dxa"/>
          </w:tcPr>
          <w:p w14:paraId="55B5ECA0" w14:textId="77777777" w:rsidR="003D5718" w:rsidRPr="005A77ED" w:rsidRDefault="003D5718" w:rsidP="00AA0EE8">
            <w:pPr>
              <w:pStyle w:val="Tabledata"/>
            </w:pPr>
            <w:r w:rsidRPr="005A77ED">
              <w:t>63003</w:t>
            </w:r>
          </w:p>
        </w:tc>
        <w:tc>
          <w:tcPr>
            <w:tcW w:w="3097" w:type="dxa"/>
          </w:tcPr>
          <w:p w14:paraId="55B5ECA1" w14:textId="77777777" w:rsidR="003D5718" w:rsidRPr="005A77ED" w:rsidRDefault="003D5718" w:rsidP="00AA0EE8">
            <w:pPr>
              <w:pStyle w:val="Tabledata"/>
            </w:pPr>
            <w:r w:rsidRPr="005A77ED">
              <w:t>525</w:t>
            </w:r>
          </w:p>
        </w:tc>
        <w:tc>
          <w:tcPr>
            <w:tcW w:w="3097" w:type="dxa"/>
          </w:tcPr>
          <w:p w14:paraId="55B5ECA2" w14:textId="77777777" w:rsidR="003D5718" w:rsidRPr="005A77ED" w:rsidRDefault="003D5718" w:rsidP="00AA0EE8">
            <w:pPr>
              <w:pStyle w:val="Tabledata"/>
            </w:pPr>
            <w:r w:rsidRPr="005A77ED">
              <w:t>2679</w:t>
            </w:r>
          </w:p>
        </w:tc>
      </w:tr>
      <w:tr w:rsidR="003D5718" w:rsidRPr="005A77ED" w14:paraId="55B5ECA7" w14:textId="77777777" w:rsidTr="00AA0EE8">
        <w:tc>
          <w:tcPr>
            <w:tcW w:w="3097" w:type="dxa"/>
          </w:tcPr>
          <w:p w14:paraId="55B5ECA4" w14:textId="77777777" w:rsidR="003D5718" w:rsidRPr="005A77ED" w:rsidRDefault="003D5718" w:rsidP="00AA0EE8">
            <w:pPr>
              <w:pStyle w:val="Tabledata"/>
            </w:pPr>
            <w:r w:rsidRPr="005A77ED">
              <w:t>63004</w:t>
            </w:r>
          </w:p>
        </w:tc>
        <w:tc>
          <w:tcPr>
            <w:tcW w:w="3097" w:type="dxa"/>
          </w:tcPr>
          <w:p w14:paraId="55B5ECA5" w14:textId="77777777" w:rsidR="003D5718" w:rsidRPr="005A77ED" w:rsidRDefault="003D5718" w:rsidP="00AA0EE8">
            <w:pPr>
              <w:pStyle w:val="Tabledata"/>
            </w:pPr>
            <w:r w:rsidRPr="005A77ED">
              <w:t>110</w:t>
            </w:r>
          </w:p>
        </w:tc>
        <w:tc>
          <w:tcPr>
            <w:tcW w:w="3097" w:type="dxa"/>
          </w:tcPr>
          <w:p w14:paraId="55B5ECA6" w14:textId="77777777" w:rsidR="003D5718" w:rsidRPr="005A77ED" w:rsidRDefault="003D5718" w:rsidP="00AA0EE8">
            <w:pPr>
              <w:pStyle w:val="Tabledata"/>
            </w:pPr>
            <w:r w:rsidRPr="005A77ED">
              <w:t>1516</w:t>
            </w:r>
          </w:p>
        </w:tc>
      </w:tr>
      <w:tr w:rsidR="003D5718" w:rsidRPr="005A77ED" w14:paraId="55B5ECAB" w14:textId="77777777" w:rsidTr="00AA0EE8">
        <w:tc>
          <w:tcPr>
            <w:tcW w:w="3097" w:type="dxa"/>
          </w:tcPr>
          <w:p w14:paraId="55B5ECA8" w14:textId="77777777" w:rsidR="003D5718" w:rsidRPr="005A77ED" w:rsidRDefault="003D5718" w:rsidP="00AA0EE8">
            <w:pPr>
              <w:pStyle w:val="Tabledata"/>
            </w:pPr>
            <w:r w:rsidRPr="005A77ED">
              <w:t>63004</w:t>
            </w:r>
          </w:p>
        </w:tc>
        <w:tc>
          <w:tcPr>
            <w:tcW w:w="3097" w:type="dxa"/>
          </w:tcPr>
          <w:p w14:paraId="55B5ECA9" w14:textId="77777777" w:rsidR="003D5718" w:rsidRPr="005A77ED" w:rsidRDefault="003D5718" w:rsidP="00AA0EE8">
            <w:pPr>
              <w:pStyle w:val="Tabledata"/>
            </w:pPr>
            <w:r w:rsidRPr="005A77ED">
              <w:t>120</w:t>
            </w:r>
          </w:p>
        </w:tc>
        <w:tc>
          <w:tcPr>
            <w:tcW w:w="3097" w:type="dxa"/>
          </w:tcPr>
          <w:p w14:paraId="55B5ECAA" w14:textId="77777777" w:rsidR="003D5718" w:rsidRPr="005A77ED" w:rsidRDefault="003D5718" w:rsidP="00AA0EE8">
            <w:pPr>
              <w:pStyle w:val="Tabledata"/>
            </w:pPr>
            <w:r w:rsidRPr="005A77ED">
              <w:t>2255</w:t>
            </w:r>
          </w:p>
        </w:tc>
      </w:tr>
      <w:tr w:rsidR="003D5718" w:rsidRPr="005A77ED" w14:paraId="55B5ECAF" w14:textId="77777777" w:rsidTr="00AA0EE8">
        <w:tc>
          <w:tcPr>
            <w:tcW w:w="3097" w:type="dxa"/>
          </w:tcPr>
          <w:p w14:paraId="55B5ECAC" w14:textId="77777777" w:rsidR="003D5718" w:rsidRPr="005A77ED" w:rsidRDefault="003D5718" w:rsidP="00AA0EE8">
            <w:pPr>
              <w:pStyle w:val="Tabledata"/>
            </w:pPr>
            <w:r w:rsidRPr="005A77ED">
              <w:lastRenderedPageBreak/>
              <w:t>63004</w:t>
            </w:r>
          </w:p>
        </w:tc>
        <w:tc>
          <w:tcPr>
            <w:tcW w:w="3097" w:type="dxa"/>
          </w:tcPr>
          <w:p w14:paraId="55B5ECAD" w14:textId="77777777" w:rsidR="003D5718" w:rsidRPr="005A77ED" w:rsidRDefault="003D5718" w:rsidP="00AA0EE8">
            <w:pPr>
              <w:pStyle w:val="Tabledata"/>
            </w:pPr>
            <w:r w:rsidRPr="005A77ED">
              <w:t>390</w:t>
            </w:r>
          </w:p>
        </w:tc>
        <w:tc>
          <w:tcPr>
            <w:tcW w:w="3097" w:type="dxa"/>
          </w:tcPr>
          <w:p w14:paraId="55B5ECAE" w14:textId="77777777" w:rsidR="003D5718" w:rsidRPr="005A77ED" w:rsidRDefault="003D5718" w:rsidP="00AA0EE8">
            <w:pPr>
              <w:pStyle w:val="Tabledata"/>
            </w:pPr>
            <w:r w:rsidRPr="005A77ED">
              <w:t>1801</w:t>
            </w:r>
          </w:p>
        </w:tc>
      </w:tr>
      <w:tr w:rsidR="003D5718" w14:paraId="55B5ECB3" w14:textId="77777777" w:rsidTr="00AA0EE8">
        <w:tc>
          <w:tcPr>
            <w:tcW w:w="3097" w:type="dxa"/>
          </w:tcPr>
          <w:p w14:paraId="55B5ECB0" w14:textId="77777777" w:rsidR="003D5718" w:rsidRPr="005A77ED" w:rsidRDefault="003D5718" w:rsidP="00AA0EE8">
            <w:pPr>
              <w:pStyle w:val="Tabledata"/>
            </w:pPr>
            <w:r w:rsidRPr="005A77ED">
              <w:t>63004</w:t>
            </w:r>
          </w:p>
        </w:tc>
        <w:tc>
          <w:tcPr>
            <w:tcW w:w="3097" w:type="dxa"/>
          </w:tcPr>
          <w:p w14:paraId="55B5ECB1" w14:textId="77777777" w:rsidR="003D5718" w:rsidRPr="005A77ED" w:rsidRDefault="003D5718" w:rsidP="00AA0EE8">
            <w:pPr>
              <w:pStyle w:val="Tabledata"/>
            </w:pPr>
            <w:r w:rsidRPr="005A77ED">
              <w:t>525</w:t>
            </w:r>
          </w:p>
        </w:tc>
        <w:tc>
          <w:tcPr>
            <w:tcW w:w="3097" w:type="dxa"/>
          </w:tcPr>
          <w:p w14:paraId="55B5ECB2" w14:textId="77777777" w:rsidR="003D5718" w:rsidRPr="005A77ED" w:rsidRDefault="003D5718" w:rsidP="00AA0EE8">
            <w:pPr>
              <w:pStyle w:val="Tabledata"/>
            </w:pPr>
            <w:r w:rsidRPr="005A77ED">
              <w:t>2680</w:t>
            </w:r>
          </w:p>
        </w:tc>
      </w:tr>
    </w:tbl>
    <w:p w14:paraId="55B5ECB4" w14:textId="77777777" w:rsidR="003D5718" w:rsidRDefault="003D5718" w:rsidP="003D5718"/>
    <w:p w14:paraId="55B5ECB5" w14:textId="77777777" w:rsidR="003D5718" w:rsidRDefault="003D5718" w:rsidP="003D5718">
      <w:r>
        <w:t xml:space="preserve">Corrected </w:t>
      </w:r>
      <w:proofErr w:type="spellStart"/>
      <w:r>
        <w:t>ContextIDs</w:t>
      </w:r>
      <w:proofErr w:type="spellEnd"/>
      <w:r>
        <w:t xml:space="preserve"> for Data Point Versions:</w:t>
      </w:r>
    </w:p>
    <w:tbl>
      <w:tblPr>
        <w:tblStyle w:val="EBAtable"/>
        <w:tblW w:w="0" w:type="auto"/>
        <w:tblLook w:val="04A0" w:firstRow="1" w:lastRow="0" w:firstColumn="1" w:lastColumn="0" w:noHBand="0" w:noVBand="1"/>
      </w:tblPr>
      <w:tblGrid>
        <w:gridCol w:w="4645"/>
        <w:gridCol w:w="4646"/>
      </w:tblGrid>
      <w:tr w:rsidR="003D5718" w:rsidRPr="005A77ED" w14:paraId="55B5ECB8" w14:textId="77777777" w:rsidTr="000F3810">
        <w:trPr>
          <w:cnfStyle w:val="100000000000" w:firstRow="1" w:lastRow="0" w:firstColumn="0" w:lastColumn="0" w:oddVBand="0" w:evenVBand="0" w:oddHBand="0" w:evenHBand="0" w:firstRowFirstColumn="0" w:firstRowLastColumn="0" w:lastRowFirstColumn="0" w:lastRowLastColumn="0"/>
        </w:trPr>
        <w:tc>
          <w:tcPr>
            <w:tcW w:w="4645" w:type="dxa"/>
          </w:tcPr>
          <w:p w14:paraId="55B5ECB6" w14:textId="77777777" w:rsidR="003D5718" w:rsidRPr="005A77ED" w:rsidRDefault="003D5718" w:rsidP="00AA0EE8">
            <w:pPr>
              <w:pStyle w:val="Tableheader"/>
            </w:pPr>
            <w:proofErr w:type="spellStart"/>
            <w:r w:rsidRPr="005A77ED">
              <w:t>DataPointVID</w:t>
            </w:r>
            <w:proofErr w:type="spellEnd"/>
          </w:p>
        </w:tc>
        <w:tc>
          <w:tcPr>
            <w:tcW w:w="4646" w:type="dxa"/>
          </w:tcPr>
          <w:p w14:paraId="55B5ECB7" w14:textId="77777777" w:rsidR="003D5718" w:rsidRPr="005A77ED" w:rsidRDefault="003D5718" w:rsidP="00AA0EE8">
            <w:pPr>
              <w:pStyle w:val="Tableheader"/>
            </w:pPr>
            <w:proofErr w:type="spellStart"/>
            <w:r w:rsidRPr="005A77ED">
              <w:t>ContextID</w:t>
            </w:r>
            <w:proofErr w:type="spellEnd"/>
          </w:p>
        </w:tc>
      </w:tr>
      <w:tr w:rsidR="003D5718" w:rsidRPr="005A77ED" w14:paraId="55B5ECBB" w14:textId="77777777" w:rsidTr="000F3810">
        <w:tc>
          <w:tcPr>
            <w:tcW w:w="4645" w:type="dxa"/>
          </w:tcPr>
          <w:p w14:paraId="55B5ECB9" w14:textId="77777777" w:rsidR="003D5718" w:rsidRPr="005A77ED" w:rsidRDefault="003D5718" w:rsidP="00AA0EE8">
            <w:pPr>
              <w:pStyle w:val="Tabledata"/>
            </w:pPr>
            <w:r w:rsidRPr="005A77ED">
              <w:t>110964</w:t>
            </w:r>
          </w:p>
        </w:tc>
        <w:tc>
          <w:tcPr>
            <w:tcW w:w="4646" w:type="dxa"/>
          </w:tcPr>
          <w:p w14:paraId="55B5ECBA" w14:textId="77777777" w:rsidR="003D5718" w:rsidRPr="005A77ED" w:rsidRDefault="003D5718" w:rsidP="00AA0EE8">
            <w:pPr>
              <w:pStyle w:val="Tabledata"/>
            </w:pPr>
            <w:r w:rsidRPr="005A77ED">
              <w:t>63000</w:t>
            </w:r>
          </w:p>
        </w:tc>
      </w:tr>
      <w:tr w:rsidR="003D5718" w:rsidRPr="005A77ED" w14:paraId="55B5ECBE" w14:textId="77777777" w:rsidTr="000F3810">
        <w:tc>
          <w:tcPr>
            <w:tcW w:w="4645" w:type="dxa"/>
          </w:tcPr>
          <w:p w14:paraId="55B5ECBC" w14:textId="77777777" w:rsidR="003D5718" w:rsidRPr="005A77ED" w:rsidRDefault="003D5718" w:rsidP="00AA0EE8">
            <w:pPr>
              <w:pStyle w:val="Tabledata"/>
            </w:pPr>
            <w:r w:rsidRPr="005A77ED">
              <w:t>110965</w:t>
            </w:r>
          </w:p>
        </w:tc>
        <w:tc>
          <w:tcPr>
            <w:tcW w:w="4646" w:type="dxa"/>
          </w:tcPr>
          <w:p w14:paraId="55B5ECBD" w14:textId="77777777" w:rsidR="003D5718" w:rsidRPr="005A77ED" w:rsidRDefault="003D5718" w:rsidP="00AA0EE8">
            <w:pPr>
              <w:pStyle w:val="Tabledata"/>
            </w:pPr>
            <w:r w:rsidRPr="005A77ED">
              <w:t>63001</w:t>
            </w:r>
          </w:p>
        </w:tc>
      </w:tr>
      <w:tr w:rsidR="003D5718" w:rsidRPr="005A77ED" w14:paraId="55B5ECC1" w14:textId="77777777" w:rsidTr="000F3810">
        <w:tc>
          <w:tcPr>
            <w:tcW w:w="4645" w:type="dxa"/>
          </w:tcPr>
          <w:p w14:paraId="55B5ECBF" w14:textId="77777777" w:rsidR="003D5718" w:rsidRPr="005A77ED" w:rsidRDefault="003D5718" w:rsidP="00AA0EE8">
            <w:pPr>
              <w:pStyle w:val="Tabledata"/>
            </w:pPr>
            <w:r w:rsidRPr="005A77ED">
              <w:t>110966</w:t>
            </w:r>
          </w:p>
        </w:tc>
        <w:tc>
          <w:tcPr>
            <w:tcW w:w="4646" w:type="dxa"/>
          </w:tcPr>
          <w:p w14:paraId="55B5ECC0" w14:textId="77777777" w:rsidR="003D5718" w:rsidRPr="005A77ED" w:rsidRDefault="003D5718" w:rsidP="00AA0EE8">
            <w:pPr>
              <w:pStyle w:val="Tabledata"/>
            </w:pPr>
            <w:r w:rsidRPr="005A77ED">
              <w:t>63002</w:t>
            </w:r>
          </w:p>
        </w:tc>
      </w:tr>
      <w:tr w:rsidR="003D5718" w:rsidRPr="005A77ED" w14:paraId="55B5ECC4" w14:textId="77777777" w:rsidTr="000F3810">
        <w:tc>
          <w:tcPr>
            <w:tcW w:w="4645" w:type="dxa"/>
          </w:tcPr>
          <w:p w14:paraId="55B5ECC2" w14:textId="77777777" w:rsidR="003D5718" w:rsidRPr="005A77ED" w:rsidRDefault="003D5718" w:rsidP="00AA0EE8">
            <w:pPr>
              <w:pStyle w:val="Tabledata"/>
            </w:pPr>
            <w:r w:rsidRPr="005A77ED">
              <w:t>110967</w:t>
            </w:r>
          </w:p>
        </w:tc>
        <w:tc>
          <w:tcPr>
            <w:tcW w:w="4646" w:type="dxa"/>
          </w:tcPr>
          <w:p w14:paraId="55B5ECC3" w14:textId="77777777" w:rsidR="003D5718" w:rsidRPr="005A77ED" w:rsidRDefault="003D5718" w:rsidP="00AA0EE8">
            <w:pPr>
              <w:pStyle w:val="Tabledata"/>
            </w:pPr>
            <w:r w:rsidRPr="005A77ED">
              <w:t>63003</w:t>
            </w:r>
          </w:p>
        </w:tc>
      </w:tr>
      <w:tr w:rsidR="003D5718" w:rsidRPr="005A77ED" w14:paraId="55B5ECC7" w14:textId="77777777" w:rsidTr="000F3810">
        <w:tc>
          <w:tcPr>
            <w:tcW w:w="4645" w:type="dxa"/>
          </w:tcPr>
          <w:p w14:paraId="55B5ECC5" w14:textId="77777777" w:rsidR="003D5718" w:rsidRPr="005A77ED" w:rsidRDefault="003D5718" w:rsidP="00AA0EE8">
            <w:pPr>
              <w:pStyle w:val="Tabledata"/>
            </w:pPr>
            <w:r w:rsidRPr="005A77ED">
              <w:t>110968</w:t>
            </w:r>
          </w:p>
        </w:tc>
        <w:tc>
          <w:tcPr>
            <w:tcW w:w="4646" w:type="dxa"/>
          </w:tcPr>
          <w:p w14:paraId="55B5ECC6" w14:textId="77777777" w:rsidR="003D5718" w:rsidRPr="005A77ED" w:rsidRDefault="003D5718" w:rsidP="00AA0EE8">
            <w:pPr>
              <w:pStyle w:val="Tabledata"/>
            </w:pPr>
            <w:r w:rsidRPr="005A77ED">
              <w:t>63004</w:t>
            </w:r>
          </w:p>
        </w:tc>
      </w:tr>
    </w:tbl>
    <w:p w14:paraId="55B5ECC8" w14:textId="77777777" w:rsidR="00237B31" w:rsidRDefault="00237B31" w:rsidP="003D5718">
      <w:pPr>
        <w:pStyle w:val="Heading1"/>
        <w:rPr>
          <w:rFonts w:asciiTheme="minorHAnsi" w:eastAsiaTheme="minorEastAsia" w:hAnsiTheme="minorHAnsi" w:cstheme="minorBidi"/>
          <w:b w:val="0"/>
          <w:bCs w:val="0"/>
          <w:caps w:val="0"/>
          <w:color w:val="auto"/>
          <w:sz w:val="22"/>
          <w:szCs w:val="24"/>
        </w:rPr>
      </w:pPr>
    </w:p>
    <w:p w14:paraId="55B5ECC9" w14:textId="77777777" w:rsidR="003D5718" w:rsidRDefault="00237B31" w:rsidP="00237B31">
      <w:pPr>
        <w:pStyle w:val="Heading2"/>
      </w:pPr>
      <w:r w:rsidRPr="00237B31">
        <w:t>v2.1.0.1 (Taxonomy Bug fix)</w:t>
      </w:r>
      <w:r>
        <w:t xml:space="preserve"> </w:t>
      </w:r>
      <w:r w:rsidR="003D5718">
        <w:rPr>
          <w:rFonts w:ascii="Arial" w:hAnsi="Arial" w:cs="Arial"/>
          <w:color w:val="696969"/>
          <w:sz w:val="18"/>
          <w:szCs w:val="18"/>
          <w:shd w:val="clear" w:color="auto" w:fill="FFFFFF"/>
        </w:rPr>
        <w:t>(15/07/2014)</w:t>
      </w:r>
    </w:p>
    <w:p w14:paraId="55B5ECCA" w14:textId="77777777" w:rsidR="003D5718" w:rsidRDefault="003D5718" w:rsidP="003D5718"/>
    <w:p w14:paraId="55B5ECCB" w14:textId="77777777" w:rsidR="003D5718" w:rsidRDefault="003D5718" w:rsidP="003D5718">
      <w:r>
        <w:t>Sadly the previously published version included a technical error in the label files for the GA and CU hierarchies</w:t>
      </w:r>
      <w:r>
        <w:rPr>
          <w:rStyle w:val="FootnoteReference"/>
        </w:rPr>
        <w:footnoteReference w:id="11"/>
      </w:r>
      <w:r>
        <w:t>. As a result the taxonomy was not in fact valid XBRL.</w:t>
      </w:r>
    </w:p>
    <w:p w14:paraId="55B5ECCC" w14:textId="77777777" w:rsidR="003D5718" w:rsidRDefault="003D5718" w:rsidP="003D5718">
      <w:r>
        <w:t>This release replaces the dictionary package (eba_dict_2.1.0.1.zip) with one containing the corrected files (eba_dict_2.1.0.1.zip). The previous dictionary files should no longer be used, and eba_dict_2.1.0.1.zip (the files contained in it if not using the taxonomy package feature) must be used instead.</w:t>
      </w:r>
    </w:p>
    <w:p w14:paraId="55B5ECCD" w14:textId="77777777" w:rsidR="000378E5" w:rsidRDefault="00237B31" w:rsidP="00237B31">
      <w:pPr>
        <w:pStyle w:val="Heading2"/>
      </w:pPr>
      <w:r>
        <w:t>v2.1.0 (“2014/03” Package)</w:t>
      </w:r>
      <w:r w:rsidR="000378E5">
        <w:t xml:space="preserve"> </w:t>
      </w:r>
      <w:r w:rsidR="000F3810">
        <w:rPr>
          <w:rFonts w:ascii="Arial" w:hAnsi="Arial" w:cs="Arial"/>
          <w:color w:val="696969"/>
          <w:sz w:val="18"/>
          <w:szCs w:val="18"/>
          <w:shd w:val="clear" w:color="auto" w:fill="FFFFFF"/>
        </w:rPr>
        <w:t>(08/07/2014)</w:t>
      </w:r>
    </w:p>
    <w:p w14:paraId="55B5ECCE" w14:textId="77777777" w:rsidR="000378E5" w:rsidRDefault="000378E5" w:rsidP="00D515AE">
      <w:pPr>
        <w:pStyle w:val="Titlelevel2"/>
      </w:pPr>
      <w:r>
        <w:t>Arrangement into discrete “components” for distribution:</w:t>
      </w:r>
    </w:p>
    <w:p w14:paraId="55B5ECCF" w14:textId="77777777" w:rsidR="000378E5" w:rsidRPr="00953BEF" w:rsidRDefault="000378E5" w:rsidP="000378E5">
      <w:r>
        <w:t>The taxonomy has been packaged into discrete chunks to aid distribution, usage, and clarity of purpose and changes</w:t>
      </w:r>
      <w:r w:rsidR="00105BA1">
        <w:rPr>
          <w:rStyle w:val="FootnoteReference"/>
        </w:rPr>
        <w:footnoteReference w:id="12"/>
      </w:r>
      <w:r>
        <w:t xml:space="preserve">. The different chunks are </w:t>
      </w:r>
    </w:p>
    <w:p w14:paraId="55B5ECD0" w14:textId="77777777" w:rsidR="000378E5" w:rsidRDefault="000378E5" w:rsidP="00183058">
      <w:pPr>
        <w:pStyle w:val="ListParagraph"/>
        <w:numPr>
          <w:ilvl w:val="0"/>
          <w:numId w:val="8"/>
        </w:numPr>
      </w:pPr>
      <w:r>
        <w:t>(5 archives) Reporting Taxonomy versions (e.g. eba_corep_2.1.0.0.zip)</w:t>
      </w:r>
    </w:p>
    <w:p w14:paraId="55B5ECD1" w14:textId="77777777" w:rsidR="000378E5" w:rsidRDefault="000378E5" w:rsidP="00183058">
      <w:pPr>
        <w:pStyle w:val="ListParagraph"/>
        <w:numPr>
          <w:ilvl w:val="0"/>
          <w:numId w:val="8"/>
        </w:numPr>
      </w:pPr>
      <w:r>
        <w:t xml:space="preserve">(1 archive) Dictionary and EBA support files (files from the </w:t>
      </w:r>
      <w:proofErr w:type="spellStart"/>
      <w:r>
        <w:t>dict</w:t>
      </w:r>
      <w:proofErr w:type="spellEnd"/>
      <w:r>
        <w:t xml:space="preserve"> folder, </w:t>
      </w:r>
      <w:proofErr w:type="spellStart"/>
      <w:r>
        <w:t>ext</w:t>
      </w:r>
      <w:proofErr w:type="spellEnd"/>
      <w:r>
        <w:t xml:space="preserve">/model.xsd, and fws.xsd, </w:t>
      </w:r>
      <w:r w:rsidRPr="00953BEF">
        <w:t>fws-lab-codes.xml</w:t>
      </w:r>
      <w:r>
        <w:t xml:space="preserve"> and fws-lab-en.xml from the </w:t>
      </w:r>
      <w:proofErr w:type="spellStart"/>
      <w:r>
        <w:t>fws</w:t>
      </w:r>
      <w:proofErr w:type="spellEnd"/>
      <w:r>
        <w:t xml:space="preserve"> folder in a single versioned eba_dict_2.1.0.0.zip)</w:t>
      </w:r>
    </w:p>
    <w:p w14:paraId="55B5ECD2" w14:textId="77777777" w:rsidR="000378E5" w:rsidRDefault="000378E5" w:rsidP="00183058">
      <w:pPr>
        <w:pStyle w:val="ListParagraph"/>
        <w:numPr>
          <w:ilvl w:val="0"/>
          <w:numId w:val="8"/>
        </w:numPr>
      </w:pPr>
      <w:r>
        <w:lastRenderedPageBreak/>
        <w:t>(2 archives) Non-EBA files supplied for purely convenience (file sets from eurofiling.info and xbrl.org)</w:t>
      </w:r>
      <w:r>
        <w:rPr>
          <w:rStyle w:val="FootnoteReference"/>
        </w:rPr>
        <w:footnoteReference w:id="13"/>
      </w:r>
      <w:r>
        <w:t>.</w:t>
      </w:r>
    </w:p>
    <w:p w14:paraId="55B5ECD3" w14:textId="77777777" w:rsidR="000378E5" w:rsidRDefault="000378E5" w:rsidP="000378E5"/>
    <w:p w14:paraId="55B5ECD4" w14:textId="77777777" w:rsidR="000378E5" w:rsidRDefault="007F2F4F" w:rsidP="000378E5">
      <w:r>
        <w:t xml:space="preserve">Each of the </w:t>
      </w:r>
      <w:r w:rsidR="000378E5">
        <w:t xml:space="preserve">Reporting taxonomy </w:t>
      </w:r>
      <w:r>
        <w:t xml:space="preserve">components, and the </w:t>
      </w:r>
      <w:r w:rsidR="000378E5">
        <w:t>dictionary component</w:t>
      </w:r>
      <w:r>
        <w:t>,</w:t>
      </w:r>
      <w:r w:rsidR="000378E5">
        <w:t xml:space="preserve"> are supplied as potential “taxonomy packages”, utilising the “Taxonomy Package 1.0 - Public Working Draft 15 January 2014” specification.</w:t>
      </w:r>
    </w:p>
    <w:p w14:paraId="55B5ECD5" w14:textId="77777777" w:rsidR="000378E5" w:rsidRDefault="000378E5" w:rsidP="000378E5">
      <w:r>
        <w:t>Dictionary components are intended to be incremental, such that later versions may be safely used in place of earlier versions (and are released on the website as “in place” updates/overwrites and additions).</w:t>
      </w:r>
    </w:p>
    <w:p w14:paraId="55B5ECD6" w14:textId="77777777" w:rsidR="000378E5" w:rsidRDefault="000378E5" w:rsidP="000378E5">
      <w:r>
        <w:t>Reporting taxonomy components reference, and so require (files from) the appropriate version (or later) of the dictionary component to also be available, so may not be usable offline as-is in all software. As always, taxonomy consumers are responsible for suitably configuring their particular XBRL software.</w:t>
      </w:r>
    </w:p>
    <w:p w14:paraId="55B5ECD7" w14:textId="77777777" w:rsidR="000378E5" w:rsidRDefault="000378E5" w:rsidP="000378E5">
      <w:r>
        <w:t>To recover the complete set of taxonomy files, simply extract/unzip all the components into the same location.</w:t>
      </w:r>
    </w:p>
    <w:p w14:paraId="55B5ECD8" w14:textId="77777777" w:rsidR="000378E5" w:rsidRDefault="000378E5" w:rsidP="00D515AE">
      <w:pPr>
        <w:pStyle w:val="Titlelevel2"/>
      </w:pPr>
      <w:r>
        <w:t>Change of semantics for versioning numbers:</w:t>
      </w:r>
    </w:p>
    <w:p w14:paraId="55B5ECD9" w14:textId="77777777" w:rsidR="000378E5" w:rsidRDefault="000378E5" w:rsidP="000378E5">
      <w:r>
        <w:t xml:space="preserve">Old System – </w:t>
      </w:r>
      <w:proofErr w:type="spellStart"/>
      <w:r>
        <w:t>a.b.c</w:t>
      </w:r>
      <w:proofErr w:type="spellEnd"/>
      <w:r>
        <w:t xml:space="preserve"> where: </w:t>
      </w:r>
    </w:p>
    <w:p w14:paraId="55B5ECDA" w14:textId="77777777" w:rsidR="000378E5" w:rsidRDefault="000378E5" w:rsidP="00183058">
      <w:pPr>
        <w:pStyle w:val="ListParagraph"/>
        <w:numPr>
          <w:ilvl w:val="0"/>
          <w:numId w:val="6"/>
        </w:numPr>
      </w:pPr>
      <w:r>
        <w:t>major breaking version (i.e. regulatory framework renewal or complete dictionary change)</w:t>
      </w:r>
    </w:p>
    <w:p w14:paraId="55B5ECDB" w14:textId="77777777" w:rsidR="000378E5" w:rsidRDefault="000378E5" w:rsidP="00183058">
      <w:pPr>
        <w:pStyle w:val="ListParagraph"/>
        <w:numPr>
          <w:ilvl w:val="0"/>
          <w:numId w:val="6"/>
        </w:numPr>
      </w:pPr>
      <w:r>
        <w:t>minor breaking version (i.e. new business content or corrections),</w:t>
      </w:r>
    </w:p>
    <w:p w14:paraId="55B5ECDC" w14:textId="77777777" w:rsidR="000378E5" w:rsidRDefault="000378E5" w:rsidP="00183058">
      <w:pPr>
        <w:pStyle w:val="ListParagraph"/>
        <w:numPr>
          <w:ilvl w:val="0"/>
          <w:numId w:val="6"/>
        </w:numPr>
      </w:pPr>
      <w:r>
        <w:t xml:space="preserve">non-breaking revision (primarily validation rule and label changes and technical level fixes) </w:t>
      </w:r>
    </w:p>
    <w:p w14:paraId="55B5ECDD" w14:textId="77777777" w:rsidR="000378E5" w:rsidRDefault="000378E5" w:rsidP="000378E5">
      <w:r>
        <w:t xml:space="preserve">New system </w:t>
      </w:r>
      <w:proofErr w:type="spellStart"/>
      <w:r>
        <w:t>a.b.c.d.e</w:t>
      </w:r>
      <w:proofErr w:type="spellEnd"/>
      <w:r>
        <w:t xml:space="preserve"> where:</w:t>
      </w:r>
    </w:p>
    <w:p w14:paraId="55B5ECDE" w14:textId="77777777" w:rsidR="000378E5" w:rsidRDefault="000378E5" w:rsidP="00183058">
      <w:pPr>
        <w:pStyle w:val="ListParagraph"/>
        <w:numPr>
          <w:ilvl w:val="0"/>
          <w:numId w:val="7"/>
        </w:numPr>
      </w:pPr>
      <w:r>
        <w:t>major breaking version (i.e. regulatory framework renewal or complete dictionary change)</w:t>
      </w:r>
    </w:p>
    <w:p w14:paraId="55B5ECDF" w14:textId="77777777" w:rsidR="000378E5" w:rsidRDefault="000378E5" w:rsidP="00183058">
      <w:pPr>
        <w:pStyle w:val="ListParagraph"/>
        <w:numPr>
          <w:ilvl w:val="0"/>
          <w:numId w:val="7"/>
        </w:numPr>
      </w:pPr>
      <w:r>
        <w:t>significant business content change (e.g. new templates) – breaking change</w:t>
      </w:r>
    </w:p>
    <w:p w14:paraId="55B5ECE0" w14:textId="77777777" w:rsidR="000378E5" w:rsidRDefault="000378E5" w:rsidP="00183058">
      <w:pPr>
        <w:pStyle w:val="ListParagraph"/>
        <w:numPr>
          <w:ilvl w:val="0"/>
          <w:numId w:val="7"/>
        </w:numPr>
      </w:pPr>
      <w:r>
        <w:t xml:space="preserve">minor breaking changes - business content corrections and technical corrections/changes </w:t>
      </w:r>
    </w:p>
    <w:p w14:paraId="55B5ECE1" w14:textId="77777777" w:rsidR="000378E5" w:rsidRDefault="000378E5" w:rsidP="00183058">
      <w:pPr>
        <w:pStyle w:val="ListParagraph"/>
        <w:numPr>
          <w:ilvl w:val="0"/>
          <w:numId w:val="7"/>
        </w:numPr>
      </w:pPr>
      <w:r>
        <w:t>non-breaking revisions (primarily validation rule and label changes and technical level fixes)</w:t>
      </w:r>
      <w:r>
        <w:rPr>
          <w:rStyle w:val="FootnoteReference"/>
        </w:rPr>
        <w:footnoteReference w:id="14"/>
      </w:r>
    </w:p>
    <w:p w14:paraId="55B5ECE2" w14:textId="77777777" w:rsidR="000378E5" w:rsidRDefault="000378E5" w:rsidP="00183058">
      <w:pPr>
        <w:pStyle w:val="ListParagraph"/>
        <w:numPr>
          <w:ilvl w:val="0"/>
          <w:numId w:val="7"/>
        </w:numPr>
      </w:pPr>
      <w:r>
        <w:t>possible modifier for internal and public working versions</w:t>
      </w:r>
      <w:r>
        <w:rPr>
          <w:rStyle w:val="FootnoteReference"/>
        </w:rPr>
        <w:footnoteReference w:id="15"/>
      </w:r>
      <w:r>
        <w:t xml:space="preserve"> </w:t>
      </w:r>
    </w:p>
    <w:p w14:paraId="55B5ECE3" w14:textId="77777777" w:rsidR="000378E5" w:rsidRDefault="000378E5" w:rsidP="000378E5">
      <w:proofErr w:type="gramStart"/>
      <w:r>
        <w:t xml:space="preserve">Where “breaking” is primarily defined as the capacity of XBRL systems to successfully </w:t>
      </w:r>
      <w:r w:rsidRPr="005E598F">
        <w:rPr>
          <w:u w:val="single"/>
        </w:rPr>
        <w:t>structurally</w:t>
      </w:r>
      <w:r>
        <w:t xml:space="preserve"> validate instance files based on either revision using either interchangeable.</w:t>
      </w:r>
      <w:proofErr w:type="gramEnd"/>
    </w:p>
    <w:p w14:paraId="55B5ECE4" w14:textId="77777777" w:rsidR="000378E5" w:rsidRDefault="000378E5" w:rsidP="000378E5">
      <w:r>
        <w:t>The components of the composite taxonomy (dictionary and individual reporting taxonomy versions) are numbered individually based on this system.</w:t>
      </w:r>
    </w:p>
    <w:p w14:paraId="55B5ECE5" w14:textId="77777777" w:rsidR="00B107EE" w:rsidRDefault="00B107EE" w:rsidP="000378E5"/>
    <w:p w14:paraId="55B5ECE6" w14:textId="77777777" w:rsidR="00B107EE" w:rsidRDefault="00B107EE" w:rsidP="00D515AE">
      <w:pPr>
        <w:pStyle w:val="Titlelevel2"/>
      </w:pPr>
      <w:r>
        <w:t>DPM Changes</w:t>
      </w:r>
    </w:p>
    <w:p w14:paraId="55B5ECE7" w14:textId="77777777" w:rsidR="00B107EE" w:rsidRDefault="00B107EE" w:rsidP="00183058">
      <w:pPr>
        <w:pStyle w:val="ListParagraph"/>
        <w:numPr>
          <w:ilvl w:val="0"/>
          <w:numId w:val="5"/>
        </w:numPr>
      </w:pPr>
      <w:r>
        <w:t>Open axis of F34.00.c changed from column to sheet as per Consultation feedback</w:t>
      </w:r>
    </w:p>
    <w:p w14:paraId="55B5ECE8" w14:textId="77777777" w:rsidR="00B107EE" w:rsidRDefault="00B107EE" w:rsidP="00183058">
      <w:pPr>
        <w:pStyle w:val="ListParagraph"/>
        <w:numPr>
          <w:ilvl w:val="0"/>
          <w:numId w:val="5"/>
        </w:numPr>
      </w:pPr>
      <w:r>
        <w:t>Hierarchies CU3 and GA5 replaced by CU3_1 and GA5_1 respectively. GA5_1 contains "Other Countries", CU3_1 contains "Other Currencies" (not currently to be used).</w:t>
      </w:r>
    </w:p>
    <w:p w14:paraId="55B5ECE9" w14:textId="77777777" w:rsidR="00B107EE" w:rsidRDefault="00B107EE" w:rsidP="00183058">
      <w:pPr>
        <w:pStyle w:val="ListParagraph"/>
        <w:numPr>
          <w:ilvl w:val="0"/>
          <w:numId w:val="5"/>
        </w:numPr>
      </w:pPr>
      <w:r>
        <w:t>Adjusted hierarchy in GA4 to indicate that non-geographic entities fall under/form part of "Other Countries"</w:t>
      </w:r>
    </w:p>
    <w:p w14:paraId="55B5ECEA" w14:textId="77777777" w:rsidR="00B107EE" w:rsidRDefault="00B107EE" w:rsidP="00183058">
      <w:pPr>
        <w:pStyle w:val="ListParagraph"/>
        <w:numPr>
          <w:ilvl w:val="0"/>
          <w:numId w:val="5"/>
        </w:numPr>
      </w:pPr>
      <w:r>
        <w:t>Removed erroneous restrictions on rows 320-340, col 110 on F 19.00.a (as reported in Public Consultation)</w:t>
      </w:r>
    </w:p>
    <w:p w14:paraId="55B5ECEB" w14:textId="77777777" w:rsidR="00B107EE" w:rsidRDefault="00B107EE" w:rsidP="00183058">
      <w:pPr>
        <w:pStyle w:val="ListParagraph"/>
        <w:numPr>
          <w:ilvl w:val="0"/>
          <w:numId w:val="5"/>
        </w:numPr>
      </w:pPr>
      <w:r>
        <w:lastRenderedPageBreak/>
        <w:t>Added missing restrictions on rows 020-440, col 037 on F 08.01.a (as reported in Public Consultation)</w:t>
      </w:r>
    </w:p>
    <w:p w14:paraId="55B5ECEC" w14:textId="77777777" w:rsidR="00B107EE" w:rsidRDefault="00B107EE" w:rsidP="00183058">
      <w:pPr>
        <w:pStyle w:val="ListParagraph"/>
        <w:numPr>
          <w:ilvl w:val="0"/>
          <w:numId w:val="5"/>
        </w:numPr>
      </w:pPr>
      <w:r>
        <w:t>Added missing restrictions on rows 020 and 030, column 022 in F 20.5</w:t>
      </w:r>
    </w:p>
    <w:p w14:paraId="55B5ECED" w14:textId="77777777" w:rsidR="00B107EE" w:rsidRDefault="00B107EE" w:rsidP="00183058">
      <w:pPr>
        <w:pStyle w:val="ListParagraph"/>
        <w:numPr>
          <w:ilvl w:val="0"/>
          <w:numId w:val="5"/>
        </w:numPr>
      </w:pPr>
      <w:r>
        <w:t>Label for F 18 column 070 changed from "…past-due &lt; 90" to "…past-due &lt;= 90"</w:t>
      </w:r>
    </w:p>
    <w:p w14:paraId="55B5ECEE" w14:textId="77777777" w:rsidR="00B107EE" w:rsidRDefault="00B107EE" w:rsidP="00183058">
      <w:pPr>
        <w:pStyle w:val="ListParagraph"/>
        <w:numPr>
          <w:ilvl w:val="0"/>
          <w:numId w:val="5"/>
        </w:numPr>
      </w:pPr>
      <w:r>
        <w:t>Additional attributes applied to column 170 in tables F 19 and F 18 to distinguish the data in these columns (as reported in Public Consultation)</w:t>
      </w:r>
    </w:p>
    <w:p w14:paraId="55B5ECEF" w14:textId="77777777" w:rsidR="00B107EE" w:rsidRDefault="00B107EE" w:rsidP="00183058">
      <w:pPr>
        <w:pStyle w:val="ListParagraph"/>
        <w:numPr>
          <w:ilvl w:val="0"/>
          <w:numId w:val="5"/>
        </w:numPr>
      </w:pPr>
      <w:r>
        <w:t xml:space="preserve">DB - Addition of (3rd) </w:t>
      </w:r>
      <w:proofErr w:type="spellStart"/>
      <w:r>
        <w:t>CellPosition</w:t>
      </w:r>
      <w:proofErr w:type="spellEnd"/>
      <w:r>
        <w:t xml:space="preserve"> records (for ordinate with code "999") for cells (on tables with) with open z axes. Inclusion of DPM table layout queries, removal of erroneous out-of-date queries.</w:t>
      </w:r>
    </w:p>
    <w:p w14:paraId="55B5ECF0" w14:textId="77777777" w:rsidR="00B107EE" w:rsidRDefault="00B107EE" w:rsidP="00183058">
      <w:pPr>
        <w:pStyle w:val="ListParagraph"/>
        <w:numPr>
          <w:ilvl w:val="0"/>
          <w:numId w:val="5"/>
        </w:numPr>
      </w:pPr>
      <w:proofErr w:type="spellStart"/>
      <w:r>
        <w:t>ContextOfDataPoints</w:t>
      </w:r>
      <w:proofErr w:type="spellEnd"/>
      <w:r>
        <w:t xml:space="preserve"> table now indicates whether the “default member</w:t>
      </w:r>
      <w:proofErr w:type="gramStart"/>
      <w:r>
        <w:t>”  is</w:t>
      </w:r>
      <w:proofErr w:type="gramEnd"/>
      <w:r>
        <w:t xml:space="preserve"> allowed for open dimensions (a default member does not appear in the XBRL context, so can cause complexity when mapping these </w:t>
      </w:r>
      <w:proofErr w:type="spellStart"/>
      <w:r>
        <w:t>datapoints</w:t>
      </w:r>
      <w:proofErr w:type="spellEnd"/>
      <w:r>
        <w:t xml:space="preserve"> if not expected) – </w:t>
      </w:r>
      <w:proofErr w:type="spellStart"/>
      <w:r>
        <w:t>Contextkey</w:t>
      </w:r>
      <w:proofErr w:type="spellEnd"/>
      <w:r>
        <w:t xml:space="preserve"> field includes “???” instead of “999” where the default member is allowed, XBRL context key includes “?” instead of “*”.</w:t>
      </w:r>
    </w:p>
    <w:p w14:paraId="55B5ECF1" w14:textId="77777777" w:rsidR="00B107EE" w:rsidRDefault="00B107EE" w:rsidP="00183058">
      <w:pPr>
        <w:pStyle w:val="ListParagraph"/>
        <w:numPr>
          <w:ilvl w:val="0"/>
          <w:numId w:val="5"/>
        </w:numPr>
      </w:pPr>
      <w:r>
        <w:t>More explicitly indicate which open axis tables the “All” member is allowed (only C 15).</w:t>
      </w:r>
    </w:p>
    <w:p w14:paraId="55B5ECF2" w14:textId="77777777" w:rsidR="00B107EE" w:rsidRDefault="00B107EE" w:rsidP="00183058">
      <w:pPr>
        <w:pStyle w:val="ListParagraph"/>
        <w:numPr>
          <w:ilvl w:val="0"/>
          <w:numId w:val="5"/>
        </w:numPr>
      </w:pPr>
      <w:r>
        <w:t xml:space="preserve">Concepts added for </w:t>
      </w:r>
      <w:proofErr w:type="spellStart"/>
      <w:r>
        <w:t>hierarchyNodes</w:t>
      </w:r>
      <w:proofErr w:type="spellEnd"/>
      <w:r>
        <w:t xml:space="preserve"> so as to indicate currency period (i.e. “from” and “to” dates for changes)</w:t>
      </w:r>
    </w:p>
    <w:p w14:paraId="55B5ECF3" w14:textId="77777777" w:rsidR="00B107EE" w:rsidRDefault="00B107EE" w:rsidP="00237B31">
      <w:pPr>
        <w:pStyle w:val="Titlelevel3"/>
      </w:pPr>
      <w:r>
        <w:t>Known Issues:</w:t>
      </w:r>
    </w:p>
    <w:p w14:paraId="55B5ECF4" w14:textId="77777777" w:rsidR="00B107EE" w:rsidRDefault="00B107EE" w:rsidP="00183058">
      <w:pPr>
        <w:pStyle w:val="ListParagraph"/>
        <w:numPr>
          <w:ilvl w:val="0"/>
          <w:numId w:val="5"/>
        </w:numPr>
      </w:pPr>
      <w:r>
        <w:t xml:space="preserve">C 06.00 Group Solvency - the Excel "template" includes a first line total section which is not represented in the DPM or XBRL reporting. Data for this line is not to be reported. </w:t>
      </w:r>
    </w:p>
    <w:p w14:paraId="55B5ECF5" w14:textId="77777777" w:rsidR="00B107EE" w:rsidRDefault="00B107EE" w:rsidP="00183058">
      <w:pPr>
        <w:pStyle w:val="ListParagraph"/>
        <w:numPr>
          <w:ilvl w:val="0"/>
          <w:numId w:val="5"/>
        </w:numPr>
      </w:pPr>
      <w:r>
        <w:t>Data type of C 14.00 column 180 ("Number of Exposures" is integer, not text or enumeration as implied by instructions ("institution shall report the letter code according to the relevant interval: (a) N&lt;6; (b) 6=N&lt;34 (c) 34=N&lt;=100; (d) 100&lt;N&lt;=1000; (e) N&gt;1000."). Institutions should report exact numbers of exposures rather than letter codes. The instructions will be changed in the near future.</w:t>
      </w:r>
    </w:p>
    <w:p w14:paraId="55B5ECF6" w14:textId="77777777" w:rsidR="00B107EE" w:rsidRDefault="00B107EE" w:rsidP="00183058">
      <w:pPr>
        <w:pStyle w:val="ListParagraph"/>
        <w:numPr>
          <w:ilvl w:val="0"/>
          <w:numId w:val="5"/>
        </w:numPr>
      </w:pPr>
      <w:r>
        <w:t>Hierarchies GA1, GA2 and GA3 are not currently used anywhere</w:t>
      </w:r>
    </w:p>
    <w:p w14:paraId="55B5ECF7" w14:textId="77777777" w:rsidR="00B107EE" w:rsidRDefault="00B107EE" w:rsidP="00D515AE">
      <w:pPr>
        <w:pStyle w:val="Titlelevel2"/>
      </w:pPr>
      <w:r>
        <w:t>Other Taxonomy Changes</w:t>
      </w:r>
    </w:p>
    <w:p w14:paraId="55B5ECF8" w14:textId="77777777" w:rsidR="00B107EE" w:rsidRDefault="00B107EE" w:rsidP="00D515AE">
      <w:pPr>
        <w:pStyle w:val="Titlelevel3"/>
      </w:pPr>
      <w:r>
        <w:t>Bug Fixes:</w:t>
      </w:r>
    </w:p>
    <w:p w14:paraId="55B5ECF9" w14:textId="77777777" w:rsidR="00B107EE" w:rsidRDefault="00B107EE" w:rsidP="00183058">
      <w:pPr>
        <w:pStyle w:val="ListParagraph"/>
        <w:numPr>
          <w:ilvl w:val="0"/>
          <w:numId w:val="5"/>
        </w:numPr>
      </w:pPr>
      <w:r>
        <w:t xml:space="preserve">New </w:t>
      </w:r>
      <w:proofErr w:type="spellStart"/>
      <w:r>
        <w:t>Eurofiling</w:t>
      </w:r>
      <w:proofErr w:type="spellEnd"/>
      <w:r>
        <w:t xml:space="preserve"> interval arithmetic file included, corrects </w:t>
      </w:r>
      <w:r w:rsidRPr="00BC2D1D">
        <w:t>calculation of threshold for product and division where operands are of different sign</w:t>
      </w:r>
    </w:p>
    <w:p w14:paraId="55B5ECFA" w14:textId="77777777" w:rsidR="00B107EE" w:rsidRDefault="00B107EE" w:rsidP="00183058">
      <w:pPr>
        <w:pStyle w:val="ListParagraph"/>
        <w:numPr>
          <w:ilvl w:val="0"/>
          <w:numId w:val="5"/>
        </w:numPr>
      </w:pPr>
      <w:r>
        <w:t>Systematic mapping error for sums over an open axis in validation rules corrected (several rules reactivated as a result)</w:t>
      </w:r>
    </w:p>
    <w:p w14:paraId="55B5ECFB" w14:textId="77777777" w:rsidR="00B107EE" w:rsidRDefault="00B107EE" w:rsidP="00183058">
      <w:pPr>
        <w:pStyle w:val="ListParagraph"/>
        <w:numPr>
          <w:ilvl w:val="0"/>
          <w:numId w:val="5"/>
        </w:numPr>
      </w:pPr>
      <w:r>
        <w:t>Incorrect inclusion of some tables in modules via incorrectly defined assertion sets corrected.</w:t>
      </w:r>
    </w:p>
    <w:p w14:paraId="55B5ECFC" w14:textId="77777777" w:rsidR="00B107EE" w:rsidRDefault="00B107EE" w:rsidP="00183058">
      <w:pPr>
        <w:pStyle w:val="ListParagraph"/>
        <w:numPr>
          <w:ilvl w:val="0"/>
          <w:numId w:val="5"/>
        </w:numPr>
      </w:pPr>
      <w:r>
        <w:t xml:space="preserve">Corrected exclusion of default member from open axis </w:t>
      </w:r>
      <w:proofErr w:type="spellStart"/>
      <w:r>
        <w:t>hypercubes</w:t>
      </w:r>
      <w:proofErr w:type="spellEnd"/>
      <w:r>
        <w:t xml:space="preserve"> (where required)</w:t>
      </w:r>
    </w:p>
    <w:p w14:paraId="55B5ECFD" w14:textId="77777777" w:rsidR="00B107EE" w:rsidRDefault="00B107EE" w:rsidP="00D515AE">
      <w:pPr>
        <w:pStyle w:val="Titlelevel3"/>
      </w:pPr>
      <w:r>
        <w:t>Changes</w:t>
      </w:r>
    </w:p>
    <w:p w14:paraId="55B5ECFE" w14:textId="77777777" w:rsidR="00B107EE" w:rsidRDefault="00B107EE" w:rsidP="00B107EE">
      <w:r>
        <w:t xml:space="preserve"> Triggering of validation rules (via preconditions) limited to only the exact set of tables as specified in the validation rule documentation, rather than previous approach of taking into account where identical data points enabled the same rule to be applied on other (sets of) tables. Validation messages should now more closely align with the identified problem.</w:t>
      </w:r>
    </w:p>
    <w:p w14:paraId="55B5ECFF" w14:textId="77777777" w:rsidR="00237B31" w:rsidRDefault="00237B31" w:rsidP="00237B31">
      <w:pPr>
        <w:pStyle w:val="Heading2"/>
      </w:pPr>
      <w:r w:rsidRPr="00237B31">
        <w:lastRenderedPageBreak/>
        <w:t xml:space="preserve">v2.1.0 (“2014/03” Package) </w:t>
      </w:r>
    </w:p>
    <w:p w14:paraId="55B5ED00" w14:textId="77777777" w:rsidR="00237B31" w:rsidRDefault="00237B31" w:rsidP="00237B31">
      <w:pPr>
        <w:pStyle w:val="Subtitle"/>
      </w:pPr>
      <w:r w:rsidRPr="00237B31">
        <w:t>Public Consultation</w:t>
      </w:r>
    </w:p>
    <w:p w14:paraId="55B5ED01" w14:textId="77777777" w:rsidR="000378E5" w:rsidRDefault="000378E5" w:rsidP="000378E5">
      <w:pPr>
        <w:pStyle w:val="Heading1"/>
      </w:pPr>
      <w:r>
        <w:t>v2.1.0 (“2014/03” Package) Public Consultation</w:t>
      </w:r>
    </w:p>
    <w:p w14:paraId="55B5ED02" w14:textId="77777777" w:rsidR="000378E5" w:rsidRDefault="000378E5" w:rsidP="00D515AE">
      <w:pPr>
        <w:pStyle w:val="Titlelevel3"/>
      </w:pPr>
      <w:r>
        <w:t xml:space="preserve">Differences c.f. DPMs </w:t>
      </w:r>
      <w:r w:rsidRPr="00F37007">
        <w:t>published</w:t>
      </w:r>
      <w:r>
        <w:t xml:space="preserve"> accompanying ITS.</w:t>
      </w:r>
    </w:p>
    <w:p w14:paraId="55B5ED03" w14:textId="77777777" w:rsidR="000378E5" w:rsidRDefault="000378E5" w:rsidP="00183058">
      <w:pPr>
        <w:pStyle w:val="ListParagraph"/>
        <w:numPr>
          <w:ilvl w:val="0"/>
          <w:numId w:val="5"/>
        </w:numPr>
      </w:pPr>
      <w:r>
        <w:t>Addition of general information table A00.01 (equivalent to C00.01 and F00.01, to be reported with all Asset encumbrance instances).</w:t>
      </w:r>
    </w:p>
    <w:p w14:paraId="55B5ED04" w14:textId="77777777" w:rsidR="000378E5" w:rsidRDefault="000378E5" w:rsidP="00D515AE">
      <w:pPr>
        <w:pStyle w:val="Titlelevel3"/>
      </w:pPr>
      <w:r>
        <w:t xml:space="preserve">Corrections to align with </w:t>
      </w:r>
      <w:proofErr w:type="gramStart"/>
      <w:r>
        <w:t>ITS</w:t>
      </w:r>
      <w:proofErr w:type="gramEnd"/>
      <w:r>
        <w:t xml:space="preserve">, that are not “backwards compatible at the instance level”: </w:t>
      </w:r>
    </w:p>
    <w:p w14:paraId="55B5ED05" w14:textId="77777777" w:rsidR="000378E5" w:rsidRDefault="000378E5" w:rsidP="00183058">
      <w:pPr>
        <w:pStyle w:val="ListParagraph"/>
        <w:numPr>
          <w:ilvl w:val="0"/>
          <w:numId w:val="4"/>
        </w:numPr>
      </w:pPr>
      <w:r>
        <w:t>C02.00 r210 (“Equity”) changed MC member used in order to align with C07.00a</w:t>
      </w:r>
      <w:r>
        <w:tab/>
      </w:r>
    </w:p>
    <w:p w14:paraId="55B5ED06" w14:textId="77777777" w:rsidR="000378E5" w:rsidRPr="005A5FF7" w:rsidRDefault="000378E5" w:rsidP="00183058">
      <w:pPr>
        <w:pStyle w:val="ListParagraph"/>
        <w:numPr>
          <w:ilvl w:val="0"/>
          <w:numId w:val="4"/>
        </w:numPr>
        <w:rPr>
          <w:i/>
        </w:rPr>
      </w:pPr>
      <w:r w:rsidRPr="005A5FF7">
        <w:rPr>
          <w:i/>
        </w:rPr>
        <w:t xml:space="preserve">C07.00 (all </w:t>
      </w:r>
      <w:proofErr w:type="spellStart"/>
      <w:r w:rsidRPr="005A5FF7">
        <w:rPr>
          <w:i/>
        </w:rPr>
        <w:t>subtables</w:t>
      </w:r>
      <w:proofErr w:type="spellEnd"/>
      <w:r w:rsidRPr="005A5FF7">
        <w:rPr>
          <w:i/>
        </w:rPr>
        <w:t>) delete c020 (“Of which: arising from default fund contributions”)</w:t>
      </w:r>
    </w:p>
    <w:p w14:paraId="55B5ED07" w14:textId="77777777" w:rsidR="000378E5" w:rsidRDefault="000378E5" w:rsidP="00183058">
      <w:pPr>
        <w:pStyle w:val="ListParagraph"/>
        <w:numPr>
          <w:ilvl w:val="0"/>
          <w:numId w:val="4"/>
        </w:numPr>
      </w:pPr>
      <w:r>
        <w:t>C09.01 restriction (grey shading) removed for c050 to c060 of r100</w:t>
      </w:r>
    </w:p>
    <w:p w14:paraId="55B5ED08" w14:textId="77777777" w:rsidR="000378E5" w:rsidRDefault="000378E5" w:rsidP="00183058">
      <w:pPr>
        <w:pStyle w:val="ListParagraph"/>
        <w:numPr>
          <w:ilvl w:val="0"/>
          <w:numId w:val="4"/>
        </w:numPr>
      </w:pPr>
      <w:r>
        <w:t>C25.00 added restriction (grey shading) to {r030, c110} and {r040, c110}</w:t>
      </w:r>
      <w:r>
        <w:tab/>
      </w:r>
    </w:p>
    <w:p w14:paraId="55B5ED09" w14:textId="77777777" w:rsidR="000378E5" w:rsidRDefault="000378E5" w:rsidP="00183058">
      <w:pPr>
        <w:pStyle w:val="ListParagraph"/>
        <w:numPr>
          <w:ilvl w:val="0"/>
          <w:numId w:val="4"/>
        </w:numPr>
      </w:pPr>
      <w:r>
        <w:t>F08.01 (</w:t>
      </w:r>
      <w:proofErr w:type="spellStart"/>
      <w:r>
        <w:t>a+b</w:t>
      </w:r>
      <w:proofErr w:type="spellEnd"/>
      <w:r>
        <w:t>) missing column 037 (“Hedge Accounting”) added (identical to F1.2 row 150)</w:t>
      </w:r>
    </w:p>
    <w:p w14:paraId="55B5ED0A" w14:textId="77777777" w:rsidR="000378E5" w:rsidRPr="005A5FF7" w:rsidRDefault="000378E5" w:rsidP="00183058">
      <w:pPr>
        <w:pStyle w:val="ListParagraph"/>
        <w:numPr>
          <w:ilvl w:val="0"/>
          <w:numId w:val="4"/>
        </w:numPr>
        <w:rPr>
          <w:i/>
        </w:rPr>
      </w:pPr>
      <w:r>
        <w:t>F40.01 missing column 095 added (modelled similarly to C27.00 counterparty sector)</w:t>
      </w:r>
    </w:p>
    <w:p w14:paraId="55B5ED0B" w14:textId="77777777" w:rsidR="000378E5" w:rsidRDefault="000378E5" w:rsidP="00183058">
      <w:pPr>
        <w:pStyle w:val="ListParagraph"/>
        <w:numPr>
          <w:ilvl w:val="0"/>
          <w:numId w:val="4"/>
        </w:numPr>
      </w:pPr>
      <w:r>
        <w:t>F41.02 deleted restriction of {r020, c030}</w:t>
      </w:r>
      <w:r>
        <w:tab/>
      </w:r>
    </w:p>
    <w:p w14:paraId="55B5ED0C" w14:textId="77777777" w:rsidR="000378E5" w:rsidRDefault="000378E5" w:rsidP="00183058">
      <w:pPr>
        <w:pStyle w:val="ListParagraph"/>
        <w:numPr>
          <w:ilvl w:val="0"/>
          <w:numId w:val="4"/>
        </w:numPr>
      </w:pPr>
      <w:r>
        <w:t>PL members' names corrected. The term “designated” deleted in the following cases:</w:t>
      </w:r>
      <w:r>
        <w:tab/>
      </w:r>
    </w:p>
    <w:p w14:paraId="55B5ED0D" w14:textId="77777777" w:rsidR="000378E5" w:rsidRPr="00E05D74" w:rsidRDefault="000378E5" w:rsidP="00183058">
      <w:pPr>
        <w:pStyle w:val="ListParagraph"/>
        <w:numPr>
          <w:ilvl w:val="1"/>
          <w:numId w:val="4"/>
        </w:numPr>
        <w:rPr>
          <w:sz w:val="20"/>
        </w:rPr>
      </w:pPr>
      <w:r w:rsidRPr="00E05D74">
        <w:rPr>
          <w:sz w:val="20"/>
        </w:rPr>
        <w:t>2591</w:t>
      </w:r>
      <w:r w:rsidRPr="00E05D74">
        <w:rPr>
          <w:sz w:val="20"/>
        </w:rPr>
        <w:tab/>
        <w:t>PL</w:t>
      </w:r>
      <w:proofErr w:type="gramStart"/>
      <w:r w:rsidRPr="00E05D74">
        <w:rPr>
          <w:sz w:val="20"/>
        </w:rPr>
        <w:t>:x19</w:t>
      </w:r>
      <w:proofErr w:type="gramEnd"/>
      <w:r w:rsidRPr="00E05D74">
        <w:rPr>
          <w:sz w:val="20"/>
        </w:rPr>
        <w:tab/>
        <w:t xml:space="preserve">Financial assets designated at fair value through profit or loss. Hybrid contracts </w:t>
      </w:r>
      <w:r w:rsidRPr="00E05D74">
        <w:rPr>
          <w:strike/>
          <w:sz w:val="20"/>
        </w:rPr>
        <w:t>designated</w:t>
      </w:r>
      <w:r w:rsidRPr="00E05D74">
        <w:rPr>
          <w:sz w:val="20"/>
        </w:rPr>
        <w:t xml:space="preserve">, </w:t>
      </w:r>
      <w:proofErr w:type="gramStart"/>
      <w:r w:rsidRPr="00E05D74">
        <w:rPr>
          <w:sz w:val="20"/>
        </w:rPr>
        <w:t>Financial</w:t>
      </w:r>
      <w:proofErr w:type="gramEnd"/>
      <w:r w:rsidRPr="00E05D74">
        <w:rPr>
          <w:sz w:val="20"/>
        </w:rPr>
        <w:t xml:space="preserve"> liabilities designated at fair value through profit or loss. Hybrid contracts </w:t>
      </w:r>
      <w:r w:rsidRPr="00E05D74">
        <w:rPr>
          <w:strike/>
          <w:sz w:val="20"/>
        </w:rPr>
        <w:t>designated</w:t>
      </w:r>
    </w:p>
    <w:p w14:paraId="55B5ED0E" w14:textId="77777777" w:rsidR="000378E5" w:rsidRPr="00E05D74" w:rsidRDefault="000378E5" w:rsidP="00183058">
      <w:pPr>
        <w:pStyle w:val="ListParagraph"/>
        <w:numPr>
          <w:ilvl w:val="1"/>
          <w:numId w:val="4"/>
        </w:numPr>
        <w:rPr>
          <w:sz w:val="20"/>
        </w:rPr>
      </w:pPr>
      <w:r w:rsidRPr="00E05D74">
        <w:rPr>
          <w:sz w:val="20"/>
        </w:rPr>
        <w:t>3205</w:t>
      </w:r>
      <w:r w:rsidRPr="00E05D74">
        <w:rPr>
          <w:sz w:val="20"/>
        </w:rPr>
        <w:tab/>
        <w:t>PL</w:t>
      </w:r>
      <w:proofErr w:type="gramStart"/>
      <w:r w:rsidRPr="00E05D74">
        <w:rPr>
          <w:sz w:val="20"/>
        </w:rPr>
        <w:t>:x55</w:t>
      </w:r>
      <w:proofErr w:type="gramEnd"/>
      <w:r w:rsidRPr="00E05D74">
        <w:rPr>
          <w:sz w:val="20"/>
        </w:rPr>
        <w:tab/>
        <w:t xml:space="preserve">Financial liabilities designated at fair value through profit or loss. Hybrid contracts </w:t>
      </w:r>
      <w:r w:rsidRPr="00E05D74">
        <w:rPr>
          <w:strike/>
          <w:sz w:val="20"/>
        </w:rPr>
        <w:t>designated</w:t>
      </w:r>
    </w:p>
    <w:p w14:paraId="55B5ED0F" w14:textId="77777777" w:rsidR="000378E5" w:rsidRDefault="000378E5" w:rsidP="00183058">
      <w:pPr>
        <w:pStyle w:val="ListParagraph"/>
        <w:numPr>
          <w:ilvl w:val="1"/>
          <w:numId w:val="4"/>
        </w:numPr>
      </w:pPr>
      <w:r w:rsidRPr="00E05D74">
        <w:rPr>
          <w:sz w:val="20"/>
        </w:rPr>
        <w:t>3208</w:t>
      </w:r>
      <w:r w:rsidRPr="00E05D74">
        <w:rPr>
          <w:sz w:val="20"/>
        </w:rPr>
        <w:tab/>
        <w:t>PL</w:t>
      </w:r>
      <w:proofErr w:type="gramStart"/>
      <w:r w:rsidRPr="00E05D74">
        <w:rPr>
          <w:sz w:val="20"/>
        </w:rPr>
        <w:t>:x58</w:t>
      </w:r>
      <w:proofErr w:type="gramEnd"/>
      <w:r w:rsidRPr="00E05D74">
        <w:rPr>
          <w:sz w:val="20"/>
        </w:rPr>
        <w:tab/>
        <w:t xml:space="preserve">Financial assets designated at fair value through profit or loss. Hybrid contracts </w:t>
      </w:r>
      <w:r w:rsidRPr="00E05D74">
        <w:rPr>
          <w:strike/>
          <w:sz w:val="20"/>
        </w:rPr>
        <w:t>designated</w:t>
      </w:r>
      <w:r>
        <w:tab/>
      </w:r>
    </w:p>
    <w:p w14:paraId="55B5ED10" w14:textId="77777777" w:rsidR="000378E5" w:rsidRDefault="000378E5" w:rsidP="00D515AE">
      <w:pPr>
        <w:pStyle w:val="Titlelevel3"/>
      </w:pPr>
      <w:r>
        <w:t>Incremental addition of Asset Encumbrance reporting requirements:</w:t>
      </w:r>
    </w:p>
    <w:p w14:paraId="55B5ED11" w14:textId="77777777" w:rsidR="000378E5" w:rsidRDefault="000378E5" w:rsidP="00183058">
      <w:pPr>
        <w:pStyle w:val="ListParagraph"/>
        <w:numPr>
          <w:ilvl w:val="0"/>
          <w:numId w:val="4"/>
        </w:numPr>
      </w:pPr>
      <w:r>
        <w:t>New framework and taxonomy</w:t>
      </w:r>
    </w:p>
    <w:p w14:paraId="55B5ED12" w14:textId="77777777" w:rsidR="000378E5" w:rsidRDefault="000378E5" w:rsidP="00183058">
      <w:pPr>
        <w:pStyle w:val="ListParagraph"/>
        <w:numPr>
          <w:ilvl w:val="0"/>
          <w:numId w:val="4"/>
        </w:numPr>
      </w:pPr>
      <w:r>
        <w:t>New tables F32.xx-F36.xx</w:t>
      </w:r>
    </w:p>
    <w:p w14:paraId="55B5ED13" w14:textId="77777777" w:rsidR="000378E5" w:rsidRDefault="000378E5" w:rsidP="00183058">
      <w:pPr>
        <w:pStyle w:val="ListParagraph"/>
        <w:numPr>
          <w:ilvl w:val="0"/>
          <w:numId w:val="4"/>
        </w:numPr>
      </w:pPr>
      <w:r>
        <w:t>Additional members in TI, MC and AT</w:t>
      </w:r>
    </w:p>
    <w:p w14:paraId="55B5ED14" w14:textId="77777777" w:rsidR="00237B31" w:rsidRDefault="00237B31" w:rsidP="00237B31">
      <w:pPr>
        <w:pStyle w:val="ListParagraph"/>
      </w:pPr>
    </w:p>
    <w:p w14:paraId="55B5ED15" w14:textId="77777777" w:rsidR="000378E5" w:rsidRDefault="000378E5" w:rsidP="00237B31">
      <w:pPr>
        <w:pStyle w:val="Titlelevel3"/>
      </w:pPr>
      <w:r>
        <w:t>Addition of Forbearance and Non-performing Exposures, and consequent adjustments to existing FINREP tables:</w:t>
      </w:r>
    </w:p>
    <w:p w14:paraId="55B5ED16" w14:textId="77777777" w:rsidR="000378E5" w:rsidRDefault="000378E5" w:rsidP="00183058">
      <w:pPr>
        <w:pStyle w:val="ListParagraph"/>
        <w:numPr>
          <w:ilvl w:val="0"/>
          <w:numId w:val="4"/>
        </w:numPr>
      </w:pPr>
      <w:r>
        <w:t>New tables in FINREP part 1, F18.xx and F19.xx</w:t>
      </w:r>
    </w:p>
    <w:p w14:paraId="55B5ED17" w14:textId="77777777" w:rsidR="000378E5" w:rsidRDefault="000378E5" w:rsidP="00183058">
      <w:pPr>
        <w:pStyle w:val="ListParagraph"/>
        <w:numPr>
          <w:ilvl w:val="0"/>
          <w:numId w:val="4"/>
        </w:numPr>
      </w:pPr>
      <w:r>
        <w:t>F06.00 added c012(“Of which: non-performing”)</w:t>
      </w:r>
    </w:p>
    <w:p w14:paraId="55B5ED18" w14:textId="77777777" w:rsidR="000378E5" w:rsidRDefault="000378E5" w:rsidP="00183058">
      <w:pPr>
        <w:pStyle w:val="ListParagraph"/>
        <w:numPr>
          <w:ilvl w:val="0"/>
          <w:numId w:val="4"/>
        </w:numPr>
      </w:pPr>
      <w:r>
        <w:t>F09.01 added r021,r101,r181 (“Of which: non-performing”), removed r020,r100,r180</w:t>
      </w:r>
      <w:r>
        <w:tab/>
        <w:t>(“Of which: Defaulted”)</w:t>
      </w:r>
    </w:p>
    <w:p w14:paraId="55B5ED19" w14:textId="77777777" w:rsidR="000378E5" w:rsidRDefault="000378E5" w:rsidP="00183058">
      <w:pPr>
        <w:pStyle w:val="ListParagraph"/>
        <w:numPr>
          <w:ilvl w:val="0"/>
          <w:numId w:val="4"/>
        </w:numPr>
      </w:pPr>
      <w:r>
        <w:lastRenderedPageBreak/>
        <w:t>F20.04 removed c020 (“Of which: defaulted”), added c022 (“Of which: debt forbearance”), c025 (“Of which: non performing”)</w:t>
      </w:r>
    </w:p>
    <w:p w14:paraId="55B5ED1A" w14:textId="77777777" w:rsidR="000378E5" w:rsidRDefault="000378E5" w:rsidP="00183058">
      <w:pPr>
        <w:pStyle w:val="ListParagraph"/>
        <w:numPr>
          <w:ilvl w:val="0"/>
          <w:numId w:val="4"/>
        </w:numPr>
      </w:pPr>
      <w:r>
        <w:t>F20.05a removed c020</w:t>
      </w:r>
      <w:r w:rsidRPr="0055681B">
        <w:t xml:space="preserve"> </w:t>
      </w:r>
      <w:proofErr w:type="spellStart"/>
      <w:r>
        <w:t>c020</w:t>
      </w:r>
      <w:proofErr w:type="spellEnd"/>
      <w:r>
        <w:t xml:space="preserve"> (“Of which: defaulted”), added c022 (“Of which: debt forbearance”), c025 (“Of which: non performing”)</w:t>
      </w:r>
    </w:p>
    <w:p w14:paraId="55B5ED1B" w14:textId="77777777" w:rsidR="000378E5" w:rsidRDefault="000378E5" w:rsidP="00183058">
      <w:pPr>
        <w:pStyle w:val="ListParagraph"/>
        <w:numPr>
          <w:ilvl w:val="0"/>
          <w:numId w:val="4"/>
        </w:numPr>
      </w:pPr>
      <w:r>
        <w:t>F20.07 add r012 (“Of which: non performing”)</w:t>
      </w:r>
      <w:r>
        <w:tab/>
      </w:r>
    </w:p>
    <w:p w14:paraId="55B5ED1C" w14:textId="77777777" w:rsidR="000378E5" w:rsidRDefault="000378E5" w:rsidP="00183058">
      <w:pPr>
        <w:pStyle w:val="ListParagraph"/>
        <w:numPr>
          <w:ilvl w:val="0"/>
          <w:numId w:val="4"/>
        </w:numPr>
      </w:pPr>
      <w:r>
        <w:t>F30.02 removed r020 (“of which: non performing”),r130 (“of which: defaulted”),  added r021, r131 (both “of which: non performing”)</w:t>
      </w:r>
    </w:p>
    <w:p w14:paraId="55B5ED1D" w14:textId="77777777" w:rsidR="000378E5" w:rsidRDefault="000378E5" w:rsidP="00183058">
      <w:pPr>
        <w:pStyle w:val="ListParagraph"/>
        <w:numPr>
          <w:ilvl w:val="0"/>
          <w:numId w:val="4"/>
        </w:numPr>
      </w:pPr>
      <w:r>
        <w:t>F31.01 changed categorisation of r100 (“of which: defaulted”)</w:t>
      </w:r>
    </w:p>
    <w:p w14:paraId="55B5ED1E" w14:textId="77777777" w:rsidR="000378E5" w:rsidRDefault="000378E5" w:rsidP="00183058">
      <w:pPr>
        <w:pStyle w:val="ListParagraph"/>
        <w:numPr>
          <w:ilvl w:val="0"/>
          <w:numId w:val="4"/>
        </w:numPr>
      </w:pPr>
      <w:r>
        <w:t>New Dimensions PFS (performing status) and FBS (Forbearance status)</w:t>
      </w:r>
    </w:p>
    <w:p w14:paraId="55B5ED1F" w14:textId="77777777" w:rsidR="000378E5" w:rsidRDefault="000378E5" w:rsidP="00183058">
      <w:pPr>
        <w:pStyle w:val="ListParagraph"/>
        <w:numPr>
          <w:ilvl w:val="0"/>
          <w:numId w:val="4"/>
        </w:numPr>
      </w:pPr>
      <w:r>
        <w:t>Additional members in IM and PL</w:t>
      </w:r>
    </w:p>
    <w:p w14:paraId="55B5ED20" w14:textId="77777777" w:rsidR="00237B31" w:rsidRDefault="00237B31" w:rsidP="00237B31">
      <w:pPr>
        <w:pStyle w:val="ListParagraph"/>
      </w:pPr>
    </w:p>
    <w:p w14:paraId="55B5ED21" w14:textId="77777777" w:rsidR="000378E5" w:rsidRDefault="000378E5" w:rsidP="00237B31">
      <w:pPr>
        <w:pStyle w:val="Titlelevel3"/>
      </w:pPr>
      <w:r>
        <w:t xml:space="preserve">Minor corrections to labelling to align with EC publication of </w:t>
      </w:r>
      <w:proofErr w:type="gramStart"/>
      <w:r>
        <w:t>ITS</w:t>
      </w:r>
      <w:proofErr w:type="gramEnd"/>
      <w:r>
        <w:t>:</w:t>
      </w:r>
    </w:p>
    <w:p w14:paraId="55B5ED22" w14:textId="77777777" w:rsidR="000378E5" w:rsidRPr="00867180" w:rsidRDefault="000378E5" w:rsidP="00183058">
      <w:pPr>
        <w:pStyle w:val="ListParagraph"/>
        <w:numPr>
          <w:ilvl w:val="0"/>
          <w:numId w:val="4"/>
        </w:numPr>
      </w:pPr>
      <w:r w:rsidRPr="00867180">
        <w:t>C05.02 corrected label of r090 and r120 to r140</w:t>
      </w:r>
    </w:p>
    <w:p w14:paraId="55B5ED23" w14:textId="77777777" w:rsidR="00237B31" w:rsidRDefault="000378E5" w:rsidP="00183058">
      <w:pPr>
        <w:pStyle w:val="ListParagraph"/>
        <w:numPr>
          <w:ilvl w:val="0"/>
          <w:numId w:val="4"/>
        </w:numPr>
      </w:pPr>
      <w:r w:rsidRPr="00867180">
        <w:t>F40.0</w:t>
      </w:r>
      <w:r w:rsidR="00237B31">
        <w:t>1 corrected label of column 090</w:t>
      </w:r>
    </w:p>
    <w:p w14:paraId="55B5ED24" w14:textId="77777777" w:rsidR="00237B31" w:rsidRDefault="00237B31" w:rsidP="00237B31">
      <w:pPr>
        <w:pStyle w:val="Heading2"/>
      </w:pPr>
      <w:r w:rsidRPr="00237B31">
        <w:t>v2.0.1 (Technical correction release)</w:t>
      </w:r>
    </w:p>
    <w:p w14:paraId="55B5ED25" w14:textId="77777777" w:rsidR="000378E5" w:rsidRDefault="000378E5" w:rsidP="00237B31">
      <w:r>
        <w:t xml:space="preserve">Bug Fix – duplicate locator links in some files </w:t>
      </w:r>
    </w:p>
    <w:p w14:paraId="55B5ED26" w14:textId="77777777" w:rsidR="00237B31" w:rsidRPr="001F59D5" w:rsidRDefault="00237B31" w:rsidP="00237B31">
      <w:pPr>
        <w:pStyle w:val="Heading2"/>
      </w:pPr>
      <w:r>
        <w:t>v2.0.0 (Public Release)</w:t>
      </w:r>
    </w:p>
    <w:p w14:paraId="55B5ED27" w14:textId="77777777" w:rsidR="000378E5" w:rsidRDefault="000378E5" w:rsidP="00D515AE">
      <w:pPr>
        <w:pStyle w:val="Titlelevel3"/>
      </w:pPr>
      <w:r>
        <w:t>Bug Fixes:</w:t>
      </w:r>
    </w:p>
    <w:p w14:paraId="55B5ED28" w14:textId="77777777" w:rsidR="000378E5" w:rsidRDefault="000378E5" w:rsidP="00183058">
      <w:pPr>
        <w:pStyle w:val="ListParagraph"/>
        <w:numPr>
          <w:ilvl w:val="0"/>
          <w:numId w:val="4"/>
        </w:numPr>
      </w:pPr>
      <w:r>
        <w:t>Systematic mapping error affecting many Hierarchies (resulting in them being out of order) corrected.</w:t>
      </w:r>
    </w:p>
    <w:p w14:paraId="55B5ED29" w14:textId="77777777" w:rsidR="000378E5" w:rsidRDefault="000378E5" w:rsidP="00183058">
      <w:pPr>
        <w:pStyle w:val="ListParagraph"/>
        <w:numPr>
          <w:ilvl w:val="0"/>
          <w:numId w:val="4"/>
        </w:numPr>
      </w:pPr>
      <w:r>
        <w:t xml:space="preserve">Inclusion of </w:t>
      </w:r>
      <w:proofErr w:type="spellStart"/>
      <w:r>
        <w:t>RewriteUri</w:t>
      </w:r>
      <w:proofErr w:type="spellEnd"/>
      <w:r>
        <w:t xml:space="preserve"> element in catalog.xml</w:t>
      </w:r>
    </w:p>
    <w:p w14:paraId="55B5ED2A" w14:textId="77777777" w:rsidR="000378E5" w:rsidRDefault="000378E5" w:rsidP="00183058">
      <w:pPr>
        <w:pStyle w:val="ListParagraph"/>
        <w:numPr>
          <w:ilvl w:val="0"/>
          <w:numId w:val="4"/>
        </w:numPr>
      </w:pPr>
      <w:r>
        <w:t>Removal of .taxonomyPackage.xml file</w:t>
      </w:r>
    </w:p>
    <w:p w14:paraId="55B5ED2B" w14:textId="77777777" w:rsidR="000378E5" w:rsidRDefault="000378E5" w:rsidP="00183058">
      <w:pPr>
        <w:pStyle w:val="ListParagraph"/>
        <w:numPr>
          <w:ilvl w:val="0"/>
          <w:numId w:val="4"/>
        </w:numPr>
      </w:pPr>
      <w:r>
        <w:t>Interval Arithmetic libraries updated</w:t>
      </w:r>
    </w:p>
    <w:p w14:paraId="55B5ED2C" w14:textId="77777777" w:rsidR="000378E5" w:rsidRDefault="000378E5" w:rsidP="00183058">
      <w:pPr>
        <w:pStyle w:val="ListParagraph"/>
        <w:numPr>
          <w:ilvl w:val="1"/>
          <w:numId w:val="4"/>
        </w:numPr>
      </w:pPr>
      <w:r>
        <w:t>Handle “INF” for decimal attributes</w:t>
      </w:r>
    </w:p>
    <w:p w14:paraId="55B5ED2D" w14:textId="77777777" w:rsidR="000378E5" w:rsidRDefault="000378E5" w:rsidP="00183058">
      <w:pPr>
        <w:pStyle w:val="ListParagraph"/>
        <w:numPr>
          <w:ilvl w:val="1"/>
          <w:numId w:val="4"/>
        </w:numPr>
      </w:pPr>
      <w:r>
        <w:t xml:space="preserve">Handle empty sequences </w:t>
      </w:r>
    </w:p>
    <w:p w14:paraId="55B5ED2E" w14:textId="77777777" w:rsidR="000378E5" w:rsidRDefault="000378E5" w:rsidP="00D515AE">
      <w:pPr>
        <w:pStyle w:val="Titlelevel3"/>
      </w:pPr>
      <w:r>
        <w:t>DPM Corrections</w:t>
      </w:r>
    </w:p>
    <w:p w14:paraId="55B5ED2F" w14:textId="77777777" w:rsidR="000378E5" w:rsidRDefault="000378E5" w:rsidP="00183058">
      <w:pPr>
        <w:pStyle w:val="ListParagraph"/>
        <w:numPr>
          <w:ilvl w:val="0"/>
          <w:numId w:val="4"/>
        </w:numPr>
      </w:pPr>
      <w:r>
        <w:t xml:space="preserve">Correction of naming of two flow type members, which were missing the “(flow)” required by naming convention used for metrics: </w:t>
      </w:r>
    </w:p>
    <w:p w14:paraId="55B5ED30" w14:textId="77777777" w:rsidR="00237B31" w:rsidRDefault="00237B31" w:rsidP="00237B31">
      <w:pPr>
        <w:pStyle w:val="ListParagraph"/>
      </w:pPr>
    </w:p>
    <w:p w14:paraId="55B5ED31" w14:textId="77777777" w:rsidR="000378E5" w:rsidRDefault="000378E5" w:rsidP="000378E5">
      <w:r>
        <w:t>1187 (md69)</w:t>
      </w:r>
      <w:r>
        <w:tab/>
        <w:t xml:space="preserve">Changes in Defined benefit obligations other than Current service cost, Interest cost, Contributions paid by plan participants, Actuarial gains and losses, </w:t>
      </w:r>
      <w:proofErr w:type="gramStart"/>
      <w:r>
        <w:t>Foreign</w:t>
      </w:r>
      <w:proofErr w:type="gramEnd"/>
      <w:r>
        <w:t xml:space="preserve"> currency exchange, Benefits paid, Past service cost, Business combinations or divestiture </w:t>
      </w:r>
      <w:r w:rsidRPr="00174A17">
        <w:rPr>
          <w:i/>
        </w:rPr>
        <w:t>(flow)</w:t>
      </w:r>
      <w:r>
        <w:tab/>
      </w:r>
    </w:p>
    <w:p w14:paraId="55B5ED32" w14:textId="77777777" w:rsidR="00237B31" w:rsidRDefault="00237B31" w:rsidP="000378E5"/>
    <w:p w14:paraId="55B5ED33" w14:textId="77777777" w:rsidR="00A011A3" w:rsidRDefault="000378E5" w:rsidP="00237B31">
      <w:pPr>
        <w:rPr>
          <w:i/>
        </w:rPr>
      </w:pPr>
      <w:r>
        <w:t>1190 (md72)</w:t>
      </w:r>
      <w:r>
        <w:tab/>
        <w:t xml:space="preserve">Changes in equity other than those explicitly reported </w:t>
      </w:r>
      <w:r w:rsidRPr="00174A17">
        <w:rPr>
          <w:i/>
        </w:rPr>
        <w:t>(flow)</w:t>
      </w:r>
    </w:p>
    <w:p w14:paraId="55B5ED34" w14:textId="77777777" w:rsidR="00237B31" w:rsidRDefault="00237B31" w:rsidP="00237B31">
      <w:pPr>
        <w:rPr>
          <w:i/>
        </w:rPr>
      </w:pPr>
    </w:p>
    <w:p w14:paraId="55B5ED35" w14:textId="77777777" w:rsidR="00237B31" w:rsidRPr="00237B31" w:rsidRDefault="00237B31" w:rsidP="00237B31">
      <w:pPr>
        <w:pStyle w:val="Heading2"/>
      </w:pPr>
      <w:r w:rsidRPr="00237B31">
        <w:t>V2.0.0 (Public Consultation)</w:t>
      </w:r>
    </w:p>
    <w:p w14:paraId="55B5ED36" w14:textId="77777777" w:rsidR="00237B31" w:rsidRPr="00237B31" w:rsidRDefault="00237B31" w:rsidP="00237B31">
      <w:r w:rsidRPr="00237B31">
        <w:t>Baseline</w:t>
      </w:r>
    </w:p>
    <w:sectPr w:rsidR="00237B31" w:rsidRPr="00237B31" w:rsidSect="00D515AE">
      <w:headerReference w:type="even" r:id="rId11"/>
      <w:headerReference w:type="default" r:id="rId12"/>
      <w:footerReference w:type="even" r:id="rId13"/>
      <w:footerReference w:type="default" r:id="rId14"/>
      <w:headerReference w:type="first" r:id="rId15"/>
      <w:footerReference w:type="first" r:id="rId16"/>
      <w:pgSz w:w="11909" w:h="16834" w:code="9"/>
      <w:pgMar w:top="2237" w:right="1417" w:bottom="1417" w:left="1417" w:header="709" w:footer="709" w:gutter="0"/>
      <w:cols w:space="708"/>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D826A1" w14:textId="77777777" w:rsidR="00E71D9F" w:rsidRDefault="00E71D9F">
      <w:r>
        <w:separator/>
      </w:r>
    </w:p>
  </w:endnote>
  <w:endnote w:type="continuationSeparator" w:id="0">
    <w:p w14:paraId="2812AD9E" w14:textId="77777777" w:rsidR="00E71D9F" w:rsidRDefault="00E71D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866D54" w14:textId="77777777" w:rsidR="008C6146" w:rsidRDefault="008C614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D9D925" w14:textId="77777777" w:rsidR="008C6146" w:rsidRPr="00433B41" w:rsidRDefault="008C6146" w:rsidP="00433B41">
    <w:pPr>
      <w:pStyle w:val="Footer"/>
      <w:jc w:val="center"/>
      <w:rPr>
        <w:sz w:val="14"/>
      </w:rPr>
    </w:pPr>
    <w:r>
      <w:rPr>
        <w:sz w:val="14"/>
      </w:rPr>
      <w:t>W</w:t>
    </w:r>
    <w:r w:rsidRPr="00433B41">
      <w:rPr>
        <w:sz w:val="14"/>
      </w:rPr>
      <w:t xml:space="preserve">ebsite: </w:t>
    </w:r>
    <w:hyperlink r:id="rId1" w:history="1">
      <w:r w:rsidRPr="00196D6B">
        <w:rPr>
          <w:rStyle w:val="Hyperlink"/>
          <w:sz w:val="14"/>
        </w:rPr>
        <w:t>http://eba.europa.eu</w:t>
      </w:r>
    </w:hyperlink>
    <w:r w:rsidRPr="00433B41">
      <w:rPr>
        <w:sz w:val="14"/>
      </w:rPr>
      <w:t xml:space="preserve">, Single Rulebook Q&amp;A </w:t>
    </w:r>
    <w:hyperlink r:id="rId2" w:history="1">
      <w:r w:rsidRPr="00433B41">
        <w:rPr>
          <w:rStyle w:val="Hyperlink"/>
          <w:sz w:val="14"/>
        </w:rPr>
        <w:t>http://www.eba.europa.eu/single-rule-book-qa</w:t>
      </w:r>
    </w:hyperlink>
    <w:r w:rsidRPr="00433B41">
      <w:rPr>
        <w:sz w:val="14"/>
      </w:rPr>
      <w:t xml:space="preserve">, XBRL specific queries: </w:t>
    </w:r>
    <w:hyperlink r:id="rId3" w:history="1">
      <w:r w:rsidRPr="00433B41">
        <w:rPr>
          <w:rStyle w:val="Hyperlink"/>
          <w:sz w:val="14"/>
        </w:rPr>
        <w:t>eba-xbrl@eba.europa.eu</w:t>
      </w:r>
    </w:hyperlink>
    <w:r w:rsidRPr="00433B41">
      <w:rPr>
        <w:sz w:val="14"/>
      </w:rPr>
      <w:t xml:space="preserve"> </w:t>
    </w:r>
  </w:p>
  <w:p w14:paraId="55B5ED3D" w14:textId="77777777" w:rsidR="008C6146" w:rsidRPr="00F4602F" w:rsidRDefault="008C6146" w:rsidP="00A77E78">
    <w:pPr>
      <w:pStyle w:val="Footer"/>
      <w:jc w:val="center"/>
      <w:rPr>
        <w:rFonts w:ascii="Times New Roman" w:hAnsi="Times New Roman" w:cs="Times New Roman"/>
        <w:sz w:val="20"/>
        <w:szCs w:val="20"/>
      </w:rPr>
    </w:pPr>
    <w:r w:rsidRPr="00F4602F">
      <w:rPr>
        <w:rFonts w:ascii="Times New Roman" w:hAnsi="Times New Roman" w:cs="Times New Roman"/>
        <w:sz w:val="20"/>
        <w:szCs w:val="20"/>
      </w:rPr>
      <w:fldChar w:fldCharType="begin"/>
    </w:r>
    <w:r w:rsidRPr="00F4602F">
      <w:rPr>
        <w:rFonts w:ascii="Times New Roman" w:hAnsi="Times New Roman" w:cs="Times New Roman"/>
        <w:sz w:val="20"/>
        <w:szCs w:val="20"/>
      </w:rPr>
      <w:instrText xml:space="preserve"> PAGE   \* MERGEFORMAT </w:instrText>
    </w:r>
    <w:r w:rsidRPr="00F4602F">
      <w:rPr>
        <w:rFonts w:ascii="Times New Roman" w:hAnsi="Times New Roman" w:cs="Times New Roman"/>
        <w:sz w:val="20"/>
        <w:szCs w:val="20"/>
      </w:rPr>
      <w:fldChar w:fldCharType="separate"/>
    </w:r>
    <w:r w:rsidR="002317E2">
      <w:rPr>
        <w:rFonts w:ascii="Times New Roman" w:hAnsi="Times New Roman" w:cs="Times New Roman"/>
        <w:noProof/>
        <w:sz w:val="20"/>
        <w:szCs w:val="20"/>
      </w:rPr>
      <w:t>2</w:t>
    </w:r>
    <w:r w:rsidRPr="00F4602F">
      <w:rPr>
        <w:rFonts w:ascii="Times New Roman" w:hAnsi="Times New Roman" w:cs="Times New Roman"/>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C8553C" w14:textId="26F3BC4F" w:rsidR="008C6146" w:rsidRPr="00433B41" w:rsidRDefault="008C6146" w:rsidP="00D9244A">
    <w:pPr>
      <w:pStyle w:val="Footer"/>
      <w:jc w:val="center"/>
      <w:rPr>
        <w:sz w:val="14"/>
      </w:rPr>
    </w:pPr>
    <w:r>
      <w:rPr>
        <w:sz w:val="14"/>
      </w:rPr>
      <w:t>W</w:t>
    </w:r>
    <w:r w:rsidRPr="00433B41">
      <w:rPr>
        <w:sz w:val="14"/>
      </w:rPr>
      <w:t xml:space="preserve">ebsite: </w:t>
    </w:r>
    <w:hyperlink r:id="rId1" w:history="1">
      <w:r w:rsidRPr="00196D6B">
        <w:rPr>
          <w:rStyle w:val="Hyperlink"/>
          <w:sz w:val="14"/>
        </w:rPr>
        <w:t>http://eba.europa.eu</w:t>
      </w:r>
    </w:hyperlink>
    <w:r w:rsidRPr="00433B41">
      <w:rPr>
        <w:sz w:val="14"/>
      </w:rPr>
      <w:t xml:space="preserve">, Single Rulebook Q&amp;A </w:t>
    </w:r>
    <w:hyperlink r:id="rId2" w:history="1">
      <w:r w:rsidRPr="00433B41">
        <w:rPr>
          <w:rStyle w:val="Hyperlink"/>
          <w:sz w:val="14"/>
        </w:rPr>
        <w:t>http://www.eba.europa.eu/single-rule-book-qa</w:t>
      </w:r>
    </w:hyperlink>
    <w:r w:rsidRPr="00433B41">
      <w:rPr>
        <w:sz w:val="14"/>
      </w:rPr>
      <w:t xml:space="preserve">, XBRL specific queries: </w:t>
    </w:r>
    <w:hyperlink r:id="rId3" w:history="1">
      <w:r w:rsidRPr="00433B41">
        <w:rPr>
          <w:rStyle w:val="Hyperlink"/>
          <w:sz w:val="14"/>
        </w:rPr>
        <w:t>eba-xbrl@eba.europa.eu</w:t>
      </w:r>
    </w:hyperlink>
    <w:r w:rsidRPr="00433B41">
      <w:rPr>
        <w:sz w:val="14"/>
      </w:rPr>
      <w:t xml:space="preserve"> </w:t>
    </w:r>
  </w:p>
  <w:p w14:paraId="55B5ED40" w14:textId="657A9C76" w:rsidR="008C6146" w:rsidRDefault="008C6146" w:rsidP="00D9244A">
    <w:pPr>
      <w:pStyle w:val="Footer"/>
      <w:jc w:val="center"/>
    </w:pPr>
    <w:r>
      <w:t xml:space="preserve"> </w:t>
    </w:r>
    <w:r>
      <w:rPr>
        <w:rStyle w:val="PageNumber"/>
      </w:rPr>
      <w:fldChar w:fldCharType="begin"/>
    </w:r>
    <w:r>
      <w:rPr>
        <w:rStyle w:val="PageNumber"/>
      </w:rPr>
      <w:instrText xml:space="preserve"> PAGE </w:instrText>
    </w:r>
    <w:r>
      <w:rPr>
        <w:rStyle w:val="PageNumber"/>
      </w:rPr>
      <w:fldChar w:fldCharType="separate"/>
    </w:r>
    <w:r w:rsidR="002317E2">
      <w:rPr>
        <w:rStyle w:val="PageNumber"/>
        <w:noProof/>
      </w:rPr>
      <w:t>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D7A0B0" w14:textId="77777777" w:rsidR="00E71D9F" w:rsidRDefault="00E71D9F">
      <w:r>
        <w:separator/>
      </w:r>
    </w:p>
  </w:footnote>
  <w:footnote w:type="continuationSeparator" w:id="0">
    <w:p w14:paraId="7C70D37D" w14:textId="77777777" w:rsidR="00E71D9F" w:rsidRDefault="00E71D9F">
      <w:r>
        <w:continuationSeparator/>
      </w:r>
    </w:p>
  </w:footnote>
  <w:footnote w:id="1">
    <w:p w14:paraId="1FFE8E54" w14:textId="7EEF4649" w:rsidR="008C6146" w:rsidRDefault="008C6146">
      <w:pPr>
        <w:pStyle w:val="FootnoteText"/>
      </w:pPr>
      <w:r>
        <w:rPr>
          <w:rStyle w:val="FootnoteReference"/>
        </w:rPr>
        <w:footnoteRef/>
      </w:r>
      <w:r>
        <w:t xml:space="preserve"> </w:t>
      </w:r>
      <w:r w:rsidRPr="00F66EEB">
        <w:t xml:space="preserve">32 rules, </w:t>
      </w:r>
      <w:bookmarkStart w:id="2" w:name="OLE_LINK8"/>
      <w:bookmarkStart w:id="3" w:name="OLE_LINK9"/>
      <w:r w:rsidRPr="00F66EEB">
        <w:t>v4533-4548 and v4672-4687</w:t>
      </w:r>
      <w:bookmarkEnd w:id="2"/>
      <w:bookmarkEnd w:id="3"/>
      <w:r w:rsidRPr="00F66EEB">
        <w:t xml:space="preserve">, all of the form </w:t>
      </w:r>
      <w:r>
        <w:t>“{</w:t>
      </w:r>
      <w:proofErr w:type="spellStart"/>
      <w:r>
        <w:t>rXXX</w:t>
      </w:r>
      <w:proofErr w:type="spellEnd"/>
      <w:r>
        <w:t>}=sum(</w:t>
      </w:r>
      <w:proofErr w:type="spellStart"/>
      <w:r>
        <w:t>rYYY</w:t>
      </w:r>
      <w:proofErr w:type="spellEnd"/>
      <w:r>
        <w:t>-</w:t>
      </w:r>
      <w:r w:rsidRPr="00F66EEB">
        <w:t>ZZZ)</w:t>
      </w:r>
      <w:r>
        <w:t>”</w:t>
      </w:r>
      <w:r w:rsidRPr="00F66EEB">
        <w:t xml:space="preserve"> with a </w:t>
      </w:r>
      <w:r>
        <w:t xml:space="preserve">row </w:t>
      </w:r>
      <w:r w:rsidRPr="00F66EEB">
        <w:t xml:space="preserve">scope restriction </w:t>
      </w:r>
      <w:r>
        <w:t>of (</w:t>
      </w:r>
      <w:r w:rsidRPr="00F66EEB">
        <w:t>XXX</w:t>
      </w:r>
      <w:r>
        <w:t>)</w:t>
      </w:r>
    </w:p>
  </w:footnote>
  <w:footnote w:id="2">
    <w:p w14:paraId="7BB4D340" w14:textId="59CD9FE4" w:rsidR="002317E2" w:rsidRDefault="002317E2">
      <w:pPr>
        <w:pStyle w:val="FootnoteText"/>
      </w:pPr>
      <w:r>
        <w:rPr>
          <w:rStyle w:val="FootnoteReference"/>
        </w:rPr>
        <w:footnoteRef/>
      </w:r>
      <w:r>
        <w:t xml:space="preserve"> 3 rules, v4741_h-v4743_h</w:t>
      </w:r>
    </w:p>
  </w:footnote>
  <w:footnote w:id="3">
    <w:p w14:paraId="6F8B85F2" w14:textId="35A8D7E9" w:rsidR="00455509" w:rsidRDefault="00455509" w:rsidP="00455509">
      <w:pPr>
        <w:pStyle w:val="FootnoteText"/>
      </w:pPr>
      <w:r>
        <w:rPr>
          <w:rStyle w:val="FootnoteReference"/>
        </w:rPr>
        <w:footnoteRef/>
      </w:r>
      <w:r>
        <w:t xml:space="preserve"> I.e. 2.4.1.0 / 2.4.1.1, or 2.5.0.0 / 2.5.0.1</w:t>
      </w:r>
    </w:p>
  </w:footnote>
  <w:footnote w:id="4">
    <w:p w14:paraId="4447D222" w14:textId="03D91849" w:rsidR="00455509" w:rsidRDefault="00455509">
      <w:pPr>
        <w:pStyle w:val="FootnoteText"/>
      </w:pPr>
      <w:r>
        <w:rPr>
          <w:rStyle w:val="FootnoteReference"/>
        </w:rPr>
        <w:footnoteRef/>
      </w:r>
      <w:r>
        <w:t xml:space="preserve"> I.e. appropriately disabling/ignoring the output of these rules and ensuring compliance with them by other means.</w:t>
      </w:r>
    </w:p>
  </w:footnote>
  <w:footnote w:id="5">
    <w:p w14:paraId="5CD8650A" w14:textId="317BADB4" w:rsidR="00455509" w:rsidRDefault="00455509">
      <w:pPr>
        <w:pStyle w:val="FootnoteText"/>
      </w:pPr>
      <w:r>
        <w:rPr>
          <w:rStyle w:val="FootnoteReference"/>
        </w:rPr>
        <w:footnoteRef/>
      </w:r>
      <w:r>
        <w:t xml:space="preserve"> </w:t>
      </w:r>
      <w:r w:rsidRPr="00455509">
        <w:t>Additionally, parties who utilise the EBA XBRL taxonomy directly in “online” mode - i.e. directly reference the files from the canonical URLs, rather than (the more typical approach of) caching the files locally, will automatically and transparently utilis</w:t>
      </w:r>
      <w:r>
        <w:t>e these corrected versions.</w:t>
      </w:r>
    </w:p>
  </w:footnote>
  <w:footnote w:id="6">
    <w:p w14:paraId="62527207" w14:textId="77777777" w:rsidR="008C6146" w:rsidRDefault="008C6146" w:rsidP="00F823CC">
      <w:pPr>
        <w:pStyle w:val="FootnoteText"/>
      </w:pPr>
      <w:r>
        <w:rPr>
          <w:rStyle w:val="FootnoteReference"/>
        </w:rPr>
        <w:footnoteRef/>
      </w:r>
      <w:r>
        <w:t xml:space="preserve"> where {C 02.00,r060,c010,s000} previously with </w:t>
      </w:r>
      <w:proofErr w:type="spellStart"/>
      <w:r>
        <w:t>DataPointVID</w:t>
      </w:r>
      <w:proofErr w:type="spellEnd"/>
      <w:r>
        <w:t xml:space="preserve"> 78020 (and </w:t>
      </w:r>
      <w:proofErr w:type="spellStart"/>
      <w:r>
        <w:t>DataPointID</w:t>
      </w:r>
      <w:proofErr w:type="spellEnd"/>
      <w:r>
        <w:t xml:space="preserve"> 78020) has been deliberately remodelled to exactly match the existing modelling of cell {C 07.00.a,r010,c220,s001} with </w:t>
      </w:r>
      <w:proofErr w:type="spellStart"/>
      <w:r>
        <w:t>DataPointVID</w:t>
      </w:r>
      <w:proofErr w:type="spellEnd"/>
      <w:r>
        <w:t xml:space="preserve"> 78917 (and </w:t>
      </w:r>
      <w:proofErr w:type="spellStart"/>
      <w:r>
        <w:t>DataPointID</w:t>
      </w:r>
      <w:proofErr w:type="spellEnd"/>
      <w:r>
        <w:t xml:space="preserve"> 78917) so that in future only one figure will be reported representing both of these cells).</w:t>
      </w:r>
    </w:p>
  </w:footnote>
  <w:footnote w:id="7">
    <w:p w14:paraId="5293590B" w14:textId="1BFB7F68" w:rsidR="008C6146" w:rsidRDefault="008C6146">
      <w:pPr>
        <w:pStyle w:val="FootnoteText"/>
      </w:pPr>
      <w:r>
        <w:rPr>
          <w:rStyle w:val="FootnoteReference"/>
        </w:rPr>
        <w:footnoteRef/>
      </w:r>
      <w:r>
        <w:t xml:space="preserve"> Which also independently include this correction to validation rule </w:t>
      </w:r>
      <w:proofErr w:type="gramStart"/>
      <w:r>
        <w:t>implementations.</w:t>
      </w:r>
      <w:proofErr w:type="gramEnd"/>
    </w:p>
  </w:footnote>
  <w:footnote w:id="8">
    <w:p w14:paraId="55B5ED43" w14:textId="77777777" w:rsidR="008C6146" w:rsidRDefault="008C6146" w:rsidP="00D77280">
      <w:pPr>
        <w:pStyle w:val="FootnoteText"/>
      </w:pPr>
      <w:r>
        <w:rPr>
          <w:rStyle w:val="FootnoteReference"/>
        </w:rPr>
        <w:footnoteRef/>
      </w:r>
      <w:r>
        <w:t xml:space="preserve"> </w:t>
      </w:r>
      <w:hyperlink r:id="rId1" w:history="1">
        <w:r w:rsidRPr="00EE5701">
          <w:rPr>
            <w:rStyle w:val="Hyperlink"/>
          </w:rPr>
          <w:t>https://www.eba.europa.eu/single-rule-book-qa</w:t>
        </w:r>
      </w:hyperlink>
      <w:r>
        <w:t xml:space="preserve"> </w:t>
      </w:r>
    </w:p>
  </w:footnote>
  <w:footnote w:id="9">
    <w:p w14:paraId="55B5ED44" w14:textId="77777777" w:rsidR="008C6146" w:rsidRDefault="008C6146" w:rsidP="00D77280">
      <w:pPr>
        <w:pStyle w:val="FootnoteText"/>
      </w:pPr>
      <w:r>
        <w:rPr>
          <w:rStyle w:val="FootnoteReference"/>
        </w:rPr>
        <w:footnoteRef/>
      </w:r>
      <w:r>
        <w:t xml:space="preserve"> “</w:t>
      </w:r>
      <w:proofErr w:type="gramStart"/>
      <w:r>
        <w:t>consistent</w:t>
      </w:r>
      <w:proofErr w:type="gramEnd"/>
      <w:r>
        <w:t>” essentially meaning that the same ISO code should, where possible, be used for the currency unit as is in the member code.</w:t>
      </w:r>
    </w:p>
  </w:footnote>
  <w:footnote w:id="10">
    <w:p w14:paraId="55B5ED45" w14:textId="77777777" w:rsidR="008C6146" w:rsidRDefault="008C6146" w:rsidP="00D77280">
      <w:pPr>
        <w:pStyle w:val="FootnoteText"/>
      </w:pPr>
      <w:r>
        <w:rPr>
          <w:rStyle w:val="FootnoteReference"/>
        </w:rPr>
        <w:footnoteRef/>
      </w:r>
      <w:r>
        <w:t xml:space="preserve"> See for example the list appropriate to the 2015 exercise in Annex I at </w:t>
      </w:r>
      <w:hyperlink r:id="rId2" w:history="1">
        <w:r w:rsidRPr="00EE5701">
          <w:rPr>
            <w:rStyle w:val="Hyperlink"/>
          </w:rPr>
          <w:t>http://www.eba.europa.eu/regulation-and-policy/other-topics/regulatory-and-implementing-technical-standards-on-benchmarking-portfolios</w:t>
        </w:r>
      </w:hyperlink>
    </w:p>
  </w:footnote>
  <w:footnote w:id="11">
    <w:p w14:paraId="55B5ED46" w14:textId="77777777" w:rsidR="008C6146" w:rsidRDefault="008C6146" w:rsidP="003D5718">
      <w:pPr>
        <w:pStyle w:val="FootnoteText"/>
      </w:pPr>
      <w:r>
        <w:rPr>
          <w:rStyle w:val="FootnoteReference"/>
        </w:rPr>
        <w:footnoteRef/>
      </w:r>
      <w:r>
        <w:t xml:space="preserve"> The </w:t>
      </w:r>
      <w:proofErr w:type="spellStart"/>
      <w:r>
        <w:t>xlink</w:t>
      </w:r>
      <w:proofErr w:type="spellEnd"/>
      <w:r>
        <w:t xml:space="preserve"> labels generated for two elements clashed</w:t>
      </w:r>
    </w:p>
  </w:footnote>
  <w:footnote w:id="12">
    <w:p w14:paraId="55B5ED47" w14:textId="77777777" w:rsidR="008C6146" w:rsidRDefault="008C6146">
      <w:pPr>
        <w:pStyle w:val="FootnoteText"/>
      </w:pPr>
      <w:r>
        <w:rPr>
          <w:rStyle w:val="FootnoteReference"/>
        </w:rPr>
        <w:footnoteRef/>
      </w:r>
      <w:r>
        <w:t xml:space="preserve"> </w:t>
      </w:r>
      <w:r w:rsidRPr="006E696D">
        <w:t>The original 2.0.1 taxonomy is supplied similarly packaged for reference</w:t>
      </w:r>
    </w:p>
  </w:footnote>
  <w:footnote w:id="13">
    <w:p w14:paraId="55B5ED48" w14:textId="77777777" w:rsidR="008C6146" w:rsidRDefault="008C6146" w:rsidP="000378E5">
      <w:pPr>
        <w:pStyle w:val="FootnoteText"/>
      </w:pPr>
      <w:r>
        <w:rPr>
          <w:rStyle w:val="FootnoteReference"/>
        </w:rPr>
        <w:footnoteRef/>
      </w:r>
      <w:r>
        <w:t xml:space="preserve"> N.B. the respective organisations and their websites remain the authoritative sources for these files.</w:t>
      </w:r>
    </w:p>
  </w:footnote>
  <w:footnote w:id="14">
    <w:p w14:paraId="55B5ED49" w14:textId="77777777" w:rsidR="008C6146" w:rsidRDefault="008C6146" w:rsidP="000378E5">
      <w:pPr>
        <w:pStyle w:val="FootnoteText"/>
      </w:pPr>
      <w:r>
        <w:rPr>
          <w:rStyle w:val="FootnoteReference"/>
        </w:rPr>
        <w:footnoteRef/>
      </w:r>
      <w:r>
        <w:t xml:space="preserve"> N.B. previous 2.0.1 release would under the new system  have been labelled 2.0.0.1</w:t>
      </w:r>
    </w:p>
    <w:p w14:paraId="55B5ED4A" w14:textId="77777777" w:rsidR="008C6146" w:rsidRDefault="008C6146" w:rsidP="000378E5">
      <w:pPr>
        <w:pStyle w:val="FootnoteText"/>
      </w:pPr>
    </w:p>
  </w:footnote>
  <w:footnote w:id="15">
    <w:p w14:paraId="55B5ED4B" w14:textId="77777777" w:rsidR="008C6146" w:rsidRDefault="008C6146" w:rsidP="000378E5">
      <w:pPr>
        <w:pStyle w:val="FootnoteText"/>
      </w:pPr>
      <w:r>
        <w:rPr>
          <w:rStyle w:val="FootnoteReference"/>
        </w:rPr>
        <w:footnoteRef/>
      </w:r>
      <w:r>
        <w:t xml:space="preserve"> I.e. public consultation version on “2.1.0” Package would be referred to as 2.1.0.0.PWD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A7C1FE" w14:textId="77777777" w:rsidR="008C6146" w:rsidRDefault="008C614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D5F153" w14:textId="77777777" w:rsidR="008C6146" w:rsidRDefault="008C614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B5ED3E" w14:textId="77777777" w:rsidR="008C6146" w:rsidRDefault="008C6146" w:rsidP="00D515AE">
    <w:pPr>
      <w:pStyle w:val="Runningtitle"/>
    </w:pPr>
    <w:r>
      <w:rPr>
        <w:noProof/>
      </w:rPr>
      <w:drawing>
        <wp:anchor distT="0" distB="0" distL="114300" distR="114300" simplePos="0" relativeHeight="251659264" behindDoc="1" locked="1" layoutInCell="1" allowOverlap="0" wp14:anchorId="55B5ED41" wp14:editId="55B5ED42">
          <wp:simplePos x="0" y="0"/>
          <wp:positionH relativeFrom="page">
            <wp:posOffset>4702175</wp:posOffset>
          </wp:positionH>
          <wp:positionV relativeFrom="page">
            <wp:posOffset>450215</wp:posOffset>
          </wp:positionV>
          <wp:extent cx="1941830" cy="719455"/>
          <wp:effectExtent l="0" t="0" r="0" b="0"/>
          <wp:wrapNone/>
          <wp:docPr id="11" name="Placehol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941830" cy="719455"/>
                  </a:xfrm>
                  <a:prstGeom prst="rect">
                    <a:avLst/>
                  </a:prstGeom>
                  <a:extLst>
                    <a:ext uri="{FAA26D3D-D897-4be2-8F04-BA451C77F1D7}">
                      <ma14:placeholderFlag xmlns:ma14="http://schemas.microsoft.com/office/mac/drawingml/2011/main" xmlns:w15="http://schemas.microsoft.com/office/word/2012/wordml"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pic:spPr>
              </pic:pic>
            </a:graphicData>
          </a:graphic>
        </wp:anchor>
      </w:drawing>
    </w:r>
    <w:r>
      <w:t>DPM / XBRL Taxonomy Revision NOTES</w:t>
    </w:r>
  </w:p>
  <w:p w14:paraId="55B5ED3F" w14:textId="77777777" w:rsidR="008C6146" w:rsidRDefault="008C6146" w:rsidP="00951473">
    <w:pPr>
      <w:pStyle w:val="Header"/>
      <w:spacing w:after="1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0C337E9"/>
    <w:multiLevelType w:val="hybridMultilevel"/>
    <w:tmpl w:val="0986A7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3710F59"/>
    <w:multiLevelType w:val="hybridMultilevel"/>
    <w:tmpl w:val="53C04EBC"/>
    <w:lvl w:ilvl="0" w:tplc="548A9044">
      <w:start w:val="1"/>
      <w:numFmt w:val="decimal"/>
      <w:pStyle w:val="Baseparagraphnumbered"/>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pStyle w:val="Heading9"/>
      <w:lvlText w:val="%9."/>
      <w:lvlJc w:val="right"/>
      <w:pPr>
        <w:ind w:left="7047" w:hanging="180"/>
      </w:pPr>
    </w:lvl>
  </w:abstractNum>
  <w:abstractNum w:abstractNumId="5">
    <w:nsid w:val="17903210"/>
    <w:multiLevelType w:val="hybridMultilevel"/>
    <w:tmpl w:val="7CE4BEBC"/>
    <w:lvl w:ilvl="0" w:tplc="20D8546C">
      <w:start w:val="1"/>
      <w:numFmt w:val="bullet"/>
      <w:lvlRestart w:val="0"/>
      <w:pStyle w:val="Bulleted1"/>
      <w:lvlText w:val=""/>
      <w:lvlJc w:val="left"/>
      <w:pPr>
        <w:tabs>
          <w:tab w:val="num" w:pos="851"/>
        </w:tabs>
        <w:ind w:left="851" w:hanging="284"/>
      </w:pPr>
      <w:rPr>
        <w:rFonts w:ascii="Symbol" w:hAnsi="Symbol" w:cs="Symbol" w:hint="default"/>
        <w:color w:val="C0C0C0"/>
      </w:rPr>
    </w:lvl>
    <w:lvl w:ilvl="1" w:tplc="040B0003">
      <w:start w:val="1"/>
      <w:numFmt w:val="bullet"/>
      <w:lvlText w:val="o"/>
      <w:lvlJc w:val="left"/>
      <w:pPr>
        <w:tabs>
          <w:tab w:val="num" w:pos="1440"/>
        </w:tabs>
        <w:ind w:left="1440" w:hanging="360"/>
      </w:pPr>
      <w:rPr>
        <w:rFonts w:ascii="Courier New" w:hAnsi="Courier New" w:cs="Courier New" w:hint="default"/>
      </w:rPr>
    </w:lvl>
    <w:lvl w:ilvl="2" w:tplc="040B0005">
      <w:start w:val="1"/>
      <w:numFmt w:val="bullet"/>
      <w:lvlText w:val=""/>
      <w:lvlJc w:val="left"/>
      <w:pPr>
        <w:tabs>
          <w:tab w:val="num" w:pos="2160"/>
        </w:tabs>
        <w:ind w:left="2160" w:hanging="360"/>
      </w:pPr>
      <w:rPr>
        <w:rFonts w:ascii="Wingdings" w:hAnsi="Wingdings" w:cs="Wingdings" w:hint="default"/>
      </w:rPr>
    </w:lvl>
    <w:lvl w:ilvl="3" w:tplc="040B0001">
      <w:start w:val="1"/>
      <w:numFmt w:val="bullet"/>
      <w:lvlText w:val=""/>
      <w:lvlJc w:val="left"/>
      <w:pPr>
        <w:tabs>
          <w:tab w:val="num" w:pos="2880"/>
        </w:tabs>
        <w:ind w:left="2880" w:hanging="360"/>
      </w:pPr>
      <w:rPr>
        <w:rFonts w:ascii="Symbol" w:hAnsi="Symbol" w:cs="Symbol" w:hint="default"/>
      </w:rPr>
    </w:lvl>
    <w:lvl w:ilvl="4" w:tplc="040B0003">
      <w:start w:val="1"/>
      <w:numFmt w:val="bullet"/>
      <w:lvlText w:val="o"/>
      <w:lvlJc w:val="left"/>
      <w:pPr>
        <w:tabs>
          <w:tab w:val="num" w:pos="3600"/>
        </w:tabs>
        <w:ind w:left="3600" w:hanging="360"/>
      </w:pPr>
      <w:rPr>
        <w:rFonts w:ascii="Courier New" w:hAnsi="Courier New" w:cs="Courier New" w:hint="default"/>
      </w:rPr>
    </w:lvl>
    <w:lvl w:ilvl="5" w:tplc="040B0005">
      <w:start w:val="1"/>
      <w:numFmt w:val="bullet"/>
      <w:lvlText w:val=""/>
      <w:lvlJc w:val="left"/>
      <w:pPr>
        <w:tabs>
          <w:tab w:val="num" w:pos="4320"/>
        </w:tabs>
        <w:ind w:left="4320" w:hanging="360"/>
      </w:pPr>
      <w:rPr>
        <w:rFonts w:ascii="Wingdings" w:hAnsi="Wingdings" w:cs="Wingdings" w:hint="default"/>
      </w:rPr>
    </w:lvl>
    <w:lvl w:ilvl="6" w:tplc="040B0001">
      <w:start w:val="1"/>
      <w:numFmt w:val="bullet"/>
      <w:lvlText w:val=""/>
      <w:lvlJc w:val="left"/>
      <w:pPr>
        <w:tabs>
          <w:tab w:val="num" w:pos="5040"/>
        </w:tabs>
        <w:ind w:left="5040" w:hanging="360"/>
      </w:pPr>
      <w:rPr>
        <w:rFonts w:ascii="Symbol" w:hAnsi="Symbol" w:cs="Symbol" w:hint="default"/>
      </w:rPr>
    </w:lvl>
    <w:lvl w:ilvl="7" w:tplc="040B0003">
      <w:start w:val="1"/>
      <w:numFmt w:val="bullet"/>
      <w:lvlText w:val="o"/>
      <w:lvlJc w:val="left"/>
      <w:pPr>
        <w:tabs>
          <w:tab w:val="num" w:pos="5760"/>
        </w:tabs>
        <w:ind w:left="5760" w:hanging="360"/>
      </w:pPr>
      <w:rPr>
        <w:rFonts w:ascii="Courier New" w:hAnsi="Courier New" w:cs="Courier New" w:hint="default"/>
      </w:rPr>
    </w:lvl>
    <w:lvl w:ilvl="8" w:tplc="040B0005">
      <w:start w:val="1"/>
      <w:numFmt w:val="bullet"/>
      <w:lvlText w:val=""/>
      <w:lvlJc w:val="left"/>
      <w:pPr>
        <w:tabs>
          <w:tab w:val="num" w:pos="6480"/>
        </w:tabs>
        <w:ind w:left="6480" w:hanging="360"/>
      </w:pPr>
      <w:rPr>
        <w:rFonts w:ascii="Wingdings" w:hAnsi="Wingdings" w:cs="Wingdings" w:hint="default"/>
      </w:rPr>
    </w:lvl>
  </w:abstractNum>
  <w:abstractNum w:abstractNumId="6">
    <w:nsid w:val="1BCC2423"/>
    <w:multiLevelType w:val="hybridMultilevel"/>
    <w:tmpl w:val="22A457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CE757EE"/>
    <w:multiLevelType w:val="hybridMultilevel"/>
    <w:tmpl w:val="FF1ECF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D0B464E"/>
    <w:multiLevelType w:val="multilevel"/>
    <w:tmpl w:val="0AF82F2E"/>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9">
    <w:nsid w:val="2F244746"/>
    <w:multiLevelType w:val="hybridMultilevel"/>
    <w:tmpl w:val="084CA4CE"/>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385C6A9A"/>
    <w:multiLevelType w:val="hybridMultilevel"/>
    <w:tmpl w:val="C4E64628"/>
    <w:lvl w:ilvl="0" w:tplc="5CB870D2">
      <w:start w:val="1"/>
      <w:numFmt w:val="bullet"/>
      <w:pStyle w:val="04bList"/>
      <w:lvlText w:val="─"/>
      <w:lvlJc w:val="left"/>
      <w:pPr>
        <w:tabs>
          <w:tab w:val="num" w:pos="568"/>
        </w:tabs>
        <w:ind w:left="568" w:hanging="284"/>
      </w:pPr>
      <w:rPr>
        <w:rFonts w:ascii="Georgia" w:hAnsi="Georgia" w:hint="default"/>
        <w:color w:val="000000"/>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F2C31E3"/>
    <w:multiLevelType w:val="hybridMultilevel"/>
    <w:tmpl w:val="D90E919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FBC5573"/>
    <w:multiLevelType w:val="hybridMultilevel"/>
    <w:tmpl w:val="E7263FA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400740C"/>
    <w:multiLevelType w:val="hybridMultilevel"/>
    <w:tmpl w:val="B7EA316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473575A8"/>
    <w:multiLevelType w:val="hybridMultilevel"/>
    <w:tmpl w:val="F224DA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ACF08B9"/>
    <w:multiLevelType w:val="hybridMultilevel"/>
    <w:tmpl w:val="B802D2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5B56383E"/>
    <w:multiLevelType w:val="hybridMultilevel"/>
    <w:tmpl w:val="E2AA13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600B5AFA"/>
    <w:multiLevelType w:val="hybridMultilevel"/>
    <w:tmpl w:val="D5C8F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64AE38D2"/>
    <w:multiLevelType w:val="hybridMultilevel"/>
    <w:tmpl w:val="13F4CB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6BCD57BB"/>
    <w:multiLevelType w:val="multilevel"/>
    <w:tmpl w:val="275C7198"/>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3">
    <w:nsid w:val="6D785F45"/>
    <w:multiLevelType w:val="hybridMultilevel"/>
    <w:tmpl w:val="4FF61B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37174BA"/>
    <w:multiLevelType w:val="hybridMultilevel"/>
    <w:tmpl w:val="D22EA4D2"/>
    <w:lvl w:ilvl="0" w:tplc="5FD87966">
      <w:numFmt w:val="bullet"/>
      <w:lvlText w:val="•"/>
      <w:lvlJc w:val="left"/>
      <w:pPr>
        <w:ind w:left="1080" w:hanging="720"/>
      </w:pPr>
      <w:rPr>
        <w:rFonts w:ascii="Calibri" w:eastAsiaTheme="minorEastAsia" w:hAnsi="Calibri"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75796670"/>
    <w:multiLevelType w:val="hybridMultilevel"/>
    <w:tmpl w:val="2AA42F0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7AE919E1"/>
    <w:multiLevelType w:val="hybridMultilevel"/>
    <w:tmpl w:val="084CA4CE"/>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7B4E2A41"/>
    <w:multiLevelType w:val="hybridMultilevel"/>
    <w:tmpl w:val="B4A47C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10"/>
  </w:num>
  <w:num w:numId="3">
    <w:abstractNumId w:val="4"/>
  </w:num>
  <w:num w:numId="4">
    <w:abstractNumId w:val="16"/>
  </w:num>
  <w:num w:numId="5">
    <w:abstractNumId w:val="14"/>
  </w:num>
  <w:num w:numId="6">
    <w:abstractNumId w:val="27"/>
  </w:num>
  <w:num w:numId="7">
    <w:abstractNumId w:val="9"/>
  </w:num>
  <w:num w:numId="8">
    <w:abstractNumId w:val="21"/>
  </w:num>
  <w:num w:numId="9">
    <w:abstractNumId w:val="13"/>
  </w:num>
  <w:num w:numId="10">
    <w:abstractNumId w:val="19"/>
  </w:num>
  <w:num w:numId="11">
    <w:abstractNumId w:val="8"/>
  </w:num>
  <w:num w:numId="12">
    <w:abstractNumId w:val="1"/>
  </w:num>
  <w:num w:numId="13">
    <w:abstractNumId w:val="0"/>
  </w:num>
  <w:num w:numId="14">
    <w:abstractNumId w:val="24"/>
  </w:num>
  <w:num w:numId="15">
    <w:abstractNumId w:val="2"/>
  </w:num>
  <w:num w:numId="16">
    <w:abstractNumId w:val="15"/>
  </w:num>
  <w:num w:numId="17">
    <w:abstractNumId w:val="22"/>
  </w:num>
  <w:num w:numId="18">
    <w:abstractNumId w:val="11"/>
  </w:num>
  <w:num w:numId="19">
    <w:abstractNumId w:val="17"/>
  </w:num>
  <w:num w:numId="20">
    <w:abstractNumId w:val="18"/>
  </w:num>
  <w:num w:numId="21">
    <w:abstractNumId w:val="25"/>
  </w:num>
  <w:num w:numId="22">
    <w:abstractNumId w:val="26"/>
  </w:num>
  <w:num w:numId="23">
    <w:abstractNumId w:val="12"/>
  </w:num>
  <w:num w:numId="24">
    <w:abstractNumId w:val="23"/>
  </w:num>
  <w:num w:numId="25">
    <w:abstractNumId w:val="7"/>
  </w:num>
  <w:num w:numId="26">
    <w:abstractNumId w:val="6"/>
  </w:num>
  <w:num w:numId="27">
    <w:abstractNumId w:val="20"/>
  </w:num>
  <w:num w:numId="28">
    <w:abstractNumId w:val="3"/>
  </w:num>
  <w:num w:numId="29">
    <w:abstractNumId w:val="2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rawingGridVerticalSpacing w:val="299"/>
  <w:displayHorizontalDrawingGridEvery w:val="0"/>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FC428CEB"/>
  </w:docVars>
  <w:rsids>
    <w:rsidRoot w:val="00997CA0"/>
    <w:rsid w:val="000016D7"/>
    <w:rsid w:val="00001AB3"/>
    <w:rsid w:val="00004107"/>
    <w:rsid w:val="00004348"/>
    <w:rsid w:val="000043AD"/>
    <w:rsid w:val="00004FA0"/>
    <w:rsid w:val="00006001"/>
    <w:rsid w:val="0000662A"/>
    <w:rsid w:val="000069C4"/>
    <w:rsid w:val="000072E1"/>
    <w:rsid w:val="00007E20"/>
    <w:rsid w:val="000101C7"/>
    <w:rsid w:val="00011C13"/>
    <w:rsid w:val="00011F6D"/>
    <w:rsid w:val="00012388"/>
    <w:rsid w:val="0001352D"/>
    <w:rsid w:val="00013A62"/>
    <w:rsid w:val="000156CB"/>
    <w:rsid w:val="00016865"/>
    <w:rsid w:val="000202C1"/>
    <w:rsid w:val="00020912"/>
    <w:rsid w:val="00020A16"/>
    <w:rsid w:val="00020D39"/>
    <w:rsid w:val="00021564"/>
    <w:rsid w:val="000215BA"/>
    <w:rsid w:val="000219C1"/>
    <w:rsid w:val="00022FC2"/>
    <w:rsid w:val="000231C2"/>
    <w:rsid w:val="00023C56"/>
    <w:rsid w:val="00024782"/>
    <w:rsid w:val="0002787E"/>
    <w:rsid w:val="00027C9A"/>
    <w:rsid w:val="00030435"/>
    <w:rsid w:val="000321C4"/>
    <w:rsid w:val="00032CF2"/>
    <w:rsid w:val="00033F06"/>
    <w:rsid w:val="00033F26"/>
    <w:rsid w:val="0003455C"/>
    <w:rsid w:val="000353B5"/>
    <w:rsid w:val="00035483"/>
    <w:rsid w:val="0003592C"/>
    <w:rsid w:val="00035A91"/>
    <w:rsid w:val="000368D1"/>
    <w:rsid w:val="0003690D"/>
    <w:rsid w:val="00036EFB"/>
    <w:rsid w:val="00037576"/>
    <w:rsid w:val="000378BB"/>
    <w:rsid w:val="000378E5"/>
    <w:rsid w:val="000407A2"/>
    <w:rsid w:val="00041E5D"/>
    <w:rsid w:val="00042587"/>
    <w:rsid w:val="000428BD"/>
    <w:rsid w:val="00043476"/>
    <w:rsid w:val="00046440"/>
    <w:rsid w:val="00047117"/>
    <w:rsid w:val="000475EA"/>
    <w:rsid w:val="00047CC4"/>
    <w:rsid w:val="00050EBA"/>
    <w:rsid w:val="00052EBD"/>
    <w:rsid w:val="0005423A"/>
    <w:rsid w:val="00054E71"/>
    <w:rsid w:val="00055164"/>
    <w:rsid w:val="00055C2E"/>
    <w:rsid w:val="00055D0A"/>
    <w:rsid w:val="000568A5"/>
    <w:rsid w:val="00057AD9"/>
    <w:rsid w:val="00057CFC"/>
    <w:rsid w:val="00060012"/>
    <w:rsid w:val="00060ADA"/>
    <w:rsid w:val="00060D3C"/>
    <w:rsid w:val="00060E49"/>
    <w:rsid w:val="000610D4"/>
    <w:rsid w:val="0006119E"/>
    <w:rsid w:val="00061240"/>
    <w:rsid w:val="000625D7"/>
    <w:rsid w:val="00063AC5"/>
    <w:rsid w:val="00063CDC"/>
    <w:rsid w:val="00064DDB"/>
    <w:rsid w:val="00064E55"/>
    <w:rsid w:val="0006587A"/>
    <w:rsid w:val="000664A2"/>
    <w:rsid w:val="000664CD"/>
    <w:rsid w:val="0006775E"/>
    <w:rsid w:val="00067E51"/>
    <w:rsid w:val="000700DD"/>
    <w:rsid w:val="00070233"/>
    <w:rsid w:val="00074165"/>
    <w:rsid w:val="000753EF"/>
    <w:rsid w:val="00076040"/>
    <w:rsid w:val="00076E49"/>
    <w:rsid w:val="0008059B"/>
    <w:rsid w:val="00080A2B"/>
    <w:rsid w:val="00080ACD"/>
    <w:rsid w:val="00080CF2"/>
    <w:rsid w:val="0008136A"/>
    <w:rsid w:val="00081488"/>
    <w:rsid w:val="000817F0"/>
    <w:rsid w:val="000818EE"/>
    <w:rsid w:val="000823E4"/>
    <w:rsid w:val="00082993"/>
    <w:rsid w:val="0008322A"/>
    <w:rsid w:val="00083342"/>
    <w:rsid w:val="00083D0B"/>
    <w:rsid w:val="00085266"/>
    <w:rsid w:val="00085E6C"/>
    <w:rsid w:val="00086636"/>
    <w:rsid w:val="000870D0"/>
    <w:rsid w:val="000877DB"/>
    <w:rsid w:val="00090072"/>
    <w:rsid w:val="00090290"/>
    <w:rsid w:val="0009029D"/>
    <w:rsid w:val="0009151E"/>
    <w:rsid w:val="0009377D"/>
    <w:rsid w:val="000944A6"/>
    <w:rsid w:val="00094839"/>
    <w:rsid w:val="00095C8F"/>
    <w:rsid w:val="000A0789"/>
    <w:rsid w:val="000A1BBF"/>
    <w:rsid w:val="000A1C83"/>
    <w:rsid w:val="000A4B87"/>
    <w:rsid w:val="000A563C"/>
    <w:rsid w:val="000A7467"/>
    <w:rsid w:val="000B0209"/>
    <w:rsid w:val="000B16A6"/>
    <w:rsid w:val="000B1E14"/>
    <w:rsid w:val="000B1FF7"/>
    <w:rsid w:val="000B24A4"/>
    <w:rsid w:val="000B3743"/>
    <w:rsid w:val="000B4206"/>
    <w:rsid w:val="000B459F"/>
    <w:rsid w:val="000B6170"/>
    <w:rsid w:val="000B68E7"/>
    <w:rsid w:val="000B770B"/>
    <w:rsid w:val="000B7913"/>
    <w:rsid w:val="000C0853"/>
    <w:rsid w:val="000C18BB"/>
    <w:rsid w:val="000C207D"/>
    <w:rsid w:val="000C2D4D"/>
    <w:rsid w:val="000C4003"/>
    <w:rsid w:val="000C4467"/>
    <w:rsid w:val="000C4F17"/>
    <w:rsid w:val="000C5406"/>
    <w:rsid w:val="000C5461"/>
    <w:rsid w:val="000C6060"/>
    <w:rsid w:val="000C6BB3"/>
    <w:rsid w:val="000D0172"/>
    <w:rsid w:val="000D109B"/>
    <w:rsid w:val="000D2FBE"/>
    <w:rsid w:val="000D4322"/>
    <w:rsid w:val="000D5189"/>
    <w:rsid w:val="000D5799"/>
    <w:rsid w:val="000D7959"/>
    <w:rsid w:val="000D7A32"/>
    <w:rsid w:val="000D7C40"/>
    <w:rsid w:val="000D7E87"/>
    <w:rsid w:val="000E0265"/>
    <w:rsid w:val="000E0326"/>
    <w:rsid w:val="000E118B"/>
    <w:rsid w:val="000E1F1A"/>
    <w:rsid w:val="000E3052"/>
    <w:rsid w:val="000E3461"/>
    <w:rsid w:val="000E47DF"/>
    <w:rsid w:val="000E55D6"/>
    <w:rsid w:val="000E5836"/>
    <w:rsid w:val="000E6F25"/>
    <w:rsid w:val="000E7062"/>
    <w:rsid w:val="000E79C7"/>
    <w:rsid w:val="000F05FC"/>
    <w:rsid w:val="000F29E5"/>
    <w:rsid w:val="000F2FCC"/>
    <w:rsid w:val="000F3477"/>
    <w:rsid w:val="000F3810"/>
    <w:rsid w:val="000F3EE5"/>
    <w:rsid w:val="000F4CA7"/>
    <w:rsid w:val="000F5B02"/>
    <w:rsid w:val="000F6C55"/>
    <w:rsid w:val="000F744C"/>
    <w:rsid w:val="000F7D02"/>
    <w:rsid w:val="000F7DB3"/>
    <w:rsid w:val="00100107"/>
    <w:rsid w:val="00103354"/>
    <w:rsid w:val="0010417E"/>
    <w:rsid w:val="0010463B"/>
    <w:rsid w:val="00104E8B"/>
    <w:rsid w:val="00105BA1"/>
    <w:rsid w:val="00107717"/>
    <w:rsid w:val="00110189"/>
    <w:rsid w:val="001103A6"/>
    <w:rsid w:val="00110A58"/>
    <w:rsid w:val="00110E3E"/>
    <w:rsid w:val="00111E7D"/>
    <w:rsid w:val="00112465"/>
    <w:rsid w:val="001136C9"/>
    <w:rsid w:val="00113BFD"/>
    <w:rsid w:val="00114042"/>
    <w:rsid w:val="00114B71"/>
    <w:rsid w:val="00114E64"/>
    <w:rsid w:val="0011514C"/>
    <w:rsid w:val="00115996"/>
    <w:rsid w:val="00115D78"/>
    <w:rsid w:val="00116621"/>
    <w:rsid w:val="00120345"/>
    <w:rsid w:val="001212D0"/>
    <w:rsid w:val="001225E5"/>
    <w:rsid w:val="001226FA"/>
    <w:rsid w:val="0012332E"/>
    <w:rsid w:val="001235DB"/>
    <w:rsid w:val="0012470F"/>
    <w:rsid w:val="00124E7E"/>
    <w:rsid w:val="00124FC0"/>
    <w:rsid w:val="00125ED2"/>
    <w:rsid w:val="00126837"/>
    <w:rsid w:val="00126AF1"/>
    <w:rsid w:val="0012744C"/>
    <w:rsid w:val="00127845"/>
    <w:rsid w:val="00130F8B"/>
    <w:rsid w:val="00131856"/>
    <w:rsid w:val="001320D5"/>
    <w:rsid w:val="00132684"/>
    <w:rsid w:val="00133775"/>
    <w:rsid w:val="00133E89"/>
    <w:rsid w:val="00134711"/>
    <w:rsid w:val="00134D10"/>
    <w:rsid w:val="00134F05"/>
    <w:rsid w:val="001354FC"/>
    <w:rsid w:val="00135BCC"/>
    <w:rsid w:val="001363C4"/>
    <w:rsid w:val="00136ED4"/>
    <w:rsid w:val="0014032B"/>
    <w:rsid w:val="0014085F"/>
    <w:rsid w:val="00140A1F"/>
    <w:rsid w:val="001419B7"/>
    <w:rsid w:val="0014278C"/>
    <w:rsid w:val="001429F7"/>
    <w:rsid w:val="0014349E"/>
    <w:rsid w:val="001444B4"/>
    <w:rsid w:val="0014526E"/>
    <w:rsid w:val="00145B79"/>
    <w:rsid w:val="00146507"/>
    <w:rsid w:val="00152FE2"/>
    <w:rsid w:val="001531BB"/>
    <w:rsid w:val="00153F5B"/>
    <w:rsid w:val="00155629"/>
    <w:rsid w:val="00156A70"/>
    <w:rsid w:val="00156E95"/>
    <w:rsid w:val="001572E2"/>
    <w:rsid w:val="00157477"/>
    <w:rsid w:val="0015768C"/>
    <w:rsid w:val="00157867"/>
    <w:rsid w:val="00157B5A"/>
    <w:rsid w:val="00160C4A"/>
    <w:rsid w:val="00162577"/>
    <w:rsid w:val="00163498"/>
    <w:rsid w:val="0016396C"/>
    <w:rsid w:val="0016440D"/>
    <w:rsid w:val="00165568"/>
    <w:rsid w:val="00165A58"/>
    <w:rsid w:val="00167162"/>
    <w:rsid w:val="00167AE3"/>
    <w:rsid w:val="0017214C"/>
    <w:rsid w:val="00172335"/>
    <w:rsid w:val="00172537"/>
    <w:rsid w:val="00172A38"/>
    <w:rsid w:val="00172AFC"/>
    <w:rsid w:val="00174124"/>
    <w:rsid w:val="00174560"/>
    <w:rsid w:val="00174A17"/>
    <w:rsid w:val="00176011"/>
    <w:rsid w:val="001776D7"/>
    <w:rsid w:val="00180184"/>
    <w:rsid w:val="001805E5"/>
    <w:rsid w:val="001810BC"/>
    <w:rsid w:val="001810F5"/>
    <w:rsid w:val="00181420"/>
    <w:rsid w:val="0018149B"/>
    <w:rsid w:val="0018173E"/>
    <w:rsid w:val="00181D84"/>
    <w:rsid w:val="00182C36"/>
    <w:rsid w:val="00183058"/>
    <w:rsid w:val="00183D35"/>
    <w:rsid w:val="00184180"/>
    <w:rsid w:val="0018447E"/>
    <w:rsid w:val="001859A4"/>
    <w:rsid w:val="00187BD9"/>
    <w:rsid w:val="00190211"/>
    <w:rsid w:val="001913E7"/>
    <w:rsid w:val="00191843"/>
    <w:rsid w:val="0019382E"/>
    <w:rsid w:val="00194235"/>
    <w:rsid w:val="0019507B"/>
    <w:rsid w:val="00196117"/>
    <w:rsid w:val="001967C4"/>
    <w:rsid w:val="00196EF7"/>
    <w:rsid w:val="001974FE"/>
    <w:rsid w:val="001A0CA9"/>
    <w:rsid w:val="001A19AF"/>
    <w:rsid w:val="001A2EC8"/>
    <w:rsid w:val="001A2F3E"/>
    <w:rsid w:val="001A3127"/>
    <w:rsid w:val="001A3361"/>
    <w:rsid w:val="001A348A"/>
    <w:rsid w:val="001A4447"/>
    <w:rsid w:val="001A4CAA"/>
    <w:rsid w:val="001A4D91"/>
    <w:rsid w:val="001A53C6"/>
    <w:rsid w:val="001A53D3"/>
    <w:rsid w:val="001A5978"/>
    <w:rsid w:val="001A60B8"/>
    <w:rsid w:val="001A6B78"/>
    <w:rsid w:val="001A6E2D"/>
    <w:rsid w:val="001A7266"/>
    <w:rsid w:val="001A7890"/>
    <w:rsid w:val="001B034F"/>
    <w:rsid w:val="001B0667"/>
    <w:rsid w:val="001B09F0"/>
    <w:rsid w:val="001B1F73"/>
    <w:rsid w:val="001B1FD0"/>
    <w:rsid w:val="001B31BE"/>
    <w:rsid w:val="001B4836"/>
    <w:rsid w:val="001B6B8A"/>
    <w:rsid w:val="001B6CF3"/>
    <w:rsid w:val="001B7013"/>
    <w:rsid w:val="001B70B0"/>
    <w:rsid w:val="001B765B"/>
    <w:rsid w:val="001B78A3"/>
    <w:rsid w:val="001C0F1D"/>
    <w:rsid w:val="001C0F48"/>
    <w:rsid w:val="001C15FC"/>
    <w:rsid w:val="001C1D43"/>
    <w:rsid w:val="001C280C"/>
    <w:rsid w:val="001C2EC1"/>
    <w:rsid w:val="001C4AA6"/>
    <w:rsid w:val="001C504F"/>
    <w:rsid w:val="001C532F"/>
    <w:rsid w:val="001C6AD9"/>
    <w:rsid w:val="001C7D77"/>
    <w:rsid w:val="001D0B90"/>
    <w:rsid w:val="001D1280"/>
    <w:rsid w:val="001D19DF"/>
    <w:rsid w:val="001D2684"/>
    <w:rsid w:val="001D2686"/>
    <w:rsid w:val="001D33F9"/>
    <w:rsid w:val="001D4144"/>
    <w:rsid w:val="001D4313"/>
    <w:rsid w:val="001D62DD"/>
    <w:rsid w:val="001D672C"/>
    <w:rsid w:val="001D7397"/>
    <w:rsid w:val="001D754C"/>
    <w:rsid w:val="001D7A87"/>
    <w:rsid w:val="001E0E59"/>
    <w:rsid w:val="001E115B"/>
    <w:rsid w:val="001E19F9"/>
    <w:rsid w:val="001E2E37"/>
    <w:rsid w:val="001E388F"/>
    <w:rsid w:val="001E435A"/>
    <w:rsid w:val="001E4433"/>
    <w:rsid w:val="001E46BF"/>
    <w:rsid w:val="001E4E23"/>
    <w:rsid w:val="001E54DA"/>
    <w:rsid w:val="001F0E7F"/>
    <w:rsid w:val="001F0F77"/>
    <w:rsid w:val="001F1237"/>
    <w:rsid w:val="001F1EA1"/>
    <w:rsid w:val="001F25B2"/>
    <w:rsid w:val="001F36F2"/>
    <w:rsid w:val="001F3E7C"/>
    <w:rsid w:val="001F4069"/>
    <w:rsid w:val="001F4608"/>
    <w:rsid w:val="001F501D"/>
    <w:rsid w:val="001F5754"/>
    <w:rsid w:val="001F59D5"/>
    <w:rsid w:val="001F5B32"/>
    <w:rsid w:val="001F604A"/>
    <w:rsid w:val="001F6B05"/>
    <w:rsid w:val="001F78EC"/>
    <w:rsid w:val="002021E0"/>
    <w:rsid w:val="002037A3"/>
    <w:rsid w:val="002046F4"/>
    <w:rsid w:val="002047A5"/>
    <w:rsid w:val="00204AFF"/>
    <w:rsid w:val="00204F23"/>
    <w:rsid w:val="00205CDC"/>
    <w:rsid w:val="00206359"/>
    <w:rsid w:val="002067D6"/>
    <w:rsid w:val="00211E76"/>
    <w:rsid w:val="002123AD"/>
    <w:rsid w:val="00212449"/>
    <w:rsid w:val="00212453"/>
    <w:rsid w:val="00212BD7"/>
    <w:rsid w:val="002132A1"/>
    <w:rsid w:val="00213E6A"/>
    <w:rsid w:val="00214BD3"/>
    <w:rsid w:val="00214F85"/>
    <w:rsid w:val="0021519E"/>
    <w:rsid w:val="002157DB"/>
    <w:rsid w:val="00215BC0"/>
    <w:rsid w:val="00215C4E"/>
    <w:rsid w:val="00215CFD"/>
    <w:rsid w:val="0021663E"/>
    <w:rsid w:val="00216FA6"/>
    <w:rsid w:val="002171AD"/>
    <w:rsid w:val="002171DB"/>
    <w:rsid w:val="00217301"/>
    <w:rsid w:val="00217434"/>
    <w:rsid w:val="00220B75"/>
    <w:rsid w:val="0022111D"/>
    <w:rsid w:val="00222815"/>
    <w:rsid w:val="002230AE"/>
    <w:rsid w:val="002231ED"/>
    <w:rsid w:val="0022391F"/>
    <w:rsid w:val="00224421"/>
    <w:rsid w:val="002258CF"/>
    <w:rsid w:val="002261B6"/>
    <w:rsid w:val="00226A98"/>
    <w:rsid w:val="00226F9B"/>
    <w:rsid w:val="00230716"/>
    <w:rsid w:val="0023080F"/>
    <w:rsid w:val="00230B33"/>
    <w:rsid w:val="0023149E"/>
    <w:rsid w:val="002315CE"/>
    <w:rsid w:val="002317E2"/>
    <w:rsid w:val="0023187E"/>
    <w:rsid w:val="00231CC7"/>
    <w:rsid w:val="00232517"/>
    <w:rsid w:val="00233381"/>
    <w:rsid w:val="00233A3A"/>
    <w:rsid w:val="00234561"/>
    <w:rsid w:val="00235A5C"/>
    <w:rsid w:val="00235BDC"/>
    <w:rsid w:val="00236179"/>
    <w:rsid w:val="002370F8"/>
    <w:rsid w:val="00237148"/>
    <w:rsid w:val="00237567"/>
    <w:rsid w:val="00237AF6"/>
    <w:rsid w:val="00237B31"/>
    <w:rsid w:val="002400E5"/>
    <w:rsid w:val="0024143C"/>
    <w:rsid w:val="002418F3"/>
    <w:rsid w:val="00243158"/>
    <w:rsid w:val="00243215"/>
    <w:rsid w:val="00243250"/>
    <w:rsid w:val="0024328B"/>
    <w:rsid w:val="00244918"/>
    <w:rsid w:val="00244E2F"/>
    <w:rsid w:val="00245C98"/>
    <w:rsid w:val="002475EE"/>
    <w:rsid w:val="0024791A"/>
    <w:rsid w:val="00250BB3"/>
    <w:rsid w:val="00251368"/>
    <w:rsid w:val="00251488"/>
    <w:rsid w:val="002521C7"/>
    <w:rsid w:val="00252FF5"/>
    <w:rsid w:val="00254C15"/>
    <w:rsid w:val="00255D5F"/>
    <w:rsid w:val="00260DC6"/>
    <w:rsid w:val="0026127D"/>
    <w:rsid w:val="002622C1"/>
    <w:rsid w:val="002624A5"/>
    <w:rsid w:val="002637BE"/>
    <w:rsid w:val="00264747"/>
    <w:rsid w:val="0026480B"/>
    <w:rsid w:val="0026499C"/>
    <w:rsid w:val="00264CBE"/>
    <w:rsid w:val="00266670"/>
    <w:rsid w:val="0026683A"/>
    <w:rsid w:val="0026749E"/>
    <w:rsid w:val="00270AE7"/>
    <w:rsid w:val="00273419"/>
    <w:rsid w:val="00274334"/>
    <w:rsid w:val="00274A23"/>
    <w:rsid w:val="0027548D"/>
    <w:rsid w:val="00275597"/>
    <w:rsid w:val="002769D5"/>
    <w:rsid w:val="002774CB"/>
    <w:rsid w:val="0027756F"/>
    <w:rsid w:val="002779E9"/>
    <w:rsid w:val="0028022D"/>
    <w:rsid w:val="00281936"/>
    <w:rsid w:val="00283EF8"/>
    <w:rsid w:val="002851C8"/>
    <w:rsid w:val="002856FA"/>
    <w:rsid w:val="00290819"/>
    <w:rsid w:val="00291447"/>
    <w:rsid w:val="00291461"/>
    <w:rsid w:val="002914E0"/>
    <w:rsid w:val="002937F6"/>
    <w:rsid w:val="00293BB8"/>
    <w:rsid w:val="00295124"/>
    <w:rsid w:val="002959FD"/>
    <w:rsid w:val="00297975"/>
    <w:rsid w:val="002A0E31"/>
    <w:rsid w:val="002A1B93"/>
    <w:rsid w:val="002A1E50"/>
    <w:rsid w:val="002A2101"/>
    <w:rsid w:val="002A39CE"/>
    <w:rsid w:val="002A4F50"/>
    <w:rsid w:val="002A514E"/>
    <w:rsid w:val="002A5353"/>
    <w:rsid w:val="002A56C9"/>
    <w:rsid w:val="002A65D0"/>
    <w:rsid w:val="002A69B3"/>
    <w:rsid w:val="002A73C6"/>
    <w:rsid w:val="002A7AE4"/>
    <w:rsid w:val="002A7F29"/>
    <w:rsid w:val="002B07E3"/>
    <w:rsid w:val="002B0975"/>
    <w:rsid w:val="002B19BA"/>
    <w:rsid w:val="002B1A04"/>
    <w:rsid w:val="002B321F"/>
    <w:rsid w:val="002B4E3E"/>
    <w:rsid w:val="002B5008"/>
    <w:rsid w:val="002B59B9"/>
    <w:rsid w:val="002B609F"/>
    <w:rsid w:val="002B7FF0"/>
    <w:rsid w:val="002C0822"/>
    <w:rsid w:val="002C0E22"/>
    <w:rsid w:val="002C0F60"/>
    <w:rsid w:val="002C11A8"/>
    <w:rsid w:val="002C18E4"/>
    <w:rsid w:val="002C21E9"/>
    <w:rsid w:val="002C2687"/>
    <w:rsid w:val="002C2F8D"/>
    <w:rsid w:val="002C2FFF"/>
    <w:rsid w:val="002C36C9"/>
    <w:rsid w:val="002C3DA0"/>
    <w:rsid w:val="002C4FDF"/>
    <w:rsid w:val="002C5803"/>
    <w:rsid w:val="002C777A"/>
    <w:rsid w:val="002D0922"/>
    <w:rsid w:val="002D1CF7"/>
    <w:rsid w:val="002D2099"/>
    <w:rsid w:val="002D218B"/>
    <w:rsid w:val="002D2351"/>
    <w:rsid w:val="002D2736"/>
    <w:rsid w:val="002D2F3D"/>
    <w:rsid w:val="002D3377"/>
    <w:rsid w:val="002D44E0"/>
    <w:rsid w:val="002D678C"/>
    <w:rsid w:val="002E18AF"/>
    <w:rsid w:val="002E1BEB"/>
    <w:rsid w:val="002E3B8B"/>
    <w:rsid w:val="002E3C58"/>
    <w:rsid w:val="002E4614"/>
    <w:rsid w:val="002E5450"/>
    <w:rsid w:val="002E6BE9"/>
    <w:rsid w:val="002E7EC5"/>
    <w:rsid w:val="002F0AA6"/>
    <w:rsid w:val="002F0F2C"/>
    <w:rsid w:val="002F11CC"/>
    <w:rsid w:val="002F1C5D"/>
    <w:rsid w:val="002F1FBD"/>
    <w:rsid w:val="002F2A51"/>
    <w:rsid w:val="002F2F34"/>
    <w:rsid w:val="002F35A0"/>
    <w:rsid w:val="002F3C22"/>
    <w:rsid w:val="002F449D"/>
    <w:rsid w:val="002F5C98"/>
    <w:rsid w:val="002F6832"/>
    <w:rsid w:val="002F7A8C"/>
    <w:rsid w:val="003005B8"/>
    <w:rsid w:val="003006D2"/>
    <w:rsid w:val="00301959"/>
    <w:rsid w:val="00304E01"/>
    <w:rsid w:val="00305888"/>
    <w:rsid w:val="00306912"/>
    <w:rsid w:val="0030776D"/>
    <w:rsid w:val="00310FA0"/>
    <w:rsid w:val="00312927"/>
    <w:rsid w:val="003129B6"/>
    <w:rsid w:val="00313342"/>
    <w:rsid w:val="003140BE"/>
    <w:rsid w:val="003143A4"/>
    <w:rsid w:val="00314F35"/>
    <w:rsid w:val="003156F0"/>
    <w:rsid w:val="00316840"/>
    <w:rsid w:val="00317173"/>
    <w:rsid w:val="00317C74"/>
    <w:rsid w:val="00320BB6"/>
    <w:rsid w:val="00324AC7"/>
    <w:rsid w:val="00324D85"/>
    <w:rsid w:val="00325199"/>
    <w:rsid w:val="003261C7"/>
    <w:rsid w:val="00326210"/>
    <w:rsid w:val="00333467"/>
    <w:rsid w:val="00333671"/>
    <w:rsid w:val="0033401A"/>
    <w:rsid w:val="003344D3"/>
    <w:rsid w:val="00334F5B"/>
    <w:rsid w:val="003355DD"/>
    <w:rsid w:val="00335E7C"/>
    <w:rsid w:val="00335EA0"/>
    <w:rsid w:val="003362BF"/>
    <w:rsid w:val="00336B8E"/>
    <w:rsid w:val="003372AB"/>
    <w:rsid w:val="00337B16"/>
    <w:rsid w:val="003401C2"/>
    <w:rsid w:val="00340CC6"/>
    <w:rsid w:val="0034156C"/>
    <w:rsid w:val="0034347A"/>
    <w:rsid w:val="00343837"/>
    <w:rsid w:val="0034575B"/>
    <w:rsid w:val="00346BE1"/>
    <w:rsid w:val="00347344"/>
    <w:rsid w:val="003479BE"/>
    <w:rsid w:val="0035058E"/>
    <w:rsid w:val="00350E21"/>
    <w:rsid w:val="00351662"/>
    <w:rsid w:val="00351868"/>
    <w:rsid w:val="00351971"/>
    <w:rsid w:val="00351B0D"/>
    <w:rsid w:val="00354582"/>
    <w:rsid w:val="00354982"/>
    <w:rsid w:val="00354F47"/>
    <w:rsid w:val="00355396"/>
    <w:rsid w:val="003556B2"/>
    <w:rsid w:val="003557C0"/>
    <w:rsid w:val="00356638"/>
    <w:rsid w:val="003576B5"/>
    <w:rsid w:val="00357A61"/>
    <w:rsid w:val="00360446"/>
    <w:rsid w:val="003607D6"/>
    <w:rsid w:val="00363880"/>
    <w:rsid w:val="00363A0E"/>
    <w:rsid w:val="0036468A"/>
    <w:rsid w:val="00365DE2"/>
    <w:rsid w:val="003707C5"/>
    <w:rsid w:val="00371FE1"/>
    <w:rsid w:val="003721B6"/>
    <w:rsid w:val="00373183"/>
    <w:rsid w:val="003732CC"/>
    <w:rsid w:val="00375C6D"/>
    <w:rsid w:val="0037627A"/>
    <w:rsid w:val="00377A52"/>
    <w:rsid w:val="00377B94"/>
    <w:rsid w:val="00381126"/>
    <w:rsid w:val="00382DB6"/>
    <w:rsid w:val="00383282"/>
    <w:rsid w:val="00383876"/>
    <w:rsid w:val="00384338"/>
    <w:rsid w:val="0038492C"/>
    <w:rsid w:val="0038537D"/>
    <w:rsid w:val="00385DDC"/>
    <w:rsid w:val="00387CB9"/>
    <w:rsid w:val="00391C30"/>
    <w:rsid w:val="003923BD"/>
    <w:rsid w:val="00392953"/>
    <w:rsid w:val="00393445"/>
    <w:rsid w:val="00394317"/>
    <w:rsid w:val="00394670"/>
    <w:rsid w:val="00395558"/>
    <w:rsid w:val="0039578D"/>
    <w:rsid w:val="003959B8"/>
    <w:rsid w:val="0039682C"/>
    <w:rsid w:val="0039718A"/>
    <w:rsid w:val="003971C6"/>
    <w:rsid w:val="00397757"/>
    <w:rsid w:val="003A0DE6"/>
    <w:rsid w:val="003A1018"/>
    <w:rsid w:val="003A2259"/>
    <w:rsid w:val="003A2F1B"/>
    <w:rsid w:val="003A308A"/>
    <w:rsid w:val="003A43D8"/>
    <w:rsid w:val="003A4CB7"/>
    <w:rsid w:val="003A52CE"/>
    <w:rsid w:val="003A5892"/>
    <w:rsid w:val="003A6144"/>
    <w:rsid w:val="003A6BFE"/>
    <w:rsid w:val="003A773D"/>
    <w:rsid w:val="003A7D7D"/>
    <w:rsid w:val="003A7F5A"/>
    <w:rsid w:val="003B2FEC"/>
    <w:rsid w:val="003B32E3"/>
    <w:rsid w:val="003B3701"/>
    <w:rsid w:val="003B3C84"/>
    <w:rsid w:val="003B4894"/>
    <w:rsid w:val="003B537F"/>
    <w:rsid w:val="003B5442"/>
    <w:rsid w:val="003B587E"/>
    <w:rsid w:val="003B5ED9"/>
    <w:rsid w:val="003B6B34"/>
    <w:rsid w:val="003B7B33"/>
    <w:rsid w:val="003C0C69"/>
    <w:rsid w:val="003C2353"/>
    <w:rsid w:val="003C35B4"/>
    <w:rsid w:val="003C3793"/>
    <w:rsid w:val="003C4316"/>
    <w:rsid w:val="003C4D01"/>
    <w:rsid w:val="003C652D"/>
    <w:rsid w:val="003C683C"/>
    <w:rsid w:val="003C6980"/>
    <w:rsid w:val="003C7592"/>
    <w:rsid w:val="003C7E9A"/>
    <w:rsid w:val="003D0543"/>
    <w:rsid w:val="003D0DA0"/>
    <w:rsid w:val="003D16B4"/>
    <w:rsid w:val="003D1740"/>
    <w:rsid w:val="003D1968"/>
    <w:rsid w:val="003D252B"/>
    <w:rsid w:val="003D2FB2"/>
    <w:rsid w:val="003D3055"/>
    <w:rsid w:val="003D3852"/>
    <w:rsid w:val="003D54A4"/>
    <w:rsid w:val="003D5718"/>
    <w:rsid w:val="003D6173"/>
    <w:rsid w:val="003D67E2"/>
    <w:rsid w:val="003D7E57"/>
    <w:rsid w:val="003E0C65"/>
    <w:rsid w:val="003E109D"/>
    <w:rsid w:val="003E28A9"/>
    <w:rsid w:val="003E28C1"/>
    <w:rsid w:val="003E30D4"/>
    <w:rsid w:val="003E463A"/>
    <w:rsid w:val="003E466B"/>
    <w:rsid w:val="003E4A93"/>
    <w:rsid w:val="003E4B96"/>
    <w:rsid w:val="003E4F57"/>
    <w:rsid w:val="003E5163"/>
    <w:rsid w:val="003E5235"/>
    <w:rsid w:val="003E5EFB"/>
    <w:rsid w:val="003E6616"/>
    <w:rsid w:val="003E6735"/>
    <w:rsid w:val="003E6BCF"/>
    <w:rsid w:val="003E71D7"/>
    <w:rsid w:val="003E7A8C"/>
    <w:rsid w:val="003E7BBE"/>
    <w:rsid w:val="003E7E52"/>
    <w:rsid w:val="003E7F01"/>
    <w:rsid w:val="003F1AE6"/>
    <w:rsid w:val="003F1C8A"/>
    <w:rsid w:val="003F1D15"/>
    <w:rsid w:val="003F1E56"/>
    <w:rsid w:val="003F2017"/>
    <w:rsid w:val="003F2D51"/>
    <w:rsid w:val="003F3E3D"/>
    <w:rsid w:val="003F4503"/>
    <w:rsid w:val="003F60D3"/>
    <w:rsid w:val="003F67DD"/>
    <w:rsid w:val="003F7332"/>
    <w:rsid w:val="00403529"/>
    <w:rsid w:val="0040495E"/>
    <w:rsid w:val="00405AC4"/>
    <w:rsid w:val="00406EBB"/>
    <w:rsid w:val="00407B08"/>
    <w:rsid w:val="00410B5B"/>
    <w:rsid w:val="00410E09"/>
    <w:rsid w:val="00413725"/>
    <w:rsid w:val="004145F3"/>
    <w:rsid w:val="004149AC"/>
    <w:rsid w:val="00414ED5"/>
    <w:rsid w:val="00415310"/>
    <w:rsid w:val="00415598"/>
    <w:rsid w:val="00415A1C"/>
    <w:rsid w:val="00415CF3"/>
    <w:rsid w:val="004161F1"/>
    <w:rsid w:val="004173DC"/>
    <w:rsid w:val="004211D3"/>
    <w:rsid w:val="0042214F"/>
    <w:rsid w:val="00423C87"/>
    <w:rsid w:val="00424450"/>
    <w:rsid w:val="00424AA1"/>
    <w:rsid w:val="00425961"/>
    <w:rsid w:val="0042748B"/>
    <w:rsid w:val="004278BA"/>
    <w:rsid w:val="00427E63"/>
    <w:rsid w:val="00430668"/>
    <w:rsid w:val="0043208D"/>
    <w:rsid w:val="00433204"/>
    <w:rsid w:val="00433B41"/>
    <w:rsid w:val="00433BF4"/>
    <w:rsid w:val="00435B21"/>
    <w:rsid w:val="004369DA"/>
    <w:rsid w:val="00437836"/>
    <w:rsid w:val="00437C12"/>
    <w:rsid w:val="00437F29"/>
    <w:rsid w:val="00440DBC"/>
    <w:rsid w:val="00441845"/>
    <w:rsid w:val="004419F4"/>
    <w:rsid w:val="00442A09"/>
    <w:rsid w:val="00444A3D"/>
    <w:rsid w:val="004450DE"/>
    <w:rsid w:val="0044632F"/>
    <w:rsid w:val="00446FEC"/>
    <w:rsid w:val="0045131A"/>
    <w:rsid w:val="0045148F"/>
    <w:rsid w:val="004517C4"/>
    <w:rsid w:val="0045413F"/>
    <w:rsid w:val="004547CF"/>
    <w:rsid w:val="00454AD2"/>
    <w:rsid w:val="00455509"/>
    <w:rsid w:val="00455822"/>
    <w:rsid w:val="00457090"/>
    <w:rsid w:val="00460E12"/>
    <w:rsid w:val="004617FC"/>
    <w:rsid w:val="00461E55"/>
    <w:rsid w:val="00462DF1"/>
    <w:rsid w:val="00463043"/>
    <w:rsid w:val="00463851"/>
    <w:rsid w:val="00464227"/>
    <w:rsid w:val="004647FE"/>
    <w:rsid w:val="00464A90"/>
    <w:rsid w:val="00464FA6"/>
    <w:rsid w:val="0046503C"/>
    <w:rsid w:val="00465BD0"/>
    <w:rsid w:val="0046612B"/>
    <w:rsid w:val="00470E23"/>
    <w:rsid w:val="004712BE"/>
    <w:rsid w:val="00471DED"/>
    <w:rsid w:val="00473352"/>
    <w:rsid w:val="004734CE"/>
    <w:rsid w:val="004734FF"/>
    <w:rsid w:val="004741A9"/>
    <w:rsid w:val="00475D2E"/>
    <w:rsid w:val="00476202"/>
    <w:rsid w:val="00476AA2"/>
    <w:rsid w:val="00477AF1"/>
    <w:rsid w:val="00477F8A"/>
    <w:rsid w:val="00481C87"/>
    <w:rsid w:val="00483151"/>
    <w:rsid w:val="004833DC"/>
    <w:rsid w:val="00483D58"/>
    <w:rsid w:val="0048423A"/>
    <w:rsid w:val="00484DA8"/>
    <w:rsid w:val="00485042"/>
    <w:rsid w:val="004853F9"/>
    <w:rsid w:val="004858FA"/>
    <w:rsid w:val="004859F7"/>
    <w:rsid w:val="00486501"/>
    <w:rsid w:val="004871CA"/>
    <w:rsid w:val="00490136"/>
    <w:rsid w:val="00490ADB"/>
    <w:rsid w:val="00491799"/>
    <w:rsid w:val="004917DE"/>
    <w:rsid w:val="004928E6"/>
    <w:rsid w:val="0049360B"/>
    <w:rsid w:val="00493C6C"/>
    <w:rsid w:val="00494244"/>
    <w:rsid w:val="00494669"/>
    <w:rsid w:val="0049741E"/>
    <w:rsid w:val="004976D5"/>
    <w:rsid w:val="004A2498"/>
    <w:rsid w:val="004A2856"/>
    <w:rsid w:val="004A28AD"/>
    <w:rsid w:val="004A2F5E"/>
    <w:rsid w:val="004A3849"/>
    <w:rsid w:val="004A3C74"/>
    <w:rsid w:val="004A3CB8"/>
    <w:rsid w:val="004A3EB4"/>
    <w:rsid w:val="004A45C2"/>
    <w:rsid w:val="004A4849"/>
    <w:rsid w:val="004A4F8C"/>
    <w:rsid w:val="004A5D1A"/>
    <w:rsid w:val="004A6964"/>
    <w:rsid w:val="004A6DF4"/>
    <w:rsid w:val="004A706C"/>
    <w:rsid w:val="004A74CE"/>
    <w:rsid w:val="004B07C3"/>
    <w:rsid w:val="004B1987"/>
    <w:rsid w:val="004B2570"/>
    <w:rsid w:val="004B3930"/>
    <w:rsid w:val="004B5377"/>
    <w:rsid w:val="004B5F13"/>
    <w:rsid w:val="004B6816"/>
    <w:rsid w:val="004B794A"/>
    <w:rsid w:val="004B7DAC"/>
    <w:rsid w:val="004C026E"/>
    <w:rsid w:val="004C1E23"/>
    <w:rsid w:val="004C2BC2"/>
    <w:rsid w:val="004C2D69"/>
    <w:rsid w:val="004C305B"/>
    <w:rsid w:val="004C3CA7"/>
    <w:rsid w:val="004C46BE"/>
    <w:rsid w:val="004C5701"/>
    <w:rsid w:val="004C6B34"/>
    <w:rsid w:val="004C6D37"/>
    <w:rsid w:val="004C7965"/>
    <w:rsid w:val="004D0ED2"/>
    <w:rsid w:val="004D0FA6"/>
    <w:rsid w:val="004D131C"/>
    <w:rsid w:val="004D292B"/>
    <w:rsid w:val="004D2FB7"/>
    <w:rsid w:val="004D3F6A"/>
    <w:rsid w:val="004D3FF1"/>
    <w:rsid w:val="004D40E3"/>
    <w:rsid w:val="004D4419"/>
    <w:rsid w:val="004D4950"/>
    <w:rsid w:val="004D5107"/>
    <w:rsid w:val="004D5D8A"/>
    <w:rsid w:val="004D66D0"/>
    <w:rsid w:val="004D6A0B"/>
    <w:rsid w:val="004D794B"/>
    <w:rsid w:val="004E0DD7"/>
    <w:rsid w:val="004E1554"/>
    <w:rsid w:val="004E15F8"/>
    <w:rsid w:val="004E18BA"/>
    <w:rsid w:val="004E1F64"/>
    <w:rsid w:val="004E31A6"/>
    <w:rsid w:val="004E371C"/>
    <w:rsid w:val="004E3AA6"/>
    <w:rsid w:val="004E3FB5"/>
    <w:rsid w:val="004E402F"/>
    <w:rsid w:val="004E44C2"/>
    <w:rsid w:val="004E4584"/>
    <w:rsid w:val="004E7631"/>
    <w:rsid w:val="004E7BF8"/>
    <w:rsid w:val="004F06C3"/>
    <w:rsid w:val="004F0BE7"/>
    <w:rsid w:val="004F1019"/>
    <w:rsid w:val="004F17BE"/>
    <w:rsid w:val="004F2EDA"/>
    <w:rsid w:val="004F2FF8"/>
    <w:rsid w:val="004F3B17"/>
    <w:rsid w:val="004F3CF5"/>
    <w:rsid w:val="004F4773"/>
    <w:rsid w:val="004F4841"/>
    <w:rsid w:val="004F4E18"/>
    <w:rsid w:val="004F5112"/>
    <w:rsid w:val="004F5B88"/>
    <w:rsid w:val="004F626D"/>
    <w:rsid w:val="004F66CC"/>
    <w:rsid w:val="004F68B3"/>
    <w:rsid w:val="004F7276"/>
    <w:rsid w:val="005000F6"/>
    <w:rsid w:val="0050032E"/>
    <w:rsid w:val="00502606"/>
    <w:rsid w:val="00502F28"/>
    <w:rsid w:val="005032F1"/>
    <w:rsid w:val="005054C1"/>
    <w:rsid w:val="0050720A"/>
    <w:rsid w:val="00507B25"/>
    <w:rsid w:val="00507C32"/>
    <w:rsid w:val="00510BB5"/>
    <w:rsid w:val="00511F7C"/>
    <w:rsid w:val="0051241C"/>
    <w:rsid w:val="005128EF"/>
    <w:rsid w:val="00513CF0"/>
    <w:rsid w:val="0051417E"/>
    <w:rsid w:val="00515596"/>
    <w:rsid w:val="005156EF"/>
    <w:rsid w:val="00516924"/>
    <w:rsid w:val="0051695D"/>
    <w:rsid w:val="00517076"/>
    <w:rsid w:val="00517A39"/>
    <w:rsid w:val="00517DFA"/>
    <w:rsid w:val="00521222"/>
    <w:rsid w:val="00521496"/>
    <w:rsid w:val="005232C6"/>
    <w:rsid w:val="00530A68"/>
    <w:rsid w:val="00532A21"/>
    <w:rsid w:val="00532C1A"/>
    <w:rsid w:val="005340FD"/>
    <w:rsid w:val="00534F52"/>
    <w:rsid w:val="00535248"/>
    <w:rsid w:val="00536E37"/>
    <w:rsid w:val="005404DB"/>
    <w:rsid w:val="00541905"/>
    <w:rsid w:val="00541C52"/>
    <w:rsid w:val="005436B2"/>
    <w:rsid w:val="005438E6"/>
    <w:rsid w:val="00543C01"/>
    <w:rsid w:val="005442CA"/>
    <w:rsid w:val="005444EE"/>
    <w:rsid w:val="00544F87"/>
    <w:rsid w:val="00545E3A"/>
    <w:rsid w:val="0054690E"/>
    <w:rsid w:val="00547074"/>
    <w:rsid w:val="00547229"/>
    <w:rsid w:val="00552360"/>
    <w:rsid w:val="00552A91"/>
    <w:rsid w:val="00552C86"/>
    <w:rsid w:val="00553695"/>
    <w:rsid w:val="00553926"/>
    <w:rsid w:val="005565D1"/>
    <w:rsid w:val="0055681B"/>
    <w:rsid w:val="005569A3"/>
    <w:rsid w:val="0055755B"/>
    <w:rsid w:val="00561D54"/>
    <w:rsid w:val="005629A0"/>
    <w:rsid w:val="00562B2B"/>
    <w:rsid w:val="0056410E"/>
    <w:rsid w:val="00564D6A"/>
    <w:rsid w:val="00565ED8"/>
    <w:rsid w:val="00565F98"/>
    <w:rsid w:val="005668D5"/>
    <w:rsid w:val="00566E00"/>
    <w:rsid w:val="0057058C"/>
    <w:rsid w:val="005706B2"/>
    <w:rsid w:val="00571082"/>
    <w:rsid w:val="005724C2"/>
    <w:rsid w:val="0057276D"/>
    <w:rsid w:val="005732AD"/>
    <w:rsid w:val="00574394"/>
    <w:rsid w:val="00575735"/>
    <w:rsid w:val="00575AA1"/>
    <w:rsid w:val="00577428"/>
    <w:rsid w:val="005803E3"/>
    <w:rsid w:val="00581138"/>
    <w:rsid w:val="005816B6"/>
    <w:rsid w:val="00582C90"/>
    <w:rsid w:val="0058330B"/>
    <w:rsid w:val="00583938"/>
    <w:rsid w:val="00584F11"/>
    <w:rsid w:val="00585111"/>
    <w:rsid w:val="00585C4B"/>
    <w:rsid w:val="00585C60"/>
    <w:rsid w:val="00585DAC"/>
    <w:rsid w:val="00587A42"/>
    <w:rsid w:val="005909B9"/>
    <w:rsid w:val="00590B1D"/>
    <w:rsid w:val="00590B81"/>
    <w:rsid w:val="005918E7"/>
    <w:rsid w:val="0059204B"/>
    <w:rsid w:val="00592707"/>
    <w:rsid w:val="005928B3"/>
    <w:rsid w:val="00592E6C"/>
    <w:rsid w:val="00593B58"/>
    <w:rsid w:val="005955C1"/>
    <w:rsid w:val="005955FF"/>
    <w:rsid w:val="00595737"/>
    <w:rsid w:val="00595B38"/>
    <w:rsid w:val="00595F51"/>
    <w:rsid w:val="0059637F"/>
    <w:rsid w:val="0059669D"/>
    <w:rsid w:val="005966A1"/>
    <w:rsid w:val="005967DF"/>
    <w:rsid w:val="005974BE"/>
    <w:rsid w:val="00597875"/>
    <w:rsid w:val="005A02B6"/>
    <w:rsid w:val="005A0AF9"/>
    <w:rsid w:val="005A1ABC"/>
    <w:rsid w:val="005A1BF6"/>
    <w:rsid w:val="005A33DA"/>
    <w:rsid w:val="005A483A"/>
    <w:rsid w:val="005A5FF7"/>
    <w:rsid w:val="005A63E4"/>
    <w:rsid w:val="005A683A"/>
    <w:rsid w:val="005A73B8"/>
    <w:rsid w:val="005A74CE"/>
    <w:rsid w:val="005A77E5"/>
    <w:rsid w:val="005A7BC0"/>
    <w:rsid w:val="005B1779"/>
    <w:rsid w:val="005B2E38"/>
    <w:rsid w:val="005B411B"/>
    <w:rsid w:val="005B4E7C"/>
    <w:rsid w:val="005B59DB"/>
    <w:rsid w:val="005B5F45"/>
    <w:rsid w:val="005B6185"/>
    <w:rsid w:val="005B67D9"/>
    <w:rsid w:val="005B728F"/>
    <w:rsid w:val="005C0918"/>
    <w:rsid w:val="005C0A4F"/>
    <w:rsid w:val="005C18DC"/>
    <w:rsid w:val="005C1E0D"/>
    <w:rsid w:val="005C2674"/>
    <w:rsid w:val="005C3558"/>
    <w:rsid w:val="005C3968"/>
    <w:rsid w:val="005C3A6D"/>
    <w:rsid w:val="005C4DDE"/>
    <w:rsid w:val="005C760D"/>
    <w:rsid w:val="005D0581"/>
    <w:rsid w:val="005D1393"/>
    <w:rsid w:val="005D15B6"/>
    <w:rsid w:val="005D1870"/>
    <w:rsid w:val="005D1F42"/>
    <w:rsid w:val="005D32D5"/>
    <w:rsid w:val="005D3E1A"/>
    <w:rsid w:val="005D631E"/>
    <w:rsid w:val="005D695F"/>
    <w:rsid w:val="005E0FDD"/>
    <w:rsid w:val="005E1899"/>
    <w:rsid w:val="005E1D84"/>
    <w:rsid w:val="005E4166"/>
    <w:rsid w:val="005E42C3"/>
    <w:rsid w:val="005E4371"/>
    <w:rsid w:val="005E4859"/>
    <w:rsid w:val="005E6679"/>
    <w:rsid w:val="005E74FC"/>
    <w:rsid w:val="005E76C3"/>
    <w:rsid w:val="005E77B0"/>
    <w:rsid w:val="005F08FA"/>
    <w:rsid w:val="005F09BE"/>
    <w:rsid w:val="005F1E09"/>
    <w:rsid w:val="005F2BDB"/>
    <w:rsid w:val="005F40EC"/>
    <w:rsid w:val="005F49DB"/>
    <w:rsid w:val="005F5131"/>
    <w:rsid w:val="005F5313"/>
    <w:rsid w:val="005F5536"/>
    <w:rsid w:val="005F5FBE"/>
    <w:rsid w:val="005F6B28"/>
    <w:rsid w:val="005F6D8A"/>
    <w:rsid w:val="005F7726"/>
    <w:rsid w:val="005F7CC1"/>
    <w:rsid w:val="005F7E79"/>
    <w:rsid w:val="006000D4"/>
    <w:rsid w:val="00600178"/>
    <w:rsid w:val="006012E4"/>
    <w:rsid w:val="006017B2"/>
    <w:rsid w:val="00601882"/>
    <w:rsid w:val="006018BD"/>
    <w:rsid w:val="00604516"/>
    <w:rsid w:val="0060474C"/>
    <w:rsid w:val="00604A57"/>
    <w:rsid w:val="00604E81"/>
    <w:rsid w:val="006057BB"/>
    <w:rsid w:val="0060581C"/>
    <w:rsid w:val="00606BCA"/>
    <w:rsid w:val="00606E33"/>
    <w:rsid w:val="00610879"/>
    <w:rsid w:val="00610A57"/>
    <w:rsid w:val="00614CE9"/>
    <w:rsid w:val="00616272"/>
    <w:rsid w:val="00617050"/>
    <w:rsid w:val="00617EC7"/>
    <w:rsid w:val="00620A9F"/>
    <w:rsid w:val="00620C65"/>
    <w:rsid w:val="00621172"/>
    <w:rsid w:val="00622460"/>
    <w:rsid w:val="006230C6"/>
    <w:rsid w:val="00624ABF"/>
    <w:rsid w:val="00625CE0"/>
    <w:rsid w:val="00626B8A"/>
    <w:rsid w:val="006301F5"/>
    <w:rsid w:val="00631F9E"/>
    <w:rsid w:val="006321D8"/>
    <w:rsid w:val="00632C80"/>
    <w:rsid w:val="00634364"/>
    <w:rsid w:val="006346AE"/>
    <w:rsid w:val="006354EF"/>
    <w:rsid w:val="00635AE7"/>
    <w:rsid w:val="00641ABF"/>
    <w:rsid w:val="00641D8E"/>
    <w:rsid w:val="00641FC7"/>
    <w:rsid w:val="00645764"/>
    <w:rsid w:val="0064714B"/>
    <w:rsid w:val="00650BBB"/>
    <w:rsid w:val="006516F9"/>
    <w:rsid w:val="00652140"/>
    <w:rsid w:val="00653D50"/>
    <w:rsid w:val="0065425D"/>
    <w:rsid w:val="00655288"/>
    <w:rsid w:val="00656816"/>
    <w:rsid w:val="00657390"/>
    <w:rsid w:val="00657434"/>
    <w:rsid w:val="0066038A"/>
    <w:rsid w:val="00661AAF"/>
    <w:rsid w:val="006621BE"/>
    <w:rsid w:val="00662855"/>
    <w:rsid w:val="0066298A"/>
    <w:rsid w:val="006634C1"/>
    <w:rsid w:val="00664463"/>
    <w:rsid w:val="006653F1"/>
    <w:rsid w:val="006659D5"/>
    <w:rsid w:val="00665D4F"/>
    <w:rsid w:val="00667D1F"/>
    <w:rsid w:val="006713D9"/>
    <w:rsid w:val="00672EFE"/>
    <w:rsid w:val="0067333F"/>
    <w:rsid w:val="0067359B"/>
    <w:rsid w:val="00675C65"/>
    <w:rsid w:val="00676D1B"/>
    <w:rsid w:val="00677E6A"/>
    <w:rsid w:val="006800C7"/>
    <w:rsid w:val="00680338"/>
    <w:rsid w:val="00681568"/>
    <w:rsid w:val="006815D1"/>
    <w:rsid w:val="00682688"/>
    <w:rsid w:val="00683ECF"/>
    <w:rsid w:val="00683F20"/>
    <w:rsid w:val="006841B0"/>
    <w:rsid w:val="00684871"/>
    <w:rsid w:val="006855E3"/>
    <w:rsid w:val="006867ED"/>
    <w:rsid w:val="00690A4D"/>
    <w:rsid w:val="006913C0"/>
    <w:rsid w:val="0069165C"/>
    <w:rsid w:val="00695130"/>
    <w:rsid w:val="00695825"/>
    <w:rsid w:val="006960EF"/>
    <w:rsid w:val="006973AA"/>
    <w:rsid w:val="00697681"/>
    <w:rsid w:val="006A0A9B"/>
    <w:rsid w:val="006A1528"/>
    <w:rsid w:val="006A1810"/>
    <w:rsid w:val="006A1A38"/>
    <w:rsid w:val="006A1CC9"/>
    <w:rsid w:val="006A2CFA"/>
    <w:rsid w:val="006A3920"/>
    <w:rsid w:val="006A3F44"/>
    <w:rsid w:val="006A4480"/>
    <w:rsid w:val="006A56F5"/>
    <w:rsid w:val="006A5AC9"/>
    <w:rsid w:val="006A5E0E"/>
    <w:rsid w:val="006A63F5"/>
    <w:rsid w:val="006A6755"/>
    <w:rsid w:val="006A7A49"/>
    <w:rsid w:val="006B01F1"/>
    <w:rsid w:val="006B02D5"/>
    <w:rsid w:val="006B2E59"/>
    <w:rsid w:val="006B3C5D"/>
    <w:rsid w:val="006B3F35"/>
    <w:rsid w:val="006B470C"/>
    <w:rsid w:val="006B5900"/>
    <w:rsid w:val="006B76F6"/>
    <w:rsid w:val="006C154B"/>
    <w:rsid w:val="006C244A"/>
    <w:rsid w:val="006C253E"/>
    <w:rsid w:val="006C41FF"/>
    <w:rsid w:val="006C5FFF"/>
    <w:rsid w:val="006C6358"/>
    <w:rsid w:val="006C65AD"/>
    <w:rsid w:val="006C70D4"/>
    <w:rsid w:val="006D00C7"/>
    <w:rsid w:val="006D0155"/>
    <w:rsid w:val="006D0676"/>
    <w:rsid w:val="006D0D31"/>
    <w:rsid w:val="006D1916"/>
    <w:rsid w:val="006D1EC8"/>
    <w:rsid w:val="006D203E"/>
    <w:rsid w:val="006D5EE5"/>
    <w:rsid w:val="006D5F6B"/>
    <w:rsid w:val="006D643C"/>
    <w:rsid w:val="006D7A90"/>
    <w:rsid w:val="006D7AE4"/>
    <w:rsid w:val="006E0822"/>
    <w:rsid w:val="006E08A7"/>
    <w:rsid w:val="006E091C"/>
    <w:rsid w:val="006E0CCA"/>
    <w:rsid w:val="006E0D3E"/>
    <w:rsid w:val="006E115C"/>
    <w:rsid w:val="006E1615"/>
    <w:rsid w:val="006E2CEF"/>
    <w:rsid w:val="006E2E67"/>
    <w:rsid w:val="006E49B0"/>
    <w:rsid w:val="006E579E"/>
    <w:rsid w:val="006E587D"/>
    <w:rsid w:val="006E669B"/>
    <w:rsid w:val="006E7383"/>
    <w:rsid w:val="006E7F3B"/>
    <w:rsid w:val="006F24F5"/>
    <w:rsid w:val="006F3FB7"/>
    <w:rsid w:val="006F75AE"/>
    <w:rsid w:val="00700778"/>
    <w:rsid w:val="00700995"/>
    <w:rsid w:val="007014C3"/>
    <w:rsid w:val="00702038"/>
    <w:rsid w:val="007031F8"/>
    <w:rsid w:val="007039B5"/>
    <w:rsid w:val="0070466E"/>
    <w:rsid w:val="00706DD6"/>
    <w:rsid w:val="00707351"/>
    <w:rsid w:val="007075FB"/>
    <w:rsid w:val="00707F75"/>
    <w:rsid w:val="00710B87"/>
    <w:rsid w:val="007115FF"/>
    <w:rsid w:val="00711DFB"/>
    <w:rsid w:val="007124AA"/>
    <w:rsid w:val="00712B66"/>
    <w:rsid w:val="007130A6"/>
    <w:rsid w:val="00714593"/>
    <w:rsid w:val="007159B3"/>
    <w:rsid w:val="007166DB"/>
    <w:rsid w:val="00717160"/>
    <w:rsid w:val="0072061C"/>
    <w:rsid w:val="00720A80"/>
    <w:rsid w:val="007226EF"/>
    <w:rsid w:val="007238E0"/>
    <w:rsid w:val="00724AE7"/>
    <w:rsid w:val="00724B46"/>
    <w:rsid w:val="00726723"/>
    <w:rsid w:val="0072724B"/>
    <w:rsid w:val="007273C7"/>
    <w:rsid w:val="007275F3"/>
    <w:rsid w:val="007278AE"/>
    <w:rsid w:val="00727979"/>
    <w:rsid w:val="00727CB2"/>
    <w:rsid w:val="00727DFD"/>
    <w:rsid w:val="00730CED"/>
    <w:rsid w:val="00731DA1"/>
    <w:rsid w:val="00731EA2"/>
    <w:rsid w:val="00732600"/>
    <w:rsid w:val="00733842"/>
    <w:rsid w:val="00735604"/>
    <w:rsid w:val="00735C64"/>
    <w:rsid w:val="00737804"/>
    <w:rsid w:val="00737B6B"/>
    <w:rsid w:val="00740511"/>
    <w:rsid w:val="00741238"/>
    <w:rsid w:val="00741643"/>
    <w:rsid w:val="0074165C"/>
    <w:rsid w:val="00741B78"/>
    <w:rsid w:val="00742173"/>
    <w:rsid w:val="007422B1"/>
    <w:rsid w:val="00743076"/>
    <w:rsid w:val="007433D6"/>
    <w:rsid w:val="0074393D"/>
    <w:rsid w:val="0074520C"/>
    <w:rsid w:val="0074596E"/>
    <w:rsid w:val="0074717A"/>
    <w:rsid w:val="007471D2"/>
    <w:rsid w:val="00747624"/>
    <w:rsid w:val="00747CEC"/>
    <w:rsid w:val="00750630"/>
    <w:rsid w:val="00751055"/>
    <w:rsid w:val="00751B50"/>
    <w:rsid w:val="00751CF6"/>
    <w:rsid w:val="00752BC0"/>
    <w:rsid w:val="00752E17"/>
    <w:rsid w:val="00753761"/>
    <w:rsid w:val="00753A87"/>
    <w:rsid w:val="00753F9D"/>
    <w:rsid w:val="00754142"/>
    <w:rsid w:val="00754274"/>
    <w:rsid w:val="0075573B"/>
    <w:rsid w:val="00756441"/>
    <w:rsid w:val="007576E2"/>
    <w:rsid w:val="00757AC7"/>
    <w:rsid w:val="00760EED"/>
    <w:rsid w:val="007614D1"/>
    <w:rsid w:val="007615C9"/>
    <w:rsid w:val="00761A03"/>
    <w:rsid w:val="00761A2A"/>
    <w:rsid w:val="00762426"/>
    <w:rsid w:val="00762830"/>
    <w:rsid w:val="00762BA5"/>
    <w:rsid w:val="007643B0"/>
    <w:rsid w:val="00765BA7"/>
    <w:rsid w:val="007667C4"/>
    <w:rsid w:val="00766D0C"/>
    <w:rsid w:val="00767747"/>
    <w:rsid w:val="007678BB"/>
    <w:rsid w:val="00767A7B"/>
    <w:rsid w:val="00767AB8"/>
    <w:rsid w:val="00767B2C"/>
    <w:rsid w:val="007707AA"/>
    <w:rsid w:val="0077118F"/>
    <w:rsid w:val="00771C02"/>
    <w:rsid w:val="00772008"/>
    <w:rsid w:val="007739CF"/>
    <w:rsid w:val="00774202"/>
    <w:rsid w:val="0077493B"/>
    <w:rsid w:val="00774FEA"/>
    <w:rsid w:val="00776037"/>
    <w:rsid w:val="007765DB"/>
    <w:rsid w:val="00777088"/>
    <w:rsid w:val="0077709C"/>
    <w:rsid w:val="0077744B"/>
    <w:rsid w:val="007775CE"/>
    <w:rsid w:val="00780161"/>
    <w:rsid w:val="007839F9"/>
    <w:rsid w:val="00783AF8"/>
    <w:rsid w:val="00783C75"/>
    <w:rsid w:val="00783D23"/>
    <w:rsid w:val="00784CE7"/>
    <w:rsid w:val="007857CB"/>
    <w:rsid w:val="007875F2"/>
    <w:rsid w:val="00787AAD"/>
    <w:rsid w:val="0079149E"/>
    <w:rsid w:val="00791875"/>
    <w:rsid w:val="007918C9"/>
    <w:rsid w:val="007922E7"/>
    <w:rsid w:val="00792BE8"/>
    <w:rsid w:val="00793CCC"/>
    <w:rsid w:val="00794065"/>
    <w:rsid w:val="00795DD0"/>
    <w:rsid w:val="00796783"/>
    <w:rsid w:val="007A14CF"/>
    <w:rsid w:val="007A1A44"/>
    <w:rsid w:val="007A1FBD"/>
    <w:rsid w:val="007A251B"/>
    <w:rsid w:val="007A2FF8"/>
    <w:rsid w:val="007A3648"/>
    <w:rsid w:val="007A3EE6"/>
    <w:rsid w:val="007A4C0F"/>
    <w:rsid w:val="007A4DD8"/>
    <w:rsid w:val="007A4EDC"/>
    <w:rsid w:val="007A63F8"/>
    <w:rsid w:val="007A6639"/>
    <w:rsid w:val="007A6ACC"/>
    <w:rsid w:val="007A74B9"/>
    <w:rsid w:val="007B3D73"/>
    <w:rsid w:val="007B3E93"/>
    <w:rsid w:val="007B54AA"/>
    <w:rsid w:val="007B5784"/>
    <w:rsid w:val="007B6124"/>
    <w:rsid w:val="007C00F8"/>
    <w:rsid w:val="007C0C9E"/>
    <w:rsid w:val="007C2EA7"/>
    <w:rsid w:val="007C3711"/>
    <w:rsid w:val="007C3944"/>
    <w:rsid w:val="007C4AD7"/>
    <w:rsid w:val="007C4D43"/>
    <w:rsid w:val="007C65EA"/>
    <w:rsid w:val="007C6692"/>
    <w:rsid w:val="007C703D"/>
    <w:rsid w:val="007C7E76"/>
    <w:rsid w:val="007D0398"/>
    <w:rsid w:val="007D0DF3"/>
    <w:rsid w:val="007D121B"/>
    <w:rsid w:val="007D17CA"/>
    <w:rsid w:val="007D2917"/>
    <w:rsid w:val="007D3BD0"/>
    <w:rsid w:val="007D4CD3"/>
    <w:rsid w:val="007D5D64"/>
    <w:rsid w:val="007D6736"/>
    <w:rsid w:val="007D741A"/>
    <w:rsid w:val="007D7468"/>
    <w:rsid w:val="007E0754"/>
    <w:rsid w:val="007E1F32"/>
    <w:rsid w:val="007E28B1"/>
    <w:rsid w:val="007E48DC"/>
    <w:rsid w:val="007E49E4"/>
    <w:rsid w:val="007E522C"/>
    <w:rsid w:val="007E5AB1"/>
    <w:rsid w:val="007E6B60"/>
    <w:rsid w:val="007E6F2F"/>
    <w:rsid w:val="007E727D"/>
    <w:rsid w:val="007E7308"/>
    <w:rsid w:val="007E765C"/>
    <w:rsid w:val="007E7BBE"/>
    <w:rsid w:val="007F1D8F"/>
    <w:rsid w:val="007F2F4F"/>
    <w:rsid w:val="007F3472"/>
    <w:rsid w:val="007F4833"/>
    <w:rsid w:val="007F4F68"/>
    <w:rsid w:val="007F52AF"/>
    <w:rsid w:val="007F66F9"/>
    <w:rsid w:val="007F67D9"/>
    <w:rsid w:val="007F6C65"/>
    <w:rsid w:val="007F7452"/>
    <w:rsid w:val="00800898"/>
    <w:rsid w:val="00800D43"/>
    <w:rsid w:val="00801836"/>
    <w:rsid w:val="008021AD"/>
    <w:rsid w:val="00802BE7"/>
    <w:rsid w:val="00803CC0"/>
    <w:rsid w:val="00805164"/>
    <w:rsid w:val="00805880"/>
    <w:rsid w:val="00805D5A"/>
    <w:rsid w:val="00805E0E"/>
    <w:rsid w:val="008105E0"/>
    <w:rsid w:val="00810ACC"/>
    <w:rsid w:val="00810E42"/>
    <w:rsid w:val="00812DC0"/>
    <w:rsid w:val="00813A00"/>
    <w:rsid w:val="00813A52"/>
    <w:rsid w:val="00813BB2"/>
    <w:rsid w:val="00813D5B"/>
    <w:rsid w:val="00814C1A"/>
    <w:rsid w:val="00814C8D"/>
    <w:rsid w:val="0081692C"/>
    <w:rsid w:val="00816A40"/>
    <w:rsid w:val="00820B2B"/>
    <w:rsid w:val="00821B44"/>
    <w:rsid w:val="00821B76"/>
    <w:rsid w:val="0082237F"/>
    <w:rsid w:val="00823E7E"/>
    <w:rsid w:val="0082493A"/>
    <w:rsid w:val="00824996"/>
    <w:rsid w:val="00825949"/>
    <w:rsid w:val="00825EE5"/>
    <w:rsid w:val="00826855"/>
    <w:rsid w:val="00826D27"/>
    <w:rsid w:val="00826E48"/>
    <w:rsid w:val="008270E1"/>
    <w:rsid w:val="00827671"/>
    <w:rsid w:val="00827F56"/>
    <w:rsid w:val="00832C69"/>
    <w:rsid w:val="0083304A"/>
    <w:rsid w:val="008340B1"/>
    <w:rsid w:val="008343FD"/>
    <w:rsid w:val="00834CE3"/>
    <w:rsid w:val="008350C5"/>
    <w:rsid w:val="008353B0"/>
    <w:rsid w:val="008359AC"/>
    <w:rsid w:val="00835AA1"/>
    <w:rsid w:val="00835FDF"/>
    <w:rsid w:val="00837087"/>
    <w:rsid w:val="00837850"/>
    <w:rsid w:val="00837AE8"/>
    <w:rsid w:val="00840228"/>
    <w:rsid w:val="00843260"/>
    <w:rsid w:val="0084357B"/>
    <w:rsid w:val="008438DD"/>
    <w:rsid w:val="0084390D"/>
    <w:rsid w:val="008441EA"/>
    <w:rsid w:val="008442AA"/>
    <w:rsid w:val="00846942"/>
    <w:rsid w:val="00846C01"/>
    <w:rsid w:val="0085049F"/>
    <w:rsid w:val="00851475"/>
    <w:rsid w:val="00851B11"/>
    <w:rsid w:val="008529DE"/>
    <w:rsid w:val="00852C51"/>
    <w:rsid w:val="00852E5B"/>
    <w:rsid w:val="00853539"/>
    <w:rsid w:val="00854397"/>
    <w:rsid w:val="00855CED"/>
    <w:rsid w:val="00856C7D"/>
    <w:rsid w:val="00857BBE"/>
    <w:rsid w:val="00857EF9"/>
    <w:rsid w:val="00860C0D"/>
    <w:rsid w:val="0086180C"/>
    <w:rsid w:val="00861974"/>
    <w:rsid w:val="00862071"/>
    <w:rsid w:val="0086237C"/>
    <w:rsid w:val="00863ACE"/>
    <w:rsid w:val="0086416B"/>
    <w:rsid w:val="0086482D"/>
    <w:rsid w:val="008665E4"/>
    <w:rsid w:val="00867180"/>
    <w:rsid w:val="008676F3"/>
    <w:rsid w:val="00867D4A"/>
    <w:rsid w:val="00870C9F"/>
    <w:rsid w:val="008732EE"/>
    <w:rsid w:val="008751BE"/>
    <w:rsid w:val="00875ABB"/>
    <w:rsid w:val="008760A4"/>
    <w:rsid w:val="0087661C"/>
    <w:rsid w:val="0087704E"/>
    <w:rsid w:val="00880409"/>
    <w:rsid w:val="00881917"/>
    <w:rsid w:val="00881FA7"/>
    <w:rsid w:val="00882919"/>
    <w:rsid w:val="008838ED"/>
    <w:rsid w:val="00884FD8"/>
    <w:rsid w:val="0088507A"/>
    <w:rsid w:val="00885F28"/>
    <w:rsid w:val="00886579"/>
    <w:rsid w:val="00886621"/>
    <w:rsid w:val="0088685B"/>
    <w:rsid w:val="0088734A"/>
    <w:rsid w:val="0088759A"/>
    <w:rsid w:val="00887DD7"/>
    <w:rsid w:val="0089263A"/>
    <w:rsid w:val="00892826"/>
    <w:rsid w:val="008928A6"/>
    <w:rsid w:val="00892B43"/>
    <w:rsid w:val="00892BAB"/>
    <w:rsid w:val="008931C7"/>
    <w:rsid w:val="008948E5"/>
    <w:rsid w:val="0089741B"/>
    <w:rsid w:val="008A0692"/>
    <w:rsid w:val="008A092B"/>
    <w:rsid w:val="008A201D"/>
    <w:rsid w:val="008A23C8"/>
    <w:rsid w:val="008A2961"/>
    <w:rsid w:val="008A428A"/>
    <w:rsid w:val="008A4C48"/>
    <w:rsid w:val="008A59A4"/>
    <w:rsid w:val="008A5EBE"/>
    <w:rsid w:val="008A64C4"/>
    <w:rsid w:val="008A74DD"/>
    <w:rsid w:val="008A7812"/>
    <w:rsid w:val="008A7D49"/>
    <w:rsid w:val="008B03D4"/>
    <w:rsid w:val="008B0F56"/>
    <w:rsid w:val="008B137F"/>
    <w:rsid w:val="008B16EE"/>
    <w:rsid w:val="008B1705"/>
    <w:rsid w:val="008B1B02"/>
    <w:rsid w:val="008B3534"/>
    <w:rsid w:val="008B4ADD"/>
    <w:rsid w:val="008B4DC1"/>
    <w:rsid w:val="008B4DEA"/>
    <w:rsid w:val="008B4EC9"/>
    <w:rsid w:val="008B7F0D"/>
    <w:rsid w:val="008C0563"/>
    <w:rsid w:val="008C163F"/>
    <w:rsid w:val="008C1871"/>
    <w:rsid w:val="008C2BF1"/>
    <w:rsid w:val="008C35F6"/>
    <w:rsid w:val="008C53DE"/>
    <w:rsid w:val="008C5A17"/>
    <w:rsid w:val="008C6146"/>
    <w:rsid w:val="008C63ED"/>
    <w:rsid w:val="008C6502"/>
    <w:rsid w:val="008C7816"/>
    <w:rsid w:val="008C7E2E"/>
    <w:rsid w:val="008D05CD"/>
    <w:rsid w:val="008D082E"/>
    <w:rsid w:val="008D1C39"/>
    <w:rsid w:val="008D1D1F"/>
    <w:rsid w:val="008D3723"/>
    <w:rsid w:val="008D3CFB"/>
    <w:rsid w:val="008D3E70"/>
    <w:rsid w:val="008D40CD"/>
    <w:rsid w:val="008D440A"/>
    <w:rsid w:val="008D4F5C"/>
    <w:rsid w:val="008D6881"/>
    <w:rsid w:val="008D76EE"/>
    <w:rsid w:val="008E00EC"/>
    <w:rsid w:val="008E0C27"/>
    <w:rsid w:val="008E1F11"/>
    <w:rsid w:val="008E3E1F"/>
    <w:rsid w:val="008E4689"/>
    <w:rsid w:val="008E475E"/>
    <w:rsid w:val="008E4F99"/>
    <w:rsid w:val="008E60D8"/>
    <w:rsid w:val="008E68A0"/>
    <w:rsid w:val="008F07CE"/>
    <w:rsid w:val="008F0C10"/>
    <w:rsid w:val="008F114C"/>
    <w:rsid w:val="008F2099"/>
    <w:rsid w:val="008F2FD7"/>
    <w:rsid w:val="008F30AB"/>
    <w:rsid w:val="008F469F"/>
    <w:rsid w:val="008F4AA8"/>
    <w:rsid w:val="008F6019"/>
    <w:rsid w:val="009025E5"/>
    <w:rsid w:val="00903271"/>
    <w:rsid w:val="00903C50"/>
    <w:rsid w:val="00904749"/>
    <w:rsid w:val="0090648A"/>
    <w:rsid w:val="0091003D"/>
    <w:rsid w:val="00910768"/>
    <w:rsid w:val="00910BFE"/>
    <w:rsid w:val="009118E0"/>
    <w:rsid w:val="00913412"/>
    <w:rsid w:val="009140BF"/>
    <w:rsid w:val="00914F3E"/>
    <w:rsid w:val="00915359"/>
    <w:rsid w:val="00915D0F"/>
    <w:rsid w:val="0091685D"/>
    <w:rsid w:val="009169B5"/>
    <w:rsid w:val="0091731A"/>
    <w:rsid w:val="009200BD"/>
    <w:rsid w:val="00920579"/>
    <w:rsid w:val="00920801"/>
    <w:rsid w:val="009216C9"/>
    <w:rsid w:val="00921A48"/>
    <w:rsid w:val="00922C68"/>
    <w:rsid w:val="00922F31"/>
    <w:rsid w:val="00923CC5"/>
    <w:rsid w:val="00925452"/>
    <w:rsid w:val="00925692"/>
    <w:rsid w:val="00926667"/>
    <w:rsid w:val="0092757D"/>
    <w:rsid w:val="009306CA"/>
    <w:rsid w:val="00930FA5"/>
    <w:rsid w:val="009312F5"/>
    <w:rsid w:val="00932F73"/>
    <w:rsid w:val="009347EA"/>
    <w:rsid w:val="00934971"/>
    <w:rsid w:val="00942DA8"/>
    <w:rsid w:val="0094341F"/>
    <w:rsid w:val="009444D7"/>
    <w:rsid w:val="00945480"/>
    <w:rsid w:val="00945499"/>
    <w:rsid w:val="0094647C"/>
    <w:rsid w:val="00947474"/>
    <w:rsid w:val="009475EA"/>
    <w:rsid w:val="00947961"/>
    <w:rsid w:val="00947D15"/>
    <w:rsid w:val="00950098"/>
    <w:rsid w:val="0095121B"/>
    <w:rsid w:val="00951473"/>
    <w:rsid w:val="00955CC1"/>
    <w:rsid w:val="00955E94"/>
    <w:rsid w:val="00957589"/>
    <w:rsid w:val="00957EDE"/>
    <w:rsid w:val="00960AF4"/>
    <w:rsid w:val="009618B5"/>
    <w:rsid w:val="00961AEF"/>
    <w:rsid w:val="00961B80"/>
    <w:rsid w:val="009624AA"/>
    <w:rsid w:val="0096268C"/>
    <w:rsid w:val="009628C8"/>
    <w:rsid w:val="00962941"/>
    <w:rsid w:val="00963E45"/>
    <w:rsid w:val="00964890"/>
    <w:rsid w:val="00964FA2"/>
    <w:rsid w:val="009651B3"/>
    <w:rsid w:val="009655C4"/>
    <w:rsid w:val="00966296"/>
    <w:rsid w:val="0096670E"/>
    <w:rsid w:val="009679C4"/>
    <w:rsid w:val="00967AA7"/>
    <w:rsid w:val="00967CA9"/>
    <w:rsid w:val="00967E73"/>
    <w:rsid w:val="00970BC5"/>
    <w:rsid w:val="009712DF"/>
    <w:rsid w:val="00972653"/>
    <w:rsid w:val="009737D5"/>
    <w:rsid w:val="0097389E"/>
    <w:rsid w:val="00974ECB"/>
    <w:rsid w:val="009754A0"/>
    <w:rsid w:val="00976073"/>
    <w:rsid w:val="00976DA7"/>
    <w:rsid w:val="00976DB7"/>
    <w:rsid w:val="00977E6F"/>
    <w:rsid w:val="0098333E"/>
    <w:rsid w:val="009844E5"/>
    <w:rsid w:val="00985540"/>
    <w:rsid w:val="009858F2"/>
    <w:rsid w:val="00985CC5"/>
    <w:rsid w:val="00986EF5"/>
    <w:rsid w:val="00987E6D"/>
    <w:rsid w:val="00990C0C"/>
    <w:rsid w:val="009910FE"/>
    <w:rsid w:val="00991591"/>
    <w:rsid w:val="00991A68"/>
    <w:rsid w:val="00991CD4"/>
    <w:rsid w:val="0099216F"/>
    <w:rsid w:val="00993CD9"/>
    <w:rsid w:val="009943CD"/>
    <w:rsid w:val="009955B5"/>
    <w:rsid w:val="00995CAC"/>
    <w:rsid w:val="00997CA0"/>
    <w:rsid w:val="009A05E3"/>
    <w:rsid w:val="009A3D39"/>
    <w:rsid w:val="009A4C11"/>
    <w:rsid w:val="009A55BB"/>
    <w:rsid w:val="009A62EF"/>
    <w:rsid w:val="009A63B0"/>
    <w:rsid w:val="009A651A"/>
    <w:rsid w:val="009A6759"/>
    <w:rsid w:val="009B038A"/>
    <w:rsid w:val="009B090A"/>
    <w:rsid w:val="009B124B"/>
    <w:rsid w:val="009B1B3F"/>
    <w:rsid w:val="009B2863"/>
    <w:rsid w:val="009B3BBF"/>
    <w:rsid w:val="009B3E6D"/>
    <w:rsid w:val="009B456C"/>
    <w:rsid w:val="009B5694"/>
    <w:rsid w:val="009B5D5C"/>
    <w:rsid w:val="009B67B6"/>
    <w:rsid w:val="009B6986"/>
    <w:rsid w:val="009B6BAF"/>
    <w:rsid w:val="009B6D5C"/>
    <w:rsid w:val="009B72FE"/>
    <w:rsid w:val="009B7BCC"/>
    <w:rsid w:val="009C1C4D"/>
    <w:rsid w:val="009C2839"/>
    <w:rsid w:val="009C4B14"/>
    <w:rsid w:val="009C5492"/>
    <w:rsid w:val="009C5588"/>
    <w:rsid w:val="009C55A2"/>
    <w:rsid w:val="009C6DF4"/>
    <w:rsid w:val="009C7AB1"/>
    <w:rsid w:val="009D1FF0"/>
    <w:rsid w:val="009D23D8"/>
    <w:rsid w:val="009D2C44"/>
    <w:rsid w:val="009D3808"/>
    <w:rsid w:val="009D63DF"/>
    <w:rsid w:val="009D6F28"/>
    <w:rsid w:val="009D7971"/>
    <w:rsid w:val="009D7E42"/>
    <w:rsid w:val="009E02C2"/>
    <w:rsid w:val="009E0977"/>
    <w:rsid w:val="009E1A48"/>
    <w:rsid w:val="009E21C0"/>
    <w:rsid w:val="009E31ED"/>
    <w:rsid w:val="009E343B"/>
    <w:rsid w:val="009E3BE8"/>
    <w:rsid w:val="009E5215"/>
    <w:rsid w:val="009E538A"/>
    <w:rsid w:val="009E5B16"/>
    <w:rsid w:val="009E6897"/>
    <w:rsid w:val="009E6B62"/>
    <w:rsid w:val="009E6DE5"/>
    <w:rsid w:val="009E75D2"/>
    <w:rsid w:val="009E7681"/>
    <w:rsid w:val="009F181D"/>
    <w:rsid w:val="009F242C"/>
    <w:rsid w:val="009F2DFD"/>
    <w:rsid w:val="009F2E9A"/>
    <w:rsid w:val="009F3203"/>
    <w:rsid w:val="009F3668"/>
    <w:rsid w:val="009F47F4"/>
    <w:rsid w:val="009F4F72"/>
    <w:rsid w:val="009F612C"/>
    <w:rsid w:val="009F6AFB"/>
    <w:rsid w:val="009F6D75"/>
    <w:rsid w:val="00A011A3"/>
    <w:rsid w:val="00A01BFC"/>
    <w:rsid w:val="00A02A70"/>
    <w:rsid w:val="00A02E1D"/>
    <w:rsid w:val="00A0323C"/>
    <w:rsid w:val="00A0416E"/>
    <w:rsid w:val="00A0515E"/>
    <w:rsid w:val="00A06D63"/>
    <w:rsid w:val="00A07B82"/>
    <w:rsid w:val="00A11D38"/>
    <w:rsid w:val="00A12212"/>
    <w:rsid w:val="00A122E1"/>
    <w:rsid w:val="00A135B7"/>
    <w:rsid w:val="00A1369F"/>
    <w:rsid w:val="00A14D23"/>
    <w:rsid w:val="00A15769"/>
    <w:rsid w:val="00A16961"/>
    <w:rsid w:val="00A16D78"/>
    <w:rsid w:val="00A17E2D"/>
    <w:rsid w:val="00A22425"/>
    <w:rsid w:val="00A237F7"/>
    <w:rsid w:val="00A2385B"/>
    <w:rsid w:val="00A25356"/>
    <w:rsid w:val="00A256FF"/>
    <w:rsid w:val="00A26A16"/>
    <w:rsid w:val="00A30054"/>
    <w:rsid w:val="00A313DB"/>
    <w:rsid w:val="00A3159F"/>
    <w:rsid w:val="00A31C70"/>
    <w:rsid w:val="00A34F4A"/>
    <w:rsid w:val="00A35461"/>
    <w:rsid w:val="00A35B82"/>
    <w:rsid w:val="00A36A9A"/>
    <w:rsid w:val="00A36BA6"/>
    <w:rsid w:val="00A36F46"/>
    <w:rsid w:val="00A37181"/>
    <w:rsid w:val="00A37338"/>
    <w:rsid w:val="00A41F85"/>
    <w:rsid w:val="00A42563"/>
    <w:rsid w:val="00A42E88"/>
    <w:rsid w:val="00A43575"/>
    <w:rsid w:val="00A43A9D"/>
    <w:rsid w:val="00A44D27"/>
    <w:rsid w:val="00A4604E"/>
    <w:rsid w:val="00A50ACC"/>
    <w:rsid w:val="00A50C52"/>
    <w:rsid w:val="00A50CC9"/>
    <w:rsid w:val="00A526CE"/>
    <w:rsid w:val="00A53462"/>
    <w:rsid w:val="00A540E6"/>
    <w:rsid w:val="00A54A24"/>
    <w:rsid w:val="00A54A88"/>
    <w:rsid w:val="00A54BCA"/>
    <w:rsid w:val="00A55E03"/>
    <w:rsid w:val="00A55E27"/>
    <w:rsid w:val="00A5653D"/>
    <w:rsid w:val="00A56D10"/>
    <w:rsid w:val="00A56E83"/>
    <w:rsid w:val="00A5712D"/>
    <w:rsid w:val="00A575C9"/>
    <w:rsid w:val="00A57884"/>
    <w:rsid w:val="00A57E46"/>
    <w:rsid w:val="00A6197B"/>
    <w:rsid w:val="00A62602"/>
    <w:rsid w:val="00A63B65"/>
    <w:rsid w:val="00A66385"/>
    <w:rsid w:val="00A67711"/>
    <w:rsid w:val="00A6783A"/>
    <w:rsid w:val="00A67ED8"/>
    <w:rsid w:val="00A704B5"/>
    <w:rsid w:val="00A70B13"/>
    <w:rsid w:val="00A72BEE"/>
    <w:rsid w:val="00A74707"/>
    <w:rsid w:val="00A75391"/>
    <w:rsid w:val="00A76718"/>
    <w:rsid w:val="00A7751C"/>
    <w:rsid w:val="00A77E78"/>
    <w:rsid w:val="00A805C3"/>
    <w:rsid w:val="00A81A6F"/>
    <w:rsid w:val="00A83B07"/>
    <w:rsid w:val="00A83C17"/>
    <w:rsid w:val="00A845FA"/>
    <w:rsid w:val="00A85586"/>
    <w:rsid w:val="00A8577D"/>
    <w:rsid w:val="00A871FB"/>
    <w:rsid w:val="00A900F1"/>
    <w:rsid w:val="00A90A2C"/>
    <w:rsid w:val="00A91DB3"/>
    <w:rsid w:val="00A92CB6"/>
    <w:rsid w:val="00A9301D"/>
    <w:rsid w:val="00A93E8D"/>
    <w:rsid w:val="00A96197"/>
    <w:rsid w:val="00A96668"/>
    <w:rsid w:val="00A973A9"/>
    <w:rsid w:val="00A97A99"/>
    <w:rsid w:val="00AA0EE8"/>
    <w:rsid w:val="00AA106A"/>
    <w:rsid w:val="00AA206E"/>
    <w:rsid w:val="00AA2DE2"/>
    <w:rsid w:val="00AA31E6"/>
    <w:rsid w:val="00AA359C"/>
    <w:rsid w:val="00AA3F2C"/>
    <w:rsid w:val="00AA47EB"/>
    <w:rsid w:val="00AA4DF9"/>
    <w:rsid w:val="00AA5C93"/>
    <w:rsid w:val="00AA5E7A"/>
    <w:rsid w:val="00AA619F"/>
    <w:rsid w:val="00AA6716"/>
    <w:rsid w:val="00AA6DC5"/>
    <w:rsid w:val="00AA714A"/>
    <w:rsid w:val="00AA7AE4"/>
    <w:rsid w:val="00AB00A9"/>
    <w:rsid w:val="00AB1736"/>
    <w:rsid w:val="00AB25CF"/>
    <w:rsid w:val="00AB3EB0"/>
    <w:rsid w:val="00AB4489"/>
    <w:rsid w:val="00AB68CA"/>
    <w:rsid w:val="00AB6DC8"/>
    <w:rsid w:val="00AB6F8B"/>
    <w:rsid w:val="00AC1CBE"/>
    <w:rsid w:val="00AC23E9"/>
    <w:rsid w:val="00AC2556"/>
    <w:rsid w:val="00AC306E"/>
    <w:rsid w:val="00AC367C"/>
    <w:rsid w:val="00AC3799"/>
    <w:rsid w:val="00AC3841"/>
    <w:rsid w:val="00AC38C1"/>
    <w:rsid w:val="00AC4720"/>
    <w:rsid w:val="00AC4C4E"/>
    <w:rsid w:val="00AC5982"/>
    <w:rsid w:val="00AC5A25"/>
    <w:rsid w:val="00AC7374"/>
    <w:rsid w:val="00AC7ACA"/>
    <w:rsid w:val="00AD0395"/>
    <w:rsid w:val="00AD1609"/>
    <w:rsid w:val="00AD209D"/>
    <w:rsid w:val="00AD231B"/>
    <w:rsid w:val="00AD317A"/>
    <w:rsid w:val="00AD3656"/>
    <w:rsid w:val="00AD4742"/>
    <w:rsid w:val="00AD4DA6"/>
    <w:rsid w:val="00AD5E5C"/>
    <w:rsid w:val="00AD6531"/>
    <w:rsid w:val="00AD6579"/>
    <w:rsid w:val="00AD6815"/>
    <w:rsid w:val="00AD7A73"/>
    <w:rsid w:val="00AD7B70"/>
    <w:rsid w:val="00AE0A3B"/>
    <w:rsid w:val="00AE157B"/>
    <w:rsid w:val="00AE21ED"/>
    <w:rsid w:val="00AE2612"/>
    <w:rsid w:val="00AE26D9"/>
    <w:rsid w:val="00AE29D7"/>
    <w:rsid w:val="00AE3352"/>
    <w:rsid w:val="00AE345F"/>
    <w:rsid w:val="00AE3588"/>
    <w:rsid w:val="00AE4BDE"/>
    <w:rsid w:val="00AE5175"/>
    <w:rsid w:val="00AE5947"/>
    <w:rsid w:val="00AE5F7A"/>
    <w:rsid w:val="00AE7465"/>
    <w:rsid w:val="00AF0239"/>
    <w:rsid w:val="00AF09F4"/>
    <w:rsid w:val="00AF1D59"/>
    <w:rsid w:val="00AF1DDD"/>
    <w:rsid w:val="00AF358B"/>
    <w:rsid w:val="00AF3864"/>
    <w:rsid w:val="00AF39A0"/>
    <w:rsid w:val="00AF5AA3"/>
    <w:rsid w:val="00AF73D5"/>
    <w:rsid w:val="00AF7DE1"/>
    <w:rsid w:val="00B000E3"/>
    <w:rsid w:val="00B0041B"/>
    <w:rsid w:val="00B0060C"/>
    <w:rsid w:val="00B015D1"/>
    <w:rsid w:val="00B01D20"/>
    <w:rsid w:val="00B01F2F"/>
    <w:rsid w:val="00B029EB"/>
    <w:rsid w:val="00B03229"/>
    <w:rsid w:val="00B03DEA"/>
    <w:rsid w:val="00B04646"/>
    <w:rsid w:val="00B049ED"/>
    <w:rsid w:val="00B05414"/>
    <w:rsid w:val="00B05BD1"/>
    <w:rsid w:val="00B1007B"/>
    <w:rsid w:val="00B107EE"/>
    <w:rsid w:val="00B1092B"/>
    <w:rsid w:val="00B112D7"/>
    <w:rsid w:val="00B1268D"/>
    <w:rsid w:val="00B12CEE"/>
    <w:rsid w:val="00B150DA"/>
    <w:rsid w:val="00B178C3"/>
    <w:rsid w:val="00B205A1"/>
    <w:rsid w:val="00B207EC"/>
    <w:rsid w:val="00B20825"/>
    <w:rsid w:val="00B20A88"/>
    <w:rsid w:val="00B21C72"/>
    <w:rsid w:val="00B21CAD"/>
    <w:rsid w:val="00B22E84"/>
    <w:rsid w:val="00B23223"/>
    <w:rsid w:val="00B23BF4"/>
    <w:rsid w:val="00B2521A"/>
    <w:rsid w:val="00B256E9"/>
    <w:rsid w:val="00B25C15"/>
    <w:rsid w:val="00B25C29"/>
    <w:rsid w:val="00B2759E"/>
    <w:rsid w:val="00B275BE"/>
    <w:rsid w:val="00B30BD0"/>
    <w:rsid w:val="00B369C0"/>
    <w:rsid w:val="00B37199"/>
    <w:rsid w:val="00B371B7"/>
    <w:rsid w:val="00B3753C"/>
    <w:rsid w:val="00B3784A"/>
    <w:rsid w:val="00B37B93"/>
    <w:rsid w:val="00B41080"/>
    <w:rsid w:val="00B41398"/>
    <w:rsid w:val="00B4262B"/>
    <w:rsid w:val="00B433AF"/>
    <w:rsid w:val="00B43518"/>
    <w:rsid w:val="00B5017F"/>
    <w:rsid w:val="00B50BF2"/>
    <w:rsid w:val="00B51316"/>
    <w:rsid w:val="00B514AB"/>
    <w:rsid w:val="00B5153D"/>
    <w:rsid w:val="00B51626"/>
    <w:rsid w:val="00B529D9"/>
    <w:rsid w:val="00B52F04"/>
    <w:rsid w:val="00B531B3"/>
    <w:rsid w:val="00B546C2"/>
    <w:rsid w:val="00B54B4A"/>
    <w:rsid w:val="00B54C68"/>
    <w:rsid w:val="00B5517D"/>
    <w:rsid w:val="00B551B2"/>
    <w:rsid w:val="00B55B4A"/>
    <w:rsid w:val="00B56317"/>
    <w:rsid w:val="00B565C3"/>
    <w:rsid w:val="00B56A72"/>
    <w:rsid w:val="00B578FD"/>
    <w:rsid w:val="00B606E1"/>
    <w:rsid w:val="00B60EFB"/>
    <w:rsid w:val="00B61D1E"/>
    <w:rsid w:val="00B6265D"/>
    <w:rsid w:val="00B62B94"/>
    <w:rsid w:val="00B64306"/>
    <w:rsid w:val="00B64BE5"/>
    <w:rsid w:val="00B651C5"/>
    <w:rsid w:val="00B65C50"/>
    <w:rsid w:val="00B6669F"/>
    <w:rsid w:val="00B677D6"/>
    <w:rsid w:val="00B70369"/>
    <w:rsid w:val="00B70E27"/>
    <w:rsid w:val="00B715AF"/>
    <w:rsid w:val="00B715CF"/>
    <w:rsid w:val="00B726C8"/>
    <w:rsid w:val="00B729AF"/>
    <w:rsid w:val="00B73335"/>
    <w:rsid w:val="00B738E0"/>
    <w:rsid w:val="00B74D9F"/>
    <w:rsid w:val="00B74E7E"/>
    <w:rsid w:val="00B75A30"/>
    <w:rsid w:val="00B76803"/>
    <w:rsid w:val="00B769B3"/>
    <w:rsid w:val="00B77588"/>
    <w:rsid w:val="00B7797B"/>
    <w:rsid w:val="00B808EF"/>
    <w:rsid w:val="00B8092B"/>
    <w:rsid w:val="00B80EE7"/>
    <w:rsid w:val="00B810B6"/>
    <w:rsid w:val="00B812EE"/>
    <w:rsid w:val="00B82878"/>
    <w:rsid w:val="00B85E82"/>
    <w:rsid w:val="00B8654F"/>
    <w:rsid w:val="00B8681D"/>
    <w:rsid w:val="00B86855"/>
    <w:rsid w:val="00B8714A"/>
    <w:rsid w:val="00B87A85"/>
    <w:rsid w:val="00B87C1A"/>
    <w:rsid w:val="00B87F86"/>
    <w:rsid w:val="00B903D8"/>
    <w:rsid w:val="00B90A09"/>
    <w:rsid w:val="00B910B8"/>
    <w:rsid w:val="00B91AC5"/>
    <w:rsid w:val="00B91D09"/>
    <w:rsid w:val="00B939D1"/>
    <w:rsid w:val="00B940E9"/>
    <w:rsid w:val="00B941FA"/>
    <w:rsid w:val="00B9428D"/>
    <w:rsid w:val="00B9494E"/>
    <w:rsid w:val="00B94AA0"/>
    <w:rsid w:val="00B96A25"/>
    <w:rsid w:val="00B97720"/>
    <w:rsid w:val="00BA0590"/>
    <w:rsid w:val="00BA1420"/>
    <w:rsid w:val="00BA35D1"/>
    <w:rsid w:val="00BA3F06"/>
    <w:rsid w:val="00BA60F7"/>
    <w:rsid w:val="00BA6A8E"/>
    <w:rsid w:val="00BA6D2B"/>
    <w:rsid w:val="00BA6DCB"/>
    <w:rsid w:val="00BA6F2C"/>
    <w:rsid w:val="00BA72C8"/>
    <w:rsid w:val="00BA753D"/>
    <w:rsid w:val="00BB0473"/>
    <w:rsid w:val="00BB0E55"/>
    <w:rsid w:val="00BB1524"/>
    <w:rsid w:val="00BB1C97"/>
    <w:rsid w:val="00BB2479"/>
    <w:rsid w:val="00BB2636"/>
    <w:rsid w:val="00BB2A66"/>
    <w:rsid w:val="00BB2FE2"/>
    <w:rsid w:val="00BB4753"/>
    <w:rsid w:val="00BB5105"/>
    <w:rsid w:val="00BB59AC"/>
    <w:rsid w:val="00BB5D74"/>
    <w:rsid w:val="00BB6897"/>
    <w:rsid w:val="00BB7D7C"/>
    <w:rsid w:val="00BB7E86"/>
    <w:rsid w:val="00BB7F7F"/>
    <w:rsid w:val="00BC04D9"/>
    <w:rsid w:val="00BC0549"/>
    <w:rsid w:val="00BC0A15"/>
    <w:rsid w:val="00BC10D4"/>
    <w:rsid w:val="00BC1FD0"/>
    <w:rsid w:val="00BC2F9D"/>
    <w:rsid w:val="00BC4AF5"/>
    <w:rsid w:val="00BC5AF2"/>
    <w:rsid w:val="00BC6849"/>
    <w:rsid w:val="00BC6D48"/>
    <w:rsid w:val="00BC7A7F"/>
    <w:rsid w:val="00BD05E4"/>
    <w:rsid w:val="00BD0A6A"/>
    <w:rsid w:val="00BD0FE5"/>
    <w:rsid w:val="00BD1055"/>
    <w:rsid w:val="00BD1D79"/>
    <w:rsid w:val="00BD2FED"/>
    <w:rsid w:val="00BD304A"/>
    <w:rsid w:val="00BD3CC9"/>
    <w:rsid w:val="00BD56AC"/>
    <w:rsid w:val="00BD5C56"/>
    <w:rsid w:val="00BD65F2"/>
    <w:rsid w:val="00BD66D2"/>
    <w:rsid w:val="00BD7269"/>
    <w:rsid w:val="00BD7DFB"/>
    <w:rsid w:val="00BD7E3E"/>
    <w:rsid w:val="00BE1137"/>
    <w:rsid w:val="00BE2D62"/>
    <w:rsid w:val="00BE3A9A"/>
    <w:rsid w:val="00BE489B"/>
    <w:rsid w:val="00BE4D2E"/>
    <w:rsid w:val="00BE696B"/>
    <w:rsid w:val="00BE769D"/>
    <w:rsid w:val="00BE7E7D"/>
    <w:rsid w:val="00BF11D2"/>
    <w:rsid w:val="00BF14C6"/>
    <w:rsid w:val="00BF1B24"/>
    <w:rsid w:val="00BF2C20"/>
    <w:rsid w:val="00BF3381"/>
    <w:rsid w:val="00BF3979"/>
    <w:rsid w:val="00BF44C3"/>
    <w:rsid w:val="00BF44EB"/>
    <w:rsid w:val="00BF4938"/>
    <w:rsid w:val="00BF5D16"/>
    <w:rsid w:val="00BF7453"/>
    <w:rsid w:val="00BF7945"/>
    <w:rsid w:val="00C00C64"/>
    <w:rsid w:val="00C0169E"/>
    <w:rsid w:val="00C01E28"/>
    <w:rsid w:val="00C040C4"/>
    <w:rsid w:val="00C044A9"/>
    <w:rsid w:val="00C05123"/>
    <w:rsid w:val="00C05DEB"/>
    <w:rsid w:val="00C05E7B"/>
    <w:rsid w:val="00C06597"/>
    <w:rsid w:val="00C0729A"/>
    <w:rsid w:val="00C0758B"/>
    <w:rsid w:val="00C07CDB"/>
    <w:rsid w:val="00C10E7F"/>
    <w:rsid w:val="00C10F31"/>
    <w:rsid w:val="00C111AA"/>
    <w:rsid w:val="00C1126A"/>
    <w:rsid w:val="00C11825"/>
    <w:rsid w:val="00C1211F"/>
    <w:rsid w:val="00C12125"/>
    <w:rsid w:val="00C1254F"/>
    <w:rsid w:val="00C12E08"/>
    <w:rsid w:val="00C132AD"/>
    <w:rsid w:val="00C14F97"/>
    <w:rsid w:val="00C15301"/>
    <w:rsid w:val="00C156BC"/>
    <w:rsid w:val="00C170BF"/>
    <w:rsid w:val="00C17727"/>
    <w:rsid w:val="00C203EA"/>
    <w:rsid w:val="00C219D4"/>
    <w:rsid w:val="00C22AD2"/>
    <w:rsid w:val="00C23240"/>
    <w:rsid w:val="00C23F64"/>
    <w:rsid w:val="00C243A9"/>
    <w:rsid w:val="00C25419"/>
    <w:rsid w:val="00C2629A"/>
    <w:rsid w:val="00C26AB3"/>
    <w:rsid w:val="00C26C35"/>
    <w:rsid w:val="00C273BD"/>
    <w:rsid w:val="00C278E6"/>
    <w:rsid w:val="00C27FA7"/>
    <w:rsid w:val="00C30A6A"/>
    <w:rsid w:val="00C320E8"/>
    <w:rsid w:val="00C33283"/>
    <w:rsid w:val="00C33C8F"/>
    <w:rsid w:val="00C34114"/>
    <w:rsid w:val="00C347B3"/>
    <w:rsid w:val="00C3489C"/>
    <w:rsid w:val="00C35132"/>
    <w:rsid w:val="00C368F6"/>
    <w:rsid w:val="00C36BBC"/>
    <w:rsid w:val="00C41536"/>
    <w:rsid w:val="00C4245E"/>
    <w:rsid w:val="00C43C93"/>
    <w:rsid w:val="00C44FAC"/>
    <w:rsid w:val="00C454FC"/>
    <w:rsid w:val="00C462F3"/>
    <w:rsid w:val="00C473FB"/>
    <w:rsid w:val="00C506D8"/>
    <w:rsid w:val="00C5122A"/>
    <w:rsid w:val="00C51916"/>
    <w:rsid w:val="00C51DDD"/>
    <w:rsid w:val="00C530B7"/>
    <w:rsid w:val="00C53A7A"/>
    <w:rsid w:val="00C542E6"/>
    <w:rsid w:val="00C5586F"/>
    <w:rsid w:val="00C56AB0"/>
    <w:rsid w:val="00C57554"/>
    <w:rsid w:val="00C57D9A"/>
    <w:rsid w:val="00C607FC"/>
    <w:rsid w:val="00C6146E"/>
    <w:rsid w:val="00C62379"/>
    <w:rsid w:val="00C6247E"/>
    <w:rsid w:val="00C62817"/>
    <w:rsid w:val="00C633B1"/>
    <w:rsid w:val="00C63A56"/>
    <w:rsid w:val="00C63C46"/>
    <w:rsid w:val="00C640A3"/>
    <w:rsid w:val="00C650B7"/>
    <w:rsid w:val="00C656E4"/>
    <w:rsid w:val="00C65B4C"/>
    <w:rsid w:val="00C70A5F"/>
    <w:rsid w:val="00C720B0"/>
    <w:rsid w:val="00C72D29"/>
    <w:rsid w:val="00C73353"/>
    <w:rsid w:val="00C759E5"/>
    <w:rsid w:val="00C764CF"/>
    <w:rsid w:val="00C76999"/>
    <w:rsid w:val="00C76BBD"/>
    <w:rsid w:val="00C76EA9"/>
    <w:rsid w:val="00C77C05"/>
    <w:rsid w:val="00C8110D"/>
    <w:rsid w:val="00C8283C"/>
    <w:rsid w:val="00C83A2A"/>
    <w:rsid w:val="00C849AC"/>
    <w:rsid w:val="00C84C47"/>
    <w:rsid w:val="00C858BD"/>
    <w:rsid w:val="00C8620C"/>
    <w:rsid w:val="00C868A0"/>
    <w:rsid w:val="00C8765E"/>
    <w:rsid w:val="00C8766F"/>
    <w:rsid w:val="00C91150"/>
    <w:rsid w:val="00C912E0"/>
    <w:rsid w:val="00C91890"/>
    <w:rsid w:val="00C92C09"/>
    <w:rsid w:val="00C949D2"/>
    <w:rsid w:val="00C9536A"/>
    <w:rsid w:val="00C960A1"/>
    <w:rsid w:val="00C97348"/>
    <w:rsid w:val="00C97AA3"/>
    <w:rsid w:val="00CA06B9"/>
    <w:rsid w:val="00CA122D"/>
    <w:rsid w:val="00CA22AF"/>
    <w:rsid w:val="00CA284E"/>
    <w:rsid w:val="00CA58DC"/>
    <w:rsid w:val="00CA6232"/>
    <w:rsid w:val="00CA730E"/>
    <w:rsid w:val="00CA7410"/>
    <w:rsid w:val="00CA7B1F"/>
    <w:rsid w:val="00CB06E5"/>
    <w:rsid w:val="00CB0F89"/>
    <w:rsid w:val="00CB12FA"/>
    <w:rsid w:val="00CB1E6B"/>
    <w:rsid w:val="00CB4267"/>
    <w:rsid w:val="00CB5433"/>
    <w:rsid w:val="00CB5BA0"/>
    <w:rsid w:val="00CB6578"/>
    <w:rsid w:val="00CB7A93"/>
    <w:rsid w:val="00CC0079"/>
    <w:rsid w:val="00CC0321"/>
    <w:rsid w:val="00CC20F3"/>
    <w:rsid w:val="00CC23C6"/>
    <w:rsid w:val="00CC2DDB"/>
    <w:rsid w:val="00CC3552"/>
    <w:rsid w:val="00CC38B9"/>
    <w:rsid w:val="00CC3EFE"/>
    <w:rsid w:val="00CC40E9"/>
    <w:rsid w:val="00CC50D6"/>
    <w:rsid w:val="00CC57CB"/>
    <w:rsid w:val="00CC6113"/>
    <w:rsid w:val="00CC6863"/>
    <w:rsid w:val="00CC6B3E"/>
    <w:rsid w:val="00CC6B5D"/>
    <w:rsid w:val="00CC73AE"/>
    <w:rsid w:val="00CC7F01"/>
    <w:rsid w:val="00CC7F08"/>
    <w:rsid w:val="00CD0311"/>
    <w:rsid w:val="00CD0A60"/>
    <w:rsid w:val="00CD0B5F"/>
    <w:rsid w:val="00CD10F8"/>
    <w:rsid w:val="00CD15D8"/>
    <w:rsid w:val="00CD1A55"/>
    <w:rsid w:val="00CD1B02"/>
    <w:rsid w:val="00CD2110"/>
    <w:rsid w:val="00CD24D3"/>
    <w:rsid w:val="00CD3C8D"/>
    <w:rsid w:val="00CD4B4B"/>
    <w:rsid w:val="00CD4C32"/>
    <w:rsid w:val="00CD5D1A"/>
    <w:rsid w:val="00CD5F4F"/>
    <w:rsid w:val="00CD7D6D"/>
    <w:rsid w:val="00CE0618"/>
    <w:rsid w:val="00CE0B48"/>
    <w:rsid w:val="00CE0B60"/>
    <w:rsid w:val="00CE101C"/>
    <w:rsid w:val="00CE16EA"/>
    <w:rsid w:val="00CE48F0"/>
    <w:rsid w:val="00CE4D09"/>
    <w:rsid w:val="00CE54E5"/>
    <w:rsid w:val="00CE5613"/>
    <w:rsid w:val="00CE5734"/>
    <w:rsid w:val="00CE5A6F"/>
    <w:rsid w:val="00CE604C"/>
    <w:rsid w:val="00CF043A"/>
    <w:rsid w:val="00CF2D1E"/>
    <w:rsid w:val="00CF34E9"/>
    <w:rsid w:val="00CF38A4"/>
    <w:rsid w:val="00CF403F"/>
    <w:rsid w:val="00CF41C0"/>
    <w:rsid w:val="00CF64C1"/>
    <w:rsid w:val="00CF65AF"/>
    <w:rsid w:val="00CF6C33"/>
    <w:rsid w:val="00D01935"/>
    <w:rsid w:val="00D0194A"/>
    <w:rsid w:val="00D03B06"/>
    <w:rsid w:val="00D03B28"/>
    <w:rsid w:val="00D03E1A"/>
    <w:rsid w:val="00D04A15"/>
    <w:rsid w:val="00D1104F"/>
    <w:rsid w:val="00D11DF8"/>
    <w:rsid w:val="00D1254F"/>
    <w:rsid w:val="00D13227"/>
    <w:rsid w:val="00D136B1"/>
    <w:rsid w:val="00D145D8"/>
    <w:rsid w:val="00D14B1C"/>
    <w:rsid w:val="00D14B59"/>
    <w:rsid w:val="00D1521C"/>
    <w:rsid w:val="00D17F72"/>
    <w:rsid w:val="00D20717"/>
    <w:rsid w:val="00D209FE"/>
    <w:rsid w:val="00D21B45"/>
    <w:rsid w:val="00D22274"/>
    <w:rsid w:val="00D229D2"/>
    <w:rsid w:val="00D2311D"/>
    <w:rsid w:val="00D24917"/>
    <w:rsid w:val="00D24DAB"/>
    <w:rsid w:val="00D24FBD"/>
    <w:rsid w:val="00D25361"/>
    <w:rsid w:val="00D25E54"/>
    <w:rsid w:val="00D26841"/>
    <w:rsid w:val="00D26B58"/>
    <w:rsid w:val="00D27640"/>
    <w:rsid w:val="00D27726"/>
    <w:rsid w:val="00D3012C"/>
    <w:rsid w:val="00D304FA"/>
    <w:rsid w:val="00D3075A"/>
    <w:rsid w:val="00D30AA7"/>
    <w:rsid w:val="00D30AED"/>
    <w:rsid w:val="00D30C1B"/>
    <w:rsid w:val="00D3133C"/>
    <w:rsid w:val="00D31C24"/>
    <w:rsid w:val="00D31D46"/>
    <w:rsid w:val="00D320BB"/>
    <w:rsid w:val="00D328CB"/>
    <w:rsid w:val="00D342A8"/>
    <w:rsid w:val="00D34A25"/>
    <w:rsid w:val="00D351CD"/>
    <w:rsid w:val="00D368A6"/>
    <w:rsid w:val="00D3718B"/>
    <w:rsid w:val="00D378BD"/>
    <w:rsid w:val="00D37D22"/>
    <w:rsid w:val="00D40EA3"/>
    <w:rsid w:val="00D41DD7"/>
    <w:rsid w:val="00D41E11"/>
    <w:rsid w:val="00D43570"/>
    <w:rsid w:val="00D4494A"/>
    <w:rsid w:val="00D4496F"/>
    <w:rsid w:val="00D451B7"/>
    <w:rsid w:val="00D45651"/>
    <w:rsid w:val="00D46A4E"/>
    <w:rsid w:val="00D4751A"/>
    <w:rsid w:val="00D50003"/>
    <w:rsid w:val="00D503FF"/>
    <w:rsid w:val="00D50D39"/>
    <w:rsid w:val="00D513BA"/>
    <w:rsid w:val="00D515AE"/>
    <w:rsid w:val="00D51971"/>
    <w:rsid w:val="00D52457"/>
    <w:rsid w:val="00D53290"/>
    <w:rsid w:val="00D533E5"/>
    <w:rsid w:val="00D53BD7"/>
    <w:rsid w:val="00D544E0"/>
    <w:rsid w:val="00D545E1"/>
    <w:rsid w:val="00D546CF"/>
    <w:rsid w:val="00D548FA"/>
    <w:rsid w:val="00D54DC8"/>
    <w:rsid w:val="00D55737"/>
    <w:rsid w:val="00D55A3D"/>
    <w:rsid w:val="00D55B46"/>
    <w:rsid w:val="00D55C16"/>
    <w:rsid w:val="00D56307"/>
    <w:rsid w:val="00D568D4"/>
    <w:rsid w:val="00D57013"/>
    <w:rsid w:val="00D60369"/>
    <w:rsid w:val="00D60B70"/>
    <w:rsid w:val="00D60FE5"/>
    <w:rsid w:val="00D61161"/>
    <w:rsid w:val="00D61399"/>
    <w:rsid w:val="00D615B7"/>
    <w:rsid w:val="00D6185A"/>
    <w:rsid w:val="00D61978"/>
    <w:rsid w:val="00D61E69"/>
    <w:rsid w:val="00D627CB"/>
    <w:rsid w:val="00D62FD8"/>
    <w:rsid w:val="00D637B7"/>
    <w:rsid w:val="00D63896"/>
    <w:rsid w:val="00D642AF"/>
    <w:rsid w:val="00D6433B"/>
    <w:rsid w:val="00D64535"/>
    <w:rsid w:val="00D65089"/>
    <w:rsid w:val="00D67489"/>
    <w:rsid w:val="00D674A5"/>
    <w:rsid w:val="00D703A5"/>
    <w:rsid w:val="00D7078F"/>
    <w:rsid w:val="00D71123"/>
    <w:rsid w:val="00D713E2"/>
    <w:rsid w:val="00D728FD"/>
    <w:rsid w:val="00D73425"/>
    <w:rsid w:val="00D741D9"/>
    <w:rsid w:val="00D74D7F"/>
    <w:rsid w:val="00D7504F"/>
    <w:rsid w:val="00D7700C"/>
    <w:rsid w:val="00D77280"/>
    <w:rsid w:val="00D7772C"/>
    <w:rsid w:val="00D778D2"/>
    <w:rsid w:val="00D80AAA"/>
    <w:rsid w:val="00D81545"/>
    <w:rsid w:val="00D81717"/>
    <w:rsid w:val="00D82533"/>
    <w:rsid w:val="00D84682"/>
    <w:rsid w:val="00D90BDD"/>
    <w:rsid w:val="00D910FF"/>
    <w:rsid w:val="00D9244A"/>
    <w:rsid w:val="00D94180"/>
    <w:rsid w:val="00D94526"/>
    <w:rsid w:val="00D96051"/>
    <w:rsid w:val="00D96E79"/>
    <w:rsid w:val="00D974CD"/>
    <w:rsid w:val="00D9793D"/>
    <w:rsid w:val="00DA19C1"/>
    <w:rsid w:val="00DA1B6F"/>
    <w:rsid w:val="00DA2BD2"/>
    <w:rsid w:val="00DA376B"/>
    <w:rsid w:val="00DA38A1"/>
    <w:rsid w:val="00DA5925"/>
    <w:rsid w:val="00DA6D87"/>
    <w:rsid w:val="00DA6E91"/>
    <w:rsid w:val="00DA7567"/>
    <w:rsid w:val="00DB0237"/>
    <w:rsid w:val="00DB0C61"/>
    <w:rsid w:val="00DB1E1B"/>
    <w:rsid w:val="00DB3AB4"/>
    <w:rsid w:val="00DB3F2D"/>
    <w:rsid w:val="00DB515D"/>
    <w:rsid w:val="00DB527A"/>
    <w:rsid w:val="00DB66F5"/>
    <w:rsid w:val="00DB66F7"/>
    <w:rsid w:val="00DB7A9F"/>
    <w:rsid w:val="00DC02A8"/>
    <w:rsid w:val="00DC070B"/>
    <w:rsid w:val="00DC113D"/>
    <w:rsid w:val="00DC13F5"/>
    <w:rsid w:val="00DC200B"/>
    <w:rsid w:val="00DC2350"/>
    <w:rsid w:val="00DC2612"/>
    <w:rsid w:val="00DC2F31"/>
    <w:rsid w:val="00DC343F"/>
    <w:rsid w:val="00DC44D7"/>
    <w:rsid w:val="00DC4705"/>
    <w:rsid w:val="00DC49C4"/>
    <w:rsid w:val="00DC4D19"/>
    <w:rsid w:val="00DC74A1"/>
    <w:rsid w:val="00DC778A"/>
    <w:rsid w:val="00DD0653"/>
    <w:rsid w:val="00DD121A"/>
    <w:rsid w:val="00DD1DE1"/>
    <w:rsid w:val="00DD23C9"/>
    <w:rsid w:val="00DD3F5E"/>
    <w:rsid w:val="00DD4A43"/>
    <w:rsid w:val="00DD4BC9"/>
    <w:rsid w:val="00DD57E3"/>
    <w:rsid w:val="00DD5D77"/>
    <w:rsid w:val="00DD5EF9"/>
    <w:rsid w:val="00DD74C7"/>
    <w:rsid w:val="00DD7AF5"/>
    <w:rsid w:val="00DE10B1"/>
    <w:rsid w:val="00DE16CB"/>
    <w:rsid w:val="00DE20F7"/>
    <w:rsid w:val="00DE318D"/>
    <w:rsid w:val="00DE3D43"/>
    <w:rsid w:val="00DE3F13"/>
    <w:rsid w:val="00DE454E"/>
    <w:rsid w:val="00DE4ADE"/>
    <w:rsid w:val="00DE5B3A"/>
    <w:rsid w:val="00DE5D9B"/>
    <w:rsid w:val="00DE61B2"/>
    <w:rsid w:val="00DE74ED"/>
    <w:rsid w:val="00DF144D"/>
    <w:rsid w:val="00DF1E50"/>
    <w:rsid w:val="00DF2734"/>
    <w:rsid w:val="00DF335B"/>
    <w:rsid w:val="00DF356E"/>
    <w:rsid w:val="00DF3F68"/>
    <w:rsid w:val="00DF5F2F"/>
    <w:rsid w:val="00DF71B0"/>
    <w:rsid w:val="00E01328"/>
    <w:rsid w:val="00E01A0A"/>
    <w:rsid w:val="00E03261"/>
    <w:rsid w:val="00E03AAE"/>
    <w:rsid w:val="00E03F94"/>
    <w:rsid w:val="00E04005"/>
    <w:rsid w:val="00E05D74"/>
    <w:rsid w:val="00E05F3E"/>
    <w:rsid w:val="00E0711A"/>
    <w:rsid w:val="00E07626"/>
    <w:rsid w:val="00E10C54"/>
    <w:rsid w:val="00E11069"/>
    <w:rsid w:val="00E11194"/>
    <w:rsid w:val="00E11612"/>
    <w:rsid w:val="00E13142"/>
    <w:rsid w:val="00E134D8"/>
    <w:rsid w:val="00E13E5C"/>
    <w:rsid w:val="00E14273"/>
    <w:rsid w:val="00E146D1"/>
    <w:rsid w:val="00E148C8"/>
    <w:rsid w:val="00E14D09"/>
    <w:rsid w:val="00E15A29"/>
    <w:rsid w:val="00E16D7B"/>
    <w:rsid w:val="00E17EA4"/>
    <w:rsid w:val="00E224E4"/>
    <w:rsid w:val="00E2281C"/>
    <w:rsid w:val="00E235D5"/>
    <w:rsid w:val="00E2464B"/>
    <w:rsid w:val="00E25BB4"/>
    <w:rsid w:val="00E26B1A"/>
    <w:rsid w:val="00E26E36"/>
    <w:rsid w:val="00E271EF"/>
    <w:rsid w:val="00E27CE7"/>
    <w:rsid w:val="00E27F62"/>
    <w:rsid w:val="00E30C3D"/>
    <w:rsid w:val="00E3194A"/>
    <w:rsid w:val="00E32F50"/>
    <w:rsid w:val="00E343E3"/>
    <w:rsid w:val="00E34566"/>
    <w:rsid w:val="00E34FF9"/>
    <w:rsid w:val="00E36971"/>
    <w:rsid w:val="00E36DC8"/>
    <w:rsid w:val="00E3766A"/>
    <w:rsid w:val="00E37A18"/>
    <w:rsid w:val="00E37EBD"/>
    <w:rsid w:val="00E40A9D"/>
    <w:rsid w:val="00E42545"/>
    <w:rsid w:val="00E42CC0"/>
    <w:rsid w:val="00E43575"/>
    <w:rsid w:val="00E44487"/>
    <w:rsid w:val="00E44B25"/>
    <w:rsid w:val="00E46132"/>
    <w:rsid w:val="00E46388"/>
    <w:rsid w:val="00E46A82"/>
    <w:rsid w:val="00E47786"/>
    <w:rsid w:val="00E47BD0"/>
    <w:rsid w:val="00E5062B"/>
    <w:rsid w:val="00E507BA"/>
    <w:rsid w:val="00E50A85"/>
    <w:rsid w:val="00E51426"/>
    <w:rsid w:val="00E51F9A"/>
    <w:rsid w:val="00E527F1"/>
    <w:rsid w:val="00E5336D"/>
    <w:rsid w:val="00E54A6D"/>
    <w:rsid w:val="00E550BF"/>
    <w:rsid w:val="00E558EA"/>
    <w:rsid w:val="00E55AD6"/>
    <w:rsid w:val="00E56156"/>
    <w:rsid w:val="00E56F2E"/>
    <w:rsid w:val="00E57538"/>
    <w:rsid w:val="00E5793F"/>
    <w:rsid w:val="00E6036C"/>
    <w:rsid w:val="00E606C2"/>
    <w:rsid w:val="00E61D9A"/>
    <w:rsid w:val="00E6310A"/>
    <w:rsid w:val="00E632DB"/>
    <w:rsid w:val="00E63E5C"/>
    <w:rsid w:val="00E6523D"/>
    <w:rsid w:val="00E65DA1"/>
    <w:rsid w:val="00E6673F"/>
    <w:rsid w:val="00E67436"/>
    <w:rsid w:val="00E7080E"/>
    <w:rsid w:val="00E70CA0"/>
    <w:rsid w:val="00E71D9F"/>
    <w:rsid w:val="00E733A7"/>
    <w:rsid w:val="00E73AD0"/>
    <w:rsid w:val="00E73CE0"/>
    <w:rsid w:val="00E744B7"/>
    <w:rsid w:val="00E7536C"/>
    <w:rsid w:val="00E75446"/>
    <w:rsid w:val="00E75CA4"/>
    <w:rsid w:val="00E76010"/>
    <w:rsid w:val="00E76021"/>
    <w:rsid w:val="00E762F6"/>
    <w:rsid w:val="00E7765A"/>
    <w:rsid w:val="00E80B07"/>
    <w:rsid w:val="00E8113B"/>
    <w:rsid w:val="00E8173F"/>
    <w:rsid w:val="00E81E1C"/>
    <w:rsid w:val="00E8261C"/>
    <w:rsid w:val="00E82CC7"/>
    <w:rsid w:val="00E83355"/>
    <w:rsid w:val="00E83678"/>
    <w:rsid w:val="00E84D7A"/>
    <w:rsid w:val="00E852D7"/>
    <w:rsid w:val="00E85B79"/>
    <w:rsid w:val="00E866C4"/>
    <w:rsid w:val="00E8741E"/>
    <w:rsid w:val="00E903B7"/>
    <w:rsid w:val="00E90775"/>
    <w:rsid w:val="00E90EFB"/>
    <w:rsid w:val="00E91B46"/>
    <w:rsid w:val="00E91DD7"/>
    <w:rsid w:val="00E9237C"/>
    <w:rsid w:val="00E92949"/>
    <w:rsid w:val="00E92D16"/>
    <w:rsid w:val="00E92E12"/>
    <w:rsid w:val="00E93823"/>
    <w:rsid w:val="00E939F6"/>
    <w:rsid w:val="00E93AB4"/>
    <w:rsid w:val="00E94014"/>
    <w:rsid w:val="00E94B86"/>
    <w:rsid w:val="00E953E2"/>
    <w:rsid w:val="00E958B0"/>
    <w:rsid w:val="00E96030"/>
    <w:rsid w:val="00E97EF8"/>
    <w:rsid w:val="00EA0747"/>
    <w:rsid w:val="00EA0879"/>
    <w:rsid w:val="00EA1792"/>
    <w:rsid w:val="00EA17A4"/>
    <w:rsid w:val="00EA235F"/>
    <w:rsid w:val="00EA2A0B"/>
    <w:rsid w:val="00EA3533"/>
    <w:rsid w:val="00EA370A"/>
    <w:rsid w:val="00EA3A70"/>
    <w:rsid w:val="00EA4AC7"/>
    <w:rsid w:val="00EA5FAC"/>
    <w:rsid w:val="00EA6764"/>
    <w:rsid w:val="00EA7855"/>
    <w:rsid w:val="00EA7D77"/>
    <w:rsid w:val="00EB0024"/>
    <w:rsid w:val="00EB07E5"/>
    <w:rsid w:val="00EB0960"/>
    <w:rsid w:val="00EB4467"/>
    <w:rsid w:val="00EB463C"/>
    <w:rsid w:val="00EB46AD"/>
    <w:rsid w:val="00EB4731"/>
    <w:rsid w:val="00EB47C3"/>
    <w:rsid w:val="00EB4B32"/>
    <w:rsid w:val="00EB5876"/>
    <w:rsid w:val="00EB5A3E"/>
    <w:rsid w:val="00EB6006"/>
    <w:rsid w:val="00EB6C07"/>
    <w:rsid w:val="00EB6E18"/>
    <w:rsid w:val="00EC0009"/>
    <w:rsid w:val="00EC10B7"/>
    <w:rsid w:val="00EC136E"/>
    <w:rsid w:val="00EC1BF7"/>
    <w:rsid w:val="00EC36C2"/>
    <w:rsid w:val="00EC3A79"/>
    <w:rsid w:val="00EC3EDF"/>
    <w:rsid w:val="00EC4A81"/>
    <w:rsid w:val="00EC569B"/>
    <w:rsid w:val="00EC5DFE"/>
    <w:rsid w:val="00EC70BA"/>
    <w:rsid w:val="00EC7A90"/>
    <w:rsid w:val="00ED0144"/>
    <w:rsid w:val="00ED03DF"/>
    <w:rsid w:val="00ED17B8"/>
    <w:rsid w:val="00ED17C9"/>
    <w:rsid w:val="00ED19C0"/>
    <w:rsid w:val="00ED22CC"/>
    <w:rsid w:val="00ED2C42"/>
    <w:rsid w:val="00ED4535"/>
    <w:rsid w:val="00ED4BF8"/>
    <w:rsid w:val="00ED4DD6"/>
    <w:rsid w:val="00ED5DB6"/>
    <w:rsid w:val="00ED7251"/>
    <w:rsid w:val="00EE24D1"/>
    <w:rsid w:val="00EE28C9"/>
    <w:rsid w:val="00EE2FE2"/>
    <w:rsid w:val="00EE36E7"/>
    <w:rsid w:val="00EE4D41"/>
    <w:rsid w:val="00EE56FA"/>
    <w:rsid w:val="00EE575F"/>
    <w:rsid w:val="00EE75A5"/>
    <w:rsid w:val="00EE7D79"/>
    <w:rsid w:val="00EF0656"/>
    <w:rsid w:val="00EF0F3A"/>
    <w:rsid w:val="00EF129E"/>
    <w:rsid w:val="00EF1A7B"/>
    <w:rsid w:val="00EF1BBA"/>
    <w:rsid w:val="00EF2540"/>
    <w:rsid w:val="00EF4B8E"/>
    <w:rsid w:val="00EF5014"/>
    <w:rsid w:val="00EF63E9"/>
    <w:rsid w:val="00F00382"/>
    <w:rsid w:val="00F00500"/>
    <w:rsid w:val="00F013AC"/>
    <w:rsid w:val="00F016B1"/>
    <w:rsid w:val="00F01C10"/>
    <w:rsid w:val="00F04190"/>
    <w:rsid w:val="00F0629E"/>
    <w:rsid w:val="00F06DED"/>
    <w:rsid w:val="00F07268"/>
    <w:rsid w:val="00F1018D"/>
    <w:rsid w:val="00F102F8"/>
    <w:rsid w:val="00F110D3"/>
    <w:rsid w:val="00F112F2"/>
    <w:rsid w:val="00F113A5"/>
    <w:rsid w:val="00F11467"/>
    <w:rsid w:val="00F117D9"/>
    <w:rsid w:val="00F12494"/>
    <w:rsid w:val="00F124D0"/>
    <w:rsid w:val="00F12B9D"/>
    <w:rsid w:val="00F13C53"/>
    <w:rsid w:val="00F14A87"/>
    <w:rsid w:val="00F14DB1"/>
    <w:rsid w:val="00F14EAF"/>
    <w:rsid w:val="00F14EEA"/>
    <w:rsid w:val="00F17099"/>
    <w:rsid w:val="00F17447"/>
    <w:rsid w:val="00F201C1"/>
    <w:rsid w:val="00F24B2B"/>
    <w:rsid w:val="00F24B49"/>
    <w:rsid w:val="00F2660F"/>
    <w:rsid w:val="00F26E96"/>
    <w:rsid w:val="00F272A5"/>
    <w:rsid w:val="00F27376"/>
    <w:rsid w:val="00F27C7A"/>
    <w:rsid w:val="00F27D9F"/>
    <w:rsid w:val="00F31447"/>
    <w:rsid w:val="00F31A03"/>
    <w:rsid w:val="00F323C2"/>
    <w:rsid w:val="00F33249"/>
    <w:rsid w:val="00F33885"/>
    <w:rsid w:val="00F34772"/>
    <w:rsid w:val="00F34C7D"/>
    <w:rsid w:val="00F35083"/>
    <w:rsid w:val="00F35D24"/>
    <w:rsid w:val="00F35F23"/>
    <w:rsid w:val="00F3641A"/>
    <w:rsid w:val="00F36A63"/>
    <w:rsid w:val="00F37007"/>
    <w:rsid w:val="00F409A0"/>
    <w:rsid w:val="00F41498"/>
    <w:rsid w:val="00F41A07"/>
    <w:rsid w:val="00F431B6"/>
    <w:rsid w:val="00F4334C"/>
    <w:rsid w:val="00F43753"/>
    <w:rsid w:val="00F4382E"/>
    <w:rsid w:val="00F441B8"/>
    <w:rsid w:val="00F456CC"/>
    <w:rsid w:val="00F45CC1"/>
    <w:rsid w:val="00F4602F"/>
    <w:rsid w:val="00F46836"/>
    <w:rsid w:val="00F46E5D"/>
    <w:rsid w:val="00F5041B"/>
    <w:rsid w:val="00F51504"/>
    <w:rsid w:val="00F51544"/>
    <w:rsid w:val="00F517E7"/>
    <w:rsid w:val="00F5252E"/>
    <w:rsid w:val="00F5299B"/>
    <w:rsid w:val="00F53362"/>
    <w:rsid w:val="00F5381A"/>
    <w:rsid w:val="00F54707"/>
    <w:rsid w:val="00F5496B"/>
    <w:rsid w:val="00F5554A"/>
    <w:rsid w:val="00F55DDF"/>
    <w:rsid w:val="00F5607E"/>
    <w:rsid w:val="00F560E0"/>
    <w:rsid w:val="00F60746"/>
    <w:rsid w:val="00F615A4"/>
    <w:rsid w:val="00F61718"/>
    <w:rsid w:val="00F625A3"/>
    <w:rsid w:val="00F625D6"/>
    <w:rsid w:val="00F62C18"/>
    <w:rsid w:val="00F63CB1"/>
    <w:rsid w:val="00F651EE"/>
    <w:rsid w:val="00F65919"/>
    <w:rsid w:val="00F66264"/>
    <w:rsid w:val="00F66A04"/>
    <w:rsid w:val="00F66EEB"/>
    <w:rsid w:val="00F677CA"/>
    <w:rsid w:val="00F732B2"/>
    <w:rsid w:val="00F732CD"/>
    <w:rsid w:val="00F740E9"/>
    <w:rsid w:val="00F74336"/>
    <w:rsid w:val="00F745AD"/>
    <w:rsid w:val="00F745F7"/>
    <w:rsid w:val="00F749F3"/>
    <w:rsid w:val="00F776BD"/>
    <w:rsid w:val="00F80FDE"/>
    <w:rsid w:val="00F810AB"/>
    <w:rsid w:val="00F812CF"/>
    <w:rsid w:val="00F8178A"/>
    <w:rsid w:val="00F823CC"/>
    <w:rsid w:val="00F833E6"/>
    <w:rsid w:val="00F8355B"/>
    <w:rsid w:val="00F84819"/>
    <w:rsid w:val="00F84CA3"/>
    <w:rsid w:val="00F85239"/>
    <w:rsid w:val="00F85337"/>
    <w:rsid w:val="00F85B3C"/>
    <w:rsid w:val="00F86CBE"/>
    <w:rsid w:val="00F90261"/>
    <w:rsid w:val="00F91A7B"/>
    <w:rsid w:val="00F93543"/>
    <w:rsid w:val="00F94314"/>
    <w:rsid w:val="00F946A3"/>
    <w:rsid w:val="00F946E9"/>
    <w:rsid w:val="00F948A7"/>
    <w:rsid w:val="00F95740"/>
    <w:rsid w:val="00F9633E"/>
    <w:rsid w:val="00F96768"/>
    <w:rsid w:val="00F96A0A"/>
    <w:rsid w:val="00F97094"/>
    <w:rsid w:val="00FA1016"/>
    <w:rsid w:val="00FA27D7"/>
    <w:rsid w:val="00FA453A"/>
    <w:rsid w:val="00FA6D7C"/>
    <w:rsid w:val="00FA796E"/>
    <w:rsid w:val="00FB01EE"/>
    <w:rsid w:val="00FB0226"/>
    <w:rsid w:val="00FB0FCE"/>
    <w:rsid w:val="00FB1314"/>
    <w:rsid w:val="00FB13A5"/>
    <w:rsid w:val="00FB1646"/>
    <w:rsid w:val="00FB1AAA"/>
    <w:rsid w:val="00FB1D23"/>
    <w:rsid w:val="00FB413F"/>
    <w:rsid w:val="00FB44FF"/>
    <w:rsid w:val="00FB49F5"/>
    <w:rsid w:val="00FB4D05"/>
    <w:rsid w:val="00FB6172"/>
    <w:rsid w:val="00FB6D81"/>
    <w:rsid w:val="00FB7384"/>
    <w:rsid w:val="00FB7D1A"/>
    <w:rsid w:val="00FC133E"/>
    <w:rsid w:val="00FC16FE"/>
    <w:rsid w:val="00FC1963"/>
    <w:rsid w:val="00FC1C71"/>
    <w:rsid w:val="00FC336A"/>
    <w:rsid w:val="00FC37A9"/>
    <w:rsid w:val="00FC4660"/>
    <w:rsid w:val="00FC49B9"/>
    <w:rsid w:val="00FC4C62"/>
    <w:rsid w:val="00FC4E95"/>
    <w:rsid w:val="00FC582E"/>
    <w:rsid w:val="00FC5F7C"/>
    <w:rsid w:val="00FC6506"/>
    <w:rsid w:val="00FC6DDB"/>
    <w:rsid w:val="00FC7360"/>
    <w:rsid w:val="00FC7DEA"/>
    <w:rsid w:val="00FD0018"/>
    <w:rsid w:val="00FD0575"/>
    <w:rsid w:val="00FD068B"/>
    <w:rsid w:val="00FD07A6"/>
    <w:rsid w:val="00FD2218"/>
    <w:rsid w:val="00FD24D0"/>
    <w:rsid w:val="00FD2551"/>
    <w:rsid w:val="00FD2C2D"/>
    <w:rsid w:val="00FD2F9A"/>
    <w:rsid w:val="00FD47B9"/>
    <w:rsid w:val="00FD5590"/>
    <w:rsid w:val="00FD5F54"/>
    <w:rsid w:val="00FD6268"/>
    <w:rsid w:val="00FD6B86"/>
    <w:rsid w:val="00FD6C53"/>
    <w:rsid w:val="00FD6E32"/>
    <w:rsid w:val="00FD7261"/>
    <w:rsid w:val="00FD7532"/>
    <w:rsid w:val="00FE0DFA"/>
    <w:rsid w:val="00FE10B9"/>
    <w:rsid w:val="00FE1552"/>
    <w:rsid w:val="00FE1A3A"/>
    <w:rsid w:val="00FE1BC8"/>
    <w:rsid w:val="00FE1C76"/>
    <w:rsid w:val="00FE2473"/>
    <w:rsid w:val="00FE26D2"/>
    <w:rsid w:val="00FE29EF"/>
    <w:rsid w:val="00FE2B23"/>
    <w:rsid w:val="00FE2BDA"/>
    <w:rsid w:val="00FE3C7C"/>
    <w:rsid w:val="00FE5DFE"/>
    <w:rsid w:val="00FE66B8"/>
    <w:rsid w:val="00FE6ABB"/>
    <w:rsid w:val="00FE76C7"/>
    <w:rsid w:val="00FE7E7F"/>
    <w:rsid w:val="00FF19DA"/>
    <w:rsid w:val="00FF442C"/>
    <w:rsid w:val="00FF4644"/>
    <w:rsid w:val="00FF598D"/>
    <w:rsid w:val="00FF5F06"/>
    <w:rsid w:val="00FF6844"/>
    <w:rsid w:val="00FF68C2"/>
    <w:rsid w:val="00FF6F55"/>
    <w:rsid w:val="00FF734F"/>
    <w:rsid w:val="00FF76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5B5E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GB"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nhideWhenUsed="0"/>
    <w:lsdException w:name="heading 4" w:semiHidden="0" w:uiPriority="9" w:unhideWhenUsed="0" w:qFormat="1"/>
    <w:lsdException w:name="heading 5" w:semiHidden="0" w:uiPriority="0"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locked="0" w:uiPriority="35" w:unhideWhenUsed="0" w:qFormat="1"/>
    <w:lsdException w:name="table of figures" w:qFormat="1"/>
    <w:lsdException w:name="footnote reference" w:qFormat="1"/>
    <w:lsdException w:name="List" w:qFormat="1"/>
    <w:lsdException w:name="List Bullet" w:uiPriority="0" w:qFormat="1"/>
    <w:lsdException w:name="Title" w:semiHidden="0" w:uiPriority="0" w:unhideWhenUsed="0" w:qFormat="1"/>
    <w:lsdException w:name="Default Paragraph Font" w:uiPriority="1"/>
    <w:lsdException w:name="Subtitle" w:semiHidden="0" w:uiPriority="11" w:unhideWhenUsed="0" w:qFormat="1"/>
    <w:lsdException w:name="Strong" w:locked="0" w:semiHidden="0" w:uiPriority="22" w:unhideWhenUsed="0" w:qFormat="1"/>
    <w:lsdException w:name="Emphasis" w:locked="0" w:semiHidden="0" w:uiPriority="20" w:unhideWhenUsed="0" w:qFormat="1"/>
    <w:lsdException w:name="Table Grid" w:semiHidden="0" w:uiPriority="39" w:unhideWhenUsed="0"/>
    <w:lsdException w:name="Placeholder Text" w:locked="0" w:unhideWhenUsed="0"/>
    <w:lsdException w:name="No Spacing" w:locked="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unhideWhenUsed="0" w:qFormat="1"/>
  </w:latentStyles>
  <w:style w:type="paragraph" w:default="1" w:styleId="Normal">
    <w:name w:val="Normal"/>
    <w:qFormat/>
    <w:rsid w:val="00AD231B"/>
    <w:rPr>
      <w:sz w:val="22"/>
    </w:rPr>
  </w:style>
  <w:style w:type="paragraph" w:styleId="Heading1">
    <w:name w:val="heading 1"/>
    <w:aliases w:val="Cover title white"/>
    <w:next w:val="Normal"/>
    <w:link w:val="Heading1Char"/>
    <w:qFormat/>
    <w:rsid w:val="00D515AE"/>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qFormat/>
    <w:rsid w:val="00237B31"/>
    <w:pPr>
      <w:keepNext/>
      <w:numPr>
        <w:numId w:val="0"/>
      </w:numPr>
      <w:outlineLvl w:val="1"/>
    </w:pPr>
  </w:style>
  <w:style w:type="paragraph" w:styleId="Heading3">
    <w:name w:val="heading 3"/>
    <w:basedOn w:val="Normal"/>
    <w:next w:val="Normal"/>
    <w:link w:val="Heading3Char"/>
    <w:uiPriority w:val="99"/>
    <w:rsid w:val="005909B9"/>
    <w:pPr>
      <w:spacing w:before="200" w:after="120" w:line="271" w:lineRule="auto"/>
      <w:outlineLvl w:val="2"/>
    </w:pPr>
    <w:rPr>
      <w:rFonts w:ascii="Cambria" w:hAnsi="Cambria" w:cs="Cambria"/>
      <w:b/>
      <w:bCs/>
    </w:rPr>
  </w:style>
  <w:style w:type="paragraph" w:styleId="Heading4">
    <w:name w:val="heading 4"/>
    <w:basedOn w:val="Normal"/>
    <w:next w:val="Normal"/>
    <w:link w:val="Heading4Char"/>
    <w:uiPriority w:val="9"/>
    <w:qFormat/>
    <w:rsid w:val="00D515AE"/>
    <w:pPr>
      <w:keepNext/>
      <w:keepLines/>
      <w:numPr>
        <w:ilvl w:val="3"/>
        <w:numId w:val="11"/>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qFormat/>
    <w:locked/>
    <w:rsid w:val="00D515AE"/>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qFormat/>
    <w:locked/>
    <w:rsid w:val="00D515AE"/>
    <w:pPr>
      <w:keepNext/>
      <w:keepLines/>
      <w:numPr>
        <w:ilvl w:val="5"/>
        <w:numId w:val="11"/>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qFormat/>
    <w:locked/>
    <w:rsid w:val="00D515AE"/>
    <w:pPr>
      <w:keepNext/>
      <w:keepLines/>
      <w:numPr>
        <w:ilvl w:val="6"/>
        <w:numId w:val="1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qFormat/>
    <w:locked/>
    <w:rsid w:val="00D515AE"/>
    <w:pPr>
      <w:keepNext/>
      <w:keepLines/>
      <w:numPr>
        <w:ilvl w:val="7"/>
        <w:numId w:val="1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qFormat/>
    <w:locked/>
    <w:rsid w:val="00D515AE"/>
    <w:pPr>
      <w:keepNext/>
      <w:keepLines/>
      <w:numPr>
        <w:ilvl w:val="8"/>
        <w:numId w:val="3"/>
      </w:numPr>
      <w:spacing w:before="200"/>
      <w:ind w:left="1584" w:hanging="144"/>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locked/>
    <w:rsid w:val="00D515AE"/>
    <w:rPr>
      <w:rFonts w:asciiTheme="majorHAnsi" w:eastAsiaTheme="majorEastAsia" w:hAnsiTheme="majorHAnsi" w:cstheme="majorBidi"/>
      <w:b/>
      <w:bCs/>
      <w:caps/>
      <w:color w:val="FFFFFF" w:themeColor="background1"/>
      <w:sz w:val="40"/>
      <w:szCs w:val="40"/>
    </w:rPr>
  </w:style>
  <w:style w:type="character" w:customStyle="1" w:styleId="Heading2Char">
    <w:name w:val="Heading 2 Char"/>
    <w:basedOn w:val="DefaultParagraphFont"/>
    <w:link w:val="Heading2"/>
    <w:uiPriority w:val="9"/>
    <w:locked/>
    <w:rsid w:val="00237B31"/>
    <w:rPr>
      <w:rFonts w:asciiTheme="majorHAnsi" w:eastAsiaTheme="majorEastAsia" w:hAnsiTheme="majorHAnsi" w:cstheme="majorBidi"/>
      <w:color w:val="2F5773" w:themeColor="text2"/>
      <w:spacing w:val="5"/>
      <w:kern w:val="28"/>
      <w:sz w:val="52"/>
      <w:szCs w:val="52"/>
    </w:rPr>
  </w:style>
  <w:style w:type="character" w:customStyle="1" w:styleId="Heading3Char">
    <w:name w:val="Heading 3 Char"/>
    <w:basedOn w:val="DefaultParagraphFont"/>
    <w:link w:val="Heading3"/>
    <w:uiPriority w:val="99"/>
    <w:locked/>
    <w:rsid w:val="005909B9"/>
    <w:rPr>
      <w:rFonts w:ascii="Cambria" w:hAnsi="Cambria" w:cs="Cambria"/>
      <w:b/>
      <w:bCs/>
      <w:sz w:val="22"/>
      <w:szCs w:val="22"/>
      <w:lang w:eastAsia="en-US"/>
    </w:rPr>
  </w:style>
  <w:style w:type="character" w:customStyle="1" w:styleId="Heading4Char">
    <w:name w:val="Heading 4 Char"/>
    <w:basedOn w:val="DefaultParagraphFont"/>
    <w:link w:val="Heading4"/>
    <w:uiPriority w:val="9"/>
    <w:locked/>
    <w:rsid w:val="00D515AE"/>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locked/>
    <w:rsid w:val="00D515AE"/>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locked/>
    <w:rsid w:val="00D515AE"/>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locked/>
    <w:rsid w:val="00D515AE"/>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locked/>
    <w:rsid w:val="00D515AE"/>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locked/>
    <w:rsid w:val="00D515AE"/>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1D739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64CBE"/>
    <w:rPr>
      <w:sz w:val="2"/>
      <w:szCs w:val="2"/>
    </w:rPr>
  </w:style>
  <w:style w:type="paragraph" w:styleId="Header">
    <w:name w:val="header"/>
    <w:basedOn w:val="Normal"/>
    <w:link w:val="HeaderChar"/>
    <w:uiPriority w:val="99"/>
    <w:rsid w:val="007273C7"/>
    <w:pPr>
      <w:tabs>
        <w:tab w:val="center" w:pos="4153"/>
        <w:tab w:val="right" w:pos="8306"/>
      </w:tabs>
    </w:pPr>
  </w:style>
  <w:style w:type="character" w:customStyle="1" w:styleId="HeaderChar">
    <w:name w:val="Header Char"/>
    <w:basedOn w:val="DefaultParagraphFont"/>
    <w:link w:val="Header"/>
    <w:uiPriority w:val="99"/>
    <w:semiHidden/>
    <w:locked/>
    <w:rsid w:val="00264CBE"/>
    <w:rPr>
      <w:rFonts w:ascii="Arial" w:hAnsi="Arial" w:cs="Arial"/>
    </w:rPr>
  </w:style>
  <w:style w:type="paragraph" w:styleId="Footer">
    <w:name w:val="footer"/>
    <w:basedOn w:val="Normal"/>
    <w:link w:val="FooterChar"/>
    <w:uiPriority w:val="99"/>
    <w:rsid w:val="007273C7"/>
    <w:pPr>
      <w:tabs>
        <w:tab w:val="center" w:pos="4153"/>
        <w:tab w:val="right" w:pos="8306"/>
      </w:tabs>
    </w:pPr>
  </w:style>
  <w:style w:type="character" w:customStyle="1" w:styleId="FooterChar">
    <w:name w:val="Footer Char"/>
    <w:basedOn w:val="DefaultParagraphFont"/>
    <w:link w:val="Footer"/>
    <w:uiPriority w:val="99"/>
    <w:locked/>
    <w:rsid w:val="00AA5E7A"/>
    <w:rPr>
      <w:rFonts w:ascii="Arial" w:hAnsi="Arial" w:cs="Arial"/>
      <w:sz w:val="22"/>
      <w:szCs w:val="22"/>
      <w:lang w:val="en-GB" w:eastAsia="en-GB"/>
    </w:rPr>
  </w:style>
  <w:style w:type="table" w:styleId="TableGrid">
    <w:name w:val="Table Grid"/>
    <w:basedOn w:val="TableNormal"/>
    <w:uiPriority w:val="39"/>
    <w:rsid w:val="007273C7"/>
    <w:pPr>
      <w:spacing w:after="240"/>
    </w:pPr>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body"/>
    <w:link w:val="FootnoteTextChar"/>
    <w:autoRedefine/>
    <w:uiPriority w:val="99"/>
    <w:qFormat/>
    <w:rsid w:val="00D515AE"/>
    <w:pPr>
      <w:spacing w:before="80" w:after="0" w:line="200" w:lineRule="exact"/>
    </w:pPr>
    <w:rPr>
      <w:sz w:val="18"/>
      <w:szCs w:val="18"/>
    </w:rPr>
  </w:style>
  <w:style w:type="character" w:customStyle="1" w:styleId="FootnoteTextChar">
    <w:name w:val="Footnote Text Char"/>
    <w:basedOn w:val="DefaultParagraphFont"/>
    <w:link w:val="FootnoteText"/>
    <w:uiPriority w:val="99"/>
    <w:locked/>
    <w:rsid w:val="00D515AE"/>
    <w:rPr>
      <w:sz w:val="18"/>
      <w:szCs w:val="18"/>
    </w:rPr>
  </w:style>
  <w:style w:type="character" w:styleId="FootnoteReference">
    <w:name w:val="footnote reference"/>
    <w:basedOn w:val="DefaultParagraphFont"/>
    <w:uiPriority w:val="99"/>
    <w:qFormat/>
    <w:rsid w:val="00D515AE"/>
    <w:rPr>
      <w:rFonts w:asciiTheme="minorHAnsi" w:hAnsiTheme="minorHAnsi"/>
      <w:sz w:val="22"/>
      <w:szCs w:val="18"/>
      <w:vertAlign w:val="superscript"/>
    </w:rPr>
  </w:style>
  <w:style w:type="paragraph" w:styleId="TOC1">
    <w:name w:val="toc 1"/>
    <w:autoRedefine/>
    <w:uiPriority w:val="39"/>
    <w:qFormat/>
    <w:rsid w:val="00D515AE"/>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D515AE"/>
    <w:pPr>
      <w:tabs>
        <w:tab w:val="left" w:pos="529"/>
        <w:tab w:val="right" w:pos="8771"/>
      </w:tabs>
      <w:spacing w:before="80" w:after="80"/>
    </w:pPr>
    <w:rPr>
      <w:noProof/>
      <w:sz w:val="22"/>
      <w:szCs w:val="22"/>
    </w:rPr>
  </w:style>
  <w:style w:type="character" w:styleId="Hyperlink">
    <w:name w:val="Hyperlink"/>
    <w:basedOn w:val="DefaultParagraphFont"/>
    <w:uiPriority w:val="99"/>
    <w:rsid w:val="007839F9"/>
    <w:rPr>
      <w:color w:val="0000FF"/>
      <w:u w:val="single"/>
    </w:rPr>
  </w:style>
  <w:style w:type="paragraph" w:styleId="CommentText">
    <w:name w:val="annotation text"/>
    <w:basedOn w:val="Normal"/>
    <w:link w:val="CommentTextChar2"/>
    <w:uiPriority w:val="99"/>
    <w:semiHidden/>
    <w:rsid w:val="003D16B4"/>
    <w:rPr>
      <w:sz w:val="20"/>
      <w:szCs w:val="20"/>
    </w:rPr>
  </w:style>
  <w:style w:type="character" w:customStyle="1" w:styleId="CommentTextChar">
    <w:name w:val="Comment Text Char"/>
    <w:basedOn w:val="DefaultParagraphFont"/>
    <w:uiPriority w:val="99"/>
    <w:semiHidden/>
    <w:locked/>
    <w:rsid w:val="00E90EFB"/>
    <w:rPr>
      <w:rFonts w:ascii="Arial" w:hAnsi="Arial" w:cs="Arial"/>
      <w:lang w:val="en-GB" w:eastAsia="en-GB"/>
    </w:rPr>
  </w:style>
  <w:style w:type="character" w:styleId="CommentReference">
    <w:name w:val="annotation reference"/>
    <w:basedOn w:val="DefaultParagraphFont"/>
    <w:uiPriority w:val="99"/>
    <w:semiHidden/>
    <w:rsid w:val="003D16B4"/>
    <w:rPr>
      <w:sz w:val="16"/>
      <w:szCs w:val="16"/>
    </w:rPr>
  </w:style>
  <w:style w:type="paragraph" w:customStyle="1" w:styleId="Default">
    <w:name w:val="Default"/>
    <w:rsid w:val="008D40CD"/>
    <w:pPr>
      <w:autoSpaceDE w:val="0"/>
      <w:autoSpaceDN w:val="0"/>
      <w:adjustRightInd w:val="0"/>
      <w:spacing w:after="200" w:line="276" w:lineRule="auto"/>
    </w:pPr>
    <w:rPr>
      <w:rFonts w:ascii="Verdana" w:hAnsi="Verdana" w:cs="Verdana"/>
      <w:color w:val="000000"/>
    </w:rPr>
  </w:style>
  <w:style w:type="paragraph" w:styleId="TOC3">
    <w:name w:val="toc 3"/>
    <w:basedOn w:val="Normal"/>
    <w:next w:val="Normal"/>
    <w:autoRedefine/>
    <w:uiPriority w:val="39"/>
    <w:qFormat/>
    <w:rsid w:val="00D515AE"/>
    <w:pPr>
      <w:tabs>
        <w:tab w:val="right" w:pos="8771"/>
      </w:tabs>
      <w:ind w:left="567"/>
    </w:pPr>
    <w:rPr>
      <w:szCs w:val="22"/>
    </w:rPr>
  </w:style>
  <w:style w:type="paragraph" w:styleId="TOC4">
    <w:name w:val="toc 4"/>
    <w:basedOn w:val="Normal"/>
    <w:next w:val="Normal"/>
    <w:autoRedefine/>
    <w:uiPriority w:val="39"/>
    <w:rsid w:val="00741643"/>
    <w:pPr>
      <w:ind w:left="660"/>
    </w:pPr>
    <w:rPr>
      <w:sz w:val="20"/>
      <w:szCs w:val="20"/>
    </w:rPr>
  </w:style>
  <w:style w:type="paragraph" w:styleId="TOC5">
    <w:name w:val="toc 5"/>
    <w:basedOn w:val="Normal"/>
    <w:next w:val="Normal"/>
    <w:autoRedefine/>
    <w:uiPriority w:val="99"/>
    <w:semiHidden/>
    <w:rsid w:val="00741643"/>
    <w:pPr>
      <w:ind w:left="880"/>
    </w:pPr>
    <w:rPr>
      <w:sz w:val="20"/>
      <w:szCs w:val="20"/>
    </w:rPr>
  </w:style>
  <w:style w:type="paragraph" w:styleId="TOC6">
    <w:name w:val="toc 6"/>
    <w:basedOn w:val="Normal"/>
    <w:next w:val="Normal"/>
    <w:autoRedefine/>
    <w:uiPriority w:val="99"/>
    <w:semiHidden/>
    <w:rsid w:val="00741643"/>
    <w:pPr>
      <w:ind w:left="1100"/>
    </w:pPr>
    <w:rPr>
      <w:sz w:val="20"/>
      <w:szCs w:val="20"/>
    </w:rPr>
  </w:style>
  <w:style w:type="paragraph" w:styleId="TOC7">
    <w:name w:val="toc 7"/>
    <w:basedOn w:val="Normal"/>
    <w:next w:val="Normal"/>
    <w:autoRedefine/>
    <w:uiPriority w:val="99"/>
    <w:semiHidden/>
    <w:rsid w:val="00741643"/>
    <w:pPr>
      <w:ind w:left="1320"/>
    </w:pPr>
    <w:rPr>
      <w:sz w:val="20"/>
      <w:szCs w:val="20"/>
    </w:rPr>
  </w:style>
  <w:style w:type="paragraph" w:styleId="TOC8">
    <w:name w:val="toc 8"/>
    <w:basedOn w:val="Normal"/>
    <w:next w:val="Normal"/>
    <w:autoRedefine/>
    <w:uiPriority w:val="99"/>
    <w:semiHidden/>
    <w:rsid w:val="00741643"/>
    <w:pPr>
      <w:ind w:left="1540"/>
    </w:pPr>
    <w:rPr>
      <w:sz w:val="20"/>
      <w:szCs w:val="20"/>
    </w:rPr>
  </w:style>
  <w:style w:type="paragraph" w:styleId="TOC9">
    <w:name w:val="toc 9"/>
    <w:basedOn w:val="Normal"/>
    <w:next w:val="Normal"/>
    <w:autoRedefine/>
    <w:uiPriority w:val="99"/>
    <w:semiHidden/>
    <w:rsid w:val="00741643"/>
    <w:pPr>
      <w:ind w:left="1760"/>
    </w:pPr>
    <w:rPr>
      <w:sz w:val="20"/>
      <w:szCs w:val="20"/>
    </w:rPr>
  </w:style>
  <w:style w:type="paragraph" w:styleId="CommentSubject">
    <w:name w:val="annotation subject"/>
    <w:basedOn w:val="CommentText"/>
    <w:next w:val="CommentText"/>
    <w:link w:val="CommentSubjectChar"/>
    <w:uiPriority w:val="99"/>
    <w:semiHidden/>
    <w:rsid w:val="00F04190"/>
    <w:rPr>
      <w:b/>
      <w:bCs/>
    </w:rPr>
  </w:style>
  <w:style w:type="character" w:customStyle="1" w:styleId="CommentSubjectChar">
    <w:name w:val="Comment Subject Char"/>
    <w:basedOn w:val="CommentTextChar"/>
    <w:link w:val="CommentSubject"/>
    <w:uiPriority w:val="99"/>
    <w:semiHidden/>
    <w:locked/>
    <w:rsid w:val="00264CBE"/>
    <w:rPr>
      <w:rFonts w:ascii="Arial" w:hAnsi="Arial" w:cs="Arial"/>
      <w:b/>
      <w:bCs/>
      <w:sz w:val="20"/>
      <w:szCs w:val="20"/>
      <w:lang w:val="en-GB" w:eastAsia="en-GB"/>
    </w:rPr>
  </w:style>
  <w:style w:type="character" w:customStyle="1" w:styleId="CommentTextChar2">
    <w:name w:val="Comment Text Char2"/>
    <w:basedOn w:val="DefaultParagraphFont"/>
    <w:link w:val="CommentText"/>
    <w:uiPriority w:val="99"/>
    <w:semiHidden/>
    <w:locked/>
    <w:rsid w:val="005000F6"/>
    <w:rPr>
      <w:rFonts w:ascii="Arial" w:hAnsi="Arial" w:cs="Arial"/>
      <w:lang w:val="en-GB" w:eastAsia="en-GB"/>
    </w:rPr>
  </w:style>
  <w:style w:type="paragraph" w:customStyle="1" w:styleId="Paragraphedeliste1">
    <w:name w:val="Paragraphe de liste1"/>
    <w:basedOn w:val="Normal"/>
    <w:uiPriority w:val="99"/>
    <w:rsid w:val="003F1AE6"/>
    <w:pPr>
      <w:ind w:left="720"/>
    </w:pPr>
    <w:rPr>
      <w:lang w:val="nl-BE"/>
    </w:rPr>
  </w:style>
  <w:style w:type="character" w:customStyle="1" w:styleId="CharChar1">
    <w:name w:val="Char Char1"/>
    <w:basedOn w:val="DefaultParagraphFont"/>
    <w:uiPriority w:val="99"/>
    <w:semiHidden/>
    <w:locked/>
    <w:rsid w:val="003F1AE6"/>
    <w:rPr>
      <w:rFonts w:ascii="Arial" w:hAnsi="Arial" w:cs="Arial"/>
      <w:sz w:val="24"/>
      <w:szCs w:val="24"/>
      <w:lang w:val="en-GB" w:eastAsia="en-GB"/>
    </w:rPr>
  </w:style>
  <w:style w:type="paragraph" w:customStyle="1" w:styleId="ListParagraph1">
    <w:name w:val="List Paragraph1"/>
    <w:basedOn w:val="Normal"/>
    <w:uiPriority w:val="99"/>
    <w:rsid w:val="003F1AE6"/>
    <w:pPr>
      <w:ind w:left="720"/>
    </w:pPr>
  </w:style>
  <w:style w:type="paragraph" w:customStyle="1" w:styleId="Bulleted1">
    <w:name w:val="Bulleted 1"/>
    <w:basedOn w:val="Normal"/>
    <w:uiPriority w:val="99"/>
    <w:rsid w:val="003F1AE6"/>
    <w:pPr>
      <w:numPr>
        <w:numId w:val="1"/>
      </w:numPr>
    </w:pPr>
    <w:rPr>
      <w:rFonts w:ascii="Verdana" w:hAnsi="Verdana" w:cs="Verdana"/>
      <w:color w:val="000000"/>
      <w:sz w:val="20"/>
      <w:szCs w:val="20"/>
      <w:lang w:eastAsia="fi-FI"/>
    </w:rPr>
  </w:style>
  <w:style w:type="character" w:customStyle="1" w:styleId="CharChar">
    <w:name w:val="Char Char"/>
    <w:basedOn w:val="DefaultParagraphFont"/>
    <w:uiPriority w:val="99"/>
    <w:semiHidden/>
    <w:rsid w:val="001A53C6"/>
    <w:rPr>
      <w:rFonts w:ascii="Arial" w:hAnsi="Arial" w:cs="Arial"/>
      <w:lang w:val="en-GB" w:eastAsia="en-GB"/>
    </w:rPr>
  </w:style>
  <w:style w:type="character" w:styleId="PageNumber">
    <w:name w:val="page number"/>
    <w:basedOn w:val="DefaultParagraphFont"/>
    <w:uiPriority w:val="99"/>
    <w:rsid w:val="00D9244A"/>
  </w:style>
  <w:style w:type="character" w:styleId="FollowedHyperlink">
    <w:name w:val="FollowedHyperlink"/>
    <w:basedOn w:val="DefaultParagraphFont"/>
    <w:uiPriority w:val="99"/>
    <w:rsid w:val="00437C12"/>
    <w:rPr>
      <w:color w:val="800080"/>
      <w:u w:val="single"/>
    </w:rPr>
  </w:style>
  <w:style w:type="paragraph" w:customStyle="1" w:styleId="msolistparagraph0">
    <w:name w:val="msolistparagraph"/>
    <w:basedOn w:val="Normal"/>
    <w:uiPriority w:val="99"/>
    <w:rsid w:val="00252FF5"/>
    <w:pPr>
      <w:ind w:left="720"/>
    </w:pPr>
    <w:rPr>
      <w:sz w:val="24"/>
    </w:rPr>
  </w:style>
  <w:style w:type="character" w:customStyle="1" w:styleId="CommentTextChar1">
    <w:name w:val="Comment Text Char1"/>
    <w:basedOn w:val="DefaultParagraphFont"/>
    <w:uiPriority w:val="99"/>
    <w:semiHidden/>
    <w:locked/>
    <w:rsid w:val="00993CD9"/>
    <w:rPr>
      <w:rFonts w:ascii="Arial" w:hAnsi="Arial" w:cs="Arial"/>
      <w:lang w:val="en-GB" w:eastAsia="en-GB"/>
    </w:rPr>
  </w:style>
  <w:style w:type="paragraph" w:styleId="EndnoteText">
    <w:name w:val="endnote text"/>
    <w:basedOn w:val="Normal"/>
    <w:link w:val="EndnoteTextChar"/>
    <w:uiPriority w:val="99"/>
    <w:semiHidden/>
    <w:rsid w:val="00AA5E7A"/>
    <w:rPr>
      <w:sz w:val="20"/>
      <w:szCs w:val="20"/>
    </w:rPr>
  </w:style>
  <w:style w:type="character" w:customStyle="1" w:styleId="EndnoteTextChar">
    <w:name w:val="Endnote Text Char"/>
    <w:basedOn w:val="DefaultParagraphFont"/>
    <w:link w:val="EndnoteText"/>
    <w:uiPriority w:val="99"/>
    <w:locked/>
    <w:rsid w:val="00AA5E7A"/>
    <w:rPr>
      <w:rFonts w:ascii="Arial" w:hAnsi="Arial" w:cs="Arial"/>
      <w:lang w:val="en-GB" w:eastAsia="en-GB"/>
    </w:rPr>
  </w:style>
  <w:style w:type="character" w:styleId="EndnoteReference">
    <w:name w:val="endnote reference"/>
    <w:basedOn w:val="DefaultParagraphFont"/>
    <w:uiPriority w:val="99"/>
    <w:semiHidden/>
    <w:rsid w:val="00AA5E7A"/>
    <w:rPr>
      <w:vertAlign w:val="superscript"/>
    </w:rPr>
  </w:style>
  <w:style w:type="character" w:customStyle="1" w:styleId="CharChar4">
    <w:name w:val="Char Char4"/>
    <w:basedOn w:val="DefaultParagraphFont"/>
    <w:uiPriority w:val="99"/>
    <w:semiHidden/>
    <w:locked/>
    <w:rsid w:val="00012388"/>
    <w:rPr>
      <w:rFonts w:ascii="Verdana" w:hAnsi="Verdana" w:cs="Verdana"/>
      <w:lang w:val="en-GB" w:eastAsia="en-US"/>
    </w:rPr>
  </w:style>
  <w:style w:type="character" w:customStyle="1" w:styleId="CharChar3">
    <w:name w:val="Char Char3"/>
    <w:basedOn w:val="DefaultParagraphFont"/>
    <w:uiPriority w:val="99"/>
    <w:semiHidden/>
    <w:locked/>
    <w:rsid w:val="00012388"/>
    <w:rPr>
      <w:rFonts w:ascii="Arial" w:hAnsi="Arial" w:cs="Arial"/>
      <w:lang w:val="en-GB" w:eastAsia="en-GB"/>
    </w:rPr>
  </w:style>
  <w:style w:type="character" w:customStyle="1" w:styleId="CharChar14">
    <w:name w:val="Char Char14"/>
    <w:basedOn w:val="DefaultParagraphFont"/>
    <w:uiPriority w:val="99"/>
    <w:rsid w:val="00AA2DE2"/>
    <w:rPr>
      <w:rFonts w:ascii="Verdana" w:hAnsi="Verdana" w:cs="Verdana"/>
      <w:b/>
      <w:bCs/>
      <w:color w:val="auto"/>
      <w:sz w:val="28"/>
      <w:szCs w:val="28"/>
    </w:rPr>
  </w:style>
  <w:style w:type="character" w:customStyle="1" w:styleId="CharChar13">
    <w:name w:val="Char Char13"/>
    <w:basedOn w:val="DefaultParagraphFont"/>
    <w:uiPriority w:val="99"/>
    <w:rsid w:val="00AA2DE2"/>
    <w:rPr>
      <w:rFonts w:ascii="Cambria" w:hAnsi="Cambria" w:cs="Cambria"/>
      <w:b/>
      <w:bCs/>
      <w:color w:val="auto"/>
      <w:sz w:val="26"/>
      <w:szCs w:val="26"/>
    </w:rPr>
  </w:style>
  <w:style w:type="paragraph" w:customStyle="1" w:styleId="Paragraphedeliste2">
    <w:name w:val="Paragraphe de liste2"/>
    <w:basedOn w:val="Normal"/>
    <w:uiPriority w:val="99"/>
    <w:rsid w:val="00AA2DE2"/>
    <w:pPr>
      <w:ind w:left="720"/>
    </w:pPr>
  </w:style>
  <w:style w:type="paragraph" w:styleId="Title">
    <w:name w:val="Title"/>
    <w:basedOn w:val="Normal"/>
    <w:next w:val="Normal"/>
    <w:link w:val="TitleChar"/>
    <w:qFormat/>
    <w:locked/>
    <w:rsid w:val="00D515AE"/>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locked/>
    <w:rsid w:val="00D515AE"/>
    <w:rPr>
      <w:rFonts w:asciiTheme="majorHAnsi" w:eastAsiaTheme="majorEastAsia" w:hAnsiTheme="majorHAnsi" w:cstheme="majorBidi"/>
      <w:color w:val="2F5773" w:themeColor="text2"/>
      <w:spacing w:val="5"/>
      <w:kern w:val="28"/>
      <w:sz w:val="52"/>
      <w:szCs w:val="52"/>
    </w:rPr>
  </w:style>
  <w:style w:type="paragraph" w:styleId="Subtitle">
    <w:name w:val="Subtitle"/>
    <w:next w:val="Normal"/>
    <w:link w:val="SubtitleChar"/>
    <w:autoRedefine/>
    <w:uiPriority w:val="11"/>
    <w:qFormat/>
    <w:locked/>
    <w:rsid w:val="00237B31"/>
    <w:pPr>
      <w:numPr>
        <w:ilvl w:val="1"/>
      </w:numPr>
      <w:spacing w:before="240" w:after="120"/>
    </w:pPr>
    <w:rPr>
      <w:rFonts w:asciiTheme="majorHAnsi" w:eastAsiaTheme="majorEastAsia" w:hAnsiTheme="majorHAnsi" w:cstheme="majorBidi"/>
      <w:color w:val="2F5773" w:themeColor="accent1"/>
      <w:sz w:val="32"/>
      <w:szCs w:val="32"/>
    </w:rPr>
  </w:style>
  <w:style w:type="character" w:customStyle="1" w:styleId="SubtitleChar">
    <w:name w:val="Subtitle Char"/>
    <w:basedOn w:val="DefaultParagraphFont"/>
    <w:link w:val="Subtitle"/>
    <w:uiPriority w:val="11"/>
    <w:locked/>
    <w:rsid w:val="00237B31"/>
    <w:rPr>
      <w:rFonts w:asciiTheme="majorHAnsi" w:eastAsiaTheme="majorEastAsia" w:hAnsiTheme="majorHAnsi" w:cstheme="majorBidi"/>
      <w:color w:val="2F5773" w:themeColor="accent1"/>
      <w:sz w:val="32"/>
      <w:szCs w:val="32"/>
    </w:rPr>
  </w:style>
  <w:style w:type="character" w:styleId="Strong">
    <w:name w:val="Strong"/>
    <w:basedOn w:val="DefaultParagraphFont"/>
    <w:uiPriority w:val="22"/>
    <w:semiHidden/>
    <w:qFormat/>
    <w:rsid w:val="007C00F8"/>
    <w:rPr>
      <w:b/>
      <w:bCs/>
    </w:rPr>
  </w:style>
  <w:style w:type="character" w:styleId="Emphasis">
    <w:name w:val="Emphasis"/>
    <w:basedOn w:val="DefaultParagraphFont"/>
    <w:uiPriority w:val="20"/>
    <w:semiHidden/>
    <w:qFormat/>
    <w:rsid w:val="007C00F8"/>
    <w:rPr>
      <w:i/>
      <w:iCs/>
    </w:rPr>
  </w:style>
  <w:style w:type="paragraph" w:customStyle="1" w:styleId="NoSpacing1">
    <w:name w:val="No Spacing1"/>
    <w:basedOn w:val="Normal"/>
    <w:uiPriority w:val="99"/>
    <w:rsid w:val="007C00F8"/>
  </w:style>
  <w:style w:type="paragraph" w:customStyle="1" w:styleId="ListParagraph2">
    <w:name w:val="List Paragraph2"/>
    <w:basedOn w:val="Normal"/>
    <w:uiPriority w:val="99"/>
    <w:rsid w:val="007C00F8"/>
    <w:pPr>
      <w:ind w:left="720"/>
    </w:pPr>
  </w:style>
  <w:style w:type="paragraph" w:customStyle="1" w:styleId="Quote1">
    <w:name w:val="Quote1"/>
    <w:basedOn w:val="Normal"/>
    <w:next w:val="Normal"/>
    <w:link w:val="QuoteChar"/>
    <w:uiPriority w:val="99"/>
    <w:rsid w:val="007C00F8"/>
    <w:pPr>
      <w:spacing w:before="200"/>
      <w:ind w:left="360" w:right="360"/>
    </w:pPr>
    <w:rPr>
      <w:i/>
      <w:iCs/>
    </w:rPr>
  </w:style>
  <w:style w:type="character" w:customStyle="1" w:styleId="QuoteChar">
    <w:name w:val="Quote Char"/>
    <w:basedOn w:val="DefaultParagraphFont"/>
    <w:link w:val="Quote1"/>
    <w:uiPriority w:val="99"/>
    <w:locked/>
    <w:rsid w:val="007C00F8"/>
    <w:rPr>
      <w:i/>
      <w:iCs/>
    </w:rPr>
  </w:style>
  <w:style w:type="paragraph" w:customStyle="1" w:styleId="IntenseQuote1">
    <w:name w:val="Intense Quote1"/>
    <w:basedOn w:val="Normal"/>
    <w:next w:val="Normal"/>
    <w:link w:val="IntenseQuoteChar"/>
    <w:uiPriority w:val="99"/>
    <w:rsid w:val="007C00F8"/>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1"/>
    <w:uiPriority w:val="99"/>
    <w:locked/>
    <w:rsid w:val="007C00F8"/>
    <w:rPr>
      <w:b/>
      <w:bCs/>
      <w:i/>
      <w:iCs/>
    </w:rPr>
  </w:style>
  <w:style w:type="character" w:customStyle="1" w:styleId="SubtleEmphasis1">
    <w:name w:val="Subtle Emphasis1"/>
    <w:basedOn w:val="DefaultParagraphFont"/>
    <w:uiPriority w:val="99"/>
    <w:rsid w:val="007C00F8"/>
    <w:rPr>
      <w:i/>
      <w:iCs/>
    </w:rPr>
  </w:style>
  <w:style w:type="character" w:customStyle="1" w:styleId="IntenseEmphasis1">
    <w:name w:val="Intense Emphasis1"/>
    <w:basedOn w:val="DefaultParagraphFont"/>
    <w:uiPriority w:val="99"/>
    <w:rsid w:val="007C00F8"/>
    <w:rPr>
      <w:b/>
      <w:bCs/>
    </w:rPr>
  </w:style>
  <w:style w:type="character" w:customStyle="1" w:styleId="SubtleReference1">
    <w:name w:val="Subtle Reference1"/>
    <w:basedOn w:val="DefaultParagraphFont"/>
    <w:uiPriority w:val="99"/>
    <w:rsid w:val="007C00F8"/>
    <w:rPr>
      <w:smallCaps/>
    </w:rPr>
  </w:style>
  <w:style w:type="character" w:customStyle="1" w:styleId="IntenseReference1">
    <w:name w:val="Intense Reference1"/>
    <w:basedOn w:val="DefaultParagraphFont"/>
    <w:uiPriority w:val="99"/>
    <w:rsid w:val="007C00F8"/>
    <w:rPr>
      <w:smallCaps/>
      <w:spacing w:val="5"/>
      <w:u w:val="single"/>
    </w:rPr>
  </w:style>
  <w:style w:type="character" w:customStyle="1" w:styleId="BookTitle1">
    <w:name w:val="Book Title1"/>
    <w:basedOn w:val="DefaultParagraphFont"/>
    <w:uiPriority w:val="99"/>
    <w:rsid w:val="007C00F8"/>
    <w:rPr>
      <w:i/>
      <w:iCs/>
      <w:smallCaps/>
      <w:spacing w:val="5"/>
    </w:rPr>
  </w:style>
  <w:style w:type="paragraph" w:customStyle="1" w:styleId="TOCHeading1">
    <w:name w:val="TOC Heading1"/>
    <w:basedOn w:val="Heading1"/>
    <w:next w:val="Normal"/>
    <w:uiPriority w:val="99"/>
    <w:semiHidden/>
    <w:rsid w:val="007C00F8"/>
    <w:pPr>
      <w:outlineLvl w:val="9"/>
    </w:pPr>
  </w:style>
  <w:style w:type="paragraph" w:styleId="PlainText">
    <w:name w:val="Plain Text"/>
    <w:basedOn w:val="Normal"/>
    <w:link w:val="PlainTextChar"/>
    <w:uiPriority w:val="99"/>
    <w:semiHidden/>
    <w:rsid w:val="003C7592"/>
    <w:rPr>
      <w:rFonts w:ascii="Consolas" w:hAnsi="Consolas" w:cs="Consolas"/>
      <w:sz w:val="21"/>
      <w:szCs w:val="21"/>
    </w:rPr>
  </w:style>
  <w:style w:type="character" w:customStyle="1" w:styleId="PlainTextChar">
    <w:name w:val="Plain Text Char"/>
    <w:basedOn w:val="DefaultParagraphFont"/>
    <w:link w:val="PlainText"/>
    <w:uiPriority w:val="99"/>
    <w:semiHidden/>
    <w:locked/>
    <w:rsid w:val="003C7592"/>
    <w:rPr>
      <w:rFonts w:ascii="Consolas" w:hAnsi="Consolas" w:cs="Consolas"/>
      <w:sz w:val="21"/>
      <w:szCs w:val="21"/>
    </w:rPr>
  </w:style>
  <w:style w:type="paragraph" w:customStyle="1" w:styleId="Revision1">
    <w:name w:val="Revision1"/>
    <w:hidden/>
    <w:uiPriority w:val="99"/>
    <w:semiHidden/>
    <w:rsid w:val="00134F05"/>
    <w:rPr>
      <w:sz w:val="22"/>
      <w:szCs w:val="22"/>
      <w:lang w:val="en-US" w:eastAsia="en-US"/>
    </w:rPr>
  </w:style>
  <w:style w:type="paragraph" w:styleId="NormalWeb">
    <w:name w:val="Normal (Web)"/>
    <w:basedOn w:val="Normal"/>
    <w:uiPriority w:val="99"/>
    <w:rsid w:val="007075FB"/>
    <w:pPr>
      <w:spacing w:before="167" w:after="167"/>
      <w:ind w:left="753" w:right="586"/>
    </w:pPr>
    <w:rPr>
      <w:rFonts w:cs="Times New Roman"/>
      <w:sz w:val="19"/>
      <w:szCs w:val="19"/>
    </w:rPr>
  </w:style>
  <w:style w:type="paragraph" w:styleId="ListParagraph">
    <w:name w:val="List Paragraph"/>
    <w:basedOn w:val="Normal"/>
    <w:uiPriority w:val="34"/>
    <w:qFormat/>
    <w:rsid w:val="00945480"/>
    <w:pPr>
      <w:ind w:left="720"/>
      <w:contextualSpacing/>
    </w:pPr>
  </w:style>
  <w:style w:type="paragraph" w:styleId="TOCHeading">
    <w:name w:val="TOC Heading"/>
    <w:basedOn w:val="Heading1"/>
    <w:next w:val="Normal"/>
    <w:uiPriority w:val="39"/>
    <w:semiHidden/>
    <w:qFormat/>
    <w:rsid w:val="005D32D5"/>
    <w:pPr>
      <w:spacing w:before="480"/>
      <w:outlineLvl w:val="9"/>
    </w:pPr>
    <w:rPr>
      <w:caps w:val="0"/>
      <w:color w:val="234156" w:themeColor="accent1" w:themeShade="BF"/>
      <w:sz w:val="28"/>
      <w:szCs w:val="28"/>
    </w:rPr>
  </w:style>
  <w:style w:type="paragraph" w:customStyle="1" w:styleId="04BodyText">
    <w:name w:val="04_Body Text"/>
    <w:basedOn w:val="TOC1"/>
    <w:rsid w:val="00F12B9D"/>
    <w:pPr>
      <w:spacing w:after="250"/>
      <w:jc w:val="both"/>
    </w:pPr>
    <w:rPr>
      <w:rFonts w:ascii="Georgia" w:hAnsi="Georgia" w:cs="Times New Roman"/>
      <w:sz w:val="20"/>
      <w:lang w:eastAsia="de-DE"/>
    </w:rPr>
  </w:style>
  <w:style w:type="paragraph" w:customStyle="1" w:styleId="04bList">
    <w:name w:val="04b_List"/>
    <w:basedOn w:val="04BodyText"/>
    <w:rsid w:val="00F12B9D"/>
    <w:pPr>
      <w:numPr>
        <w:numId w:val="2"/>
      </w:numPr>
      <w:ind w:left="567" w:hanging="340"/>
    </w:pPr>
  </w:style>
  <w:style w:type="paragraph" w:customStyle="1" w:styleId="04dBodyTextbold">
    <w:name w:val="04d_Body Text bold"/>
    <w:basedOn w:val="04BodyText"/>
    <w:rsid w:val="00F12B9D"/>
    <w:pPr>
      <w:tabs>
        <w:tab w:val="clear" w:pos="421"/>
        <w:tab w:val="left" w:pos="414"/>
      </w:tabs>
    </w:pPr>
    <w:rPr>
      <w:b w:val="0"/>
    </w:rPr>
  </w:style>
  <w:style w:type="paragraph" w:styleId="Revision">
    <w:name w:val="Revision"/>
    <w:hidden/>
    <w:uiPriority w:val="99"/>
    <w:semiHidden/>
    <w:rsid w:val="007C0C9E"/>
    <w:rPr>
      <w:sz w:val="22"/>
      <w:szCs w:val="22"/>
      <w:lang w:val="en-US" w:eastAsia="en-US"/>
    </w:rPr>
  </w:style>
  <w:style w:type="paragraph" w:styleId="Index1">
    <w:name w:val="index 1"/>
    <w:basedOn w:val="Normal"/>
    <w:next w:val="Normal"/>
    <w:autoRedefine/>
    <w:uiPriority w:val="99"/>
    <w:unhideWhenUsed/>
    <w:locked/>
    <w:rsid w:val="00F93543"/>
    <w:pPr>
      <w:ind w:left="220" w:hanging="220"/>
    </w:pPr>
  </w:style>
  <w:style w:type="paragraph" w:styleId="Index2">
    <w:name w:val="index 2"/>
    <w:basedOn w:val="Normal"/>
    <w:next w:val="Normal"/>
    <w:autoRedefine/>
    <w:uiPriority w:val="99"/>
    <w:unhideWhenUsed/>
    <w:locked/>
    <w:rsid w:val="00F93543"/>
    <w:pPr>
      <w:ind w:left="440" w:hanging="220"/>
    </w:pPr>
  </w:style>
  <w:style w:type="paragraph" w:styleId="Index3">
    <w:name w:val="index 3"/>
    <w:basedOn w:val="Normal"/>
    <w:next w:val="Normal"/>
    <w:autoRedefine/>
    <w:uiPriority w:val="99"/>
    <w:unhideWhenUsed/>
    <w:locked/>
    <w:rsid w:val="00F93543"/>
    <w:pPr>
      <w:ind w:left="660" w:hanging="220"/>
    </w:pPr>
  </w:style>
  <w:style w:type="paragraph" w:styleId="Index4">
    <w:name w:val="index 4"/>
    <w:basedOn w:val="Normal"/>
    <w:next w:val="Normal"/>
    <w:autoRedefine/>
    <w:uiPriority w:val="99"/>
    <w:unhideWhenUsed/>
    <w:locked/>
    <w:rsid w:val="00F93543"/>
    <w:pPr>
      <w:ind w:left="880" w:hanging="220"/>
    </w:pPr>
  </w:style>
  <w:style w:type="paragraph" w:styleId="Index5">
    <w:name w:val="index 5"/>
    <w:basedOn w:val="Normal"/>
    <w:next w:val="Normal"/>
    <w:autoRedefine/>
    <w:uiPriority w:val="99"/>
    <w:unhideWhenUsed/>
    <w:locked/>
    <w:rsid w:val="00F93543"/>
    <w:pPr>
      <w:ind w:left="1100" w:hanging="220"/>
    </w:pPr>
  </w:style>
  <w:style w:type="paragraph" w:styleId="Index6">
    <w:name w:val="index 6"/>
    <w:basedOn w:val="Normal"/>
    <w:next w:val="Normal"/>
    <w:autoRedefine/>
    <w:uiPriority w:val="99"/>
    <w:unhideWhenUsed/>
    <w:locked/>
    <w:rsid w:val="00F93543"/>
    <w:pPr>
      <w:ind w:left="1320" w:hanging="220"/>
    </w:pPr>
  </w:style>
  <w:style w:type="paragraph" w:styleId="Index7">
    <w:name w:val="index 7"/>
    <w:basedOn w:val="Normal"/>
    <w:next w:val="Normal"/>
    <w:autoRedefine/>
    <w:uiPriority w:val="99"/>
    <w:unhideWhenUsed/>
    <w:locked/>
    <w:rsid w:val="00F93543"/>
    <w:pPr>
      <w:ind w:left="1540" w:hanging="220"/>
    </w:pPr>
  </w:style>
  <w:style w:type="paragraph" w:styleId="Index8">
    <w:name w:val="index 8"/>
    <w:basedOn w:val="Normal"/>
    <w:next w:val="Normal"/>
    <w:autoRedefine/>
    <w:uiPriority w:val="99"/>
    <w:unhideWhenUsed/>
    <w:locked/>
    <w:rsid w:val="00F93543"/>
    <w:pPr>
      <w:ind w:left="1760" w:hanging="220"/>
    </w:pPr>
  </w:style>
  <w:style w:type="paragraph" w:styleId="Index9">
    <w:name w:val="index 9"/>
    <w:basedOn w:val="Normal"/>
    <w:next w:val="Normal"/>
    <w:autoRedefine/>
    <w:uiPriority w:val="99"/>
    <w:unhideWhenUsed/>
    <w:locked/>
    <w:rsid w:val="00F93543"/>
    <w:pPr>
      <w:ind w:left="1980" w:hanging="220"/>
    </w:pPr>
  </w:style>
  <w:style w:type="paragraph" w:styleId="IndexHeading">
    <w:name w:val="index heading"/>
    <w:basedOn w:val="Normal"/>
    <w:next w:val="Index1"/>
    <w:uiPriority w:val="99"/>
    <w:unhideWhenUsed/>
    <w:locked/>
    <w:rsid w:val="00F93543"/>
  </w:style>
  <w:style w:type="paragraph" w:customStyle="1" w:styleId="Baseparagraphnumbered">
    <w:name w:val="Base paragraph numbered"/>
    <w:basedOn w:val="Normal"/>
    <w:link w:val="BaseparagraphnumberedChar"/>
    <w:rsid w:val="00DC2612"/>
    <w:pPr>
      <w:numPr>
        <w:numId w:val="3"/>
      </w:numPr>
      <w:spacing w:after="240"/>
      <w:jc w:val="both"/>
    </w:pPr>
    <w:rPr>
      <w:rFonts w:ascii="Times New Roman" w:hAnsi="Times New Roman" w:cs="Times New Roman"/>
      <w:sz w:val="24"/>
    </w:rPr>
  </w:style>
  <w:style w:type="character" w:customStyle="1" w:styleId="BaseparagraphnumberedChar">
    <w:name w:val="Base paragraph numbered Char"/>
    <w:basedOn w:val="DefaultParagraphFont"/>
    <w:link w:val="Baseparagraphnumbered"/>
    <w:rsid w:val="00DC2612"/>
    <w:rPr>
      <w:rFonts w:ascii="Times New Roman" w:hAnsi="Times New Roman" w:cs="Times New Roman"/>
    </w:rPr>
  </w:style>
  <w:style w:type="numbering" w:customStyle="1" w:styleId="NoList1">
    <w:name w:val="No List1"/>
    <w:next w:val="NoList"/>
    <w:uiPriority w:val="99"/>
    <w:semiHidden/>
    <w:unhideWhenUsed/>
    <w:rsid w:val="009C2839"/>
  </w:style>
  <w:style w:type="table" w:customStyle="1" w:styleId="LightList1">
    <w:name w:val="Light List1"/>
    <w:basedOn w:val="TableNormal"/>
    <w:uiPriority w:val="61"/>
    <w:rsid w:val="009C2839"/>
    <w:rPr>
      <w:rFonts w:ascii="Times New Roman" w:hAnsi="Times New Roman" w:cs="Times New Roman"/>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ableGrid1">
    <w:name w:val="Table Grid1"/>
    <w:basedOn w:val="TableNormal"/>
    <w:next w:val="TableGrid"/>
    <w:uiPriority w:val="59"/>
    <w:rsid w:val="009C2839"/>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hemeFill="background1" w:themeFillShade="D9"/>
      </w:tcPr>
    </w:tblStylePr>
  </w:style>
  <w:style w:type="table" w:customStyle="1" w:styleId="LightShading1">
    <w:name w:val="Light Shading1"/>
    <w:basedOn w:val="TableNormal"/>
    <w:uiPriority w:val="60"/>
    <w:rsid w:val="009C2839"/>
    <w:rPr>
      <w:rFonts w:ascii="Times New Roman" w:hAnsi="Times New Roman" w:cs="Times New Roman"/>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IntenseQuote">
    <w:name w:val="Intense Quote"/>
    <w:basedOn w:val="Normal"/>
    <w:next w:val="Normal"/>
    <w:link w:val="IntenseQuoteChar1"/>
    <w:uiPriority w:val="30"/>
    <w:semiHidden/>
    <w:qFormat/>
    <w:rsid w:val="000378E5"/>
    <w:pPr>
      <w:pBdr>
        <w:bottom w:val="single" w:sz="4" w:space="4" w:color="2F5773" w:themeColor="accent1"/>
      </w:pBdr>
      <w:spacing w:before="200" w:after="280"/>
      <w:ind w:left="936" w:right="936"/>
    </w:pPr>
    <w:rPr>
      <w:b/>
      <w:bCs/>
      <w:i/>
      <w:iCs/>
      <w:color w:val="2F5773" w:themeColor="accent1"/>
    </w:rPr>
  </w:style>
  <w:style w:type="character" w:customStyle="1" w:styleId="IntenseQuoteChar1">
    <w:name w:val="Intense Quote Char1"/>
    <w:basedOn w:val="DefaultParagraphFont"/>
    <w:link w:val="IntenseQuote"/>
    <w:uiPriority w:val="30"/>
    <w:semiHidden/>
    <w:rsid w:val="000378E5"/>
    <w:rPr>
      <w:b/>
      <w:bCs/>
      <w:i/>
      <w:iCs/>
      <w:color w:val="2F5773" w:themeColor="accent1"/>
      <w:sz w:val="22"/>
    </w:rPr>
  </w:style>
  <w:style w:type="table" w:customStyle="1" w:styleId="EBAtable">
    <w:name w:val="EBA table"/>
    <w:basedOn w:val="TableNormal"/>
    <w:uiPriority w:val="99"/>
    <w:rsid w:val="003D5718"/>
    <w:rPr>
      <w:lang w:val="en-US" w:eastAsia="en-US"/>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paragraph" w:customStyle="1" w:styleId="Tabledata">
    <w:name w:val="Table data"/>
    <w:basedOn w:val="body"/>
    <w:qFormat/>
    <w:rsid w:val="00D515AE"/>
    <w:pPr>
      <w:spacing w:before="120" w:line="240" w:lineRule="auto"/>
    </w:pPr>
    <w:rPr>
      <w:rFonts w:cstheme="minorHAnsi"/>
      <w:bCs/>
      <w:color w:val="000000"/>
      <w:sz w:val="20"/>
      <w:szCs w:val="22"/>
    </w:rPr>
  </w:style>
  <w:style w:type="paragraph" w:customStyle="1" w:styleId="Tableheader">
    <w:name w:val="Table header"/>
    <w:next w:val="Tabledata"/>
    <w:qFormat/>
    <w:rsid w:val="00D515AE"/>
    <w:pPr>
      <w:spacing w:after="80"/>
    </w:pPr>
    <w:rPr>
      <w:rFonts w:ascii="Calibri" w:hAnsi="Calibri" w:cs="Times New Roman"/>
      <w:b/>
      <w:color w:val="000000"/>
      <w:sz w:val="22"/>
      <w:szCs w:val="22"/>
    </w:rPr>
  </w:style>
  <w:style w:type="paragraph" w:customStyle="1" w:styleId="Runningtitle">
    <w:name w:val="Running title"/>
    <w:qFormat/>
    <w:rsid w:val="00D515AE"/>
    <w:rPr>
      <w:caps/>
      <w:sz w:val="16"/>
      <w:szCs w:val="18"/>
    </w:rPr>
  </w:style>
  <w:style w:type="paragraph" w:customStyle="1" w:styleId="Numberedtilelevel1">
    <w:name w:val="Numbered tile level 1"/>
    <w:basedOn w:val="Titlelevel1"/>
    <w:qFormat/>
    <w:rsid w:val="00D515AE"/>
    <w:pPr>
      <w:numPr>
        <w:numId w:val="17"/>
      </w:numPr>
    </w:pPr>
  </w:style>
  <w:style w:type="paragraph" w:customStyle="1" w:styleId="Numberedtitlelevel2">
    <w:name w:val="Numbered title level 2"/>
    <w:basedOn w:val="Titlelevel2"/>
    <w:next w:val="body"/>
    <w:qFormat/>
    <w:rsid w:val="00D515AE"/>
    <w:pPr>
      <w:numPr>
        <w:ilvl w:val="1"/>
        <w:numId w:val="17"/>
      </w:numPr>
    </w:pPr>
  </w:style>
  <w:style w:type="paragraph" w:customStyle="1" w:styleId="Titlelevel2">
    <w:name w:val="Title level 2"/>
    <w:qFormat/>
    <w:rsid w:val="00D515AE"/>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D515AE"/>
    <w:pPr>
      <w:spacing w:before="240" w:after="120" w:line="276" w:lineRule="auto"/>
      <w:jc w:val="both"/>
    </w:pPr>
    <w:rPr>
      <w:sz w:val="22"/>
    </w:rPr>
  </w:style>
  <w:style w:type="paragraph" w:customStyle="1" w:styleId="List1">
    <w:name w:val="List1"/>
    <w:autoRedefine/>
    <w:qFormat/>
    <w:rsid w:val="00D515AE"/>
    <w:pPr>
      <w:numPr>
        <w:numId w:val="14"/>
      </w:numPr>
    </w:pPr>
    <w:rPr>
      <w:sz w:val="22"/>
      <w:szCs w:val="22"/>
    </w:rPr>
  </w:style>
  <w:style w:type="paragraph" w:customStyle="1" w:styleId="Titlelevel1">
    <w:name w:val="Title level 1"/>
    <w:autoRedefine/>
    <w:qFormat/>
    <w:rsid w:val="00D515AE"/>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7D121B"/>
    <w:pPr>
      <w:keepNext/>
      <w:spacing w:before="240" w:after="240"/>
    </w:pPr>
    <w:rPr>
      <w:b/>
      <w:color w:val="2F5773" w:themeColor="text2"/>
    </w:rPr>
  </w:style>
  <w:style w:type="paragraph" w:customStyle="1" w:styleId="Titlelevel4">
    <w:name w:val="Title level 4"/>
    <w:next w:val="body"/>
    <w:qFormat/>
    <w:rsid w:val="007C4AD7"/>
    <w:pPr>
      <w:keepNext/>
      <w:spacing w:before="240" w:after="240"/>
    </w:pPr>
    <w:rPr>
      <w:color w:val="E98E31" w:themeColor="background2"/>
    </w:rPr>
  </w:style>
  <w:style w:type="paragraph" w:customStyle="1" w:styleId="Figuretitle">
    <w:name w:val="Figure title"/>
    <w:basedOn w:val="body"/>
    <w:next w:val="Normal"/>
    <w:autoRedefine/>
    <w:qFormat/>
    <w:rsid w:val="00D515AE"/>
    <w:pPr>
      <w:keepNext/>
      <w:spacing w:before="360" w:after="360"/>
    </w:pPr>
    <w:rPr>
      <w:rFonts w:eastAsia="Times New Roman" w:cs="Times New Roman"/>
      <w:bCs/>
      <w:noProof/>
      <w:color w:val="2F5773" w:themeColor="text2"/>
      <w:szCs w:val="20"/>
    </w:rPr>
  </w:style>
  <w:style w:type="paragraph" w:customStyle="1" w:styleId="bullet1">
    <w:name w:val="bullet 1"/>
    <w:basedOn w:val="body"/>
    <w:next w:val="body"/>
    <w:qFormat/>
    <w:rsid w:val="00D515AE"/>
    <w:pPr>
      <w:numPr>
        <w:numId w:val="15"/>
      </w:numPr>
    </w:pPr>
    <w:rPr>
      <w:szCs w:val="22"/>
    </w:rPr>
  </w:style>
  <w:style w:type="paragraph" w:customStyle="1" w:styleId="bullet2">
    <w:name w:val="bullet 2"/>
    <w:basedOn w:val="body"/>
    <w:qFormat/>
    <w:rsid w:val="00D515AE"/>
    <w:pPr>
      <w:numPr>
        <w:numId w:val="16"/>
      </w:numPr>
    </w:pPr>
    <w:rPr>
      <w:szCs w:val="22"/>
    </w:rPr>
  </w:style>
  <w:style w:type="paragraph" w:customStyle="1" w:styleId="Numberedtitlelevel3">
    <w:name w:val="Numbered title level 3"/>
    <w:basedOn w:val="Titlelevel3"/>
    <w:next w:val="body"/>
    <w:qFormat/>
    <w:rsid w:val="00D515AE"/>
    <w:pPr>
      <w:numPr>
        <w:ilvl w:val="2"/>
        <w:numId w:val="17"/>
      </w:numPr>
    </w:pPr>
  </w:style>
  <w:style w:type="paragraph" w:customStyle="1" w:styleId="Contenttitle">
    <w:name w:val="Content title"/>
    <w:basedOn w:val="Titlelevel1"/>
    <w:qFormat/>
    <w:rsid w:val="00D515AE"/>
  </w:style>
  <w:style w:type="paragraph" w:customStyle="1" w:styleId="Numberedtitlelevel4">
    <w:name w:val="Numbered title level 4"/>
    <w:basedOn w:val="Titlelevel4"/>
    <w:qFormat/>
    <w:rsid w:val="00D515AE"/>
    <w:pPr>
      <w:numPr>
        <w:numId w:val="18"/>
      </w:numPr>
    </w:pPr>
  </w:style>
  <w:style w:type="character" w:customStyle="1" w:styleId="Highlighttext">
    <w:name w:val="Highlight text"/>
    <w:basedOn w:val="DefaultParagraphFont"/>
    <w:uiPriority w:val="1"/>
    <w:semiHidden/>
    <w:qFormat/>
    <w:rsid w:val="00D515AE"/>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D515AE"/>
    <w:rPr>
      <w:rFonts w:eastAsia="Times New Roman"/>
      <w:bCs/>
    </w:rPr>
  </w:style>
  <w:style w:type="paragraph" w:customStyle="1" w:styleId="numberedparagraph">
    <w:name w:val="numbered paragraph"/>
    <w:basedOn w:val="body"/>
    <w:qFormat/>
    <w:rsid w:val="00D515AE"/>
    <w:pPr>
      <w:numPr>
        <w:numId w:val="19"/>
      </w:numPr>
    </w:pPr>
  </w:style>
  <w:style w:type="paragraph" w:styleId="TableofFigures">
    <w:name w:val="table of figures"/>
    <w:basedOn w:val="Normal"/>
    <w:next w:val="Normal"/>
    <w:autoRedefine/>
    <w:uiPriority w:val="99"/>
    <w:qFormat/>
    <w:locked/>
    <w:rsid w:val="00D515AE"/>
    <w:pPr>
      <w:spacing w:before="160"/>
    </w:pPr>
  </w:style>
  <w:style w:type="paragraph" w:styleId="List">
    <w:name w:val="List"/>
    <w:autoRedefine/>
    <w:uiPriority w:val="99"/>
    <w:semiHidden/>
    <w:qFormat/>
    <w:locked/>
    <w:rsid w:val="00D515AE"/>
    <w:pPr>
      <w:numPr>
        <w:numId w:val="12"/>
      </w:numPr>
      <w:spacing w:before="240" w:after="120"/>
      <w:contextualSpacing/>
    </w:pPr>
    <w:rPr>
      <w:sz w:val="22"/>
    </w:rPr>
  </w:style>
  <w:style w:type="paragraph" w:styleId="ListBullet">
    <w:name w:val="List Bullet"/>
    <w:basedOn w:val="Normal"/>
    <w:semiHidden/>
    <w:qFormat/>
    <w:locked/>
    <w:rsid w:val="00D515AE"/>
    <w:pPr>
      <w:numPr>
        <w:numId w:val="13"/>
      </w:numPr>
      <w:contextualSpacing/>
    </w:pPr>
  </w:style>
  <w:style w:type="character" w:styleId="BookTitle">
    <w:name w:val="Book Title"/>
    <w:basedOn w:val="DefaultParagraphFont"/>
    <w:uiPriority w:val="33"/>
    <w:qFormat/>
    <w:rsid w:val="00D515AE"/>
    <w:rPr>
      <w:b/>
      <w:bCs/>
      <w:smallCaps/>
      <w:spacing w:val="5"/>
    </w:rPr>
  </w:style>
  <w:style w:type="paragraph" w:customStyle="1" w:styleId="SQL">
    <w:name w:val="SQL"/>
    <w:basedOn w:val="Normal"/>
    <w:link w:val="SQLChar"/>
    <w:qFormat/>
    <w:rsid w:val="002F1FBD"/>
    <w:pPr>
      <w:ind w:left="720"/>
    </w:pPr>
    <w:rPr>
      <w:rFonts w:ascii="Consolas" w:hAnsi="Consolas" w:cs="Consolas"/>
      <w:sz w:val="14"/>
      <w:szCs w:val="16"/>
    </w:rPr>
  </w:style>
  <w:style w:type="character" w:customStyle="1" w:styleId="SQLChar">
    <w:name w:val="SQL Char"/>
    <w:basedOn w:val="DefaultParagraphFont"/>
    <w:link w:val="SQL"/>
    <w:rsid w:val="002F1FBD"/>
    <w:rPr>
      <w:rFonts w:ascii="Consolas" w:hAnsi="Consolas" w:cs="Consolas"/>
      <w:sz w:val="14"/>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GB"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nhideWhenUsed="0"/>
    <w:lsdException w:name="heading 4" w:semiHidden="0" w:uiPriority="9" w:unhideWhenUsed="0" w:qFormat="1"/>
    <w:lsdException w:name="heading 5" w:semiHidden="0" w:uiPriority="0"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locked="0" w:uiPriority="35" w:unhideWhenUsed="0" w:qFormat="1"/>
    <w:lsdException w:name="table of figures" w:qFormat="1"/>
    <w:lsdException w:name="footnote reference" w:qFormat="1"/>
    <w:lsdException w:name="List" w:qFormat="1"/>
    <w:lsdException w:name="List Bullet" w:uiPriority="0" w:qFormat="1"/>
    <w:lsdException w:name="Title" w:semiHidden="0" w:uiPriority="0" w:unhideWhenUsed="0" w:qFormat="1"/>
    <w:lsdException w:name="Default Paragraph Font" w:uiPriority="1"/>
    <w:lsdException w:name="Subtitle" w:semiHidden="0" w:uiPriority="11" w:unhideWhenUsed="0" w:qFormat="1"/>
    <w:lsdException w:name="Strong" w:locked="0" w:semiHidden="0" w:uiPriority="22" w:unhideWhenUsed="0" w:qFormat="1"/>
    <w:lsdException w:name="Emphasis" w:locked="0" w:semiHidden="0" w:uiPriority="20" w:unhideWhenUsed="0" w:qFormat="1"/>
    <w:lsdException w:name="Table Grid" w:semiHidden="0" w:uiPriority="39" w:unhideWhenUsed="0"/>
    <w:lsdException w:name="Placeholder Text" w:locked="0" w:unhideWhenUsed="0"/>
    <w:lsdException w:name="No Spacing" w:locked="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unhideWhenUsed="0" w:qFormat="1"/>
  </w:latentStyles>
  <w:style w:type="paragraph" w:default="1" w:styleId="Normal">
    <w:name w:val="Normal"/>
    <w:qFormat/>
    <w:rsid w:val="00AD231B"/>
    <w:rPr>
      <w:sz w:val="22"/>
    </w:rPr>
  </w:style>
  <w:style w:type="paragraph" w:styleId="Heading1">
    <w:name w:val="heading 1"/>
    <w:aliases w:val="Cover title white"/>
    <w:next w:val="Normal"/>
    <w:link w:val="Heading1Char"/>
    <w:qFormat/>
    <w:rsid w:val="00D515AE"/>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qFormat/>
    <w:rsid w:val="00237B31"/>
    <w:pPr>
      <w:keepNext/>
      <w:numPr>
        <w:numId w:val="0"/>
      </w:numPr>
      <w:outlineLvl w:val="1"/>
    </w:pPr>
  </w:style>
  <w:style w:type="paragraph" w:styleId="Heading3">
    <w:name w:val="heading 3"/>
    <w:basedOn w:val="Normal"/>
    <w:next w:val="Normal"/>
    <w:link w:val="Heading3Char"/>
    <w:uiPriority w:val="99"/>
    <w:rsid w:val="005909B9"/>
    <w:pPr>
      <w:spacing w:before="200" w:after="120" w:line="271" w:lineRule="auto"/>
      <w:outlineLvl w:val="2"/>
    </w:pPr>
    <w:rPr>
      <w:rFonts w:ascii="Cambria" w:hAnsi="Cambria" w:cs="Cambria"/>
      <w:b/>
      <w:bCs/>
    </w:rPr>
  </w:style>
  <w:style w:type="paragraph" w:styleId="Heading4">
    <w:name w:val="heading 4"/>
    <w:basedOn w:val="Normal"/>
    <w:next w:val="Normal"/>
    <w:link w:val="Heading4Char"/>
    <w:uiPriority w:val="9"/>
    <w:qFormat/>
    <w:rsid w:val="00D515AE"/>
    <w:pPr>
      <w:keepNext/>
      <w:keepLines/>
      <w:numPr>
        <w:ilvl w:val="3"/>
        <w:numId w:val="11"/>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qFormat/>
    <w:locked/>
    <w:rsid w:val="00D515AE"/>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qFormat/>
    <w:locked/>
    <w:rsid w:val="00D515AE"/>
    <w:pPr>
      <w:keepNext/>
      <w:keepLines/>
      <w:numPr>
        <w:ilvl w:val="5"/>
        <w:numId w:val="11"/>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qFormat/>
    <w:locked/>
    <w:rsid w:val="00D515AE"/>
    <w:pPr>
      <w:keepNext/>
      <w:keepLines/>
      <w:numPr>
        <w:ilvl w:val="6"/>
        <w:numId w:val="1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qFormat/>
    <w:locked/>
    <w:rsid w:val="00D515AE"/>
    <w:pPr>
      <w:keepNext/>
      <w:keepLines/>
      <w:numPr>
        <w:ilvl w:val="7"/>
        <w:numId w:val="1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qFormat/>
    <w:locked/>
    <w:rsid w:val="00D515AE"/>
    <w:pPr>
      <w:keepNext/>
      <w:keepLines/>
      <w:numPr>
        <w:ilvl w:val="8"/>
        <w:numId w:val="3"/>
      </w:numPr>
      <w:spacing w:before="200"/>
      <w:ind w:left="1584" w:hanging="144"/>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locked/>
    <w:rsid w:val="00D515AE"/>
    <w:rPr>
      <w:rFonts w:asciiTheme="majorHAnsi" w:eastAsiaTheme="majorEastAsia" w:hAnsiTheme="majorHAnsi" w:cstheme="majorBidi"/>
      <w:b/>
      <w:bCs/>
      <w:caps/>
      <w:color w:val="FFFFFF" w:themeColor="background1"/>
      <w:sz w:val="40"/>
      <w:szCs w:val="40"/>
    </w:rPr>
  </w:style>
  <w:style w:type="character" w:customStyle="1" w:styleId="Heading2Char">
    <w:name w:val="Heading 2 Char"/>
    <w:basedOn w:val="DefaultParagraphFont"/>
    <w:link w:val="Heading2"/>
    <w:uiPriority w:val="9"/>
    <w:locked/>
    <w:rsid w:val="00237B31"/>
    <w:rPr>
      <w:rFonts w:asciiTheme="majorHAnsi" w:eastAsiaTheme="majorEastAsia" w:hAnsiTheme="majorHAnsi" w:cstheme="majorBidi"/>
      <w:color w:val="2F5773" w:themeColor="text2"/>
      <w:spacing w:val="5"/>
      <w:kern w:val="28"/>
      <w:sz w:val="52"/>
      <w:szCs w:val="52"/>
    </w:rPr>
  </w:style>
  <w:style w:type="character" w:customStyle="1" w:styleId="Heading3Char">
    <w:name w:val="Heading 3 Char"/>
    <w:basedOn w:val="DefaultParagraphFont"/>
    <w:link w:val="Heading3"/>
    <w:uiPriority w:val="99"/>
    <w:locked/>
    <w:rsid w:val="005909B9"/>
    <w:rPr>
      <w:rFonts w:ascii="Cambria" w:hAnsi="Cambria" w:cs="Cambria"/>
      <w:b/>
      <w:bCs/>
      <w:sz w:val="22"/>
      <w:szCs w:val="22"/>
      <w:lang w:eastAsia="en-US"/>
    </w:rPr>
  </w:style>
  <w:style w:type="character" w:customStyle="1" w:styleId="Heading4Char">
    <w:name w:val="Heading 4 Char"/>
    <w:basedOn w:val="DefaultParagraphFont"/>
    <w:link w:val="Heading4"/>
    <w:uiPriority w:val="9"/>
    <w:locked/>
    <w:rsid w:val="00D515AE"/>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locked/>
    <w:rsid w:val="00D515AE"/>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locked/>
    <w:rsid w:val="00D515AE"/>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locked/>
    <w:rsid w:val="00D515AE"/>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locked/>
    <w:rsid w:val="00D515AE"/>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locked/>
    <w:rsid w:val="00D515AE"/>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1D739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64CBE"/>
    <w:rPr>
      <w:sz w:val="2"/>
      <w:szCs w:val="2"/>
    </w:rPr>
  </w:style>
  <w:style w:type="paragraph" w:styleId="Header">
    <w:name w:val="header"/>
    <w:basedOn w:val="Normal"/>
    <w:link w:val="HeaderChar"/>
    <w:uiPriority w:val="99"/>
    <w:rsid w:val="007273C7"/>
    <w:pPr>
      <w:tabs>
        <w:tab w:val="center" w:pos="4153"/>
        <w:tab w:val="right" w:pos="8306"/>
      </w:tabs>
    </w:pPr>
  </w:style>
  <w:style w:type="character" w:customStyle="1" w:styleId="HeaderChar">
    <w:name w:val="Header Char"/>
    <w:basedOn w:val="DefaultParagraphFont"/>
    <w:link w:val="Header"/>
    <w:uiPriority w:val="99"/>
    <w:semiHidden/>
    <w:locked/>
    <w:rsid w:val="00264CBE"/>
    <w:rPr>
      <w:rFonts w:ascii="Arial" w:hAnsi="Arial" w:cs="Arial"/>
    </w:rPr>
  </w:style>
  <w:style w:type="paragraph" w:styleId="Footer">
    <w:name w:val="footer"/>
    <w:basedOn w:val="Normal"/>
    <w:link w:val="FooterChar"/>
    <w:uiPriority w:val="99"/>
    <w:rsid w:val="007273C7"/>
    <w:pPr>
      <w:tabs>
        <w:tab w:val="center" w:pos="4153"/>
        <w:tab w:val="right" w:pos="8306"/>
      </w:tabs>
    </w:pPr>
  </w:style>
  <w:style w:type="character" w:customStyle="1" w:styleId="FooterChar">
    <w:name w:val="Footer Char"/>
    <w:basedOn w:val="DefaultParagraphFont"/>
    <w:link w:val="Footer"/>
    <w:uiPriority w:val="99"/>
    <w:locked/>
    <w:rsid w:val="00AA5E7A"/>
    <w:rPr>
      <w:rFonts w:ascii="Arial" w:hAnsi="Arial" w:cs="Arial"/>
      <w:sz w:val="22"/>
      <w:szCs w:val="22"/>
      <w:lang w:val="en-GB" w:eastAsia="en-GB"/>
    </w:rPr>
  </w:style>
  <w:style w:type="table" w:styleId="TableGrid">
    <w:name w:val="Table Grid"/>
    <w:basedOn w:val="TableNormal"/>
    <w:uiPriority w:val="39"/>
    <w:rsid w:val="007273C7"/>
    <w:pPr>
      <w:spacing w:after="240"/>
    </w:pPr>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body"/>
    <w:link w:val="FootnoteTextChar"/>
    <w:autoRedefine/>
    <w:uiPriority w:val="99"/>
    <w:qFormat/>
    <w:rsid w:val="00D515AE"/>
    <w:pPr>
      <w:spacing w:before="80" w:after="0" w:line="200" w:lineRule="exact"/>
    </w:pPr>
    <w:rPr>
      <w:sz w:val="18"/>
      <w:szCs w:val="18"/>
    </w:rPr>
  </w:style>
  <w:style w:type="character" w:customStyle="1" w:styleId="FootnoteTextChar">
    <w:name w:val="Footnote Text Char"/>
    <w:basedOn w:val="DefaultParagraphFont"/>
    <w:link w:val="FootnoteText"/>
    <w:uiPriority w:val="99"/>
    <w:locked/>
    <w:rsid w:val="00D515AE"/>
    <w:rPr>
      <w:sz w:val="18"/>
      <w:szCs w:val="18"/>
    </w:rPr>
  </w:style>
  <w:style w:type="character" w:styleId="FootnoteReference">
    <w:name w:val="footnote reference"/>
    <w:basedOn w:val="DefaultParagraphFont"/>
    <w:uiPriority w:val="99"/>
    <w:qFormat/>
    <w:rsid w:val="00D515AE"/>
    <w:rPr>
      <w:rFonts w:asciiTheme="minorHAnsi" w:hAnsiTheme="minorHAnsi"/>
      <w:sz w:val="22"/>
      <w:szCs w:val="18"/>
      <w:vertAlign w:val="superscript"/>
    </w:rPr>
  </w:style>
  <w:style w:type="paragraph" w:styleId="TOC1">
    <w:name w:val="toc 1"/>
    <w:autoRedefine/>
    <w:uiPriority w:val="39"/>
    <w:qFormat/>
    <w:rsid w:val="00D515AE"/>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D515AE"/>
    <w:pPr>
      <w:tabs>
        <w:tab w:val="left" w:pos="529"/>
        <w:tab w:val="right" w:pos="8771"/>
      </w:tabs>
      <w:spacing w:before="80" w:after="80"/>
    </w:pPr>
    <w:rPr>
      <w:noProof/>
      <w:sz w:val="22"/>
      <w:szCs w:val="22"/>
    </w:rPr>
  </w:style>
  <w:style w:type="character" w:styleId="Hyperlink">
    <w:name w:val="Hyperlink"/>
    <w:basedOn w:val="DefaultParagraphFont"/>
    <w:uiPriority w:val="99"/>
    <w:rsid w:val="007839F9"/>
    <w:rPr>
      <w:color w:val="0000FF"/>
      <w:u w:val="single"/>
    </w:rPr>
  </w:style>
  <w:style w:type="paragraph" w:styleId="CommentText">
    <w:name w:val="annotation text"/>
    <w:basedOn w:val="Normal"/>
    <w:link w:val="CommentTextChar2"/>
    <w:uiPriority w:val="99"/>
    <w:semiHidden/>
    <w:rsid w:val="003D16B4"/>
    <w:rPr>
      <w:sz w:val="20"/>
      <w:szCs w:val="20"/>
    </w:rPr>
  </w:style>
  <w:style w:type="character" w:customStyle="1" w:styleId="CommentTextChar">
    <w:name w:val="Comment Text Char"/>
    <w:basedOn w:val="DefaultParagraphFont"/>
    <w:uiPriority w:val="99"/>
    <w:semiHidden/>
    <w:locked/>
    <w:rsid w:val="00E90EFB"/>
    <w:rPr>
      <w:rFonts w:ascii="Arial" w:hAnsi="Arial" w:cs="Arial"/>
      <w:lang w:val="en-GB" w:eastAsia="en-GB"/>
    </w:rPr>
  </w:style>
  <w:style w:type="character" w:styleId="CommentReference">
    <w:name w:val="annotation reference"/>
    <w:basedOn w:val="DefaultParagraphFont"/>
    <w:uiPriority w:val="99"/>
    <w:semiHidden/>
    <w:rsid w:val="003D16B4"/>
    <w:rPr>
      <w:sz w:val="16"/>
      <w:szCs w:val="16"/>
    </w:rPr>
  </w:style>
  <w:style w:type="paragraph" w:customStyle="1" w:styleId="Default">
    <w:name w:val="Default"/>
    <w:rsid w:val="008D40CD"/>
    <w:pPr>
      <w:autoSpaceDE w:val="0"/>
      <w:autoSpaceDN w:val="0"/>
      <w:adjustRightInd w:val="0"/>
      <w:spacing w:after="200" w:line="276" w:lineRule="auto"/>
    </w:pPr>
    <w:rPr>
      <w:rFonts w:ascii="Verdana" w:hAnsi="Verdana" w:cs="Verdana"/>
      <w:color w:val="000000"/>
    </w:rPr>
  </w:style>
  <w:style w:type="paragraph" w:styleId="TOC3">
    <w:name w:val="toc 3"/>
    <w:basedOn w:val="Normal"/>
    <w:next w:val="Normal"/>
    <w:autoRedefine/>
    <w:uiPriority w:val="39"/>
    <w:qFormat/>
    <w:rsid w:val="00D515AE"/>
    <w:pPr>
      <w:tabs>
        <w:tab w:val="right" w:pos="8771"/>
      </w:tabs>
      <w:ind w:left="567"/>
    </w:pPr>
    <w:rPr>
      <w:szCs w:val="22"/>
    </w:rPr>
  </w:style>
  <w:style w:type="paragraph" w:styleId="TOC4">
    <w:name w:val="toc 4"/>
    <w:basedOn w:val="Normal"/>
    <w:next w:val="Normal"/>
    <w:autoRedefine/>
    <w:uiPriority w:val="39"/>
    <w:rsid w:val="00741643"/>
    <w:pPr>
      <w:ind w:left="660"/>
    </w:pPr>
    <w:rPr>
      <w:sz w:val="20"/>
      <w:szCs w:val="20"/>
    </w:rPr>
  </w:style>
  <w:style w:type="paragraph" w:styleId="TOC5">
    <w:name w:val="toc 5"/>
    <w:basedOn w:val="Normal"/>
    <w:next w:val="Normal"/>
    <w:autoRedefine/>
    <w:uiPriority w:val="99"/>
    <w:semiHidden/>
    <w:rsid w:val="00741643"/>
    <w:pPr>
      <w:ind w:left="880"/>
    </w:pPr>
    <w:rPr>
      <w:sz w:val="20"/>
      <w:szCs w:val="20"/>
    </w:rPr>
  </w:style>
  <w:style w:type="paragraph" w:styleId="TOC6">
    <w:name w:val="toc 6"/>
    <w:basedOn w:val="Normal"/>
    <w:next w:val="Normal"/>
    <w:autoRedefine/>
    <w:uiPriority w:val="99"/>
    <w:semiHidden/>
    <w:rsid w:val="00741643"/>
    <w:pPr>
      <w:ind w:left="1100"/>
    </w:pPr>
    <w:rPr>
      <w:sz w:val="20"/>
      <w:szCs w:val="20"/>
    </w:rPr>
  </w:style>
  <w:style w:type="paragraph" w:styleId="TOC7">
    <w:name w:val="toc 7"/>
    <w:basedOn w:val="Normal"/>
    <w:next w:val="Normal"/>
    <w:autoRedefine/>
    <w:uiPriority w:val="99"/>
    <w:semiHidden/>
    <w:rsid w:val="00741643"/>
    <w:pPr>
      <w:ind w:left="1320"/>
    </w:pPr>
    <w:rPr>
      <w:sz w:val="20"/>
      <w:szCs w:val="20"/>
    </w:rPr>
  </w:style>
  <w:style w:type="paragraph" w:styleId="TOC8">
    <w:name w:val="toc 8"/>
    <w:basedOn w:val="Normal"/>
    <w:next w:val="Normal"/>
    <w:autoRedefine/>
    <w:uiPriority w:val="99"/>
    <w:semiHidden/>
    <w:rsid w:val="00741643"/>
    <w:pPr>
      <w:ind w:left="1540"/>
    </w:pPr>
    <w:rPr>
      <w:sz w:val="20"/>
      <w:szCs w:val="20"/>
    </w:rPr>
  </w:style>
  <w:style w:type="paragraph" w:styleId="TOC9">
    <w:name w:val="toc 9"/>
    <w:basedOn w:val="Normal"/>
    <w:next w:val="Normal"/>
    <w:autoRedefine/>
    <w:uiPriority w:val="99"/>
    <w:semiHidden/>
    <w:rsid w:val="00741643"/>
    <w:pPr>
      <w:ind w:left="1760"/>
    </w:pPr>
    <w:rPr>
      <w:sz w:val="20"/>
      <w:szCs w:val="20"/>
    </w:rPr>
  </w:style>
  <w:style w:type="paragraph" w:styleId="CommentSubject">
    <w:name w:val="annotation subject"/>
    <w:basedOn w:val="CommentText"/>
    <w:next w:val="CommentText"/>
    <w:link w:val="CommentSubjectChar"/>
    <w:uiPriority w:val="99"/>
    <w:semiHidden/>
    <w:rsid w:val="00F04190"/>
    <w:rPr>
      <w:b/>
      <w:bCs/>
    </w:rPr>
  </w:style>
  <w:style w:type="character" w:customStyle="1" w:styleId="CommentSubjectChar">
    <w:name w:val="Comment Subject Char"/>
    <w:basedOn w:val="CommentTextChar"/>
    <w:link w:val="CommentSubject"/>
    <w:uiPriority w:val="99"/>
    <w:semiHidden/>
    <w:locked/>
    <w:rsid w:val="00264CBE"/>
    <w:rPr>
      <w:rFonts w:ascii="Arial" w:hAnsi="Arial" w:cs="Arial"/>
      <w:b/>
      <w:bCs/>
      <w:sz w:val="20"/>
      <w:szCs w:val="20"/>
      <w:lang w:val="en-GB" w:eastAsia="en-GB"/>
    </w:rPr>
  </w:style>
  <w:style w:type="character" w:customStyle="1" w:styleId="CommentTextChar2">
    <w:name w:val="Comment Text Char2"/>
    <w:basedOn w:val="DefaultParagraphFont"/>
    <w:link w:val="CommentText"/>
    <w:uiPriority w:val="99"/>
    <w:semiHidden/>
    <w:locked/>
    <w:rsid w:val="005000F6"/>
    <w:rPr>
      <w:rFonts w:ascii="Arial" w:hAnsi="Arial" w:cs="Arial"/>
      <w:lang w:val="en-GB" w:eastAsia="en-GB"/>
    </w:rPr>
  </w:style>
  <w:style w:type="paragraph" w:customStyle="1" w:styleId="Paragraphedeliste1">
    <w:name w:val="Paragraphe de liste1"/>
    <w:basedOn w:val="Normal"/>
    <w:uiPriority w:val="99"/>
    <w:rsid w:val="003F1AE6"/>
    <w:pPr>
      <w:ind w:left="720"/>
    </w:pPr>
    <w:rPr>
      <w:lang w:val="nl-BE"/>
    </w:rPr>
  </w:style>
  <w:style w:type="character" w:customStyle="1" w:styleId="CharChar1">
    <w:name w:val="Char Char1"/>
    <w:basedOn w:val="DefaultParagraphFont"/>
    <w:uiPriority w:val="99"/>
    <w:semiHidden/>
    <w:locked/>
    <w:rsid w:val="003F1AE6"/>
    <w:rPr>
      <w:rFonts w:ascii="Arial" w:hAnsi="Arial" w:cs="Arial"/>
      <w:sz w:val="24"/>
      <w:szCs w:val="24"/>
      <w:lang w:val="en-GB" w:eastAsia="en-GB"/>
    </w:rPr>
  </w:style>
  <w:style w:type="paragraph" w:customStyle="1" w:styleId="ListParagraph1">
    <w:name w:val="List Paragraph1"/>
    <w:basedOn w:val="Normal"/>
    <w:uiPriority w:val="99"/>
    <w:rsid w:val="003F1AE6"/>
    <w:pPr>
      <w:ind w:left="720"/>
    </w:pPr>
  </w:style>
  <w:style w:type="paragraph" w:customStyle="1" w:styleId="Bulleted1">
    <w:name w:val="Bulleted 1"/>
    <w:basedOn w:val="Normal"/>
    <w:uiPriority w:val="99"/>
    <w:rsid w:val="003F1AE6"/>
    <w:pPr>
      <w:numPr>
        <w:numId w:val="1"/>
      </w:numPr>
    </w:pPr>
    <w:rPr>
      <w:rFonts w:ascii="Verdana" w:hAnsi="Verdana" w:cs="Verdana"/>
      <w:color w:val="000000"/>
      <w:sz w:val="20"/>
      <w:szCs w:val="20"/>
      <w:lang w:eastAsia="fi-FI"/>
    </w:rPr>
  </w:style>
  <w:style w:type="character" w:customStyle="1" w:styleId="CharChar">
    <w:name w:val="Char Char"/>
    <w:basedOn w:val="DefaultParagraphFont"/>
    <w:uiPriority w:val="99"/>
    <w:semiHidden/>
    <w:rsid w:val="001A53C6"/>
    <w:rPr>
      <w:rFonts w:ascii="Arial" w:hAnsi="Arial" w:cs="Arial"/>
      <w:lang w:val="en-GB" w:eastAsia="en-GB"/>
    </w:rPr>
  </w:style>
  <w:style w:type="character" w:styleId="PageNumber">
    <w:name w:val="page number"/>
    <w:basedOn w:val="DefaultParagraphFont"/>
    <w:uiPriority w:val="99"/>
    <w:rsid w:val="00D9244A"/>
  </w:style>
  <w:style w:type="character" w:styleId="FollowedHyperlink">
    <w:name w:val="FollowedHyperlink"/>
    <w:basedOn w:val="DefaultParagraphFont"/>
    <w:uiPriority w:val="99"/>
    <w:rsid w:val="00437C12"/>
    <w:rPr>
      <w:color w:val="800080"/>
      <w:u w:val="single"/>
    </w:rPr>
  </w:style>
  <w:style w:type="paragraph" w:customStyle="1" w:styleId="msolistparagraph0">
    <w:name w:val="msolistparagraph"/>
    <w:basedOn w:val="Normal"/>
    <w:uiPriority w:val="99"/>
    <w:rsid w:val="00252FF5"/>
    <w:pPr>
      <w:ind w:left="720"/>
    </w:pPr>
    <w:rPr>
      <w:sz w:val="24"/>
    </w:rPr>
  </w:style>
  <w:style w:type="character" w:customStyle="1" w:styleId="CommentTextChar1">
    <w:name w:val="Comment Text Char1"/>
    <w:basedOn w:val="DefaultParagraphFont"/>
    <w:uiPriority w:val="99"/>
    <w:semiHidden/>
    <w:locked/>
    <w:rsid w:val="00993CD9"/>
    <w:rPr>
      <w:rFonts w:ascii="Arial" w:hAnsi="Arial" w:cs="Arial"/>
      <w:lang w:val="en-GB" w:eastAsia="en-GB"/>
    </w:rPr>
  </w:style>
  <w:style w:type="paragraph" w:styleId="EndnoteText">
    <w:name w:val="endnote text"/>
    <w:basedOn w:val="Normal"/>
    <w:link w:val="EndnoteTextChar"/>
    <w:uiPriority w:val="99"/>
    <w:semiHidden/>
    <w:rsid w:val="00AA5E7A"/>
    <w:rPr>
      <w:sz w:val="20"/>
      <w:szCs w:val="20"/>
    </w:rPr>
  </w:style>
  <w:style w:type="character" w:customStyle="1" w:styleId="EndnoteTextChar">
    <w:name w:val="Endnote Text Char"/>
    <w:basedOn w:val="DefaultParagraphFont"/>
    <w:link w:val="EndnoteText"/>
    <w:uiPriority w:val="99"/>
    <w:locked/>
    <w:rsid w:val="00AA5E7A"/>
    <w:rPr>
      <w:rFonts w:ascii="Arial" w:hAnsi="Arial" w:cs="Arial"/>
      <w:lang w:val="en-GB" w:eastAsia="en-GB"/>
    </w:rPr>
  </w:style>
  <w:style w:type="character" w:styleId="EndnoteReference">
    <w:name w:val="endnote reference"/>
    <w:basedOn w:val="DefaultParagraphFont"/>
    <w:uiPriority w:val="99"/>
    <w:semiHidden/>
    <w:rsid w:val="00AA5E7A"/>
    <w:rPr>
      <w:vertAlign w:val="superscript"/>
    </w:rPr>
  </w:style>
  <w:style w:type="character" w:customStyle="1" w:styleId="CharChar4">
    <w:name w:val="Char Char4"/>
    <w:basedOn w:val="DefaultParagraphFont"/>
    <w:uiPriority w:val="99"/>
    <w:semiHidden/>
    <w:locked/>
    <w:rsid w:val="00012388"/>
    <w:rPr>
      <w:rFonts w:ascii="Verdana" w:hAnsi="Verdana" w:cs="Verdana"/>
      <w:lang w:val="en-GB" w:eastAsia="en-US"/>
    </w:rPr>
  </w:style>
  <w:style w:type="character" w:customStyle="1" w:styleId="CharChar3">
    <w:name w:val="Char Char3"/>
    <w:basedOn w:val="DefaultParagraphFont"/>
    <w:uiPriority w:val="99"/>
    <w:semiHidden/>
    <w:locked/>
    <w:rsid w:val="00012388"/>
    <w:rPr>
      <w:rFonts w:ascii="Arial" w:hAnsi="Arial" w:cs="Arial"/>
      <w:lang w:val="en-GB" w:eastAsia="en-GB"/>
    </w:rPr>
  </w:style>
  <w:style w:type="character" w:customStyle="1" w:styleId="CharChar14">
    <w:name w:val="Char Char14"/>
    <w:basedOn w:val="DefaultParagraphFont"/>
    <w:uiPriority w:val="99"/>
    <w:rsid w:val="00AA2DE2"/>
    <w:rPr>
      <w:rFonts w:ascii="Verdana" w:hAnsi="Verdana" w:cs="Verdana"/>
      <w:b/>
      <w:bCs/>
      <w:color w:val="auto"/>
      <w:sz w:val="28"/>
      <w:szCs w:val="28"/>
    </w:rPr>
  </w:style>
  <w:style w:type="character" w:customStyle="1" w:styleId="CharChar13">
    <w:name w:val="Char Char13"/>
    <w:basedOn w:val="DefaultParagraphFont"/>
    <w:uiPriority w:val="99"/>
    <w:rsid w:val="00AA2DE2"/>
    <w:rPr>
      <w:rFonts w:ascii="Cambria" w:hAnsi="Cambria" w:cs="Cambria"/>
      <w:b/>
      <w:bCs/>
      <w:color w:val="auto"/>
      <w:sz w:val="26"/>
      <w:szCs w:val="26"/>
    </w:rPr>
  </w:style>
  <w:style w:type="paragraph" w:customStyle="1" w:styleId="Paragraphedeliste2">
    <w:name w:val="Paragraphe de liste2"/>
    <w:basedOn w:val="Normal"/>
    <w:uiPriority w:val="99"/>
    <w:rsid w:val="00AA2DE2"/>
    <w:pPr>
      <w:ind w:left="720"/>
    </w:pPr>
  </w:style>
  <w:style w:type="paragraph" w:styleId="Title">
    <w:name w:val="Title"/>
    <w:basedOn w:val="Normal"/>
    <w:next w:val="Normal"/>
    <w:link w:val="TitleChar"/>
    <w:qFormat/>
    <w:locked/>
    <w:rsid w:val="00D515AE"/>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locked/>
    <w:rsid w:val="00D515AE"/>
    <w:rPr>
      <w:rFonts w:asciiTheme="majorHAnsi" w:eastAsiaTheme="majorEastAsia" w:hAnsiTheme="majorHAnsi" w:cstheme="majorBidi"/>
      <w:color w:val="2F5773" w:themeColor="text2"/>
      <w:spacing w:val="5"/>
      <w:kern w:val="28"/>
      <w:sz w:val="52"/>
      <w:szCs w:val="52"/>
    </w:rPr>
  </w:style>
  <w:style w:type="paragraph" w:styleId="Subtitle">
    <w:name w:val="Subtitle"/>
    <w:next w:val="Normal"/>
    <w:link w:val="SubtitleChar"/>
    <w:autoRedefine/>
    <w:uiPriority w:val="11"/>
    <w:qFormat/>
    <w:locked/>
    <w:rsid w:val="00237B31"/>
    <w:pPr>
      <w:numPr>
        <w:ilvl w:val="1"/>
      </w:numPr>
      <w:spacing w:before="240" w:after="120"/>
    </w:pPr>
    <w:rPr>
      <w:rFonts w:asciiTheme="majorHAnsi" w:eastAsiaTheme="majorEastAsia" w:hAnsiTheme="majorHAnsi" w:cstheme="majorBidi"/>
      <w:color w:val="2F5773" w:themeColor="accent1"/>
      <w:sz w:val="32"/>
      <w:szCs w:val="32"/>
    </w:rPr>
  </w:style>
  <w:style w:type="character" w:customStyle="1" w:styleId="SubtitleChar">
    <w:name w:val="Subtitle Char"/>
    <w:basedOn w:val="DefaultParagraphFont"/>
    <w:link w:val="Subtitle"/>
    <w:uiPriority w:val="11"/>
    <w:locked/>
    <w:rsid w:val="00237B31"/>
    <w:rPr>
      <w:rFonts w:asciiTheme="majorHAnsi" w:eastAsiaTheme="majorEastAsia" w:hAnsiTheme="majorHAnsi" w:cstheme="majorBidi"/>
      <w:color w:val="2F5773" w:themeColor="accent1"/>
      <w:sz w:val="32"/>
      <w:szCs w:val="32"/>
    </w:rPr>
  </w:style>
  <w:style w:type="character" w:styleId="Strong">
    <w:name w:val="Strong"/>
    <w:basedOn w:val="DefaultParagraphFont"/>
    <w:uiPriority w:val="22"/>
    <w:semiHidden/>
    <w:qFormat/>
    <w:rsid w:val="007C00F8"/>
    <w:rPr>
      <w:b/>
      <w:bCs/>
    </w:rPr>
  </w:style>
  <w:style w:type="character" w:styleId="Emphasis">
    <w:name w:val="Emphasis"/>
    <w:basedOn w:val="DefaultParagraphFont"/>
    <w:uiPriority w:val="20"/>
    <w:semiHidden/>
    <w:qFormat/>
    <w:rsid w:val="007C00F8"/>
    <w:rPr>
      <w:i/>
      <w:iCs/>
    </w:rPr>
  </w:style>
  <w:style w:type="paragraph" w:customStyle="1" w:styleId="NoSpacing1">
    <w:name w:val="No Spacing1"/>
    <w:basedOn w:val="Normal"/>
    <w:uiPriority w:val="99"/>
    <w:rsid w:val="007C00F8"/>
  </w:style>
  <w:style w:type="paragraph" w:customStyle="1" w:styleId="ListParagraph2">
    <w:name w:val="List Paragraph2"/>
    <w:basedOn w:val="Normal"/>
    <w:uiPriority w:val="99"/>
    <w:rsid w:val="007C00F8"/>
    <w:pPr>
      <w:ind w:left="720"/>
    </w:pPr>
  </w:style>
  <w:style w:type="paragraph" w:customStyle="1" w:styleId="Quote1">
    <w:name w:val="Quote1"/>
    <w:basedOn w:val="Normal"/>
    <w:next w:val="Normal"/>
    <w:link w:val="QuoteChar"/>
    <w:uiPriority w:val="99"/>
    <w:rsid w:val="007C00F8"/>
    <w:pPr>
      <w:spacing w:before="200"/>
      <w:ind w:left="360" w:right="360"/>
    </w:pPr>
    <w:rPr>
      <w:i/>
      <w:iCs/>
    </w:rPr>
  </w:style>
  <w:style w:type="character" w:customStyle="1" w:styleId="QuoteChar">
    <w:name w:val="Quote Char"/>
    <w:basedOn w:val="DefaultParagraphFont"/>
    <w:link w:val="Quote1"/>
    <w:uiPriority w:val="99"/>
    <w:locked/>
    <w:rsid w:val="007C00F8"/>
    <w:rPr>
      <w:i/>
      <w:iCs/>
    </w:rPr>
  </w:style>
  <w:style w:type="paragraph" w:customStyle="1" w:styleId="IntenseQuote1">
    <w:name w:val="Intense Quote1"/>
    <w:basedOn w:val="Normal"/>
    <w:next w:val="Normal"/>
    <w:link w:val="IntenseQuoteChar"/>
    <w:uiPriority w:val="99"/>
    <w:rsid w:val="007C00F8"/>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1"/>
    <w:uiPriority w:val="99"/>
    <w:locked/>
    <w:rsid w:val="007C00F8"/>
    <w:rPr>
      <w:b/>
      <w:bCs/>
      <w:i/>
      <w:iCs/>
    </w:rPr>
  </w:style>
  <w:style w:type="character" w:customStyle="1" w:styleId="SubtleEmphasis1">
    <w:name w:val="Subtle Emphasis1"/>
    <w:basedOn w:val="DefaultParagraphFont"/>
    <w:uiPriority w:val="99"/>
    <w:rsid w:val="007C00F8"/>
    <w:rPr>
      <w:i/>
      <w:iCs/>
    </w:rPr>
  </w:style>
  <w:style w:type="character" w:customStyle="1" w:styleId="IntenseEmphasis1">
    <w:name w:val="Intense Emphasis1"/>
    <w:basedOn w:val="DefaultParagraphFont"/>
    <w:uiPriority w:val="99"/>
    <w:rsid w:val="007C00F8"/>
    <w:rPr>
      <w:b/>
      <w:bCs/>
    </w:rPr>
  </w:style>
  <w:style w:type="character" w:customStyle="1" w:styleId="SubtleReference1">
    <w:name w:val="Subtle Reference1"/>
    <w:basedOn w:val="DefaultParagraphFont"/>
    <w:uiPriority w:val="99"/>
    <w:rsid w:val="007C00F8"/>
    <w:rPr>
      <w:smallCaps/>
    </w:rPr>
  </w:style>
  <w:style w:type="character" w:customStyle="1" w:styleId="IntenseReference1">
    <w:name w:val="Intense Reference1"/>
    <w:basedOn w:val="DefaultParagraphFont"/>
    <w:uiPriority w:val="99"/>
    <w:rsid w:val="007C00F8"/>
    <w:rPr>
      <w:smallCaps/>
      <w:spacing w:val="5"/>
      <w:u w:val="single"/>
    </w:rPr>
  </w:style>
  <w:style w:type="character" w:customStyle="1" w:styleId="BookTitle1">
    <w:name w:val="Book Title1"/>
    <w:basedOn w:val="DefaultParagraphFont"/>
    <w:uiPriority w:val="99"/>
    <w:rsid w:val="007C00F8"/>
    <w:rPr>
      <w:i/>
      <w:iCs/>
      <w:smallCaps/>
      <w:spacing w:val="5"/>
    </w:rPr>
  </w:style>
  <w:style w:type="paragraph" w:customStyle="1" w:styleId="TOCHeading1">
    <w:name w:val="TOC Heading1"/>
    <w:basedOn w:val="Heading1"/>
    <w:next w:val="Normal"/>
    <w:uiPriority w:val="99"/>
    <w:semiHidden/>
    <w:rsid w:val="007C00F8"/>
    <w:pPr>
      <w:outlineLvl w:val="9"/>
    </w:pPr>
  </w:style>
  <w:style w:type="paragraph" w:styleId="PlainText">
    <w:name w:val="Plain Text"/>
    <w:basedOn w:val="Normal"/>
    <w:link w:val="PlainTextChar"/>
    <w:uiPriority w:val="99"/>
    <w:semiHidden/>
    <w:rsid w:val="003C7592"/>
    <w:rPr>
      <w:rFonts w:ascii="Consolas" w:hAnsi="Consolas" w:cs="Consolas"/>
      <w:sz w:val="21"/>
      <w:szCs w:val="21"/>
    </w:rPr>
  </w:style>
  <w:style w:type="character" w:customStyle="1" w:styleId="PlainTextChar">
    <w:name w:val="Plain Text Char"/>
    <w:basedOn w:val="DefaultParagraphFont"/>
    <w:link w:val="PlainText"/>
    <w:uiPriority w:val="99"/>
    <w:semiHidden/>
    <w:locked/>
    <w:rsid w:val="003C7592"/>
    <w:rPr>
      <w:rFonts w:ascii="Consolas" w:hAnsi="Consolas" w:cs="Consolas"/>
      <w:sz w:val="21"/>
      <w:szCs w:val="21"/>
    </w:rPr>
  </w:style>
  <w:style w:type="paragraph" w:customStyle="1" w:styleId="Revision1">
    <w:name w:val="Revision1"/>
    <w:hidden/>
    <w:uiPriority w:val="99"/>
    <w:semiHidden/>
    <w:rsid w:val="00134F05"/>
    <w:rPr>
      <w:sz w:val="22"/>
      <w:szCs w:val="22"/>
      <w:lang w:val="en-US" w:eastAsia="en-US"/>
    </w:rPr>
  </w:style>
  <w:style w:type="paragraph" w:styleId="NormalWeb">
    <w:name w:val="Normal (Web)"/>
    <w:basedOn w:val="Normal"/>
    <w:uiPriority w:val="99"/>
    <w:rsid w:val="007075FB"/>
    <w:pPr>
      <w:spacing w:before="167" w:after="167"/>
      <w:ind w:left="753" w:right="586"/>
    </w:pPr>
    <w:rPr>
      <w:rFonts w:cs="Times New Roman"/>
      <w:sz w:val="19"/>
      <w:szCs w:val="19"/>
    </w:rPr>
  </w:style>
  <w:style w:type="paragraph" w:styleId="ListParagraph">
    <w:name w:val="List Paragraph"/>
    <w:basedOn w:val="Normal"/>
    <w:uiPriority w:val="34"/>
    <w:qFormat/>
    <w:rsid w:val="00945480"/>
    <w:pPr>
      <w:ind w:left="720"/>
      <w:contextualSpacing/>
    </w:pPr>
  </w:style>
  <w:style w:type="paragraph" w:styleId="TOCHeading">
    <w:name w:val="TOC Heading"/>
    <w:basedOn w:val="Heading1"/>
    <w:next w:val="Normal"/>
    <w:uiPriority w:val="39"/>
    <w:semiHidden/>
    <w:qFormat/>
    <w:rsid w:val="005D32D5"/>
    <w:pPr>
      <w:spacing w:before="480"/>
      <w:outlineLvl w:val="9"/>
    </w:pPr>
    <w:rPr>
      <w:caps w:val="0"/>
      <w:color w:val="234156" w:themeColor="accent1" w:themeShade="BF"/>
      <w:sz w:val="28"/>
      <w:szCs w:val="28"/>
    </w:rPr>
  </w:style>
  <w:style w:type="paragraph" w:customStyle="1" w:styleId="04BodyText">
    <w:name w:val="04_Body Text"/>
    <w:basedOn w:val="TOC1"/>
    <w:rsid w:val="00F12B9D"/>
    <w:pPr>
      <w:spacing w:after="250"/>
      <w:jc w:val="both"/>
    </w:pPr>
    <w:rPr>
      <w:rFonts w:ascii="Georgia" w:hAnsi="Georgia" w:cs="Times New Roman"/>
      <w:sz w:val="20"/>
      <w:lang w:eastAsia="de-DE"/>
    </w:rPr>
  </w:style>
  <w:style w:type="paragraph" w:customStyle="1" w:styleId="04bList">
    <w:name w:val="04b_List"/>
    <w:basedOn w:val="04BodyText"/>
    <w:rsid w:val="00F12B9D"/>
    <w:pPr>
      <w:numPr>
        <w:numId w:val="2"/>
      </w:numPr>
      <w:ind w:left="567" w:hanging="340"/>
    </w:pPr>
  </w:style>
  <w:style w:type="paragraph" w:customStyle="1" w:styleId="04dBodyTextbold">
    <w:name w:val="04d_Body Text bold"/>
    <w:basedOn w:val="04BodyText"/>
    <w:rsid w:val="00F12B9D"/>
    <w:pPr>
      <w:tabs>
        <w:tab w:val="clear" w:pos="421"/>
        <w:tab w:val="left" w:pos="414"/>
      </w:tabs>
    </w:pPr>
    <w:rPr>
      <w:b w:val="0"/>
    </w:rPr>
  </w:style>
  <w:style w:type="paragraph" w:styleId="Revision">
    <w:name w:val="Revision"/>
    <w:hidden/>
    <w:uiPriority w:val="99"/>
    <w:semiHidden/>
    <w:rsid w:val="007C0C9E"/>
    <w:rPr>
      <w:sz w:val="22"/>
      <w:szCs w:val="22"/>
      <w:lang w:val="en-US" w:eastAsia="en-US"/>
    </w:rPr>
  </w:style>
  <w:style w:type="paragraph" w:styleId="Index1">
    <w:name w:val="index 1"/>
    <w:basedOn w:val="Normal"/>
    <w:next w:val="Normal"/>
    <w:autoRedefine/>
    <w:uiPriority w:val="99"/>
    <w:unhideWhenUsed/>
    <w:locked/>
    <w:rsid w:val="00F93543"/>
    <w:pPr>
      <w:ind w:left="220" w:hanging="220"/>
    </w:pPr>
  </w:style>
  <w:style w:type="paragraph" w:styleId="Index2">
    <w:name w:val="index 2"/>
    <w:basedOn w:val="Normal"/>
    <w:next w:val="Normal"/>
    <w:autoRedefine/>
    <w:uiPriority w:val="99"/>
    <w:unhideWhenUsed/>
    <w:locked/>
    <w:rsid w:val="00F93543"/>
    <w:pPr>
      <w:ind w:left="440" w:hanging="220"/>
    </w:pPr>
  </w:style>
  <w:style w:type="paragraph" w:styleId="Index3">
    <w:name w:val="index 3"/>
    <w:basedOn w:val="Normal"/>
    <w:next w:val="Normal"/>
    <w:autoRedefine/>
    <w:uiPriority w:val="99"/>
    <w:unhideWhenUsed/>
    <w:locked/>
    <w:rsid w:val="00F93543"/>
    <w:pPr>
      <w:ind w:left="660" w:hanging="220"/>
    </w:pPr>
  </w:style>
  <w:style w:type="paragraph" w:styleId="Index4">
    <w:name w:val="index 4"/>
    <w:basedOn w:val="Normal"/>
    <w:next w:val="Normal"/>
    <w:autoRedefine/>
    <w:uiPriority w:val="99"/>
    <w:unhideWhenUsed/>
    <w:locked/>
    <w:rsid w:val="00F93543"/>
    <w:pPr>
      <w:ind w:left="880" w:hanging="220"/>
    </w:pPr>
  </w:style>
  <w:style w:type="paragraph" w:styleId="Index5">
    <w:name w:val="index 5"/>
    <w:basedOn w:val="Normal"/>
    <w:next w:val="Normal"/>
    <w:autoRedefine/>
    <w:uiPriority w:val="99"/>
    <w:unhideWhenUsed/>
    <w:locked/>
    <w:rsid w:val="00F93543"/>
    <w:pPr>
      <w:ind w:left="1100" w:hanging="220"/>
    </w:pPr>
  </w:style>
  <w:style w:type="paragraph" w:styleId="Index6">
    <w:name w:val="index 6"/>
    <w:basedOn w:val="Normal"/>
    <w:next w:val="Normal"/>
    <w:autoRedefine/>
    <w:uiPriority w:val="99"/>
    <w:unhideWhenUsed/>
    <w:locked/>
    <w:rsid w:val="00F93543"/>
    <w:pPr>
      <w:ind w:left="1320" w:hanging="220"/>
    </w:pPr>
  </w:style>
  <w:style w:type="paragraph" w:styleId="Index7">
    <w:name w:val="index 7"/>
    <w:basedOn w:val="Normal"/>
    <w:next w:val="Normal"/>
    <w:autoRedefine/>
    <w:uiPriority w:val="99"/>
    <w:unhideWhenUsed/>
    <w:locked/>
    <w:rsid w:val="00F93543"/>
    <w:pPr>
      <w:ind w:left="1540" w:hanging="220"/>
    </w:pPr>
  </w:style>
  <w:style w:type="paragraph" w:styleId="Index8">
    <w:name w:val="index 8"/>
    <w:basedOn w:val="Normal"/>
    <w:next w:val="Normal"/>
    <w:autoRedefine/>
    <w:uiPriority w:val="99"/>
    <w:unhideWhenUsed/>
    <w:locked/>
    <w:rsid w:val="00F93543"/>
    <w:pPr>
      <w:ind w:left="1760" w:hanging="220"/>
    </w:pPr>
  </w:style>
  <w:style w:type="paragraph" w:styleId="Index9">
    <w:name w:val="index 9"/>
    <w:basedOn w:val="Normal"/>
    <w:next w:val="Normal"/>
    <w:autoRedefine/>
    <w:uiPriority w:val="99"/>
    <w:unhideWhenUsed/>
    <w:locked/>
    <w:rsid w:val="00F93543"/>
    <w:pPr>
      <w:ind w:left="1980" w:hanging="220"/>
    </w:pPr>
  </w:style>
  <w:style w:type="paragraph" w:styleId="IndexHeading">
    <w:name w:val="index heading"/>
    <w:basedOn w:val="Normal"/>
    <w:next w:val="Index1"/>
    <w:uiPriority w:val="99"/>
    <w:unhideWhenUsed/>
    <w:locked/>
    <w:rsid w:val="00F93543"/>
  </w:style>
  <w:style w:type="paragraph" w:customStyle="1" w:styleId="Baseparagraphnumbered">
    <w:name w:val="Base paragraph numbered"/>
    <w:basedOn w:val="Normal"/>
    <w:link w:val="BaseparagraphnumberedChar"/>
    <w:rsid w:val="00DC2612"/>
    <w:pPr>
      <w:numPr>
        <w:numId w:val="3"/>
      </w:numPr>
      <w:spacing w:after="240"/>
      <w:jc w:val="both"/>
    </w:pPr>
    <w:rPr>
      <w:rFonts w:ascii="Times New Roman" w:hAnsi="Times New Roman" w:cs="Times New Roman"/>
      <w:sz w:val="24"/>
    </w:rPr>
  </w:style>
  <w:style w:type="character" w:customStyle="1" w:styleId="BaseparagraphnumberedChar">
    <w:name w:val="Base paragraph numbered Char"/>
    <w:basedOn w:val="DefaultParagraphFont"/>
    <w:link w:val="Baseparagraphnumbered"/>
    <w:rsid w:val="00DC2612"/>
    <w:rPr>
      <w:rFonts w:ascii="Times New Roman" w:hAnsi="Times New Roman" w:cs="Times New Roman"/>
    </w:rPr>
  </w:style>
  <w:style w:type="numbering" w:customStyle="1" w:styleId="NoList1">
    <w:name w:val="No List1"/>
    <w:next w:val="NoList"/>
    <w:uiPriority w:val="99"/>
    <w:semiHidden/>
    <w:unhideWhenUsed/>
    <w:rsid w:val="009C2839"/>
  </w:style>
  <w:style w:type="table" w:customStyle="1" w:styleId="LightList1">
    <w:name w:val="Light List1"/>
    <w:basedOn w:val="TableNormal"/>
    <w:uiPriority w:val="61"/>
    <w:rsid w:val="009C2839"/>
    <w:rPr>
      <w:rFonts w:ascii="Times New Roman" w:hAnsi="Times New Roman" w:cs="Times New Roman"/>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ableGrid1">
    <w:name w:val="Table Grid1"/>
    <w:basedOn w:val="TableNormal"/>
    <w:next w:val="TableGrid"/>
    <w:uiPriority w:val="59"/>
    <w:rsid w:val="009C2839"/>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hemeFill="background1" w:themeFillShade="D9"/>
      </w:tcPr>
    </w:tblStylePr>
  </w:style>
  <w:style w:type="table" w:customStyle="1" w:styleId="LightShading1">
    <w:name w:val="Light Shading1"/>
    <w:basedOn w:val="TableNormal"/>
    <w:uiPriority w:val="60"/>
    <w:rsid w:val="009C2839"/>
    <w:rPr>
      <w:rFonts w:ascii="Times New Roman" w:hAnsi="Times New Roman" w:cs="Times New Roman"/>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IntenseQuote">
    <w:name w:val="Intense Quote"/>
    <w:basedOn w:val="Normal"/>
    <w:next w:val="Normal"/>
    <w:link w:val="IntenseQuoteChar1"/>
    <w:uiPriority w:val="30"/>
    <w:semiHidden/>
    <w:qFormat/>
    <w:rsid w:val="000378E5"/>
    <w:pPr>
      <w:pBdr>
        <w:bottom w:val="single" w:sz="4" w:space="4" w:color="2F5773" w:themeColor="accent1"/>
      </w:pBdr>
      <w:spacing w:before="200" w:after="280"/>
      <w:ind w:left="936" w:right="936"/>
    </w:pPr>
    <w:rPr>
      <w:b/>
      <w:bCs/>
      <w:i/>
      <w:iCs/>
      <w:color w:val="2F5773" w:themeColor="accent1"/>
    </w:rPr>
  </w:style>
  <w:style w:type="character" w:customStyle="1" w:styleId="IntenseQuoteChar1">
    <w:name w:val="Intense Quote Char1"/>
    <w:basedOn w:val="DefaultParagraphFont"/>
    <w:link w:val="IntenseQuote"/>
    <w:uiPriority w:val="30"/>
    <w:semiHidden/>
    <w:rsid w:val="000378E5"/>
    <w:rPr>
      <w:b/>
      <w:bCs/>
      <w:i/>
      <w:iCs/>
      <w:color w:val="2F5773" w:themeColor="accent1"/>
      <w:sz w:val="22"/>
    </w:rPr>
  </w:style>
  <w:style w:type="table" w:customStyle="1" w:styleId="EBAtable">
    <w:name w:val="EBA table"/>
    <w:basedOn w:val="TableNormal"/>
    <w:uiPriority w:val="99"/>
    <w:rsid w:val="003D5718"/>
    <w:rPr>
      <w:lang w:val="en-US" w:eastAsia="en-US"/>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paragraph" w:customStyle="1" w:styleId="Tabledata">
    <w:name w:val="Table data"/>
    <w:basedOn w:val="body"/>
    <w:qFormat/>
    <w:rsid w:val="00D515AE"/>
    <w:pPr>
      <w:spacing w:before="120" w:line="240" w:lineRule="auto"/>
    </w:pPr>
    <w:rPr>
      <w:rFonts w:cstheme="minorHAnsi"/>
      <w:bCs/>
      <w:color w:val="000000"/>
      <w:sz w:val="20"/>
      <w:szCs w:val="22"/>
    </w:rPr>
  </w:style>
  <w:style w:type="paragraph" w:customStyle="1" w:styleId="Tableheader">
    <w:name w:val="Table header"/>
    <w:next w:val="Tabledata"/>
    <w:qFormat/>
    <w:rsid w:val="00D515AE"/>
    <w:pPr>
      <w:spacing w:after="80"/>
    </w:pPr>
    <w:rPr>
      <w:rFonts w:ascii="Calibri" w:hAnsi="Calibri" w:cs="Times New Roman"/>
      <w:b/>
      <w:color w:val="000000"/>
      <w:sz w:val="22"/>
      <w:szCs w:val="22"/>
    </w:rPr>
  </w:style>
  <w:style w:type="paragraph" w:customStyle="1" w:styleId="Runningtitle">
    <w:name w:val="Running title"/>
    <w:qFormat/>
    <w:rsid w:val="00D515AE"/>
    <w:rPr>
      <w:caps/>
      <w:sz w:val="16"/>
      <w:szCs w:val="18"/>
    </w:rPr>
  </w:style>
  <w:style w:type="paragraph" w:customStyle="1" w:styleId="Numberedtilelevel1">
    <w:name w:val="Numbered tile level 1"/>
    <w:basedOn w:val="Titlelevel1"/>
    <w:qFormat/>
    <w:rsid w:val="00D515AE"/>
    <w:pPr>
      <w:numPr>
        <w:numId w:val="17"/>
      </w:numPr>
    </w:pPr>
  </w:style>
  <w:style w:type="paragraph" w:customStyle="1" w:styleId="Numberedtitlelevel2">
    <w:name w:val="Numbered title level 2"/>
    <w:basedOn w:val="Titlelevel2"/>
    <w:next w:val="body"/>
    <w:qFormat/>
    <w:rsid w:val="00D515AE"/>
    <w:pPr>
      <w:numPr>
        <w:ilvl w:val="1"/>
        <w:numId w:val="17"/>
      </w:numPr>
    </w:pPr>
  </w:style>
  <w:style w:type="paragraph" w:customStyle="1" w:styleId="Titlelevel2">
    <w:name w:val="Title level 2"/>
    <w:qFormat/>
    <w:rsid w:val="00D515AE"/>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D515AE"/>
    <w:pPr>
      <w:spacing w:before="240" w:after="120" w:line="276" w:lineRule="auto"/>
      <w:jc w:val="both"/>
    </w:pPr>
    <w:rPr>
      <w:sz w:val="22"/>
    </w:rPr>
  </w:style>
  <w:style w:type="paragraph" w:customStyle="1" w:styleId="List1">
    <w:name w:val="List1"/>
    <w:autoRedefine/>
    <w:qFormat/>
    <w:rsid w:val="00D515AE"/>
    <w:pPr>
      <w:numPr>
        <w:numId w:val="14"/>
      </w:numPr>
    </w:pPr>
    <w:rPr>
      <w:sz w:val="22"/>
      <w:szCs w:val="22"/>
    </w:rPr>
  </w:style>
  <w:style w:type="paragraph" w:customStyle="1" w:styleId="Titlelevel1">
    <w:name w:val="Title level 1"/>
    <w:autoRedefine/>
    <w:qFormat/>
    <w:rsid w:val="00D515AE"/>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7D121B"/>
    <w:pPr>
      <w:keepNext/>
      <w:spacing w:before="240" w:after="240"/>
    </w:pPr>
    <w:rPr>
      <w:b/>
      <w:color w:val="2F5773" w:themeColor="text2"/>
    </w:rPr>
  </w:style>
  <w:style w:type="paragraph" w:customStyle="1" w:styleId="Titlelevel4">
    <w:name w:val="Title level 4"/>
    <w:next w:val="body"/>
    <w:qFormat/>
    <w:rsid w:val="007C4AD7"/>
    <w:pPr>
      <w:keepNext/>
      <w:spacing w:before="240" w:after="240"/>
    </w:pPr>
    <w:rPr>
      <w:color w:val="E98E31" w:themeColor="background2"/>
    </w:rPr>
  </w:style>
  <w:style w:type="paragraph" w:customStyle="1" w:styleId="Figuretitle">
    <w:name w:val="Figure title"/>
    <w:basedOn w:val="body"/>
    <w:next w:val="Normal"/>
    <w:autoRedefine/>
    <w:qFormat/>
    <w:rsid w:val="00D515AE"/>
    <w:pPr>
      <w:keepNext/>
      <w:spacing w:before="360" w:after="360"/>
    </w:pPr>
    <w:rPr>
      <w:rFonts w:eastAsia="Times New Roman" w:cs="Times New Roman"/>
      <w:bCs/>
      <w:noProof/>
      <w:color w:val="2F5773" w:themeColor="text2"/>
      <w:szCs w:val="20"/>
    </w:rPr>
  </w:style>
  <w:style w:type="paragraph" w:customStyle="1" w:styleId="bullet1">
    <w:name w:val="bullet 1"/>
    <w:basedOn w:val="body"/>
    <w:next w:val="body"/>
    <w:qFormat/>
    <w:rsid w:val="00D515AE"/>
    <w:pPr>
      <w:numPr>
        <w:numId w:val="15"/>
      </w:numPr>
    </w:pPr>
    <w:rPr>
      <w:szCs w:val="22"/>
    </w:rPr>
  </w:style>
  <w:style w:type="paragraph" w:customStyle="1" w:styleId="bullet2">
    <w:name w:val="bullet 2"/>
    <w:basedOn w:val="body"/>
    <w:qFormat/>
    <w:rsid w:val="00D515AE"/>
    <w:pPr>
      <w:numPr>
        <w:numId w:val="16"/>
      </w:numPr>
    </w:pPr>
    <w:rPr>
      <w:szCs w:val="22"/>
    </w:rPr>
  </w:style>
  <w:style w:type="paragraph" w:customStyle="1" w:styleId="Numberedtitlelevel3">
    <w:name w:val="Numbered title level 3"/>
    <w:basedOn w:val="Titlelevel3"/>
    <w:next w:val="body"/>
    <w:qFormat/>
    <w:rsid w:val="00D515AE"/>
    <w:pPr>
      <w:numPr>
        <w:ilvl w:val="2"/>
        <w:numId w:val="17"/>
      </w:numPr>
    </w:pPr>
  </w:style>
  <w:style w:type="paragraph" w:customStyle="1" w:styleId="Contenttitle">
    <w:name w:val="Content title"/>
    <w:basedOn w:val="Titlelevel1"/>
    <w:qFormat/>
    <w:rsid w:val="00D515AE"/>
  </w:style>
  <w:style w:type="paragraph" w:customStyle="1" w:styleId="Numberedtitlelevel4">
    <w:name w:val="Numbered title level 4"/>
    <w:basedOn w:val="Titlelevel4"/>
    <w:qFormat/>
    <w:rsid w:val="00D515AE"/>
    <w:pPr>
      <w:numPr>
        <w:numId w:val="18"/>
      </w:numPr>
    </w:pPr>
  </w:style>
  <w:style w:type="character" w:customStyle="1" w:styleId="Highlighttext">
    <w:name w:val="Highlight text"/>
    <w:basedOn w:val="DefaultParagraphFont"/>
    <w:uiPriority w:val="1"/>
    <w:semiHidden/>
    <w:qFormat/>
    <w:rsid w:val="00D515AE"/>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D515AE"/>
    <w:rPr>
      <w:rFonts w:eastAsia="Times New Roman"/>
      <w:bCs/>
    </w:rPr>
  </w:style>
  <w:style w:type="paragraph" w:customStyle="1" w:styleId="numberedparagraph">
    <w:name w:val="numbered paragraph"/>
    <w:basedOn w:val="body"/>
    <w:qFormat/>
    <w:rsid w:val="00D515AE"/>
    <w:pPr>
      <w:numPr>
        <w:numId w:val="19"/>
      </w:numPr>
    </w:pPr>
  </w:style>
  <w:style w:type="paragraph" w:styleId="TableofFigures">
    <w:name w:val="table of figures"/>
    <w:basedOn w:val="Normal"/>
    <w:next w:val="Normal"/>
    <w:autoRedefine/>
    <w:uiPriority w:val="99"/>
    <w:qFormat/>
    <w:locked/>
    <w:rsid w:val="00D515AE"/>
    <w:pPr>
      <w:spacing w:before="160"/>
    </w:pPr>
  </w:style>
  <w:style w:type="paragraph" w:styleId="List">
    <w:name w:val="List"/>
    <w:autoRedefine/>
    <w:uiPriority w:val="99"/>
    <w:semiHidden/>
    <w:qFormat/>
    <w:locked/>
    <w:rsid w:val="00D515AE"/>
    <w:pPr>
      <w:numPr>
        <w:numId w:val="12"/>
      </w:numPr>
      <w:spacing w:before="240" w:after="120"/>
      <w:contextualSpacing/>
    </w:pPr>
    <w:rPr>
      <w:sz w:val="22"/>
    </w:rPr>
  </w:style>
  <w:style w:type="paragraph" w:styleId="ListBullet">
    <w:name w:val="List Bullet"/>
    <w:basedOn w:val="Normal"/>
    <w:semiHidden/>
    <w:qFormat/>
    <w:locked/>
    <w:rsid w:val="00D515AE"/>
    <w:pPr>
      <w:numPr>
        <w:numId w:val="13"/>
      </w:numPr>
      <w:contextualSpacing/>
    </w:pPr>
  </w:style>
  <w:style w:type="character" w:styleId="BookTitle">
    <w:name w:val="Book Title"/>
    <w:basedOn w:val="DefaultParagraphFont"/>
    <w:uiPriority w:val="33"/>
    <w:qFormat/>
    <w:rsid w:val="00D515AE"/>
    <w:rPr>
      <w:b/>
      <w:bCs/>
      <w:smallCaps/>
      <w:spacing w:val="5"/>
    </w:rPr>
  </w:style>
  <w:style w:type="paragraph" w:customStyle="1" w:styleId="SQL">
    <w:name w:val="SQL"/>
    <w:basedOn w:val="Normal"/>
    <w:link w:val="SQLChar"/>
    <w:qFormat/>
    <w:rsid w:val="002F1FBD"/>
    <w:pPr>
      <w:ind w:left="720"/>
    </w:pPr>
    <w:rPr>
      <w:rFonts w:ascii="Consolas" w:hAnsi="Consolas" w:cs="Consolas"/>
      <w:sz w:val="14"/>
      <w:szCs w:val="16"/>
    </w:rPr>
  </w:style>
  <w:style w:type="character" w:customStyle="1" w:styleId="SQLChar">
    <w:name w:val="SQL Char"/>
    <w:basedOn w:val="DefaultParagraphFont"/>
    <w:link w:val="SQL"/>
    <w:rsid w:val="002F1FBD"/>
    <w:rPr>
      <w:rFonts w:ascii="Consolas" w:hAnsi="Consolas" w:cs="Consolas"/>
      <w:sz w:val="14"/>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560055">
      <w:bodyDiv w:val="1"/>
      <w:marLeft w:val="0"/>
      <w:marRight w:val="0"/>
      <w:marTop w:val="0"/>
      <w:marBottom w:val="0"/>
      <w:divBdr>
        <w:top w:val="none" w:sz="0" w:space="0" w:color="auto"/>
        <w:left w:val="none" w:sz="0" w:space="0" w:color="auto"/>
        <w:bottom w:val="none" w:sz="0" w:space="0" w:color="auto"/>
        <w:right w:val="none" w:sz="0" w:space="0" w:color="auto"/>
      </w:divBdr>
    </w:div>
    <w:div w:id="45182381">
      <w:bodyDiv w:val="1"/>
      <w:marLeft w:val="0"/>
      <w:marRight w:val="0"/>
      <w:marTop w:val="0"/>
      <w:marBottom w:val="0"/>
      <w:divBdr>
        <w:top w:val="none" w:sz="0" w:space="0" w:color="auto"/>
        <w:left w:val="none" w:sz="0" w:space="0" w:color="auto"/>
        <w:bottom w:val="none" w:sz="0" w:space="0" w:color="auto"/>
        <w:right w:val="none" w:sz="0" w:space="0" w:color="auto"/>
      </w:divBdr>
    </w:div>
    <w:div w:id="133642743">
      <w:bodyDiv w:val="1"/>
      <w:marLeft w:val="0"/>
      <w:marRight w:val="0"/>
      <w:marTop w:val="0"/>
      <w:marBottom w:val="0"/>
      <w:divBdr>
        <w:top w:val="none" w:sz="0" w:space="0" w:color="auto"/>
        <w:left w:val="none" w:sz="0" w:space="0" w:color="auto"/>
        <w:bottom w:val="none" w:sz="0" w:space="0" w:color="auto"/>
        <w:right w:val="none" w:sz="0" w:space="0" w:color="auto"/>
      </w:divBdr>
    </w:div>
    <w:div w:id="202522353">
      <w:bodyDiv w:val="1"/>
      <w:marLeft w:val="0"/>
      <w:marRight w:val="0"/>
      <w:marTop w:val="0"/>
      <w:marBottom w:val="0"/>
      <w:divBdr>
        <w:top w:val="none" w:sz="0" w:space="0" w:color="auto"/>
        <w:left w:val="none" w:sz="0" w:space="0" w:color="auto"/>
        <w:bottom w:val="none" w:sz="0" w:space="0" w:color="auto"/>
        <w:right w:val="none" w:sz="0" w:space="0" w:color="auto"/>
      </w:divBdr>
    </w:div>
    <w:div w:id="281767511">
      <w:bodyDiv w:val="1"/>
      <w:marLeft w:val="0"/>
      <w:marRight w:val="0"/>
      <w:marTop w:val="0"/>
      <w:marBottom w:val="0"/>
      <w:divBdr>
        <w:top w:val="none" w:sz="0" w:space="0" w:color="auto"/>
        <w:left w:val="none" w:sz="0" w:space="0" w:color="auto"/>
        <w:bottom w:val="none" w:sz="0" w:space="0" w:color="auto"/>
        <w:right w:val="none" w:sz="0" w:space="0" w:color="auto"/>
      </w:divBdr>
    </w:div>
    <w:div w:id="329524697">
      <w:marLeft w:val="0"/>
      <w:marRight w:val="0"/>
      <w:marTop w:val="0"/>
      <w:marBottom w:val="0"/>
      <w:divBdr>
        <w:top w:val="none" w:sz="0" w:space="0" w:color="auto"/>
        <w:left w:val="none" w:sz="0" w:space="0" w:color="auto"/>
        <w:bottom w:val="none" w:sz="0" w:space="0" w:color="auto"/>
        <w:right w:val="none" w:sz="0" w:space="0" w:color="auto"/>
      </w:divBdr>
    </w:div>
    <w:div w:id="329524698">
      <w:marLeft w:val="0"/>
      <w:marRight w:val="0"/>
      <w:marTop w:val="0"/>
      <w:marBottom w:val="0"/>
      <w:divBdr>
        <w:top w:val="none" w:sz="0" w:space="0" w:color="auto"/>
        <w:left w:val="none" w:sz="0" w:space="0" w:color="auto"/>
        <w:bottom w:val="none" w:sz="0" w:space="0" w:color="auto"/>
        <w:right w:val="none" w:sz="0" w:space="0" w:color="auto"/>
      </w:divBdr>
    </w:div>
    <w:div w:id="329524699">
      <w:marLeft w:val="0"/>
      <w:marRight w:val="0"/>
      <w:marTop w:val="0"/>
      <w:marBottom w:val="0"/>
      <w:divBdr>
        <w:top w:val="none" w:sz="0" w:space="0" w:color="auto"/>
        <w:left w:val="none" w:sz="0" w:space="0" w:color="auto"/>
        <w:bottom w:val="none" w:sz="0" w:space="0" w:color="auto"/>
        <w:right w:val="none" w:sz="0" w:space="0" w:color="auto"/>
      </w:divBdr>
    </w:div>
    <w:div w:id="329524700">
      <w:marLeft w:val="0"/>
      <w:marRight w:val="0"/>
      <w:marTop w:val="0"/>
      <w:marBottom w:val="0"/>
      <w:divBdr>
        <w:top w:val="none" w:sz="0" w:space="0" w:color="auto"/>
        <w:left w:val="none" w:sz="0" w:space="0" w:color="auto"/>
        <w:bottom w:val="none" w:sz="0" w:space="0" w:color="auto"/>
        <w:right w:val="none" w:sz="0" w:space="0" w:color="auto"/>
      </w:divBdr>
      <w:divsChild>
        <w:div w:id="329524701">
          <w:marLeft w:val="3"/>
          <w:marRight w:val="3"/>
          <w:marTop w:val="0"/>
          <w:marBottom w:val="0"/>
          <w:divBdr>
            <w:top w:val="single" w:sz="6" w:space="0" w:color="112449"/>
            <w:left w:val="single" w:sz="6" w:space="0" w:color="112449"/>
            <w:bottom w:val="single" w:sz="6" w:space="0" w:color="112449"/>
            <w:right w:val="single" w:sz="6" w:space="0" w:color="112449"/>
          </w:divBdr>
        </w:div>
      </w:divsChild>
    </w:div>
    <w:div w:id="341321958">
      <w:bodyDiv w:val="1"/>
      <w:marLeft w:val="0"/>
      <w:marRight w:val="0"/>
      <w:marTop w:val="0"/>
      <w:marBottom w:val="0"/>
      <w:divBdr>
        <w:top w:val="none" w:sz="0" w:space="0" w:color="auto"/>
        <w:left w:val="none" w:sz="0" w:space="0" w:color="auto"/>
        <w:bottom w:val="none" w:sz="0" w:space="0" w:color="auto"/>
        <w:right w:val="none" w:sz="0" w:space="0" w:color="auto"/>
      </w:divBdr>
    </w:div>
    <w:div w:id="353114242">
      <w:bodyDiv w:val="1"/>
      <w:marLeft w:val="0"/>
      <w:marRight w:val="0"/>
      <w:marTop w:val="0"/>
      <w:marBottom w:val="0"/>
      <w:divBdr>
        <w:top w:val="none" w:sz="0" w:space="0" w:color="auto"/>
        <w:left w:val="none" w:sz="0" w:space="0" w:color="auto"/>
        <w:bottom w:val="none" w:sz="0" w:space="0" w:color="auto"/>
        <w:right w:val="none" w:sz="0" w:space="0" w:color="auto"/>
      </w:divBdr>
    </w:div>
    <w:div w:id="385492235">
      <w:bodyDiv w:val="1"/>
      <w:marLeft w:val="0"/>
      <w:marRight w:val="0"/>
      <w:marTop w:val="0"/>
      <w:marBottom w:val="0"/>
      <w:divBdr>
        <w:top w:val="none" w:sz="0" w:space="0" w:color="auto"/>
        <w:left w:val="none" w:sz="0" w:space="0" w:color="auto"/>
        <w:bottom w:val="none" w:sz="0" w:space="0" w:color="auto"/>
        <w:right w:val="none" w:sz="0" w:space="0" w:color="auto"/>
      </w:divBdr>
      <w:divsChild>
        <w:div w:id="978534335">
          <w:marLeft w:val="0"/>
          <w:marRight w:val="0"/>
          <w:marTop w:val="0"/>
          <w:marBottom w:val="0"/>
          <w:divBdr>
            <w:top w:val="none" w:sz="0" w:space="0" w:color="auto"/>
            <w:left w:val="none" w:sz="0" w:space="0" w:color="auto"/>
            <w:bottom w:val="none" w:sz="0" w:space="0" w:color="auto"/>
            <w:right w:val="none" w:sz="0" w:space="0" w:color="auto"/>
          </w:divBdr>
          <w:divsChild>
            <w:div w:id="839736094">
              <w:marLeft w:val="0"/>
              <w:marRight w:val="0"/>
              <w:marTop w:val="0"/>
              <w:marBottom w:val="0"/>
              <w:divBdr>
                <w:top w:val="none" w:sz="0" w:space="0" w:color="auto"/>
                <w:left w:val="none" w:sz="0" w:space="0" w:color="auto"/>
                <w:bottom w:val="none" w:sz="0" w:space="0" w:color="auto"/>
                <w:right w:val="none" w:sz="0" w:space="0" w:color="auto"/>
              </w:divBdr>
              <w:divsChild>
                <w:div w:id="1029641419">
                  <w:marLeft w:val="3273"/>
                  <w:marRight w:val="0"/>
                  <w:marTop w:val="0"/>
                  <w:marBottom w:val="0"/>
                  <w:divBdr>
                    <w:top w:val="none" w:sz="0" w:space="0" w:color="auto"/>
                    <w:left w:val="none" w:sz="0" w:space="0" w:color="auto"/>
                    <w:bottom w:val="none" w:sz="0" w:space="0" w:color="auto"/>
                    <w:right w:val="none" w:sz="0" w:space="0" w:color="auto"/>
                  </w:divBdr>
                  <w:divsChild>
                    <w:div w:id="1888177379">
                      <w:marLeft w:val="0"/>
                      <w:marRight w:val="0"/>
                      <w:marTop w:val="0"/>
                      <w:marBottom w:val="0"/>
                      <w:divBdr>
                        <w:top w:val="none" w:sz="0" w:space="0" w:color="auto"/>
                        <w:left w:val="none" w:sz="0" w:space="0" w:color="auto"/>
                        <w:bottom w:val="none" w:sz="0" w:space="0" w:color="auto"/>
                        <w:right w:val="none" w:sz="0" w:space="0" w:color="auto"/>
                      </w:divBdr>
                      <w:divsChild>
                        <w:div w:id="1885675141">
                          <w:marLeft w:val="0"/>
                          <w:marRight w:val="0"/>
                          <w:marTop w:val="0"/>
                          <w:marBottom w:val="0"/>
                          <w:divBdr>
                            <w:top w:val="none" w:sz="0" w:space="0" w:color="auto"/>
                            <w:left w:val="none" w:sz="0" w:space="0" w:color="auto"/>
                            <w:bottom w:val="none" w:sz="0" w:space="0" w:color="auto"/>
                            <w:right w:val="none" w:sz="0" w:space="0" w:color="auto"/>
                          </w:divBdr>
                          <w:divsChild>
                            <w:div w:id="385761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3712966">
      <w:bodyDiv w:val="1"/>
      <w:marLeft w:val="0"/>
      <w:marRight w:val="0"/>
      <w:marTop w:val="0"/>
      <w:marBottom w:val="0"/>
      <w:divBdr>
        <w:top w:val="none" w:sz="0" w:space="0" w:color="auto"/>
        <w:left w:val="none" w:sz="0" w:space="0" w:color="auto"/>
        <w:bottom w:val="none" w:sz="0" w:space="0" w:color="auto"/>
        <w:right w:val="none" w:sz="0" w:space="0" w:color="auto"/>
      </w:divBdr>
      <w:divsChild>
        <w:div w:id="350618074">
          <w:marLeft w:val="0"/>
          <w:marRight w:val="0"/>
          <w:marTop w:val="0"/>
          <w:marBottom w:val="0"/>
          <w:divBdr>
            <w:top w:val="none" w:sz="0" w:space="0" w:color="auto"/>
            <w:left w:val="none" w:sz="0" w:space="0" w:color="auto"/>
            <w:bottom w:val="none" w:sz="0" w:space="0" w:color="auto"/>
            <w:right w:val="none" w:sz="0" w:space="0" w:color="auto"/>
          </w:divBdr>
          <w:divsChild>
            <w:div w:id="2016882451">
              <w:marLeft w:val="0"/>
              <w:marRight w:val="0"/>
              <w:marTop w:val="0"/>
              <w:marBottom w:val="0"/>
              <w:divBdr>
                <w:top w:val="none" w:sz="0" w:space="0" w:color="auto"/>
                <w:left w:val="none" w:sz="0" w:space="0" w:color="auto"/>
                <w:bottom w:val="none" w:sz="0" w:space="0" w:color="auto"/>
                <w:right w:val="none" w:sz="0" w:space="0" w:color="auto"/>
              </w:divBdr>
              <w:divsChild>
                <w:div w:id="1877347285">
                  <w:marLeft w:val="5400"/>
                  <w:marRight w:val="0"/>
                  <w:marTop w:val="0"/>
                  <w:marBottom w:val="0"/>
                  <w:divBdr>
                    <w:top w:val="none" w:sz="0" w:space="0" w:color="auto"/>
                    <w:left w:val="none" w:sz="0" w:space="0" w:color="auto"/>
                    <w:bottom w:val="none" w:sz="0" w:space="0" w:color="auto"/>
                    <w:right w:val="none" w:sz="0" w:space="0" w:color="auto"/>
                  </w:divBdr>
                  <w:divsChild>
                    <w:div w:id="266498749">
                      <w:marLeft w:val="0"/>
                      <w:marRight w:val="0"/>
                      <w:marTop w:val="0"/>
                      <w:marBottom w:val="0"/>
                      <w:divBdr>
                        <w:top w:val="none" w:sz="0" w:space="0" w:color="auto"/>
                        <w:left w:val="none" w:sz="0" w:space="0" w:color="auto"/>
                        <w:bottom w:val="none" w:sz="0" w:space="0" w:color="auto"/>
                        <w:right w:val="none" w:sz="0" w:space="0" w:color="auto"/>
                      </w:divBdr>
                      <w:divsChild>
                        <w:div w:id="1887137914">
                          <w:marLeft w:val="0"/>
                          <w:marRight w:val="0"/>
                          <w:marTop w:val="0"/>
                          <w:marBottom w:val="0"/>
                          <w:divBdr>
                            <w:top w:val="none" w:sz="0" w:space="0" w:color="auto"/>
                            <w:left w:val="none" w:sz="0" w:space="0" w:color="auto"/>
                            <w:bottom w:val="none" w:sz="0" w:space="0" w:color="auto"/>
                            <w:right w:val="none" w:sz="0" w:space="0" w:color="auto"/>
                          </w:divBdr>
                          <w:divsChild>
                            <w:div w:id="100300948">
                              <w:marLeft w:val="0"/>
                              <w:marRight w:val="0"/>
                              <w:marTop w:val="0"/>
                              <w:marBottom w:val="0"/>
                              <w:divBdr>
                                <w:top w:val="none" w:sz="0" w:space="0" w:color="auto"/>
                                <w:left w:val="none" w:sz="0" w:space="0" w:color="auto"/>
                                <w:bottom w:val="none" w:sz="0" w:space="0" w:color="auto"/>
                                <w:right w:val="none" w:sz="0" w:space="0" w:color="auto"/>
                              </w:divBdr>
                              <w:divsChild>
                                <w:div w:id="1694453138">
                                  <w:marLeft w:val="0"/>
                                  <w:marRight w:val="0"/>
                                  <w:marTop w:val="0"/>
                                  <w:marBottom w:val="0"/>
                                  <w:divBdr>
                                    <w:top w:val="none" w:sz="0" w:space="0" w:color="auto"/>
                                    <w:left w:val="none" w:sz="0" w:space="0" w:color="auto"/>
                                    <w:bottom w:val="none" w:sz="0" w:space="0" w:color="auto"/>
                                    <w:right w:val="none" w:sz="0" w:space="0" w:color="auto"/>
                                  </w:divBdr>
                                  <w:divsChild>
                                    <w:div w:id="1853370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54128093">
      <w:bodyDiv w:val="1"/>
      <w:marLeft w:val="0"/>
      <w:marRight w:val="0"/>
      <w:marTop w:val="0"/>
      <w:marBottom w:val="0"/>
      <w:divBdr>
        <w:top w:val="none" w:sz="0" w:space="0" w:color="auto"/>
        <w:left w:val="none" w:sz="0" w:space="0" w:color="auto"/>
        <w:bottom w:val="none" w:sz="0" w:space="0" w:color="auto"/>
        <w:right w:val="none" w:sz="0" w:space="0" w:color="auto"/>
      </w:divBdr>
    </w:div>
    <w:div w:id="650255584">
      <w:bodyDiv w:val="1"/>
      <w:marLeft w:val="0"/>
      <w:marRight w:val="0"/>
      <w:marTop w:val="0"/>
      <w:marBottom w:val="0"/>
      <w:divBdr>
        <w:top w:val="none" w:sz="0" w:space="0" w:color="auto"/>
        <w:left w:val="none" w:sz="0" w:space="0" w:color="auto"/>
        <w:bottom w:val="none" w:sz="0" w:space="0" w:color="auto"/>
        <w:right w:val="none" w:sz="0" w:space="0" w:color="auto"/>
      </w:divBdr>
    </w:div>
    <w:div w:id="686446948">
      <w:bodyDiv w:val="1"/>
      <w:marLeft w:val="0"/>
      <w:marRight w:val="0"/>
      <w:marTop w:val="0"/>
      <w:marBottom w:val="0"/>
      <w:divBdr>
        <w:top w:val="none" w:sz="0" w:space="0" w:color="auto"/>
        <w:left w:val="none" w:sz="0" w:space="0" w:color="auto"/>
        <w:bottom w:val="none" w:sz="0" w:space="0" w:color="auto"/>
        <w:right w:val="none" w:sz="0" w:space="0" w:color="auto"/>
      </w:divBdr>
    </w:div>
    <w:div w:id="707680050">
      <w:bodyDiv w:val="1"/>
      <w:marLeft w:val="0"/>
      <w:marRight w:val="0"/>
      <w:marTop w:val="0"/>
      <w:marBottom w:val="0"/>
      <w:divBdr>
        <w:top w:val="none" w:sz="0" w:space="0" w:color="auto"/>
        <w:left w:val="none" w:sz="0" w:space="0" w:color="auto"/>
        <w:bottom w:val="none" w:sz="0" w:space="0" w:color="auto"/>
        <w:right w:val="none" w:sz="0" w:space="0" w:color="auto"/>
      </w:divBdr>
    </w:div>
    <w:div w:id="794450366">
      <w:bodyDiv w:val="1"/>
      <w:marLeft w:val="0"/>
      <w:marRight w:val="0"/>
      <w:marTop w:val="0"/>
      <w:marBottom w:val="0"/>
      <w:divBdr>
        <w:top w:val="none" w:sz="0" w:space="0" w:color="auto"/>
        <w:left w:val="none" w:sz="0" w:space="0" w:color="auto"/>
        <w:bottom w:val="none" w:sz="0" w:space="0" w:color="auto"/>
        <w:right w:val="none" w:sz="0" w:space="0" w:color="auto"/>
      </w:divBdr>
    </w:div>
    <w:div w:id="830219764">
      <w:bodyDiv w:val="1"/>
      <w:marLeft w:val="0"/>
      <w:marRight w:val="0"/>
      <w:marTop w:val="0"/>
      <w:marBottom w:val="0"/>
      <w:divBdr>
        <w:top w:val="none" w:sz="0" w:space="0" w:color="auto"/>
        <w:left w:val="none" w:sz="0" w:space="0" w:color="auto"/>
        <w:bottom w:val="none" w:sz="0" w:space="0" w:color="auto"/>
        <w:right w:val="none" w:sz="0" w:space="0" w:color="auto"/>
      </w:divBdr>
    </w:div>
    <w:div w:id="851182970">
      <w:bodyDiv w:val="1"/>
      <w:marLeft w:val="0"/>
      <w:marRight w:val="0"/>
      <w:marTop w:val="0"/>
      <w:marBottom w:val="0"/>
      <w:divBdr>
        <w:top w:val="none" w:sz="0" w:space="0" w:color="auto"/>
        <w:left w:val="none" w:sz="0" w:space="0" w:color="auto"/>
        <w:bottom w:val="none" w:sz="0" w:space="0" w:color="auto"/>
        <w:right w:val="none" w:sz="0" w:space="0" w:color="auto"/>
      </w:divBdr>
    </w:div>
    <w:div w:id="939491023">
      <w:bodyDiv w:val="1"/>
      <w:marLeft w:val="0"/>
      <w:marRight w:val="0"/>
      <w:marTop w:val="0"/>
      <w:marBottom w:val="0"/>
      <w:divBdr>
        <w:top w:val="none" w:sz="0" w:space="0" w:color="auto"/>
        <w:left w:val="none" w:sz="0" w:space="0" w:color="auto"/>
        <w:bottom w:val="none" w:sz="0" w:space="0" w:color="auto"/>
        <w:right w:val="none" w:sz="0" w:space="0" w:color="auto"/>
      </w:divBdr>
    </w:div>
    <w:div w:id="1070813140">
      <w:bodyDiv w:val="1"/>
      <w:marLeft w:val="0"/>
      <w:marRight w:val="0"/>
      <w:marTop w:val="0"/>
      <w:marBottom w:val="0"/>
      <w:divBdr>
        <w:top w:val="none" w:sz="0" w:space="0" w:color="auto"/>
        <w:left w:val="none" w:sz="0" w:space="0" w:color="auto"/>
        <w:bottom w:val="none" w:sz="0" w:space="0" w:color="auto"/>
        <w:right w:val="none" w:sz="0" w:space="0" w:color="auto"/>
      </w:divBdr>
    </w:div>
    <w:div w:id="1086730389">
      <w:bodyDiv w:val="1"/>
      <w:marLeft w:val="0"/>
      <w:marRight w:val="0"/>
      <w:marTop w:val="0"/>
      <w:marBottom w:val="0"/>
      <w:divBdr>
        <w:top w:val="none" w:sz="0" w:space="0" w:color="auto"/>
        <w:left w:val="none" w:sz="0" w:space="0" w:color="auto"/>
        <w:bottom w:val="none" w:sz="0" w:space="0" w:color="auto"/>
        <w:right w:val="none" w:sz="0" w:space="0" w:color="auto"/>
      </w:divBdr>
    </w:div>
    <w:div w:id="1127509594">
      <w:bodyDiv w:val="1"/>
      <w:marLeft w:val="0"/>
      <w:marRight w:val="0"/>
      <w:marTop w:val="0"/>
      <w:marBottom w:val="0"/>
      <w:divBdr>
        <w:top w:val="none" w:sz="0" w:space="0" w:color="auto"/>
        <w:left w:val="none" w:sz="0" w:space="0" w:color="auto"/>
        <w:bottom w:val="none" w:sz="0" w:space="0" w:color="auto"/>
        <w:right w:val="none" w:sz="0" w:space="0" w:color="auto"/>
      </w:divBdr>
    </w:div>
    <w:div w:id="1142040655">
      <w:bodyDiv w:val="1"/>
      <w:marLeft w:val="0"/>
      <w:marRight w:val="0"/>
      <w:marTop w:val="0"/>
      <w:marBottom w:val="0"/>
      <w:divBdr>
        <w:top w:val="none" w:sz="0" w:space="0" w:color="auto"/>
        <w:left w:val="none" w:sz="0" w:space="0" w:color="auto"/>
        <w:bottom w:val="none" w:sz="0" w:space="0" w:color="auto"/>
        <w:right w:val="none" w:sz="0" w:space="0" w:color="auto"/>
      </w:divBdr>
      <w:divsChild>
        <w:div w:id="992950708">
          <w:marLeft w:val="0"/>
          <w:marRight w:val="0"/>
          <w:marTop w:val="0"/>
          <w:marBottom w:val="0"/>
          <w:divBdr>
            <w:top w:val="none" w:sz="0" w:space="0" w:color="auto"/>
            <w:left w:val="none" w:sz="0" w:space="0" w:color="auto"/>
            <w:bottom w:val="none" w:sz="0" w:space="0" w:color="auto"/>
            <w:right w:val="none" w:sz="0" w:space="0" w:color="auto"/>
          </w:divBdr>
          <w:divsChild>
            <w:div w:id="1013067167">
              <w:marLeft w:val="0"/>
              <w:marRight w:val="0"/>
              <w:marTop w:val="0"/>
              <w:marBottom w:val="0"/>
              <w:divBdr>
                <w:top w:val="none" w:sz="0" w:space="0" w:color="auto"/>
                <w:left w:val="none" w:sz="0" w:space="0" w:color="auto"/>
                <w:bottom w:val="none" w:sz="0" w:space="0" w:color="auto"/>
                <w:right w:val="none" w:sz="0" w:space="0" w:color="auto"/>
              </w:divBdr>
              <w:divsChild>
                <w:div w:id="912351150">
                  <w:marLeft w:val="5400"/>
                  <w:marRight w:val="0"/>
                  <w:marTop w:val="0"/>
                  <w:marBottom w:val="0"/>
                  <w:divBdr>
                    <w:top w:val="none" w:sz="0" w:space="0" w:color="auto"/>
                    <w:left w:val="none" w:sz="0" w:space="0" w:color="auto"/>
                    <w:bottom w:val="none" w:sz="0" w:space="0" w:color="auto"/>
                    <w:right w:val="none" w:sz="0" w:space="0" w:color="auto"/>
                  </w:divBdr>
                  <w:divsChild>
                    <w:div w:id="1404452379">
                      <w:marLeft w:val="0"/>
                      <w:marRight w:val="0"/>
                      <w:marTop w:val="0"/>
                      <w:marBottom w:val="0"/>
                      <w:divBdr>
                        <w:top w:val="none" w:sz="0" w:space="0" w:color="auto"/>
                        <w:left w:val="none" w:sz="0" w:space="0" w:color="auto"/>
                        <w:bottom w:val="none" w:sz="0" w:space="0" w:color="auto"/>
                        <w:right w:val="none" w:sz="0" w:space="0" w:color="auto"/>
                      </w:divBdr>
                      <w:divsChild>
                        <w:div w:id="274293869">
                          <w:marLeft w:val="0"/>
                          <w:marRight w:val="0"/>
                          <w:marTop w:val="0"/>
                          <w:marBottom w:val="0"/>
                          <w:divBdr>
                            <w:top w:val="none" w:sz="0" w:space="0" w:color="auto"/>
                            <w:left w:val="none" w:sz="0" w:space="0" w:color="auto"/>
                            <w:bottom w:val="none" w:sz="0" w:space="0" w:color="auto"/>
                            <w:right w:val="none" w:sz="0" w:space="0" w:color="auto"/>
                          </w:divBdr>
                          <w:divsChild>
                            <w:div w:id="1794446598">
                              <w:marLeft w:val="0"/>
                              <w:marRight w:val="0"/>
                              <w:marTop w:val="0"/>
                              <w:marBottom w:val="0"/>
                              <w:divBdr>
                                <w:top w:val="none" w:sz="0" w:space="0" w:color="auto"/>
                                <w:left w:val="none" w:sz="0" w:space="0" w:color="auto"/>
                                <w:bottom w:val="none" w:sz="0" w:space="0" w:color="auto"/>
                                <w:right w:val="none" w:sz="0" w:space="0" w:color="auto"/>
                              </w:divBdr>
                              <w:divsChild>
                                <w:div w:id="513350504">
                                  <w:marLeft w:val="0"/>
                                  <w:marRight w:val="0"/>
                                  <w:marTop w:val="0"/>
                                  <w:marBottom w:val="0"/>
                                  <w:divBdr>
                                    <w:top w:val="none" w:sz="0" w:space="0" w:color="auto"/>
                                    <w:left w:val="none" w:sz="0" w:space="0" w:color="auto"/>
                                    <w:bottom w:val="none" w:sz="0" w:space="0" w:color="auto"/>
                                    <w:right w:val="none" w:sz="0" w:space="0" w:color="auto"/>
                                  </w:divBdr>
                                  <w:divsChild>
                                    <w:div w:id="465128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62502058">
      <w:bodyDiv w:val="1"/>
      <w:marLeft w:val="0"/>
      <w:marRight w:val="0"/>
      <w:marTop w:val="0"/>
      <w:marBottom w:val="0"/>
      <w:divBdr>
        <w:top w:val="none" w:sz="0" w:space="0" w:color="auto"/>
        <w:left w:val="none" w:sz="0" w:space="0" w:color="auto"/>
        <w:bottom w:val="none" w:sz="0" w:space="0" w:color="auto"/>
        <w:right w:val="none" w:sz="0" w:space="0" w:color="auto"/>
      </w:divBdr>
    </w:div>
    <w:div w:id="1166477874">
      <w:bodyDiv w:val="1"/>
      <w:marLeft w:val="0"/>
      <w:marRight w:val="0"/>
      <w:marTop w:val="0"/>
      <w:marBottom w:val="0"/>
      <w:divBdr>
        <w:top w:val="none" w:sz="0" w:space="0" w:color="auto"/>
        <w:left w:val="none" w:sz="0" w:space="0" w:color="auto"/>
        <w:bottom w:val="none" w:sz="0" w:space="0" w:color="auto"/>
        <w:right w:val="none" w:sz="0" w:space="0" w:color="auto"/>
      </w:divBdr>
    </w:div>
    <w:div w:id="1217281863">
      <w:bodyDiv w:val="1"/>
      <w:marLeft w:val="0"/>
      <w:marRight w:val="0"/>
      <w:marTop w:val="0"/>
      <w:marBottom w:val="0"/>
      <w:divBdr>
        <w:top w:val="none" w:sz="0" w:space="0" w:color="auto"/>
        <w:left w:val="none" w:sz="0" w:space="0" w:color="auto"/>
        <w:bottom w:val="none" w:sz="0" w:space="0" w:color="auto"/>
        <w:right w:val="none" w:sz="0" w:space="0" w:color="auto"/>
      </w:divBdr>
    </w:div>
    <w:div w:id="1469009579">
      <w:bodyDiv w:val="1"/>
      <w:marLeft w:val="0"/>
      <w:marRight w:val="0"/>
      <w:marTop w:val="0"/>
      <w:marBottom w:val="0"/>
      <w:divBdr>
        <w:top w:val="none" w:sz="0" w:space="0" w:color="auto"/>
        <w:left w:val="none" w:sz="0" w:space="0" w:color="auto"/>
        <w:bottom w:val="none" w:sz="0" w:space="0" w:color="auto"/>
        <w:right w:val="none" w:sz="0" w:space="0" w:color="auto"/>
      </w:divBdr>
    </w:div>
    <w:div w:id="1477724110">
      <w:bodyDiv w:val="1"/>
      <w:marLeft w:val="0"/>
      <w:marRight w:val="0"/>
      <w:marTop w:val="0"/>
      <w:marBottom w:val="0"/>
      <w:divBdr>
        <w:top w:val="none" w:sz="0" w:space="0" w:color="auto"/>
        <w:left w:val="none" w:sz="0" w:space="0" w:color="auto"/>
        <w:bottom w:val="none" w:sz="0" w:space="0" w:color="auto"/>
        <w:right w:val="none" w:sz="0" w:space="0" w:color="auto"/>
      </w:divBdr>
    </w:div>
    <w:div w:id="1583567407">
      <w:bodyDiv w:val="1"/>
      <w:marLeft w:val="0"/>
      <w:marRight w:val="0"/>
      <w:marTop w:val="0"/>
      <w:marBottom w:val="0"/>
      <w:divBdr>
        <w:top w:val="none" w:sz="0" w:space="0" w:color="auto"/>
        <w:left w:val="none" w:sz="0" w:space="0" w:color="auto"/>
        <w:bottom w:val="none" w:sz="0" w:space="0" w:color="auto"/>
        <w:right w:val="none" w:sz="0" w:space="0" w:color="auto"/>
      </w:divBdr>
    </w:div>
    <w:div w:id="1600601948">
      <w:bodyDiv w:val="1"/>
      <w:marLeft w:val="0"/>
      <w:marRight w:val="0"/>
      <w:marTop w:val="0"/>
      <w:marBottom w:val="0"/>
      <w:divBdr>
        <w:top w:val="none" w:sz="0" w:space="0" w:color="auto"/>
        <w:left w:val="none" w:sz="0" w:space="0" w:color="auto"/>
        <w:bottom w:val="none" w:sz="0" w:space="0" w:color="auto"/>
        <w:right w:val="none" w:sz="0" w:space="0" w:color="auto"/>
      </w:divBdr>
    </w:div>
    <w:div w:id="1663391187">
      <w:bodyDiv w:val="1"/>
      <w:marLeft w:val="0"/>
      <w:marRight w:val="0"/>
      <w:marTop w:val="0"/>
      <w:marBottom w:val="0"/>
      <w:divBdr>
        <w:top w:val="none" w:sz="0" w:space="0" w:color="auto"/>
        <w:left w:val="none" w:sz="0" w:space="0" w:color="auto"/>
        <w:bottom w:val="none" w:sz="0" w:space="0" w:color="auto"/>
        <w:right w:val="none" w:sz="0" w:space="0" w:color="auto"/>
      </w:divBdr>
    </w:div>
    <w:div w:id="1682047908">
      <w:bodyDiv w:val="1"/>
      <w:marLeft w:val="0"/>
      <w:marRight w:val="0"/>
      <w:marTop w:val="0"/>
      <w:marBottom w:val="0"/>
      <w:divBdr>
        <w:top w:val="none" w:sz="0" w:space="0" w:color="auto"/>
        <w:left w:val="none" w:sz="0" w:space="0" w:color="auto"/>
        <w:bottom w:val="none" w:sz="0" w:space="0" w:color="auto"/>
        <w:right w:val="none" w:sz="0" w:space="0" w:color="auto"/>
      </w:divBdr>
    </w:div>
    <w:div w:id="1773281035">
      <w:bodyDiv w:val="1"/>
      <w:marLeft w:val="0"/>
      <w:marRight w:val="0"/>
      <w:marTop w:val="0"/>
      <w:marBottom w:val="0"/>
      <w:divBdr>
        <w:top w:val="none" w:sz="0" w:space="0" w:color="auto"/>
        <w:left w:val="none" w:sz="0" w:space="0" w:color="auto"/>
        <w:bottom w:val="none" w:sz="0" w:space="0" w:color="auto"/>
        <w:right w:val="none" w:sz="0" w:space="0" w:color="auto"/>
      </w:divBdr>
    </w:div>
    <w:div w:id="2039353925">
      <w:bodyDiv w:val="1"/>
      <w:marLeft w:val="0"/>
      <w:marRight w:val="0"/>
      <w:marTop w:val="0"/>
      <w:marBottom w:val="0"/>
      <w:divBdr>
        <w:top w:val="none" w:sz="0" w:space="0" w:color="auto"/>
        <w:left w:val="none" w:sz="0" w:space="0" w:color="auto"/>
        <w:bottom w:val="none" w:sz="0" w:space="0" w:color="auto"/>
        <w:right w:val="none" w:sz="0" w:space="0" w:color="auto"/>
      </w:divBdr>
    </w:div>
    <w:div w:id="2063287110">
      <w:bodyDiv w:val="1"/>
      <w:marLeft w:val="0"/>
      <w:marRight w:val="0"/>
      <w:marTop w:val="0"/>
      <w:marBottom w:val="0"/>
      <w:divBdr>
        <w:top w:val="none" w:sz="0" w:space="0" w:color="auto"/>
        <w:left w:val="none" w:sz="0" w:space="0" w:color="auto"/>
        <w:bottom w:val="none" w:sz="0" w:space="0" w:color="auto"/>
        <w:right w:val="none" w:sz="0" w:space="0" w:color="auto"/>
      </w:divBdr>
    </w:div>
    <w:div w:id="211933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cid:image001.png@01D0FF78.A6EA0F6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hyperlink" Target="mailto:eba-xbrl@eba.europa.eu" TargetMode="External"/><Relationship Id="rId2" Type="http://schemas.openxmlformats.org/officeDocument/2006/relationships/hyperlink" Target="http://www.eba.europa.eu/single-rule-book-qa" TargetMode="External"/><Relationship Id="rId1" Type="http://schemas.openxmlformats.org/officeDocument/2006/relationships/hyperlink" Target="http://eba.europa.eu"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mailto:eba-xbrl@eba.europa.eu" TargetMode="External"/><Relationship Id="rId2" Type="http://schemas.openxmlformats.org/officeDocument/2006/relationships/hyperlink" Target="http://www.eba.europa.eu/single-rule-book-qa" TargetMode="External"/><Relationship Id="rId1" Type="http://schemas.openxmlformats.org/officeDocument/2006/relationships/hyperlink" Target="http://eba.europa.eu"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eba.europa.eu/regulation-and-policy/other-topics/regulatory-and-implementing-technical-standards-on-benchmarking-portfolios" TargetMode="External"/><Relationship Id="rId1" Type="http://schemas.openxmlformats.org/officeDocument/2006/relationships/hyperlink" Target="https://www.eba.europa.eu/single-rule-book-qa"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EBA PP Exported">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2F1C86-3B98-4D46-8E47-31164A4A7B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5D5DC418.dotm</Template>
  <TotalTime>3143</TotalTime>
  <Pages>29</Pages>
  <Words>9063</Words>
  <Characters>46949</Characters>
  <Application>Microsoft Office Word</Application>
  <DocSecurity>0</DocSecurity>
  <Lines>998</Lines>
  <Paragraphs>383</Paragraphs>
  <ScaleCrop>false</ScaleCrop>
  <HeadingPairs>
    <vt:vector size="2" baseType="variant">
      <vt:variant>
        <vt:lpstr>Title</vt:lpstr>
      </vt:variant>
      <vt:variant>
        <vt:i4>1</vt:i4>
      </vt:variant>
    </vt:vector>
  </HeadingPairs>
  <TitlesOfParts>
    <vt:vector size="1" baseType="lpstr">
      <vt:lpstr>Notice of intended beta XBRL taxonomy availability and testing/feedback period</vt:lpstr>
    </vt:vector>
  </TitlesOfParts>
  <Company>European Banking Authority</Company>
  <LinksUpToDate>false</LinksUpToDate>
  <CharactersWithSpaces>55629</CharactersWithSpaces>
  <SharedDoc>false</SharedDoc>
  <HLinks>
    <vt:vector size="6" baseType="variant">
      <vt:variant>
        <vt:i4>2490439</vt:i4>
      </vt:variant>
      <vt:variant>
        <vt:i4>0</vt:i4>
      </vt:variant>
      <vt:variant>
        <vt:i4>0</vt:i4>
      </vt:variant>
      <vt:variant>
        <vt:i4>5</vt:i4>
      </vt:variant>
      <vt:variant>
        <vt:lpwstr>mailto:CP50@eba.europa.eu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Notice of intended beta XBRL taxonomy availability and testing/feedback period</dc:title>
  <dc:subject>Beta Taxonomy Release</dc:subject>
  <dc:creator>owen.jones@eba.europa.eu</dc:creator>
  <cp:lastModifiedBy>ojones</cp:lastModifiedBy>
  <cp:revision>15</cp:revision>
  <cp:lastPrinted>2016-01-25T18:19:00Z</cp:lastPrinted>
  <dcterms:created xsi:type="dcterms:W3CDTF">2016-02-12T15:12:00Z</dcterms:created>
  <dcterms:modified xsi:type="dcterms:W3CDTF">2016-04-28T12:58:00Z</dcterms:modified>
</cp:coreProperties>
</file>